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0F77D">
      <w:pPr>
        <w:rPr>
          <w:rFonts w:hint="eastAsia" w:ascii="宋体" w:hAnsi="宋体" w:eastAsia="宋体" w:cs="宋体"/>
          <w:b/>
          <w:bCs/>
          <w:color w:val="auto"/>
          <w:kern w:val="0"/>
          <w:sz w:val="30"/>
          <w:szCs w:val="30"/>
          <w:lang w:eastAsia="zh-CN"/>
        </w:rPr>
      </w:pPr>
      <w:r>
        <w:rPr>
          <w:rFonts w:hint="eastAsia" w:ascii="宋体" w:hAnsi="宋体" w:eastAsia="宋体" w:cs="宋体"/>
          <w:b/>
          <w:bCs/>
          <w:color w:val="auto"/>
          <w:kern w:val="0"/>
          <w:sz w:val="30"/>
          <w:szCs w:val="30"/>
          <w:lang w:eastAsia="zh-CN"/>
        </w:rPr>
        <w:drawing>
          <wp:inline distT="0" distB="0" distL="114300" distR="114300">
            <wp:extent cx="6182995" cy="8515985"/>
            <wp:effectExtent l="0" t="0" r="8255" b="18415"/>
            <wp:docPr id="4" name="图片 4" descr="收据_2025-12-12_172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收据_2025-12-12_172443"/>
                    <pic:cNvPicPr>
                      <a:picLocks noChangeAspect="1"/>
                    </pic:cNvPicPr>
                  </pic:nvPicPr>
                  <pic:blipFill>
                    <a:blip r:embed="rId12"/>
                    <a:stretch>
                      <a:fillRect/>
                    </a:stretch>
                  </pic:blipFill>
                  <pic:spPr>
                    <a:xfrm>
                      <a:off x="0" y="0"/>
                      <a:ext cx="6182995" cy="8515985"/>
                    </a:xfrm>
                    <a:prstGeom prst="rect">
                      <a:avLst/>
                    </a:prstGeom>
                  </pic:spPr>
                </pic:pic>
              </a:graphicData>
            </a:graphic>
          </wp:inline>
        </w:drawing>
      </w:r>
    </w:p>
    <w:p w14:paraId="12E9BC4D">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2108" w:firstLineChars="700"/>
        <w:textAlignment w:val="auto"/>
        <w:rPr>
          <w:rFonts w:ascii="宋体" w:hAnsi="宋体" w:eastAsia="宋体" w:cs="宋体"/>
          <w:b/>
          <w:bCs/>
          <w:color w:val="auto"/>
          <w:kern w:val="0"/>
          <w:sz w:val="30"/>
          <w:szCs w:val="30"/>
        </w:rPr>
      </w:pPr>
    </w:p>
    <w:p w14:paraId="299477E2">
      <w:pPr>
        <w:spacing w:line="360" w:lineRule="auto"/>
        <w:jc w:val="center"/>
        <w:rPr>
          <w:b/>
          <w:color w:val="auto"/>
          <w:sz w:val="36"/>
          <w:szCs w:val="36"/>
          <w:lang w:val="zh-CN"/>
        </w:rPr>
      </w:pPr>
      <w:r>
        <w:rPr>
          <w:b/>
          <w:color w:val="auto"/>
          <w:sz w:val="36"/>
          <w:szCs w:val="36"/>
          <w:lang w:val="zh-CN"/>
        </w:rPr>
        <w:t>目</w:t>
      </w:r>
      <w:r>
        <w:rPr>
          <w:rFonts w:hint="eastAsia"/>
          <w:b/>
          <w:color w:val="auto"/>
          <w:sz w:val="36"/>
          <w:szCs w:val="36"/>
          <w:lang w:val="zh-CN"/>
        </w:rPr>
        <w:t xml:space="preserve">   </w:t>
      </w:r>
      <w:r>
        <w:rPr>
          <w:b/>
          <w:color w:val="auto"/>
          <w:sz w:val="36"/>
          <w:szCs w:val="36"/>
          <w:lang w:val="zh-CN"/>
        </w:rPr>
        <w:t>录</w:t>
      </w:r>
    </w:p>
    <w:p w14:paraId="5311C755">
      <w:pPr>
        <w:pStyle w:val="14"/>
        <w:rPr>
          <w:color w:val="auto"/>
        </w:rPr>
      </w:pPr>
    </w:p>
    <w:p w14:paraId="6E9E9A7F">
      <w:pPr>
        <w:pStyle w:val="12"/>
        <w:tabs>
          <w:tab w:val="right" w:leader="dot" w:pos="9736"/>
        </w:tabs>
        <w:spacing w:line="360" w:lineRule="auto"/>
        <w:rPr>
          <w:rFonts w:ascii="宋体" w:hAnsi="宋体" w:eastAsia="宋体"/>
          <w:color w:val="auto"/>
          <w:sz w:val="30"/>
          <w:szCs w:val="30"/>
        </w:rPr>
      </w:pPr>
      <w:r>
        <w:rPr>
          <w:rFonts w:ascii="宋体" w:hAnsi="宋体" w:eastAsia="宋体"/>
          <w:color w:val="auto"/>
          <w:sz w:val="28"/>
          <w:szCs w:val="28"/>
        </w:rPr>
        <w:fldChar w:fldCharType="begin"/>
      </w:r>
      <w:r>
        <w:rPr>
          <w:rFonts w:ascii="宋体" w:hAnsi="宋体" w:eastAsia="宋体"/>
          <w:color w:val="auto"/>
          <w:sz w:val="28"/>
          <w:szCs w:val="28"/>
        </w:rPr>
        <w:instrText xml:space="preserve"> TOC \o "1-3" \h \z \u </w:instrText>
      </w:r>
      <w:r>
        <w:rPr>
          <w:rFonts w:ascii="宋体" w:hAnsi="宋体" w:eastAsia="宋体"/>
          <w:color w:val="auto"/>
          <w:sz w:val="28"/>
          <w:szCs w:val="28"/>
        </w:rPr>
        <w:fldChar w:fldCharType="separate"/>
      </w:r>
      <w:r>
        <w:rPr>
          <w:color w:val="auto"/>
        </w:rPr>
        <w:fldChar w:fldCharType="begin"/>
      </w:r>
      <w:r>
        <w:rPr>
          <w:color w:val="auto"/>
        </w:rPr>
        <w:instrText xml:space="preserve"> HYPERLINK \l "_Toc113437297" </w:instrText>
      </w:r>
      <w:r>
        <w:rPr>
          <w:color w:val="auto"/>
        </w:rPr>
        <w:fldChar w:fldCharType="separate"/>
      </w:r>
      <w:r>
        <w:rPr>
          <w:rStyle w:val="18"/>
          <w:rFonts w:hint="eastAsia" w:ascii="宋体" w:hAnsi="宋体" w:eastAsia="宋体" w:cs="宋体"/>
          <w:color w:val="auto"/>
          <w:kern w:val="0"/>
          <w:sz w:val="30"/>
          <w:szCs w:val="30"/>
        </w:rPr>
        <w:t>第一章</w:t>
      </w:r>
      <w:r>
        <w:rPr>
          <w:rStyle w:val="18"/>
          <w:rFonts w:ascii="宋体" w:hAnsi="宋体" w:eastAsia="宋体" w:cs="宋体"/>
          <w:color w:val="auto"/>
          <w:kern w:val="0"/>
          <w:sz w:val="30"/>
          <w:szCs w:val="30"/>
        </w:rPr>
        <w:t xml:space="preserve"> </w:t>
      </w:r>
      <w:r>
        <w:rPr>
          <w:rStyle w:val="18"/>
          <w:rFonts w:hint="eastAsia" w:ascii="宋体" w:hAnsi="宋体" w:eastAsia="宋体" w:cs="宋体"/>
          <w:color w:val="auto"/>
          <w:kern w:val="0"/>
          <w:sz w:val="30"/>
          <w:szCs w:val="30"/>
        </w:rPr>
        <w:t>竞争性磋商公告</w:t>
      </w:r>
      <w:r>
        <w:rPr>
          <w:rFonts w:ascii="宋体" w:hAnsi="宋体" w:eastAsia="宋体"/>
          <w:color w:val="auto"/>
          <w:sz w:val="30"/>
          <w:szCs w:val="30"/>
        </w:rPr>
        <w:tab/>
      </w:r>
      <w:r>
        <w:rPr>
          <w:rFonts w:hint="eastAsia" w:ascii="宋体" w:hAnsi="宋体"/>
          <w:color w:val="auto"/>
          <w:sz w:val="30"/>
          <w:szCs w:val="30"/>
          <w:lang w:val="en-US" w:eastAsia="zh-CN"/>
        </w:rPr>
        <w:t>2</w:t>
      </w:r>
      <w:r>
        <w:rPr>
          <w:rFonts w:ascii="宋体" w:hAnsi="宋体" w:eastAsia="宋体"/>
          <w:color w:val="auto"/>
          <w:sz w:val="30"/>
          <w:szCs w:val="30"/>
        </w:rPr>
        <w:fldChar w:fldCharType="end"/>
      </w:r>
    </w:p>
    <w:p w14:paraId="23F1FC84">
      <w:pPr>
        <w:pStyle w:val="12"/>
        <w:tabs>
          <w:tab w:val="right" w:leader="dot" w:pos="9736"/>
        </w:tabs>
        <w:spacing w:line="360" w:lineRule="auto"/>
        <w:rPr>
          <w:rFonts w:ascii="宋体" w:hAnsi="宋体" w:eastAsia="宋体"/>
          <w:color w:val="auto"/>
          <w:sz w:val="30"/>
          <w:szCs w:val="30"/>
        </w:rPr>
      </w:pPr>
      <w:r>
        <w:rPr>
          <w:color w:val="auto"/>
        </w:rPr>
        <w:fldChar w:fldCharType="begin"/>
      </w:r>
      <w:r>
        <w:rPr>
          <w:color w:val="auto"/>
        </w:rPr>
        <w:instrText xml:space="preserve"> HYPERLINK \l "_Toc113437298" </w:instrText>
      </w:r>
      <w:r>
        <w:rPr>
          <w:color w:val="auto"/>
        </w:rPr>
        <w:fldChar w:fldCharType="separate"/>
      </w:r>
      <w:r>
        <w:rPr>
          <w:rStyle w:val="18"/>
          <w:rFonts w:hint="eastAsia" w:ascii="宋体" w:hAnsi="宋体" w:eastAsia="宋体" w:cs="宋体"/>
          <w:color w:val="auto"/>
          <w:kern w:val="0"/>
          <w:sz w:val="30"/>
          <w:szCs w:val="30"/>
        </w:rPr>
        <w:t>第二章</w:t>
      </w:r>
      <w:r>
        <w:rPr>
          <w:rStyle w:val="18"/>
          <w:rFonts w:ascii="宋体" w:hAnsi="宋体" w:eastAsia="宋体" w:cs="宋体"/>
          <w:color w:val="auto"/>
          <w:kern w:val="0"/>
          <w:sz w:val="30"/>
          <w:szCs w:val="30"/>
        </w:rPr>
        <w:t xml:space="preserve"> </w:t>
      </w:r>
      <w:r>
        <w:rPr>
          <w:rStyle w:val="18"/>
          <w:rFonts w:hint="eastAsia" w:ascii="宋体" w:hAnsi="宋体" w:eastAsia="宋体" w:cs="宋体"/>
          <w:color w:val="auto"/>
          <w:kern w:val="0"/>
          <w:sz w:val="30"/>
          <w:szCs w:val="30"/>
        </w:rPr>
        <w:t>供应商须知</w:t>
      </w:r>
      <w:r>
        <w:rPr>
          <w:rFonts w:ascii="宋体" w:hAnsi="宋体" w:eastAsia="宋体"/>
          <w:color w:val="auto"/>
          <w:sz w:val="30"/>
          <w:szCs w:val="30"/>
        </w:rPr>
        <w:tab/>
      </w:r>
      <w:r>
        <w:rPr>
          <w:rFonts w:hint="eastAsia" w:ascii="宋体" w:hAnsi="宋体"/>
          <w:color w:val="auto"/>
          <w:sz w:val="30"/>
          <w:szCs w:val="30"/>
          <w:lang w:val="en-US" w:eastAsia="zh-CN"/>
        </w:rPr>
        <w:t>6</w:t>
      </w:r>
      <w:r>
        <w:rPr>
          <w:rFonts w:ascii="宋体" w:hAnsi="宋体" w:eastAsia="宋体"/>
          <w:color w:val="auto"/>
          <w:sz w:val="30"/>
          <w:szCs w:val="30"/>
        </w:rPr>
        <w:fldChar w:fldCharType="end"/>
      </w:r>
    </w:p>
    <w:p w14:paraId="3867BCCF">
      <w:pPr>
        <w:pStyle w:val="12"/>
        <w:tabs>
          <w:tab w:val="right" w:leader="dot" w:pos="9736"/>
        </w:tabs>
        <w:spacing w:line="360" w:lineRule="auto"/>
        <w:rPr>
          <w:rFonts w:ascii="宋体" w:hAnsi="宋体" w:eastAsia="宋体"/>
          <w:color w:val="auto"/>
          <w:sz w:val="30"/>
          <w:szCs w:val="30"/>
        </w:rPr>
      </w:pPr>
      <w:r>
        <w:rPr>
          <w:color w:val="auto"/>
        </w:rPr>
        <w:fldChar w:fldCharType="begin"/>
      </w:r>
      <w:r>
        <w:rPr>
          <w:color w:val="auto"/>
        </w:rPr>
        <w:instrText xml:space="preserve"> HYPERLINK \l "_Toc113437299" </w:instrText>
      </w:r>
      <w:r>
        <w:rPr>
          <w:color w:val="auto"/>
        </w:rPr>
        <w:fldChar w:fldCharType="separate"/>
      </w:r>
      <w:r>
        <w:rPr>
          <w:rStyle w:val="18"/>
          <w:rFonts w:hint="eastAsia" w:ascii="宋体" w:hAnsi="宋体" w:eastAsia="宋体" w:cs="宋体"/>
          <w:color w:val="auto"/>
          <w:kern w:val="0"/>
          <w:sz w:val="30"/>
          <w:szCs w:val="30"/>
        </w:rPr>
        <w:t>第三章</w:t>
      </w:r>
      <w:r>
        <w:rPr>
          <w:rStyle w:val="18"/>
          <w:rFonts w:ascii="宋体" w:hAnsi="宋体" w:eastAsia="宋体" w:cs="宋体"/>
          <w:color w:val="auto"/>
          <w:kern w:val="0"/>
          <w:sz w:val="30"/>
          <w:szCs w:val="30"/>
        </w:rPr>
        <w:t xml:space="preserve"> </w:t>
      </w:r>
      <w:r>
        <w:rPr>
          <w:rStyle w:val="18"/>
          <w:rFonts w:hint="eastAsia" w:ascii="宋体" w:hAnsi="宋体" w:eastAsia="宋体" w:cs="宋体"/>
          <w:color w:val="auto"/>
          <w:kern w:val="0"/>
          <w:sz w:val="30"/>
          <w:szCs w:val="30"/>
        </w:rPr>
        <w:t>磋商办法</w:t>
      </w:r>
      <w:r>
        <w:rPr>
          <w:rFonts w:ascii="宋体" w:hAnsi="宋体" w:eastAsia="宋体"/>
          <w:color w:val="auto"/>
          <w:sz w:val="30"/>
          <w:szCs w:val="30"/>
        </w:rPr>
        <w:tab/>
      </w:r>
      <w:r>
        <w:rPr>
          <w:rFonts w:ascii="宋体" w:hAnsi="宋体" w:eastAsia="宋体"/>
          <w:color w:val="auto"/>
          <w:sz w:val="30"/>
          <w:szCs w:val="30"/>
        </w:rPr>
        <w:fldChar w:fldCharType="begin"/>
      </w:r>
      <w:r>
        <w:rPr>
          <w:rFonts w:ascii="宋体" w:hAnsi="宋体" w:eastAsia="宋体"/>
          <w:color w:val="auto"/>
          <w:sz w:val="30"/>
          <w:szCs w:val="30"/>
        </w:rPr>
        <w:instrText xml:space="preserve"> PAGEREF _Toc113437299 \h </w:instrText>
      </w:r>
      <w:r>
        <w:rPr>
          <w:rFonts w:ascii="宋体" w:hAnsi="宋体" w:eastAsia="宋体"/>
          <w:color w:val="auto"/>
          <w:sz w:val="30"/>
          <w:szCs w:val="30"/>
        </w:rPr>
        <w:fldChar w:fldCharType="separate"/>
      </w:r>
      <w:r>
        <w:rPr>
          <w:rFonts w:ascii="宋体" w:hAnsi="宋体" w:eastAsia="宋体"/>
          <w:color w:val="auto"/>
          <w:sz w:val="30"/>
          <w:szCs w:val="30"/>
        </w:rPr>
        <w:t>21</w:t>
      </w:r>
      <w:r>
        <w:rPr>
          <w:rFonts w:ascii="宋体" w:hAnsi="宋体" w:eastAsia="宋体"/>
          <w:color w:val="auto"/>
          <w:sz w:val="30"/>
          <w:szCs w:val="30"/>
        </w:rPr>
        <w:fldChar w:fldCharType="end"/>
      </w:r>
      <w:r>
        <w:rPr>
          <w:rFonts w:ascii="宋体" w:hAnsi="宋体" w:eastAsia="宋体"/>
          <w:color w:val="auto"/>
          <w:sz w:val="30"/>
          <w:szCs w:val="30"/>
        </w:rPr>
        <w:fldChar w:fldCharType="end"/>
      </w:r>
    </w:p>
    <w:p w14:paraId="3BA2F15A">
      <w:pPr>
        <w:pStyle w:val="12"/>
        <w:tabs>
          <w:tab w:val="right" w:leader="dot" w:pos="9736"/>
        </w:tabs>
        <w:spacing w:line="360" w:lineRule="auto"/>
        <w:rPr>
          <w:rFonts w:ascii="宋体" w:hAnsi="宋体" w:eastAsia="宋体"/>
          <w:color w:val="auto"/>
          <w:sz w:val="30"/>
          <w:szCs w:val="30"/>
        </w:rPr>
      </w:pPr>
      <w:r>
        <w:rPr>
          <w:color w:val="auto"/>
        </w:rPr>
        <w:fldChar w:fldCharType="begin"/>
      </w:r>
      <w:r>
        <w:rPr>
          <w:color w:val="auto"/>
        </w:rPr>
        <w:instrText xml:space="preserve"> HYPERLINK \l "_Toc113437300" </w:instrText>
      </w:r>
      <w:r>
        <w:rPr>
          <w:color w:val="auto"/>
        </w:rPr>
        <w:fldChar w:fldCharType="separate"/>
      </w:r>
      <w:r>
        <w:rPr>
          <w:rStyle w:val="18"/>
          <w:rFonts w:hint="eastAsia" w:ascii="宋体" w:hAnsi="宋体" w:eastAsia="宋体" w:cs="宋体"/>
          <w:color w:val="auto"/>
          <w:kern w:val="0"/>
          <w:sz w:val="30"/>
          <w:szCs w:val="30"/>
        </w:rPr>
        <w:t>第四章</w:t>
      </w:r>
      <w:r>
        <w:rPr>
          <w:rStyle w:val="18"/>
          <w:rFonts w:ascii="宋体" w:hAnsi="宋体" w:eastAsia="宋体" w:cs="宋体"/>
          <w:color w:val="auto"/>
          <w:kern w:val="0"/>
          <w:sz w:val="30"/>
          <w:szCs w:val="30"/>
        </w:rPr>
        <w:t xml:space="preserve"> </w:t>
      </w:r>
      <w:r>
        <w:rPr>
          <w:rStyle w:val="18"/>
          <w:rFonts w:hint="eastAsia" w:ascii="宋体" w:hAnsi="宋体" w:eastAsia="宋体" w:cs="宋体"/>
          <w:color w:val="auto"/>
          <w:kern w:val="0"/>
          <w:sz w:val="30"/>
          <w:szCs w:val="30"/>
        </w:rPr>
        <w:t>合同条款及格式</w:t>
      </w:r>
      <w:r>
        <w:rPr>
          <w:rFonts w:ascii="宋体" w:hAnsi="宋体" w:eastAsia="宋体"/>
          <w:color w:val="auto"/>
          <w:sz w:val="30"/>
          <w:szCs w:val="30"/>
        </w:rPr>
        <w:tab/>
      </w:r>
      <w:r>
        <w:rPr>
          <w:rFonts w:ascii="宋体" w:hAnsi="宋体" w:eastAsia="宋体"/>
          <w:color w:val="auto"/>
          <w:sz w:val="30"/>
          <w:szCs w:val="30"/>
        </w:rPr>
        <w:fldChar w:fldCharType="begin"/>
      </w:r>
      <w:r>
        <w:rPr>
          <w:rFonts w:ascii="宋体" w:hAnsi="宋体" w:eastAsia="宋体"/>
          <w:color w:val="auto"/>
          <w:sz w:val="30"/>
          <w:szCs w:val="30"/>
        </w:rPr>
        <w:instrText xml:space="preserve"> PAGEREF _Toc113437300 \h </w:instrText>
      </w:r>
      <w:r>
        <w:rPr>
          <w:rFonts w:ascii="宋体" w:hAnsi="宋体" w:eastAsia="宋体"/>
          <w:color w:val="auto"/>
          <w:sz w:val="30"/>
          <w:szCs w:val="30"/>
        </w:rPr>
        <w:fldChar w:fldCharType="separate"/>
      </w:r>
      <w:r>
        <w:rPr>
          <w:rFonts w:ascii="宋体" w:hAnsi="宋体" w:eastAsia="宋体"/>
          <w:color w:val="auto"/>
          <w:sz w:val="30"/>
          <w:szCs w:val="30"/>
        </w:rPr>
        <w:t>26</w:t>
      </w:r>
      <w:r>
        <w:rPr>
          <w:rFonts w:ascii="宋体" w:hAnsi="宋体" w:eastAsia="宋体"/>
          <w:color w:val="auto"/>
          <w:sz w:val="30"/>
          <w:szCs w:val="30"/>
        </w:rPr>
        <w:fldChar w:fldCharType="end"/>
      </w:r>
      <w:r>
        <w:rPr>
          <w:rFonts w:ascii="宋体" w:hAnsi="宋体" w:eastAsia="宋体"/>
          <w:color w:val="auto"/>
          <w:sz w:val="30"/>
          <w:szCs w:val="30"/>
        </w:rPr>
        <w:fldChar w:fldCharType="end"/>
      </w:r>
    </w:p>
    <w:p w14:paraId="6A3A2922">
      <w:pPr>
        <w:pStyle w:val="12"/>
        <w:tabs>
          <w:tab w:val="right" w:leader="dot" w:pos="9736"/>
        </w:tabs>
        <w:spacing w:line="360" w:lineRule="auto"/>
        <w:rPr>
          <w:rFonts w:ascii="宋体" w:hAnsi="宋体" w:eastAsia="宋体"/>
          <w:color w:val="auto"/>
          <w:sz w:val="30"/>
          <w:szCs w:val="30"/>
        </w:rPr>
      </w:pPr>
      <w:r>
        <w:rPr>
          <w:color w:val="auto"/>
        </w:rPr>
        <w:fldChar w:fldCharType="begin"/>
      </w:r>
      <w:r>
        <w:rPr>
          <w:color w:val="auto"/>
        </w:rPr>
        <w:instrText xml:space="preserve"> HYPERLINK \l "_Toc113437301" </w:instrText>
      </w:r>
      <w:r>
        <w:rPr>
          <w:color w:val="auto"/>
        </w:rPr>
        <w:fldChar w:fldCharType="separate"/>
      </w:r>
      <w:r>
        <w:rPr>
          <w:rStyle w:val="18"/>
          <w:rFonts w:hint="eastAsia" w:ascii="宋体" w:hAnsi="宋体" w:eastAsia="宋体" w:cs="宋体"/>
          <w:color w:val="auto"/>
          <w:kern w:val="0"/>
          <w:sz w:val="30"/>
          <w:szCs w:val="30"/>
        </w:rPr>
        <w:t>第五章</w:t>
      </w:r>
      <w:r>
        <w:rPr>
          <w:rStyle w:val="18"/>
          <w:rFonts w:ascii="宋体" w:hAnsi="宋体" w:eastAsia="宋体" w:cs="宋体"/>
          <w:color w:val="auto"/>
          <w:kern w:val="0"/>
          <w:sz w:val="30"/>
          <w:szCs w:val="30"/>
        </w:rPr>
        <w:t xml:space="preserve"> </w:t>
      </w:r>
      <w:r>
        <w:rPr>
          <w:rStyle w:val="18"/>
          <w:rFonts w:hint="eastAsia" w:ascii="宋体" w:hAnsi="宋体" w:eastAsia="宋体" w:cs="宋体"/>
          <w:color w:val="auto"/>
          <w:kern w:val="0"/>
          <w:sz w:val="30"/>
          <w:szCs w:val="30"/>
        </w:rPr>
        <w:t>服务内容及要求</w:t>
      </w:r>
      <w:r>
        <w:rPr>
          <w:rFonts w:ascii="宋体" w:hAnsi="宋体" w:eastAsia="宋体"/>
          <w:color w:val="auto"/>
          <w:sz w:val="30"/>
          <w:szCs w:val="30"/>
        </w:rPr>
        <w:tab/>
      </w:r>
      <w:r>
        <w:rPr>
          <w:rFonts w:ascii="宋体" w:hAnsi="宋体" w:eastAsia="宋体"/>
          <w:color w:val="auto"/>
          <w:sz w:val="30"/>
          <w:szCs w:val="30"/>
        </w:rPr>
        <w:fldChar w:fldCharType="begin"/>
      </w:r>
      <w:r>
        <w:rPr>
          <w:rFonts w:ascii="宋体" w:hAnsi="宋体" w:eastAsia="宋体"/>
          <w:color w:val="auto"/>
          <w:sz w:val="30"/>
          <w:szCs w:val="30"/>
        </w:rPr>
        <w:instrText xml:space="preserve"> PAGEREF _Toc113437301 \h </w:instrText>
      </w:r>
      <w:r>
        <w:rPr>
          <w:rFonts w:ascii="宋体" w:hAnsi="宋体" w:eastAsia="宋体"/>
          <w:color w:val="auto"/>
          <w:sz w:val="30"/>
          <w:szCs w:val="30"/>
        </w:rPr>
        <w:fldChar w:fldCharType="separate"/>
      </w:r>
      <w:r>
        <w:rPr>
          <w:rFonts w:ascii="宋体" w:hAnsi="宋体" w:eastAsia="宋体"/>
          <w:color w:val="auto"/>
          <w:sz w:val="30"/>
          <w:szCs w:val="30"/>
        </w:rPr>
        <w:t>26</w:t>
      </w:r>
      <w:r>
        <w:rPr>
          <w:rFonts w:ascii="宋体" w:hAnsi="宋体" w:eastAsia="宋体"/>
          <w:color w:val="auto"/>
          <w:sz w:val="30"/>
          <w:szCs w:val="30"/>
        </w:rPr>
        <w:fldChar w:fldCharType="end"/>
      </w:r>
      <w:r>
        <w:rPr>
          <w:rFonts w:ascii="宋体" w:hAnsi="宋体" w:eastAsia="宋体"/>
          <w:color w:val="auto"/>
          <w:sz w:val="30"/>
          <w:szCs w:val="30"/>
        </w:rPr>
        <w:fldChar w:fldCharType="end"/>
      </w:r>
    </w:p>
    <w:p w14:paraId="2DFDF912">
      <w:pPr>
        <w:pStyle w:val="12"/>
        <w:tabs>
          <w:tab w:val="right" w:leader="dot" w:pos="9736"/>
        </w:tabs>
        <w:spacing w:line="360" w:lineRule="auto"/>
        <w:rPr>
          <w:rFonts w:ascii="宋体" w:hAnsi="宋体" w:eastAsia="宋体"/>
          <w:color w:val="auto"/>
          <w:sz w:val="30"/>
          <w:szCs w:val="30"/>
        </w:rPr>
      </w:pPr>
      <w:r>
        <w:rPr>
          <w:color w:val="auto"/>
        </w:rPr>
        <w:fldChar w:fldCharType="begin"/>
      </w:r>
      <w:r>
        <w:rPr>
          <w:color w:val="auto"/>
        </w:rPr>
        <w:instrText xml:space="preserve"> HYPERLINK \l "_Toc113437302" </w:instrText>
      </w:r>
      <w:r>
        <w:rPr>
          <w:color w:val="auto"/>
        </w:rPr>
        <w:fldChar w:fldCharType="separate"/>
      </w:r>
      <w:r>
        <w:rPr>
          <w:rStyle w:val="18"/>
          <w:rFonts w:hint="eastAsia" w:ascii="宋体" w:hAnsi="宋体" w:eastAsia="宋体" w:cs="宋体"/>
          <w:color w:val="auto"/>
          <w:kern w:val="0"/>
          <w:sz w:val="30"/>
          <w:szCs w:val="30"/>
        </w:rPr>
        <w:t>第六章</w:t>
      </w:r>
      <w:r>
        <w:rPr>
          <w:rStyle w:val="18"/>
          <w:rFonts w:ascii="宋体" w:hAnsi="宋体" w:eastAsia="宋体" w:cs="宋体"/>
          <w:color w:val="auto"/>
          <w:kern w:val="0"/>
          <w:sz w:val="30"/>
          <w:szCs w:val="30"/>
        </w:rPr>
        <w:t xml:space="preserve"> </w:t>
      </w:r>
      <w:r>
        <w:rPr>
          <w:rStyle w:val="18"/>
          <w:rFonts w:hint="eastAsia" w:ascii="宋体" w:hAnsi="宋体" w:eastAsia="宋体" w:cs="宋体"/>
          <w:color w:val="auto"/>
          <w:kern w:val="0"/>
          <w:sz w:val="30"/>
          <w:szCs w:val="30"/>
        </w:rPr>
        <w:t>响应文件格式</w:t>
      </w:r>
      <w:r>
        <w:rPr>
          <w:rFonts w:ascii="宋体" w:hAnsi="宋体" w:eastAsia="宋体"/>
          <w:color w:val="auto"/>
          <w:sz w:val="30"/>
          <w:szCs w:val="30"/>
        </w:rPr>
        <w:tab/>
      </w:r>
      <w:r>
        <w:rPr>
          <w:rFonts w:ascii="宋体" w:hAnsi="宋体" w:eastAsia="宋体"/>
          <w:color w:val="auto"/>
          <w:sz w:val="30"/>
          <w:szCs w:val="30"/>
        </w:rPr>
        <w:fldChar w:fldCharType="begin"/>
      </w:r>
      <w:r>
        <w:rPr>
          <w:rFonts w:ascii="宋体" w:hAnsi="宋体" w:eastAsia="宋体"/>
          <w:color w:val="auto"/>
          <w:sz w:val="30"/>
          <w:szCs w:val="30"/>
        </w:rPr>
        <w:instrText xml:space="preserve"> PAGEREF _Toc113437302 \h </w:instrText>
      </w:r>
      <w:r>
        <w:rPr>
          <w:rFonts w:ascii="宋体" w:hAnsi="宋体" w:eastAsia="宋体"/>
          <w:color w:val="auto"/>
          <w:sz w:val="30"/>
          <w:szCs w:val="30"/>
        </w:rPr>
        <w:fldChar w:fldCharType="separate"/>
      </w:r>
      <w:r>
        <w:rPr>
          <w:rFonts w:ascii="宋体" w:hAnsi="宋体" w:eastAsia="宋体"/>
          <w:color w:val="auto"/>
          <w:sz w:val="30"/>
          <w:szCs w:val="30"/>
        </w:rPr>
        <w:t>2</w:t>
      </w:r>
      <w:r>
        <w:rPr>
          <w:rFonts w:ascii="宋体" w:hAnsi="宋体" w:eastAsia="宋体"/>
          <w:color w:val="auto"/>
          <w:sz w:val="30"/>
          <w:szCs w:val="30"/>
        </w:rPr>
        <w:fldChar w:fldCharType="end"/>
      </w:r>
      <w:r>
        <w:rPr>
          <w:rFonts w:ascii="宋体" w:hAnsi="宋体" w:eastAsia="宋体"/>
          <w:color w:val="auto"/>
          <w:sz w:val="30"/>
          <w:szCs w:val="30"/>
        </w:rPr>
        <w:fldChar w:fldCharType="end"/>
      </w:r>
    </w:p>
    <w:p w14:paraId="668B7819">
      <w:pPr>
        <w:spacing w:line="360" w:lineRule="auto"/>
        <w:rPr>
          <w:rFonts w:ascii="宋体" w:hAnsi="宋体" w:eastAsia="宋体"/>
          <w:color w:val="auto"/>
          <w:sz w:val="28"/>
          <w:szCs w:val="28"/>
        </w:rPr>
      </w:pPr>
      <w:r>
        <w:rPr>
          <w:rFonts w:ascii="宋体" w:hAnsi="宋体" w:eastAsia="宋体"/>
          <w:b/>
          <w:bCs/>
          <w:color w:val="auto"/>
          <w:sz w:val="28"/>
          <w:szCs w:val="28"/>
          <w:lang w:val="zh-CN"/>
        </w:rPr>
        <w:fldChar w:fldCharType="end"/>
      </w:r>
    </w:p>
    <w:p w14:paraId="619B322A">
      <w:pPr>
        <w:pStyle w:val="2"/>
        <w:spacing w:line="360" w:lineRule="auto"/>
        <w:jc w:val="center"/>
        <w:rPr>
          <w:rFonts w:hint="eastAsia" w:ascii="宋体" w:hAnsi="宋体" w:eastAsia="宋体" w:cs="宋体"/>
          <w:bCs w:val="0"/>
          <w:color w:val="auto"/>
          <w:kern w:val="0"/>
          <w:sz w:val="32"/>
          <w:szCs w:val="32"/>
        </w:rPr>
        <w:sectPr>
          <w:headerReference r:id="rId3" w:type="default"/>
          <w:footerReference r:id="rId4" w:type="default"/>
          <w:pgSz w:w="11910" w:h="16840"/>
          <w:pgMar w:top="1440" w:right="1080" w:bottom="1440" w:left="1080" w:header="891" w:footer="974" w:gutter="0"/>
          <w:cols w:space="720" w:num="1"/>
          <w:titlePg/>
        </w:sectPr>
      </w:pPr>
      <w:bookmarkStart w:id="0" w:name="_Toc13563"/>
      <w:bookmarkEnd w:id="0"/>
      <w:bookmarkStart w:id="1" w:name="_Toc11513"/>
      <w:bookmarkEnd w:id="1"/>
      <w:bookmarkStart w:id="2" w:name="_Toc11998"/>
      <w:bookmarkEnd w:id="2"/>
      <w:bookmarkStart w:id="3" w:name="_Toc113437297"/>
    </w:p>
    <w:p w14:paraId="2DE673D1">
      <w:pPr>
        <w:pStyle w:val="2"/>
        <w:spacing w:line="360" w:lineRule="auto"/>
        <w:jc w:val="center"/>
        <w:rPr>
          <w:rFonts w:ascii="宋体" w:hAnsi="宋体" w:eastAsia="宋体" w:cs="宋体"/>
          <w:bCs w:val="0"/>
          <w:color w:val="auto"/>
          <w:kern w:val="0"/>
          <w:sz w:val="32"/>
          <w:szCs w:val="32"/>
        </w:rPr>
      </w:pPr>
      <w:r>
        <w:rPr>
          <w:rFonts w:hint="eastAsia" w:ascii="宋体" w:hAnsi="宋体" w:eastAsia="宋体" w:cs="宋体"/>
          <w:bCs w:val="0"/>
          <w:color w:val="auto"/>
          <w:kern w:val="0"/>
          <w:sz w:val="32"/>
          <w:szCs w:val="32"/>
        </w:rPr>
        <w:t>第一章 竞争性磋商公告</w:t>
      </w:r>
      <w:bookmarkEnd w:id="3"/>
    </w:p>
    <w:p w14:paraId="6B36963D">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default" w:ascii="宋体" w:hAnsi="宋体"/>
          <w:b/>
          <w:bCs/>
          <w:color w:val="auto"/>
          <w:spacing w:val="-4"/>
          <w:sz w:val="30"/>
          <w:szCs w:val="30"/>
          <w:lang w:val="en-US"/>
        </w:rPr>
      </w:pPr>
      <w:bookmarkStart w:id="4" w:name="OLE_LINK3"/>
      <w:r>
        <w:rPr>
          <w:rFonts w:hint="eastAsia" w:ascii="宋体" w:hAnsi="宋体"/>
          <w:b/>
          <w:bCs/>
          <w:color w:val="auto"/>
          <w:spacing w:val="-4"/>
          <w:sz w:val="30"/>
          <w:szCs w:val="30"/>
        </w:rPr>
        <w:t>【平公资采2025</w:t>
      </w:r>
      <w:r>
        <w:rPr>
          <w:rFonts w:hint="eastAsia" w:ascii="宋体" w:hAnsi="宋体"/>
          <w:b/>
          <w:bCs/>
          <w:color w:val="auto"/>
          <w:spacing w:val="-4"/>
          <w:sz w:val="30"/>
          <w:szCs w:val="30"/>
          <w:lang w:val="en-US" w:eastAsia="zh-CN"/>
        </w:rPr>
        <w:t>1223</w:t>
      </w:r>
      <w:r>
        <w:rPr>
          <w:rFonts w:hint="eastAsia" w:ascii="宋体" w:hAnsi="宋体"/>
          <w:b/>
          <w:bCs/>
          <w:color w:val="auto"/>
          <w:spacing w:val="-4"/>
          <w:sz w:val="30"/>
          <w:szCs w:val="30"/>
        </w:rPr>
        <w:t>号】</w:t>
      </w:r>
      <w:r>
        <w:rPr>
          <w:rFonts w:hint="eastAsia" w:ascii="宋体" w:hAnsi="宋体"/>
          <w:b/>
          <w:bCs/>
          <w:color w:val="auto"/>
          <w:spacing w:val="-4"/>
          <w:sz w:val="30"/>
          <w:szCs w:val="30"/>
          <w:lang w:eastAsia="zh-CN"/>
        </w:rPr>
        <w:t>平顶山市生态环境局2025年颗粒物组分站（合建交通站）和挥发性有机物站（合建交通站）运维及站点保障项目</w:t>
      </w:r>
      <w:r>
        <w:rPr>
          <w:rFonts w:hint="eastAsia" w:ascii="宋体" w:hAnsi="宋体"/>
          <w:b/>
          <w:bCs/>
          <w:color w:val="auto"/>
          <w:spacing w:val="-4"/>
          <w:sz w:val="30"/>
          <w:szCs w:val="30"/>
          <w:lang w:val="en-US" w:eastAsia="zh-CN"/>
        </w:rPr>
        <w:t>三次</w:t>
      </w:r>
    </w:p>
    <w:p w14:paraId="1D736BD0">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b/>
          <w:bCs/>
          <w:color w:val="auto"/>
          <w:spacing w:val="-4"/>
          <w:sz w:val="30"/>
          <w:szCs w:val="30"/>
        </w:rPr>
      </w:pPr>
      <w:r>
        <w:rPr>
          <w:rFonts w:hint="eastAsia" w:ascii="宋体" w:hAnsi="宋体"/>
          <w:b/>
          <w:bCs/>
          <w:color w:val="auto"/>
          <w:spacing w:val="-4"/>
          <w:sz w:val="30"/>
          <w:szCs w:val="30"/>
        </w:rPr>
        <w:t>竞争性磋商公告</w:t>
      </w:r>
    </w:p>
    <w:bookmarkEnd w:id="4"/>
    <w:p w14:paraId="1ABAB030">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rPr>
          <w:rFonts w:ascii="宋体" w:hAnsi="宋体" w:eastAsia="宋体" w:cs="宋体"/>
          <w:b/>
          <w:color w:val="auto"/>
          <w:sz w:val="24"/>
          <w:szCs w:val="24"/>
          <w:highlight w:val="none"/>
        </w:rPr>
      </w:pPr>
      <w:bookmarkStart w:id="5" w:name="_Toc28359002"/>
      <w:bookmarkStart w:id="6" w:name="_Toc35393621"/>
      <w:bookmarkStart w:id="7" w:name="_Toc60148574"/>
      <w:bookmarkStart w:id="8" w:name="_Toc28359079"/>
      <w:bookmarkStart w:id="9" w:name="_Toc35393790"/>
      <w:bookmarkStart w:id="10" w:name="_Hlk24379207"/>
      <w:r>
        <w:rPr>
          <w:rFonts w:hint="eastAsia" w:ascii="宋体" w:hAnsi="宋体" w:eastAsia="宋体" w:cs="宋体"/>
          <w:b/>
          <w:color w:val="auto"/>
          <w:sz w:val="24"/>
          <w:szCs w:val="24"/>
          <w:highlight w:val="none"/>
        </w:rPr>
        <w:t>一、项目基本情况</w:t>
      </w:r>
      <w:bookmarkEnd w:id="5"/>
      <w:bookmarkEnd w:id="6"/>
      <w:bookmarkEnd w:id="7"/>
      <w:bookmarkEnd w:id="8"/>
      <w:bookmarkEnd w:id="9"/>
    </w:p>
    <w:p w14:paraId="17E7B334">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1.采购项目编号：</w:t>
      </w:r>
      <w:r>
        <w:rPr>
          <w:rFonts w:hint="eastAsia" w:ascii="宋体" w:hAnsi="宋体" w:eastAsia="宋体" w:cs="宋体"/>
          <w:i w:val="0"/>
          <w:iCs w:val="0"/>
          <w:caps w:val="0"/>
          <w:color w:val="auto"/>
          <w:spacing w:val="0"/>
          <w:sz w:val="24"/>
          <w:szCs w:val="24"/>
          <w:shd w:val="clear" w:fill="FAFCFD"/>
        </w:rPr>
        <w:t>平采磋商-2025-</w:t>
      </w:r>
      <w:r>
        <w:rPr>
          <w:rFonts w:hint="eastAsia" w:ascii="宋体" w:hAnsi="宋体" w:cs="宋体"/>
          <w:i w:val="0"/>
          <w:iCs w:val="0"/>
          <w:caps w:val="0"/>
          <w:color w:val="auto"/>
          <w:spacing w:val="0"/>
          <w:sz w:val="24"/>
          <w:szCs w:val="24"/>
          <w:shd w:val="clear" w:fill="FAFCFD"/>
          <w:lang w:val="en-US" w:eastAsia="zh-CN"/>
        </w:rPr>
        <w:t>147</w:t>
      </w:r>
    </w:p>
    <w:p w14:paraId="6D8607A5">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2.采购项目名称</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平顶山市生态环境局2025年颗粒物组分站（合建交通站）和挥发性有机物站（合建交通站）运维及站点保障项目</w:t>
      </w:r>
    </w:p>
    <w:p w14:paraId="6AC14435">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3.采购方式：竞争性磋商</w:t>
      </w:r>
    </w:p>
    <w:bookmarkEnd w:id="10"/>
    <w:p w14:paraId="7532640B">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w:t>
      </w:r>
      <w:r>
        <w:rPr>
          <w:rFonts w:hint="eastAsia" w:ascii="宋体" w:hAnsi="宋体" w:cs="宋体"/>
          <w:color w:val="auto"/>
          <w:sz w:val="24"/>
          <w:szCs w:val="24"/>
          <w:highlight w:val="none"/>
          <w:lang w:eastAsia="zh-CN"/>
        </w:rPr>
        <w:t>970000.00</w:t>
      </w:r>
      <w:r>
        <w:rPr>
          <w:rFonts w:hint="eastAsia" w:ascii="宋体" w:hAnsi="宋体" w:eastAsia="宋体" w:cs="宋体"/>
          <w:color w:val="auto"/>
          <w:sz w:val="24"/>
          <w:szCs w:val="24"/>
          <w:highlight w:val="none"/>
        </w:rPr>
        <w:t>元，最高限价：</w:t>
      </w:r>
      <w:r>
        <w:rPr>
          <w:rFonts w:hint="eastAsia" w:ascii="宋体" w:hAnsi="宋体" w:cs="宋体"/>
          <w:color w:val="auto"/>
          <w:sz w:val="24"/>
          <w:szCs w:val="24"/>
          <w:highlight w:val="none"/>
          <w:lang w:eastAsia="zh-CN"/>
        </w:rPr>
        <w:t>970000.00</w:t>
      </w:r>
      <w:r>
        <w:rPr>
          <w:rFonts w:hint="eastAsia" w:ascii="宋体" w:hAnsi="宋体" w:eastAsia="宋体" w:cs="宋体"/>
          <w:color w:val="auto"/>
          <w:sz w:val="24"/>
          <w:szCs w:val="24"/>
          <w:highlight w:val="none"/>
        </w:rPr>
        <w:t>元。</w:t>
      </w:r>
    </w:p>
    <w:tbl>
      <w:tblPr>
        <w:tblStyle w:val="1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470"/>
        <w:gridCol w:w="1091"/>
        <w:gridCol w:w="2426"/>
        <w:gridCol w:w="1391"/>
        <w:gridCol w:w="1250"/>
        <w:gridCol w:w="1188"/>
        <w:gridCol w:w="1289"/>
      </w:tblGrid>
      <w:tr w14:paraId="340BB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54" w:hRule="atLeast"/>
          <w:jc w:val="center"/>
        </w:trPr>
        <w:tc>
          <w:tcPr>
            <w:tcW w:w="470" w:type="dxa"/>
            <w:noWrap w:val="0"/>
            <w:tcMar>
              <w:top w:w="0" w:type="dxa"/>
              <w:left w:w="108" w:type="dxa"/>
              <w:bottom w:w="0" w:type="dxa"/>
              <w:right w:w="108" w:type="dxa"/>
            </w:tcMar>
            <w:vAlign w:val="center"/>
          </w:tcPr>
          <w:p w14:paraId="482A0F85">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ascii="宋体" w:hAnsi="宋体" w:eastAsia="宋体" w:cs="宋体"/>
                <w:color w:val="auto"/>
                <w:spacing w:val="14"/>
                <w:kern w:val="0"/>
                <w:sz w:val="21"/>
                <w:szCs w:val="21"/>
                <w:highlight w:val="none"/>
                <w:lang w:bidi="ar"/>
              </w:rPr>
            </w:pPr>
            <w:bookmarkStart w:id="11" w:name="_Hlk71291664"/>
            <w:r>
              <w:rPr>
                <w:rFonts w:hint="eastAsia" w:ascii="宋体" w:hAnsi="宋体" w:eastAsia="宋体" w:cs="宋体"/>
                <w:color w:val="auto"/>
                <w:spacing w:val="14"/>
                <w:kern w:val="0"/>
                <w:sz w:val="21"/>
                <w:szCs w:val="21"/>
                <w:highlight w:val="none"/>
                <w:lang w:bidi="ar"/>
              </w:rPr>
              <w:t>序号</w:t>
            </w:r>
          </w:p>
        </w:tc>
        <w:tc>
          <w:tcPr>
            <w:tcW w:w="1091" w:type="dxa"/>
            <w:noWrap w:val="0"/>
            <w:tcMar>
              <w:top w:w="0" w:type="dxa"/>
              <w:left w:w="108" w:type="dxa"/>
              <w:bottom w:w="0" w:type="dxa"/>
              <w:right w:w="108" w:type="dxa"/>
            </w:tcMar>
            <w:vAlign w:val="center"/>
          </w:tcPr>
          <w:p w14:paraId="0D7DD7B4">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pacing w:val="14"/>
                <w:kern w:val="0"/>
                <w:sz w:val="21"/>
                <w:szCs w:val="21"/>
                <w:highlight w:val="none"/>
                <w:lang w:bidi="ar"/>
              </w:rPr>
              <w:t>包号</w:t>
            </w:r>
          </w:p>
        </w:tc>
        <w:tc>
          <w:tcPr>
            <w:tcW w:w="2426" w:type="dxa"/>
            <w:noWrap w:val="0"/>
            <w:tcMar>
              <w:top w:w="0" w:type="dxa"/>
              <w:left w:w="108" w:type="dxa"/>
              <w:bottom w:w="0" w:type="dxa"/>
              <w:right w:w="108" w:type="dxa"/>
            </w:tcMar>
            <w:vAlign w:val="center"/>
          </w:tcPr>
          <w:p w14:paraId="19819B1C">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pacing w:val="14"/>
                <w:kern w:val="0"/>
                <w:sz w:val="21"/>
                <w:szCs w:val="21"/>
                <w:highlight w:val="none"/>
                <w:lang w:bidi="ar"/>
              </w:rPr>
              <w:t>包名称</w:t>
            </w:r>
          </w:p>
        </w:tc>
        <w:tc>
          <w:tcPr>
            <w:tcW w:w="1391" w:type="dxa"/>
            <w:noWrap w:val="0"/>
            <w:tcMar>
              <w:top w:w="0" w:type="dxa"/>
              <w:left w:w="108" w:type="dxa"/>
              <w:bottom w:w="0" w:type="dxa"/>
              <w:right w:w="108" w:type="dxa"/>
            </w:tcMar>
            <w:vAlign w:val="center"/>
          </w:tcPr>
          <w:p w14:paraId="6D905703">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pacing w:val="14"/>
                <w:kern w:val="0"/>
                <w:sz w:val="21"/>
                <w:szCs w:val="21"/>
                <w:highlight w:val="none"/>
                <w:lang w:bidi="ar"/>
              </w:rPr>
            </w:pPr>
            <w:r>
              <w:rPr>
                <w:rFonts w:hint="eastAsia" w:ascii="宋体" w:hAnsi="宋体" w:eastAsia="宋体" w:cs="宋体"/>
                <w:color w:val="auto"/>
                <w:spacing w:val="14"/>
                <w:kern w:val="0"/>
                <w:sz w:val="21"/>
                <w:szCs w:val="21"/>
                <w:highlight w:val="none"/>
                <w:lang w:bidi="ar"/>
              </w:rPr>
              <w:t>包预算</w:t>
            </w:r>
          </w:p>
          <w:p w14:paraId="3D12B700">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ascii="宋体" w:hAnsi="宋体" w:eastAsia="宋体" w:cs="宋体"/>
                <w:color w:val="auto"/>
                <w:spacing w:val="14"/>
                <w:kern w:val="0"/>
                <w:sz w:val="21"/>
                <w:szCs w:val="21"/>
                <w:highlight w:val="none"/>
                <w:lang w:bidi="ar"/>
              </w:rPr>
            </w:pPr>
            <w:r>
              <w:rPr>
                <w:rFonts w:hint="eastAsia" w:ascii="宋体" w:hAnsi="宋体" w:eastAsia="宋体" w:cs="宋体"/>
                <w:color w:val="auto"/>
                <w:sz w:val="21"/>
                <w:szCs w:val="21"/>
                <w:highlight w:val="none"/>
              </w:rPr>
              <w:t>（元）</w:t>
            </w:r>
          </w:p>
        </w:tc>
        <w:tc>
          <w:tcPr>
            <w:tcW w:w="1250" w:type="dxa"/>
            <w:noWrap w:val="0"/>
            <w:tcMar>
              <w:top w:w="0" w:type="dxa"/>
              <w:left w:w="108" w:type="dxa"/>
              <w:bottom w:w="0" w:type="dxa"/>
              <w:right w:w="108" w:type="dxa"/>
            </w:tcMar>
            <w:vAlign w:val="center"/>
          </w:tcPr>
          <w:p w14:paraId="7527DB82">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包最高限价（元）</w:t>
            </w:r>
          </w:p>
        </w:tc>
        <w:tc>
          <w:tcPr>
            <w:tcW w:w="1188" w:type="dxa"/>
            <w:noWrap w:val="0"/>
            <w:tcMar>
              <w:top w:w="0" w:type="dxa"/>
              <w:left w:w="108" w:type="dxa"/>
              <w:bottom w:w="0" w:type="dxa"/>
              <w:right w:w="108" w:type="dxa"/>
            </w:tcMar>
            <w:vAlign w:val="center"/>
          </w:tcPr>
          <w:p w14:paraId="094C9FD7">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是否专门面向中小企业</w:t>
            </w:r>
          </w:p>
        </w:tc>
        <w:tc>
          <w:tcPr>
            <w:tcW w:w="1289" w:type="dxa"/>
            <w:noWrap w:val="0"/>
            <w:tcMar>
              <w:top w:w="0" w:type="dxa"/>
              <w:left w:w="108" w:type="dxa"/>
              <w:bottom w:w="0" w:type="dxa"/>
              <w:right w:w="108" w:type="dxa"/>
            </w:tcMar>
            <w:vAlign w:val="center"/>
          </w:tcPr>
          <w:p w14:paraId="4C97A3EA">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采购预留金额（元）</w:t>
            </w:r>
          </w:p>
        </w:tc>
      </w:tr>
      <w:tr w14:paraId="48A90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101" w:hRule="atLeast"/>
          <w:jc w:val="center"/>
        </w:trPr>
        <w:tc>
          <w:tcPr>
            <w:tcW w:w="470" w:type="dxa"/>
            <w:noWrap w:val="0"/>
            <w:tcMar>
              <w:top w:w="0" w:type="dxa"/>
              <w:left w:w="108" w:type="dxa"/>
              <w:bottom w:w="0" w:type="dxa"/>
              <w:right w:w="108" w:type="dxa"/>
            </w:tcMar>
            <w:vAlign w:val="center"/>
          </w:tcPr>
          <w:p w14:paraId="7DECF781">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91" w:type="dxa"/>
            <w:noWrap w:val="0"/>
            <w:tcMar>
              <w:top w:w="0" w:type="dxa"/>
              <w:left w:w="108" w:type="dxa"/>
              <w:bottom w:w="0" w:type="dxa"/>
              <w:right w:w="108" w:type="dxa"/>
            </w:tcMar>
            <w:vAlign w:val="center"/>
          </w:tcPr>
          <w:p w14:paraId="78B0DC03">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平公资采20251223号-1</w:t>
            </w:r>
          </w:p>
        </w:tc>
        <w:tc>
          <w:tcPr>
            <w:tcW w:w="2426" w:type="dxa"/>
            <w:noWrap w:val="0"/>
            <w:tcMar>
              <w:top w:w="0" w:type="dxa"/>
              <w:left w:w="108" w:type="dxa"/>
              <w:bottom w:w="0" w:type="dxa"/>
              <w:right w:w="108" w:type="dxa"/>
            </w:tcMar>
            <w:vAlign w:val="center"/>
          </w:tcPr>
          <w:p w14:paraId="6A30D4EA">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平顶山市生态环境局2025年颗粒物组分站（合建交通站）和挥发性有机物站（合建交通站）运维及站点保障项目</w:t>
            </w:r>
          </w:p>
        </w:tc>
        <w:tc>
          <w:tcPr>
            <w:tcW w:w="1391" w:type="dxa"/>
            <w:noWrap w:val="0"/>
            <w:tcMar>
              <w:top w:w="0" w:type="dxa"/>
              <w:left w:w="108" w:type="dxa"/>
              <w:bottom w:w="0" w:type="dxa"/>
              <w:right w:w="108" w:type="dxa"/>
            </w:tcMar>
            <w:vAlign w:val="center"/>
          </w:tcPr>
          <w:p w14:paraId="6FD8D286">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970000.00</w:t>
            </w:r>
          </w:p>
        </w:tc>
        <w:tc>
          <w:tcPr>
            <w:tcW w:w="1250" w:type="dxa"/>
            <w:noWrap w:val="0"/>
            <w:tcMar>
              <w:top w:w="0" w:type="dxa"/>
              <w:left w:w="108" w:type="dxa"/>
              <w:bottom w:w="0" w:type="dxa"/>
              <w:right w:w="108" w:type="dxa"/>
            </w:tcMar>
            <w:vAlign w:val="center"/>
          </w:tcPr>
          <w:p w14:paraId="7DD11360">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970000.00</w:t>
            </w:r>
          </w:p>
        </w:tc>
        <w:tc>
          <w:tcPr>
            <w:tcW w:w="1188" w:type="dxa"/>
            <w:noWrap w:val="0"/>
            <w:tcMar>
              <w:top w:w="0" w:type="dxa"/>
              <w:left w:w="108" w:type="dxa"/>
              <w:bottom w:w="0" w:type="dxa"/>
              <w:right w:w="108" w:type="dxa"/>
            </w:tcMar>
            <w:vAlign w:val="center"/>
          </w:tcPr>
          <w:p w14:paraId="6FA5D1EC">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否</w:t>
            </w:r>
          </w:p>
        </w:tc>
        <w:tc>
          <w:tcPr>
            <w:tcW w:w="1289" w:type="dxa"/>
            <w:noWrap w:val="0"/>
            <w:tcMar>
              <w:top w:w="0" w:type="dxa"/>
              <w:left w:w="108" w:type="dxa"/>
              <w:bottom w:w="0" w:type="dxa"/>
              <w:right w:w="108" w:type="dxa"/>
            </w:tcMar>
            <w:vAlign w:val="center"/>
          </w:tcPr>
          <w:p w14:paraId="4774BFD2">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970000.00</w:t>
            </w:r>
          </w:p>
        </w:tc>
      </w:tr>
      <w:bookmarkEnd w:id="11"/>
    </w:tbl>
    <w:p w14:paraId="244B22C1">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5.采购需求：（包括但不限于标的的名称、数量、简要技术需求或服务要求等）</w:t>
      </w:r>
    </w:p>
    <w:p w14:paraId="1531C97B">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采购</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采购一家</w:t>
      </w:r>
      <w:r>
        <w:rPr>
          <w:rFonts w:hint="eastAsia" w:asciiTheme="minorEastAsia" w:hAnsiTheme="minorEastAsia" w:eastAsiaTheme="minorEastAsia" w:cstheme="minorEastAsia"/>
          <w:color w:val="auto"/>
          <w:sz w:val="24"/>
          <w:szCs w:val="24"/>
          <w:highlight w:val="none"/>
        </w:rPr>
        <w:t>承担对挥发性有机物（VOCs）自动监测站（合建交通站）、颗粒物组分自动监测站（合建交通站）设备进行日常检修，耗材更换，例行检查、质控与维护，负责站房配套设施（包含空调、电力、防水、防雷、消防等设施）的维修保养，能耗与动力费用；保障站点正常开展117种 VOCs 组分、甲烷非甲烷总烃、颗粒物组分</w:t>
      </w:r>
      <w:r>
        <w:rPr>
          <w:rFonts w:hint="eastAsia" w:asciiTheme="minorEastAsia" w:hAnsiTheme="minorEastAsia" w:eastAsiaTheme="minorEastAsia" w:cstheme="minorEastAsia"/>
          <w:b w:val="0"/>
          <w:bCs w:val="0"/>
          <w:color w:val="auto"/>
          <w:sz w:val="24"/>
          <w:szCs w:val="24"/>
          <w:highlight w:val="none"/>
        </w:rPr>
        <w:t>（水溶性离子、碳组分、无机元素）、氮氧化物、一氧化碳、PM2.5、PM10、气象五参数等指标的实时监测联网</w:t>
      </w:r>
      <w:r>
        <w:rPr>
          <w:rFonts w:hint="eastAsia" w:asciiTheme="minorEastAsia" w:hAnsiTheme="minorEastAsia" w:eastAsiaTheme="minorEastAsia" w:cstheme="minorEastAsia"/>
          <w:b w:val="0"/>
          <w:bCs w:val="0"/>
          <w:color w:val="auto"/>
          <w:sz w:val="24"/>
          <w:szCs w:val="24"/>
          <w:highlight w:val="none"/>
          <w:lang w:val="en-US" w:eastAsia="zh-CN"/>
        </w:rPr>
        <w:t>等服务的单</w:t>
      </w:r>
      <w:r>
        <w:rPr>
          <w:rFonts w:hint="eastAsia" w:asciiTheme="minorEastAsia" w:hAnsiTheme="minorEastAsia" w:eastAsiaTheme="minorEastAsia" w:cstheme="minorEastAsia"/>
          <w:color w:val="auto"/>
          <w:sz w:val="24"/>
          <w:szCs w:val="24"/>
          <w:highlight w:val="none"/>
          <w:lang w:val="en-US" w:eastAsia="zh-CN"/>
        </w:rPr>
        <w:t>位，</w:t>
      </w:r>
      <w:r>
        <w:rPr>
          <w:rFonts w:hint="eastAsia" w:asciiTheme="minorEastAsia" w:hAnsiTheme="minorEastAsia" w:eastAsiaTheme="minorEastAsia" w:cstheme="minorEastAsia"/>
          <w:color w:val="auto"/>
          <w:sz w:val="24"/>
          <w:szCs w:val="24"/>
          <w:highlight w:val="none"/>
        </w:rPr>
        <w:t>具体</w:t>
      </w:r>
      <w:r>
        <w:rPr>
          <w:rFonts w:hint="eastAsia" w:asciiTheme="minorEastAsia" w:hAnsiTheme="minorEastAsia" w:eastAsiaTheme="minorEastAsia" w:cstheme="minorEastAsia"/>
          <w:color w:val="auto"/>
          <w:sz w:val="24"/>
          <w:szCs w:val="24"/>
          <w:highlight w:val="none"/>
          <w:lang w:val="en-US" w:eastAsia="zh-CN"/>
        </w:rPr>
        <w:t>内容详见采购文件</w:t>
      </w:r>
      <w:r>
        <w:rPr>
          <w:rFonts w:hint="eastAsia" w:asciiTheme="minorEastAsia" w:hAnsiTheme="minorEastAsia" w:eastAsiaTheme="minorEastAsia" w:cstheme="minorEastAsia"/>
          <w:color w:val="auto"/>
          <w:sz w:val="24"/>
          <w:szCs w:val="24"/>
          <w:highlight w:val="none"/>
        </w:rPr>
        <w:t>。</w:t>
      </w:r>
    </w:p>
    <w:p w14:paraId="490068CD">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质量要求：符合国家相关行业标准</w:t>
      </w:r>
      <w:r>
        <w:rPr>
          <w:rFonts w:hint="eastAsia" w:ascii="宋体" w:hAnsi="宋体" w:eastAsia="宋体" w:cs="宋体"/>
          <w:color w:val="auto"/>
          <w:sz w:val="24"/>
          <w:szCs w:val="24"/>
          <w:highlight w:val="none"/>
          <w:lang w:eastAsia="zh-CN"/>
        </w:rPr>
        <w:t>及规范，满足</w:t>
      </w:r>
      <w:r>
        <w:rPr>
          <w:rFonts w:hint="eastAsia" w:ascii="宋体" w:hAnsi="宋体" w:eastAsia="宋体" w:cs="宋体"/>
          <w:color w:val="auto"/>
          <w:sz w:val="24"/>
          <w:szCs w:val="24"/>
          <w:highlight w:val="none"/>
        </w:rPr>
        <w:t>采购人要求。</w:t>
      </w:r>
    </w:p>
    <w:p w14:paraId="39F6CBE2">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default" w:eastAsia="宋体"/>
          <w:color w:val="auto"/>
          <w:sz w:val="24"/>
          <w:szCs w:val="24"/>
          <w:highlight w:val="none"/>
          <w:lang w:val="en-US" w:eastAsia="zh-CN"/>
        </w:rPr>
      </w:pPr>
      <w:r>
        <w:rPr>
          <w:rFonts w:hint="eastAsia" w:ascii="宋体" w:hAnsi="宋体" w:cs="宋体"/>
          <w:color w:val="auto"/>
          <w:sz w:val="24"/>
          <w:szCs w:val="24"/>
          <w:highlight w:val="none"/>
          <w:lang w:val="en-US" w:eastAsia="zh-CN"/>
        </w:rPr>
        <w:t>5.3.服务地点：采购人指定地点</w:t>
      </w:r>
      <w:r>
        <w:rPr>
          <w:rFonts w:hint="eastAsia" w:ascii="宋体" w:hAnsi="宋体" w:eastAsia="宋体" w:cs="宋体"/>
          <w:b w:val="0"/>
          <w:bCs w:val="0"/>
          <w:color w:val="auto"/>
          <w:spacing w:val="-4"/>
          <w:sz w:val="24"/>
          <w:szCs w:val="24"/>
          <w:highlight w:val="none"/>
          <w:u w:val="none"/>
          <w:lang w:eastAsia="zh-CN"/>
        </w:rPr>
        <w:t>。</w:t>
      </w:r>
    </w:p>
    <w:p w14:paraId="015045CC">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.标段划分：本项目划分为</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个标</w:t>
      </w:r>
      <w:r>
        <w:rPr>
          <w:rFonts w:hint="eastAsia" w:ascii="宋体" w:hAnsi="宋体" w:eastAsia="宋体" w:cs="宋体"/>
          <w:color w:val="auto"/>
          <w:sz w:val="24"/>
          <w:szCs w:val="24"/>
          <w:highlight w:val="none"/>
          <w:lang w:eastAsia="zh-CN"/>
        </w:rPr>
        <w:t>段</w:t>
      </w:r>
      <w:r>
        <w:rPr>
          <w:rFonts w:hint="eastAsia" w:ascii="宋体" w:hAnsi="宋体" w:eastAsia="宋体" w:cs="宋体"/>
          <w:color w:val="auto"/>
          <w:sz w:val="24"/>
          <w:szCs w:val="24"/>
          <w:highlight w:val="none"/>
        </w:rPr>
        <w:t>。</w:t>
      </w:r>
    </w:p>
    <w:p w14:paraId="16245F5A">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服务期限：</w:t>
      </w:r>
      <w:r>
        <w:rPr>
          <w:rFonts w:hint="eastAsia" w:ascii="宋体" w:hAnsi="宋体" w:cs="宋体"/>
          <w:color w:val="auto"/>
          <w:sz w:val="24"/>
          <w:szCs w:val="24"/>
          <w:highlight w:val="none"/>
          <w:lang w:eastAsia="zh-CN"/>
        </w:rPr>
        <w:t>合同签订之日起一年，合同签订之日乙方即开始提供运维服务。</w:t>
      </w:r>
    </w:p>
    <w:p w14:paraId="37A7B68B">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6.合同履行期限：</w:t>
      </w:r>
      <w:r>
        <w:rPr>
          <w:rFonts w:hint="eastAsia" w:ascii="宋体" w:hAnsi="宋体" w:cs="宋体"/>
          <w:color w:val="auto"/>
          <w:sz w:val="24"/>
          <w:szCs w:val="24"/>
          <w:highlight w:val="none"/>
          <w:lang w:val="en-US" w:eastAsia="zh-CN"/>
        </w:rPr>
        <w:t>同服务期限</w:t>
      </w:r>
      <w:r>
        <w:rPr>
          <w:rFonts w:hint="eastAsia" w:ascii="宋体" w:hAnsi="宋体" w:eastAsia="宋体" w:cs="宋体"/>
          <w:color w:val="auto"/>
          <w:sz w:val="24"/>
          <w:szCs w:val="24"/>
          <w:highlight w:val="none"/>
        </w:rPr>
        <w:t>。</w:t>
      </w:r>
    </w:p>
    <w:p w14:paraId="3FA8653D">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7.本项目是否接受联合体投标：否</w:t>
      </w:r>
      <w:r>
        <w:rPr>
          <w:rFonts w:hint="eastAsia" w:ascii="宋体" w:hAnsi="宋体" w:cs="宋体"/>
          <w:color w:val="auto"/>
          <w:sz w:val="24"/>
          <w:szCs w:val="24"/>
          <w:highlight w:val="none"/>
          <w:lang w:eastAsia="zh-CN"/>
        </w:rPr>
        <w:t>。</w:t>
      </w:r>
    </w:p>
    <w:p w14:paraId="6FE39DD7">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8.是否接受进口产品：否</w:t>
      </w:r>
      <w:r>
        <w:rPr>
          <w:rFonts w:hint="eastAsia" w:ascii="宋体" w:hAnsi="宋体" w:cs="宋体"/>
          <w:color w:val="auto"/>
          <w:sz w:val="24"/>
          <w:szCs w:val="24"/>
          <w:highlight w:val="none"/>
          <w:lang w:eastAsia="zh-CN"/>
        </w:rPr>
        <w:t>。</w:t>
      </w:r>
    </w:p>
    <w:p w14:paraId="3291DDE2">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bookmarkStart w:id="12" w:name="_Toc35393622"/>
      <w:bookmarkStart w:id="13" w:name="_Toc28359080"/>
      <w:bookmarkStart w:id="14" w:name="_Toc60148575"/>
      <w:bookmarkStart w:id="15" w:name="_Toc28359003"/>
      <w:bookmarkStart w:id="16" w:name="_Toc35393791"/>
      <w:r>
        <w:rPr>
          <w:rFonts w:hint="eastAsia" w:ascii="宋体" w:hAnsi="宋体" w:eastAsia="宋体" w:cs="宋体"/>
          <w:color w:val="auto"/>
          <w:sz w:val="24"/>
          <w:szCs w:val="24"/>
          <w:highlight w:val="none"/>
        </w:rPr>
        <w:t>9.是否专门面向中小企业：</w:t>
      </w:r>
      <w:r>
        <w:rPr>
          <w:rFonts w:hint="eastAsia" w:ascii="宋体" w:hAnsi="宋体" w:cs="宋体"/>
          <w:color w:val="auto"/>
          <w:sz w:val="24"/>
          <w:szCs w:val="24"/>
          <w:highlight w:val="none"/>
          <w:lang w:val="en-US" w:eastAsia="zh-CN"/>
        </w:rPr>
        <w:t>否。</w:t>
      </w:r>
    </w:p>
    <w:p w14:paraId="369A46BA">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二、申请人的资格要求</w:t>
      </w:r>
      <w:bookmarkEnd w:id="12"/>
      <w:bookmarkEnd w:id="13"/>
      <w:bookmarkEnd w:id="14"/>
      <w:bookmarkEnd w:id="15"/>
      <w:bookmarkEnd w:id="16"/>
    </w:p>
    <w:p w14:paraId="287DB586">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满足《中华人民共和国政府采购法》第二十二条规定</w:t>
      </w:r>
      <w:r>
        <w:rPr>
          <w:rFonts w:hint="eastAsia" w:ascii="宋体" w:hAnsi="宋体" w:eastAsia="宋体" w:cs="宋体"/>
          <w:color w:val="auto"/>
          <w:sz w:val="24"/>
          <w:szCs w:val="24"/>
          <w:highlight w:val="none"/>
          <w:lang w:eastAsia="zh-CN"/>
        </w:rPr>
        <w:t>。</w:t>
      </w:r>
    </w:p>
    <w:p w14:paraId="6CFFE254">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bookmarkStart w:id="17" w:name="_Toc28359004"/>
      <w:bookmarkStart w:id="18" w:name="_Toc28359081"/>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落实政府采购政策需满足的资格要求：</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p>
    <w:p w14:paraId="142171E4">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本项目的特定资格要求：</w:t>
      </w:r>
    </w:p>
    <w:p w14:paraId="741A976C">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具有独立承担民事责任的能力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（提供有效的三证合一营业执照扫描件或复印件，也可提供电子营业执照）</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3.2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具有良好的商业信誉和健全的财务会计制度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（提供承诺函,格式自拟）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3.3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具有依法缴纳税收和社会保障资金的良好记录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（提供承诺函,格式自拟）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3.4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具备履行合同所必需的设备和专业技术能力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（提供承诺函,格式自拟）</w:t>
      </w:r>
    </w:p>
    <w:p w14:paraId="7C599064">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参加政府采购活动近3年内，在经营活动中没有重大违法记录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(提供承诺函,格式自拟)</w:t>
      </w:r>
    </w:p>
    <w:p w14:paraId="65010059">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、供应商未被列入</w:t>
      </w:r>
      <w:r>
        <w:rPr>
          <w:rFonts w:hint="eastAsia" w:ascii="宋体" w:hAnsi="宋体" w:eastAsia="宋体" w:cs="宋体"/>
          <w:color w:val="auto"/>
          <w:sz w:val="24"/>
          <w:szCs w:val="24"/>
          <w:highlight w:val="none"/>
        </w:rPr>
        <w:t>“中国执行信息公开网”网站的“失信被执行人”、“信用中国”网站“重大税收违法失信主体”、“ 中国政府采购网” 网站的“政府采购严重违法失信行为名单”。（提供承诺书，格式自拟）</w:t>
      </w:r>
    </w:p>
    <w:p w14:paraId="122FE472">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本项目</w:t>
      </w:r>
      <w:r>
        <w:rPr>
          <w:rFonts w:hint="eastAsia" w:ascii="宋体" w:hAnsi="宋体" w:eastAsia="宋体" w:cs="宋体"/>
          <w:color w:val="auto"/>
          <w:sz w:val="24"/>
          <w:szCs w:val="24"/>
          <w:highlight w:val="none"/>
        </w:rPr>
        <w:t>不允许分包、转包</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供应商负责人为同一人或者存在直接控股、管理关系的不同供应商，不得同时参加同一项目的采购活动。（提供承诺函，格式自拟）</w:t>
      </w:r>
    </w:p>
    <w:p w14:paraId="1A3662EA">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供应商应保证投标期间提供的所有资料真实有效，并愿意承担因弄虚作假所引起的一切法律后果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（提供承诺函，格式自拟）</w:t>
      </w:r>
    </w:p>
    <w:bookmarkEnd w:id="17"/>
    <w:bookmarkEnd w:id="18"/>
    <w:p w14:paraId="3076FFDA">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注：1、采购人、代理机构在开标时通过“中国执行信息公开网”“信用中国”及“中国政府采购网”查询投标人信用情况，如有不良情况，按无效标处理。</w:t>
      </w:r>
    </w:p>
    <w:p w14:paraId="36E7804B">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本项目资格审查方式：资格后审。</w:t>
      </w:r>
    </w:p>
    <w:p w14:paraId="70964490">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为新成立企业，可提供注册后的相关证明材料。</w:t>
      </w:r>
    </w:p>
    <w:p w14:paraId="43B9BCC9">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三、获取竞争性磋商文件：</w:t>
      </w:r>
    </w:p>
    <w:p w14:paraId="71AC94D3">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日至</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rPr>
        <w:t>日，每天上午00:00至12：00，下午12:00至23:59（北京时间，法定节假日除外。）</w:t>
      </w:r>
    </w:p>
    <w:p w14:paraId="4B9D2271">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2、地点：平顶山市公共资源电子化交易系统。</w:t>
      </w:r>
    </w:p>
    <w:p w14:paraId="07946318">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3、方式：潜在供应商下载文件需凭CA数字证书通过平顶山市公共资源交易中心网（网址：http://ggzy.pds.gov.cn）“供应商登录”入口进入交易系统进行下载。具体操作请查看以下链接：</w:t>
      </w:r>
    </w:p>
    <w:p w14:paraId="167EBF08">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链接地址：http://ggzy.pds.gov.cn/fwzn/11020.jhtml</w:t>
      </w:r>
    </w:p>
    <w:p w14:paraId="14A3F148">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办理CA证书：http://ggzy.pds.gov.cn/tzgg/10814.jhtml</w:t>
      </w:r>
    </w:p>
    <w:p w14:paraId="439EC20F">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4、售价：0元。</w:t>
      </w:r>
    </w:p>
    <w:p w14:paraId="30CD8ECB">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四、投标截止时间及地点：</w:t>
      </w:r>
    </w:p>
    <w:p w14:paraId="7808B60D">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bookmarkStart w:id="19" w:name="OLE_LINK2"/>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bookmarkEnd w:id="19"/>
      <w:r>
        <w:rPr>
          <w:rFonts w:hint="eastAsia" w:ascii="宋体" w:hAnsi="宋体" w:eastAsia="宋体" w:cs="宋体"/>
          <w:color w:val="auto"/>
          <w:sz w:val="24"/>
          <w:szCs w:val="24"/>
          <w:highlight w:val="none"/>
        </w:rPr>
        <w:t>（北京时间）。</w:t>
      </w:r>
    </w:p>
    <w:p w14:paraId="43880CCC">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2、地点：平顶山市公共资源交易中心电子交易系统。</w:t>
      </w:r>
    </w:p>
    <w:p w14:paraId="3A7F0915">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五、开标时间及地点：</w:t>
      </w:r>
    </w:p>
    <w:p w14:paraId="4F1CE9A4">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分（北京时间）。</w:t>
      </w:r>
    </w:p>
    <w:p w14:paraId="4C727A12">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2、地点：平顶山市公共资源交易中心电子交易系统。</w:t>
      </w:r>
    </w:p>
    <w:p w14:paraId="0F08B3A2">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注：全面实行在线“不见面”开标，供应商远程在线解密投标文件，不再到开标现场，供应商应仔细阅读网站《“不见面”开标注意事项及操作流程》。</w:t>
      </w:r>
    </w:p>
    <w:p w14:paraId="4A1DFF35">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六、发布公告的媒介及招标公告期限:</w:t>
      </w:r>
    </w:p>
    <w:p w14:paraId="28D763DE">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本次招标公告在《河南省政府采购网》、《平顶山市政府采购网》、《全国公共资源交易平台（河南省•平顶山市）》上发布。公告期限为</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个工作日。</w:t>
      </w:r>
    </w:p>
    <w:p w14:paraId="179C22B1">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七、其他补充事宜：</w:t>
      </w:r>
    </w:p>
    <w:p w14:paraId="66E2AD0C">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1、平顶山市公共资源交易中心全面实行在线“不见面”开标，供应商远程在线解密响应文件，不再到开标现场，供应商开标前应仔细阅读竞争性磋商文件中《“不见面”开标注意事项及操作流程》及相关通知。</w:t>
      </w:r>
    </w:p>
    <w:p w14:paraId="23DD8439">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2、监督机构：</w:t>
      </w:r>
      <w:r>
        <w:rPr>
          <w:rFonts w:hint="eastAsia" w:ascii="宋体" w:hAnsi="宋体" w:cs="宋体"/>
          <w:color w:val="auto"/>
          <w:sz w:val="24"/>
          <w:szCs w:val="24"/>
          <w:highlight w:val="none"/>
          <w:lang w:eastAsia="zh-CN"/>
        </w:rPr>
        <w:t>平顶山市财政局</w:t>
      </w:r>
    </w:p>
    <w:p w14:paraId="6854FEC7">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联系方式：0375-26275</w:t>
      </w:r>
      <w:r>
        <w:rPr>
          <w:rFonts w:hint="eastAsia" w:ascii="宋体" w:hAnsi="宋体" w:cs="宋体"/>
          <w:color w:val="auto"/>
          <w:sz w:val="24"/>
          <w:szCs w:val="24"/>
          <w:highlight w:val="none"/>
          <w:lang w:val="en-US" w:eastAsia="zh-CN"/>
        </w:rPr>
        <w:t>95</w:t>
      </w:r>
    </w:p>
    <w:p w14:paraId="2646EAD7">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投标人或其他利害关系人对本次公告如有异议，请按中华人民共和国财政部令第94号《政府采购质疑和投诉办法》的相关规定，在规定时间内，向采购人、采购代理机构、政府采购监督部门提出质疑、投诉等事宜。逾期未提交或未按照要求提交的质疑、投诉将不予受理。</w:t>
      </w:r>
    </w:p>
    <w:p w14:paraId="39825188">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、采购项目需要落实的政府采购政策：</w:t>
      </w:r>
    </w:p>
    <w:p w14:paraId="0CCB2ED8">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.1、对小微企业的产品给予价格扣除，详见招标文件正文。（监狱企业、残疾人福利性单位视同小微企业；残疾人福利性单位属于小型、微型企业的，不重复享受政策）</w:t>
      </w:r>
    </w:p>
    <w:p w14:paraId="205C9BCE">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2、优先采购节能环保产品，详见招标文件正文。（注：所采购的货物在政府采购节能产品、环境标志产品实施品目清单范围内，且具有国家确定的认证机构出具的、处于有效期之内的节能产品、环境标志产品认证证书）</w:t>
      </w:r>
    </w:p>
    <w:p w14:paraId="2AD16654">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.3、落实豫财办【2020】33号文要求：河南省财政厅关于印发深入推进政府采购合同融资工作实施方案的通知。</w:t>
      </w:r>
    </w:p>
    <w:p w14:paraId="3CF2E25E">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rPr>
          <w:rFonts w:hint="eastAsia" w:ascii="宋体" w:hAnsi="宋体" w:eastAsia="宋体" w:cs="宋体"/>
          <w:b/>
          <w:color w:val="auto"/>
          <w:sz w:val="24"/>
          <w:szCs w:val="24"/>
          <w:highlight w:val="none"/>
        </w:rPr>
      </w:pPr>
      <w:bookmarkStart w:id="20" w:name="_Toc35393627"/>
      <w:bookmarkEnd w:id="20"/>
      <w:bookmarkStart w:id="21" w:name="_Toc35393796"/>
      <w:bookmarkEnd w:id="21"/>
      <w:bookmarkStart w:id="22" w:name="_Toc28359085"/>
      <w:bookmarkEnd w:id="22"/>
      <w:bookmarkStart w:id="23" w:name="_Toc28359008"/>
      <w:r>
        <w:rPr>
          <w:rFonts w:hint="eastAsia" w:ascii="宋体" w:hAnsi="宋体" w:eastAsia="宋体" w:cs="宋体"/>
          <w:b/>
          <w:color w:val="auto"/>
          <w:sz w:val="24"/>
          <w:szCs w:val="24"/>
          <w:highlight w:val="none"/>
        </w:rPr>
        <w:t>八、</w:t>
      </w:r>
      <w:bookmarkEnd w:id="23"/>
      <w:r>
        <w:rPr>
          <w:rFonts w:hint="eastAsia" w:ascii="宋体" w:hAnsi="宋体" w:eastAsia="宋体" w:cs="宋体"/>
          <w:b/>
          <w:color w:val="auto"/>
          <w:sz w:val="24"/>
          <w:szCs w:val="24"/>
          <w:highlight w:val="none"/>
        </w:rPr>
        <w:t>凡对本次招标提出询问，请按照以下方式联系</w:t>
      </w:r>
    </w:p>
    <w:p w14:paraId="0121B5CA">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1、采购人信息</w:t>
      </w:r>
    </w:p>
    <w:p w14:paraId="790940DC">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平顶山市生态环境局</w:t>
      </w:r>
    </w:p>
    <w:p w14:paraId="588C8CEC">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地址：平顶山市新城区公正路中段</w:t>
      </w:r>
      <w:r>
        <w:rPr>
          <w:rFonts w:hint="eastAsia" w:ascii="宋体" w:hAnsi="宋体" w:eastAsia="宋体" w:cs="宋体"/>
          <w:color w:val="auto"/>
          <w:sz w:val="24"/>
          <w:szCs w:val="24"/>
          <w:highlight w:val="none"/>
          <w:lang w:val="en-US" w:eastAsia="zh-CN"/>
        </w:rPr>
        <w:t xml:space="preserve"> </w:t>
      </w:r>
    </w:p>
    <w:p w14:paraId="50F5B0E1">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周彬</w:t>
      </w:r>
      <w:r>
        <w:rPr>
          <w:rFonts w:hint="eastAsia" w:ascii="宋体" w:hAnsi="宋体" w:eastAsia="宋体" w:cs="宋体"/>
          <w:color w:val="auto"/>
          <w:sz w:val="24"/>
          <w:szCs w:val="24"/>
          <w:highlight w:val="none"/>
          <w:lang w:val="en-US" w:eastAsia="zh-CN"/>
        </w:rPr>
        <w:t xml:space="preserve"> </w:t>
      </w:r>
    </w:p>
    <w:p w14:paraId="681DF037">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联系方式：0375-</w:t>
      </w:r>
      <w:r>
        <w:rPr>
          <w:rFonts w:hint="eastAsia" w:ascii="宋体" w:hAnsi="宋体" w:cs="宋体"/>
          <w:color w:val="auto"/>
          <w:sz w:val="24"/>
          <w:szCs w:val="24"/>
          <w:highlight w:val="none"/>
          <w:lang w:val="en-US" w:eastAsia="zh-CN"/>
        </w:rPr>
        <w:t>3990379</w:t>
      </w:r>
    </w:p>
    <w:p w14:paraId="33B9EA9D">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3107350E">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名称：河南驰翔工程管理有限公司</w:t>
      </w:r>
    </w:p>
    <w:p w14:paraId="1AE2E3B4">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地址：平顶山市新城区长安大道与育英路交叉口蓝湾国际公寓东一单元7楼</w:t>
      </w:r>
    </w:p>
    <w:p w14:paraId="2E6DB196">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顾洪沛</w:t>
      </w:r>
      <w:r>
        <w:rPr>
          <w:rFonts w:hint="eastAsia" w:ascii="宋体" w:hAnsi="宋体" w:eastAsia="宋体" w:cs="宋体"/>
          <w:color w:val="auto"/>
          <w:sz w:val="24"/>
          <w:szCs w:val="24"/>
          <w:highlight w:val="none"/>
          <w:lang w:val="en-US" w:eastAsia="zh-CN"/>
        </w:rPr>
        <w:t xml:space="preserve"> </w:t>
      </w:r>
    </w:p>
    <w:p w14:paraId="14AA5EB3">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lang w:val="en-US" w:eastAsia="zh-CN"/>
        </w:rPr>
        <w:t>13949469976</w:t>
      </w:r>
    </w:p>
    <w:p w14:paraId="7BF8ABC7">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423E97A8">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lang w:val="en-US" w:eastAsia="zh-CN"/>
        </w:rPr>
        <w:t>顾洪沛</w:t>
      </w:r>
      <w:r>
        <w:rPr>
          <w:rFonts w:hint="eastAsia" w:ascii="宋体" w:hAnsi="宋体" w:eastAsia="宋体" w:cs="宋体"/>
          <w:color w:val="auto"/>
          <w:sz w:val="24"/>
          <w:szCs w:val="24"/>
          <w:highlight w:val="none"/>
          <w:lang w:val="en-US" w:eastAsia="zh-CN"/>
        </w:rPr>
        <w:t xml:space="preserve">  </w:t>
      </w:r>
    </w:p>
    <w:p w14:paraId="2D8C852E">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lang w:val="en-US" w:eastAsia="zh-CN"/>
        </w:rPr>
        <w:t>13949469976</w:t>
      </w:r>
    </w:p>
    <w:p w14:paraId="01868EF2">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p>
    <w:p w14:paraId="0438042F">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4621E983">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right"/>
        <w:textAlignment w:val="auto"/>
        <w:rPr>
          <w:color w:val="auto"/>
          <w:sz w:val="24"/>
          <w:szCs w:val="24"/>
        </w:rPr>
      </w:pP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12日</w:t>
      </w:r>
    </w:p>
    <w:p w14:paraId="698C872B">
      <w:pPr>
        <w:rPr>
          <w:rFonts w:hint="eastAsia" w:ascii="宋体" w:hAnsi="宋体" w:eastAsia="宋体" w:cs="宋体"/>
          <w:color w:val="auto"/>
        </w:rPr>
      </w:pPr>
    </w:p>
    <w:p w14:paraId="14CC406F">
      <w:pPr>
        <w:rPr>
          <w:rFonts w:hint="eastAsia" w:ascii="宋体" w:hAnsi="宋体" w:eastAsia="宋体" w:cs="宋体"/>
          <w:color w:val="auto"/>
        </w:rPr>
      </w:pPr>
    </w:p>
    <w:p w14:paraId="57F22850">
      <w:pPr>
        <w:rPr>
          <w:rFonts w:hint="eastAsia" w:ascii="宋体" w:hAnsi="宋体" w:eastAsia="宋体" w:cs="宋体"/>
          <w:color w:val="auto"/>
        </w:rPr>
      </w:pPr>
    </w:p>
    <w:p w14:paraId="1D386542">
      <w:pPr>
        <w:rPr>
          <w:rFonts w:hint="eastAsia" w:ascii="宋体" w:hAnsi="宋体" w:eastAsia="宋体" w:cs="宋体"/>
          <w:color w:val="auto"/>
        </w:rPr>
      </w:pPr>
    </w:p>
    <w:p w14:paraId="103395A8">
      <w:pPr>
        <w:pStyle w:val="19"/>
        <w:rPr>
          <w:rFonts w:hint="eastAsia"/>
          <w:color w:val="auto"/>
        </w:rPr>
      </w:pPr>
    </w:p>
    <w:p w14:paraId="7CCE0427">
      <w:pPr>
        <w:rPr>
          <w:rFonts w:hint="eastAsia" w:ascii="宋体" w:hAnsi="宋体" w:eastAsia="宋体" w:cs="宋体"/>
          <w:color w:val="auto"/>
        </w:rPr>
      </w:pPr>
    </w:p>
    <w:p w14:paraId="7581453F">
      <w:pPr>
        <w:pStyle w:val="19"/>
        <w:rPr>
          <w:rFonts w:hint="eastAsia" w:ascii="宋体" w:hAnsi="宋体" w:eastAsia="宋体" w:cs="宋体"/>
          <w:color w:val="auto"/>
        </w:rPr>
      </w:pPr>
    </w:p>
    <w:p w14:paraId="7C300D6E">
      <w:pPr>
        <w:rPr>
          <w:rFonts w:hint="eastAsia"/>
          <w:color w:val="auto"/>
        </w:rPr>
      </w:pPr>
    </w:p>
    <w:p w14:paraId="3645E142">
      <w:pPr>
        <w:rPr>
          <w:rFonts w:hint="eastAsia" w:ascii="宋体" w:hAnsi="宋体" w:eastAsia="宋体" w:cs="宋体"/>
          <w:color w:val="auto"/>
        </w:rPr>
      </w:pPr>
    </w:p>
    <w:p w14:paraId="75B253C7">
      <w:pPr>
        <w:pStyle w:val="19"/>
        <w:rPr>
          <w:rFonts w:hint="eastAsia" w:ascii="宋体" w:hAnsi="宋体" w:eastAsia="宋体" w:cs="宋体"/>
          <w:color w:val="auto"/>
        </w:rPr>
      </w:pPr>
    </w:p>
    <w:p w14:paraId="1EA343B8">
      <w:pPr>
        <w:rPr>
          <w:rFonts w:hint="eastAsia"/>
          <w:color w:val="auto"/>
        </w:rPr>
      </w:pPr>
    </w:p>
    <w:p w14:paraId="7BF00281">
      <w:pPr>
        <w:rPr>
          <w:rFonts w:hint="eastAsia" w:ascii="宋体" w:hAnsi="宋体" w:eastAsia="宋体" w:cs="宋体"/>
          <w:color w:val="auto"/>
        </w:rPr>
      </w:pPr>
    </w:p>
    <w:p w14:paraId="028A501A">
      <w:pPr>
        <w:bidi w:val="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eastAsia="zh-CN"/>
        </w:rPr>
        <w:t>第二章、</w:t>
      </w:r>
      <w:r>
        <w:rPr>
          <w:rFonts w:hint="eastAsia" w:ascii="宋体" w:hAnsi="宋体" w:eastAsia="宋体" w:cs="宋体"/>
          <w:b/>
          <w:bCs/>
          <w:color w:val="auto"/>
          <w:sz w:val="32"/>
          <w:szCs w:val="32"/>
        </w:rPr>
        <w:t>供应商须知</w:t>
      </w:r>
      <w:bookmarkStart w:id="24" w:name="_Toc345483495"/>
      <w:bookmarkEnd w:id="24"/>
      <w:bookmarkStart w:id="25" w:name="_Toc345483640"/>
      <w:bookmarkEnd w:id="25"/>
      <w:bookmarkStart w:id="26" w:name="_Toc343456417"/>
      <w:bookmarkEnd w:id="26"/>
      <w:r>
        <w:rPr>
          <w:rFonts w:hint="eastAsia" w:ascii="宋体" w:hAnsi="宋体" w:eastAsia="宋体" w:cs="宋体"/>
          <w:b/>
          <w:bCs/>
          <w:color w:val="auto"/>
          <w:sz w:val="32"/>
          <w:szCs w:val="32"/>
        </w:rPr>
        <w:t>及前附表</w:t>
      </w:r>
    </w:p>
    <w:p w14:paraId="1F092175">
      <w:pPr>
        <w:pStyle w:val="2"/>
        <w:keepLines w:val="0"/>
        <w:pageBreakBefore w:val="0"/>
        <w:widowControl w:val="0"/>
        <w:numPr>
          <w:ilvl w:val="0"/>
          <w:numId w:val="0"/>
        </w:numPr>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供应商须知前附表</w:t>
      </w:r>
    </w:p>
    <w:tbl>
      <w:tblPr>
        <w:tblStyle w:val="16"/>
        <w:tblW w:w="0" w:type="auto"/>
        <w:tblInd w:w="1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8"/>
        <w:gridCol w:w="2704"/>
        <w:gridCol w:w="6380"/>
      </w:tblGrid>
      <w:tr w14:paraId="262438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0C356A8F">
            <w:pPr>
              <w:kinsoku w:val="0"/>
              <w:overflowPunct w:val="0"/>
              <w:autoSpaceDE w:val="0"/>
              <w:autoSpaceDN w:val="0"/>
              <w:adjustRightInd w:val="0"/>
              <w:snapToGrid w:val="0"/>
              <w:spacing w:line="360" w:lineRule="auto"/>
              <w:rPr>
                <w:rFonts w:hint="eastAsia" w:ascii="宋体" w:hAnsi="宋体" w:eastAsia="宋体" w:cs="宋体"/>
                <w:color w:val="auto"/>
                <w:kern w:val="0"/>
                <w:sz w:val="21"/>
                <w:szCs w:val="21"/>
              </w:rPr>
            </w:pPr>
            <w:bookmarkStart w:id="27" w:name="_Toc343456418"/>
            <w:bookmarkEnd w:id="27"/>
            <w:bookmarkStart w:id="28" w:name="_Toc345483496"/>
            <w:bookmarkEnd w:id="28"/>
            <w:r>
              <w:rPr>
                <w:rFonts w:hint="eastAsia" w:ascii="宋体" w:hAnsi="宋体" w:eastAsia="宋体" w:cs="宋体"/>
                <w:color w:val="auto"/>
                <w:kern w:val="0"/>
                <w:sz w:val="21"/>
                <w:szCs w:val="21"/>
              </w:rPr>
              <w:t>序号</w:t>
            </w:r>
          </w:p>
        </w:tc>
        <w:tc>
          <w:tcPr>
            <w:tcW w:w="9084" w:type="dxa"/>
            <w:gridSpan w:val="2"/>
            <w:tcBorders>
              <w:top w:val="single" w:color="auto" w:sz="4" w:space="0"/>
              <w:left w:val="nil"/>
              <w:bottom w:val="single" w:color="auto" w:sz="4" w:space="0"/>
              <w:right w:val="single" w:color="auto" w:sz="4" w:space="0"/>
            </w:tcBorders>
            <w:noWrap w:val="0"/>
            <w:vAlign w:val="center"/>
          </w:tcPr>
          <w:p w14:paraId="6CB7DC21">
            <w:pPr>
              <w:kinsoku w:val="0"/>
              <w:overflowPunct w:val="0"/>
              <w:autoSpaceDE w:val="0"/>
              <w:autoSpaceDN w:val="0"/>
              <w:adjustRightInd w:val="0"/>
              <w:snapToGrid w:val="0"/>
              <w:spacing w:line="360" w:lineRule="auto"/>
              <w:ind w:firstLine="2835" w:firstLineChars="135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内容、要求</w:t>
            </w:r>
          </w:p>
        </w:tc>
      </w:tr>
      <w:tr w14:paraId="1D68AD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4"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6A2FD2BD">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9084" w:type="dxa"/>
            <w:gridSpan w:val="2"/>
            <w:tcBorders>
              <w:top w:val="single" w:color="auto" w:sz="4" w:space="0"/>
              <w:left w:val="nil"/>
              <w:bottom w:val="single" w:color="auto" w:sz="4" w:space="0"/>
              <w:right w:val="single" w:color="auto" w:sz="4" w:space="0"/>
            </w:tcBorders>
            <w:noWrap w:val="0"/>
            <w:vAlign w:val="center"/>
          </w:tcPr>
          <w:p w14:paraId="49CFEB56">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1.采购项目编号：</w:t>
            </w:r>
            <w:r>
              <w:rPr>
                <w:rFonts w:hint="eastAsia" w:ascii="宋体" w:hAnsi="宋体" w:eastAsia="宋体" w:cs="宋体"/>
                <w:i w:val="0"/>
                <w:iCs w:val="0"/>
                <w:caps w:val="0"/>
                <w:color w:val="auto"/>
                <w:spacing w:val="0"/>
                <w:sz w:val="21"/>
                <w:szCs w:val="21"/>
                <w:shd w:val="clear" w:fill="FAFCFD"/>
              </w:rPr>
              <w:t>平采磋商-2025-</w:t>
            </w:r>
            <w:r>
              <w:rPr>
                <w:rFonts w:hint="eastAsia" w:ascii="宋体" w:hAnsi="宋体" w:cs="宋体"/>
                <w:i w:val="0"/>
                <w:iCs w:val="0"/>
                <w:caps w:val="0"/>
                <w:color w:val="auto"/>
                <w:spacing w:val="0"/>
                <w:sz w:val="21"/>
                <w:szCs w:val="21"/>
                <w:shd w:val="clear" w:fill="FAFCFD"/>
                <w:lang w:val="en-US" w:eastAsia="zh-CN"/>
              </w:rPr>
              <w:t>147</w:t>
            </w:r>
          </w:p>
          <w:p w14:paraId="0F2995D7">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rPr>
              <w:t>2.采购项目名称</w:t>
            </w:r>
            <w:r>
              <w:rPr>
                <w:rFonts w:hint="eastAsia" w:ascii="宋体" w:hAnsi="宋体" w:eastAsia="宋体" w:cs="宋体"/>
                <w:color w:val="auto"/>
                <w:sz w:val="21"/>
                <w:szCs w:val="21"/>
                <w:lang w:eastAsia="zh-CN"/>
              </w:rPr>
              <w:t>：</w:t>
            </w:r>
            <w:r>
              <w:rPr>
                <w:rFonts w:hint="eastAsia" w:ascii="宋体" w:hAnsi="宋体" w:cs="宋体"/>
                <w:color w:val="auto"/>
                <w:sz w:val="21"/>
                <w:szCs w:val="21"/>
                <w:lang w:eastAsia="zh-CN"/>
              </w:rPr>
              <w:t>平顶山市生态环境局2025年颗粒物组分站（合建交通站）和挥发性有机物站（合建交通站）运维及站点保障项目</w:t>
            </w:r>
          </w:p>
          <w:p w14:paraId="2627DF70">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3.采购方式：竞争性磋商</w:t>
            </w:r>
            <w:r>
              <w:rPr>
                <w:rFonts w:hint="eastAsia" w:ascii="宋体" w:hAnsi="宋体" w:cs="宋体"/>
                <w:color w:val="auto"/>
                <w:sz w:val="21"/>
                <w:szCs w:val="21"/>
                <w:lang w:eastAsia="zh-CN"/>
              </w:rPr>
              <w:t>。</w:t>
            </w:r>
          </w:p>
          <w:p w14:paraId="6DEC18C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4.预算金额：</w:t>
            </w:r>
            <w:r>
              <w:rPr>
                <w:rFonts w:hint="eastAsia" w:ascii="宋体" w:hAnsi="宋体" w:cs="宋体"/>
                <w:color w:val="auto"/>
                <w:sz w:val="21"/>
                <w:szCs w:val="21"/>
                <w:lang w:eastAsia="zh-CN"/>
              </w:rPr>
              <w:t>970000.00</w:t>
            </w:r>
            <w:r>
              <w:rPr>
                <w:rFonts w:hint="eastAsia" w:ascii="宋体" w:hAnsi="宋体" w:eastAsia="宋体" w:cs="宋体"/>
                <w:color w:val="auto"/>
                <w:sz w:val="21"/>
                <w:szCs w:val="21"/>
              </w:rPr>
              <w:t>元，最高限价：</w:t>
            </w:r>
            <w:r>
              <w:rPr>
                <w:rFonts w:hint="eastAsia" w:ascii="宋体" w:hAnsi="宋体" w:cs="宋体"/>
                <w:color w:val="auto"/>
                <w:sz w:val="21"/>
                <w:szCs w:val="21"/>
                <w:lang w:eastAsia="zh-CN"/>
              </w:rPr>
              <w:t>970000.00</w:t>
            </w:r>
            <w:r>
              <w:rPr>
                <w:rFonts w:hint="eastAsia" w:ascii="宋体" w:hAnsi="宋体" w:eastAsia="宋体" w:cs="宋体"/>
                <w:color w:val="auto"/>
                <w:sz w:val="21"/>
                <w:szCs w:val="21"/>
              </w:rPr>
              <w:t>元。</w:t>
            </w:r>
          </w:p>
          <w:p w14:paraId="533381DF">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5.采购需求：（包括但不限于标的的名称、数量、简要技术需求或服务要求等）</w:t>
            </w:r>
          </w:p>
          <w:p w14:paraId="6337AE7F">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宋体" w:hAnsi="宋体" w:eastAsia="宋体" w:cs="宋体"/>
                <w:color w:val="auto"/>
                <w:sz w:val="21"/>
                <w:szCs w:val="21"/>
                <w:highlight w:val="none"/>
              </w:rPr>
              <w:t xml:space="preserve">5.1. </w:t>
            </w:r>
            <w:r>
              <w:rPr>
                <w:rFonts w:hint="eastAsia" w:asciiTheme="majorEastAsia" w:hAnsiTheme="majorEastAsia" w:eastAsiaTheme="majorEastAsia" w:cstheme="majorEastAsia"/>
                <w:color w:val="auto"/>
                <w:sz w:val="21"/>
                <w:szCs w:val="21"/>
                <w:highlight w:val="none"/>
              </w:rPr>
              <w:t>采购</w:t>
            </w:r>
            <w:r>
              <w:rPr>
                <w:rFonts w:hint="eastAsia" w:asciiTheme="majorEastAsia" w:hAnsiTheme="majorEastAsia" w:eastAsiaTheme="majorEastAsia" w:cstheme="majorEastAsia"/>
                <w:color w:val="auto"/>
                <w:sz w:val="21"/>
                <w:szCs w:val="21"/>
                <w:highlight w:val="none"/>
                <w:lang w:val="en-US" w:eastAsia="zh-CN"/>
              </w:rPr>
              <w:t>内容</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lang w:val="en-US" w:eastAsia="zh-CN"/>
              </w:rPr>
              <w:t>采购一家</w:t>
            </w:r>
            <w:r>
              <w:rPr>
                <w:rFonts w:hint="eastAsia" w:asciiTheme="majorEastAsia" w:hAnsiTheme="majorEastAsia" w:eastAsiaTheme="majorEastAsia" w:cstheme="majorEastAsia"/>
                <w:color w:val="auto"/>
                <w:sz w:val="21"/>
                <w:szCs w:val="21"/>
                <w:highlight w:val="none"/>
              </w:rPr>
              <w:t>承担对挥发性有机物（VOCs）自动监测站（合建交通站）、颗粒物组分自动监测站（合建交通站）设备进行日常检修，耗材更换，例行检查、质控与维护，负责站房配套设施（包含空调、电力、防水、防雷、消防等设施）的维修保养，能耗与动力费用；保障站点正常开展117种 VOCs 组分、甲烷非甲烷总烃、颗粒物组分</w:t>
            </w:r>
            <w:r>
              <w:rPr>
                <w:rFonts w:hint="eastAsia" w:asciiTheme="majorEastAsia" w:hAnsiTheme="majorEastAsia" w:eastAsiaTheme="majorEastAsia" w:cstheme="majorEastAsia"/>
                <w:b w:val="0"/>
                <w:bCs w:val="0"/>
                <w:color w:val="auto"/>
                <w:sz w:val="21"/>
                <w:szCs w:val="21"/>
                <w:highlight w:val="none"/>
              </w:rPr>
              <w:t>（水溶性离子、碳组分、无机元素）、氮氧化物、一氧化碳、PM2.5、PM10、气象五参数等指标的实时监测联网</w:t>
            </w:r>
            <w:r>
              <w:rPr>
                <w:rFonts w:hint="eastAsia" w:asciiTheme="majorEastAsia" w:hAnsiTheme="majorEastAsia" w:eastAsiaTheme="majorEastAsia" w:cstheme="majorEastAsia"/>
                <w:b w:val="0"/>
                <w:bCs w:val="0"/>
                <w:color w:val="auto"/>
                <w:sz w:val="21"/>
                <w:szCs w:val="21"/>
                <w:highlight w:val="none"/>
                <w:lang w:val="en-US" w:eastAsia="zh-CN"/>
              </w:rPr>
              <w:t>等服务的单</w:t>
            </w:r>
            <w:r>
              <w:rPr>
                <w:rFonts w:hint="eastAsia" w:asciiTheme="majorEastAsia" w:hAnsiTheme="majorEastAsia" w:eastAsiaTheme="majorEastAsia" w:cstheme="majorEastAsia"/>
                <w:color w:val="auto"/>
                <w:sz w:val="21"/>
                <w:szCs w:val="21"/>
                <w:highlight w:val="none"/>
                <w:lang w:val="en-US" w:eastAsia="zh-CN"/>
              </w:rPr>
              <w:t>位，</w:t>
            </w:r>
            <w:r>
              <w:rPr>
                <w:rFonts w:hint="eastAsia" w:asciiTheme="majorEastAsia" w:hAnsiTheme="majorEastAsia" w:eastAsiaTheme="majorEastAsia" w:cstheme="majorEastAsia"/>
                <w:color w:val="auto"/>
                <w:sz w:val="21"/>
                <w:szCs w:val="21"/>
                <w:highlight w:val="none"/>
              </w:rPr>
              <w:t>具体</w:t>
            </w:r>
            <w:r>
              <w:rPr>
                <w:rFonts w:hint="eastAsia" w:asciiTheme="majorEastAsia" w:hAnsiTheme="majorEastAsia" w:eastAsiaTheme="majorEastAsia" w:cstheme="majorEastAsia"/>
                <w:color w:val="auto"/>
                <w:sz w:val="21"/>
                <w:szCs w:val="21"/>
                <w:highlight w:val="none"/>
                <w:lang w:val="en-US" w:eastAsia="zh-CN"/>
              </w:rPr>
              <w:t>内容详见采购文件</w:t>
            </w:r>
            <w:r>
              <w:rPr>
                <w:rFonts w:hint="eastAsia" w:asciiTheme="majorEastAsia" w:hAnsiTheme="majorEastAsia" w:eastAsiaTheme="majorEastAsia" w:cstheme="majorEastAsia"/>
                <w:color w:val="auto"/>
                <w:sz w:val="21"/>
                <w:szCs w:val="21"/>
                <w:highlight w:val="none"/>
              </w:rPr>
              <w:t>。</w:t>
            </w:r>
          </w:p>
          <w:p w14:paraId="68B49D89">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5.2.</w:t>
            </w:r>
            <w:r>
              <w:rPr>
                <w:rFonts w:hint="eastAsia" w:ascii="宋体" w:hAnsi="宋体" w:eastAsia="宋体" w:cs="宋体"/>
                <w:color w:val="auto"/>
                <w:sz w:val="21"/>
                <w:szCs w:val="21"/>
                <w:lang w:eastAsia="zh-CN"/>
              </w:rPr>
              <w:t>服务</w:t>
            </w:r>
            <w:r>
              <w:rPr>
                <w:rFonts w:hint="eastAsia" w:ascii="宋体" w:hAnsi="宋体" w:eastAsia="宋体" w:cs="宋体"/>
                <w:color w:val="auto"/>
                <w:sz w:val="21"/>
                <w:szCs w:val="21"/>
              </w:rPr>
              <w:t>质量要求：符合国家相关行业标准</w:t>
            </w:r>
            <w:r>
              <w:rPr>
                <w:rFonts w:hint="eastAsia" w:ascii="宋体" w:hAnsi="宋体" w:eastAsia="宋体" w:cs="宋体"/>
                <w:color w:val="auto"/>
                <w:sz w:val="21"/>
                <w:szCs w:val="21"/>
                <w:lang w:eastAsia="zh-CN"/>
              </w:rPr>
              <w:t>及规范，满足</w:t>
            </w:r>
            <w:r>
              <w:rPr>
                <w:rFonts w:hint="eastAsia" w:ascii="宋体" w:hAnsi="宋体" w:eastAsia="宋体" w:cs="宋体"/>
                <w:color w:val="auto"/>
                <w:sz w:val="21"/>
                <w:szCs w:val="21"/>
              </w:rPr>
              <w:t>采购人要求。</w:t>
            </w:r>
          </w:p>
          <w:p w14:paraId="33E5C0BC">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rPr>
                <w:rFonts w:hint="default" w:eastAsia="宋体"/>
                <w:color w:val="auto"/>
                <w:sz w:val="21"/>
                <w:szCs w:val="21"/>
                <w:lang w:val="en-US" w:eastAsia="zh-CN"/>
              </w:rPr>
            </w:pPr>
            <w:r>
              <w:rPr>
                <w:rFonts w:hint="eastAsia" w:ascii="宋体" w:hAnsi="宋体" w:cs="宋体"/>
                <w:color w:val="auto"/>
                <w:sz w:val="21"/>
                <w:szCs w:val="21"/>
                <w:lang w:val="en-US" w:eastAsia="zh-CN"/>
              </w:rPr>
              <w:t>5.3.服务地点：采购人指定地点</w:t>
            </w:r>
            <w:r>
              <w:rPr>
                <w:rFonts w:hint="eastAsia" w:ascii="宋体" w:hAnsi="宋体" w:eastAsia="宋体" w:cs="宋体"/>
                <w:b w:val="0"/>
                <w:bCs w:val="0"/>
                <w:color w:val="auto"/>
                <w:spacing w:val="-4"/>
                <w:sz w:val="21"/>
                <w:szCs w:val="21"/>
                <w:u w:val="none"/>
                <w:lang w:eastAsia="zh-CN"/>
              </w:rPr>
              <w:t>。</w:t>
            </w:r>
          </w:p>
          <w:p w14:paraId="0239173A">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.标段划分：本项目划分为</w:t>
            </w:r>
            <w:r>
              <w:rPr>
                <w:rFonts w:hint="eastAsia" w:ascii="宋体" w:hAnsi="宋体" w:cs="宋体"/>
                <w:color w:val="auto"/>
                <w:sz w:val="21"/>
                <w:szCs w:val="21"/>
                <w:lang w:val="en-US" w:eastAsia="zh-CN"/>
              </w:rPr>
              <w:t>一</w:t>
            </w:r>
            <w:r>
              <w:rPr>
                <w:rFonts w:hint="eastAsia" w:ascii="宋体" w:hAnsi="宋体" w:eastAsia="宋体" w:cs="宋体"/>
                <w:color w:val="auto"/>
                <w:sz w:val="21"/>
                <w:szCs w:val="21"/>
              </w:rPr>
              <w:t>个标</w:t>
            </w:r>
            <w:r>
              <w:rPr>
                <w:rFonts w:hint="eastAsia" w:ascii="宋体" w:hAnsi="宋体" w:eastAsia="宋体" w:cs="宋体"/>
                <w:color w:val="auto"/>
                <w:sz w:val="21"/>
                <w:szCs w:val="21"/>
                <w:lang w:eastAsia="zh-CN"/>
              </w:rPr>
              <w:t>段</w:t>
            </w:r>
            <w:r>
              <w:rPr>
                <w:rFonts w:hint="eastAsia" w:ascii="宋体" w:hAnsi="宋体" w:eastAsia="宋体" w:cs="宋体"/>
                <w:color w:val="auto"/>
                <w:sz w:val="21"/>
                <w:szCs w:val="21"/>
              </w:rPr>
              <w:t>。</w:t>
            </w:r>
          </w:p>
          <w:p w14:paraId="79D2DA4E">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rPr>
                <w:rFonts w:hint="eastAsia"/>
                <w:color w:val="auto"/>
              </w:rPr>
            </w:pPr>
            <w:r>
              <w:rPr>
                <w:rFonts w:hint="eastAsia" w:ascii="宋体" w:hAnsi="宋体" w:eastAsia="宋体" w:cs="宋体"/>
                <w:color w:val="auto"/>
                <w:sz w:val="21"/>
                <w:szCs w:val="21"/>
              </w:rPr>
              <w:t>5.</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服务期限：</w:t>
            </w:r>
            <w:r>
              <w:rPr>
                <w:rFonts w:hint="eastAsia" w:ascii="宋体" w:hAnsi="宋体" w:cs="宋体"/>
                <w:color w:val="auto"/>
                <w:sz w:val="21"/>
                <w:szCs w:val="21"/>
                <w:lang w:eastAsia="zh-CN"/>
              </w:rPr>
              <w:t>合同签订之日起一年，合同签订之日乙方即开始提供运维服务。</w:t>
            </w:r>
          </w:p>
        </w:tc>
      </w:tr>
      <w:tr w14:paraId="107F3B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17234873">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9084" w:type="dxa"/>
            <w:gridSpan w:val="2"/>
            <w:tcBorders>
              <w:top w:val="single" w:color="auto" w:sz="4" w:space="0"/>
              <w:left w:val="nil"/>
              <w:bottom w:val="single" w:color="auto" w:sz="4" w:space="0"/>
              <w:right w:val="single" w:color="auto" w:sz="4" w:space="0"/>
            </w:tcBorders>
            <w:noWrap w:val="0"/>
            <w:vAlign w:val="center"/>
          </w:tcPr>
          <w:p w14:paraId="1EB1E96B">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采购项目属性（货物、服务、工程）：服务</w:t>
            </w:r>
          </w:p>
        </w:tc>
      </w:tr>
      <w:tr w14:paraId="28F00D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40B78083">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9084" w:type="dxa"/>
            <w:gridSpan w:val="2"/>
            <w:tcBorders>
              <w:top w:val="single" w:color="auto" w:sz="4" w:space="0"/>
              <w:left w:val="nil"/>
              <w:bottom w:val="single" w:color="auto" w:sz="4" w:space="0"/>
              <w:right w:val="single" w:color="auto" w:sz="4" w:space="0"/>
            </w:tcBorders>
            <w:noWrap w:val="0"/>
            <w:vAlign w:val="center"/>
          </w:tcPr>
          <w:p w14:paraId="09C86E9D">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是否专门面向中小企业：</w:t>
            </w:r>
            <w:r>
              <w:rPr>
                <w:rFonts w:hint="eastAsia" w:ascii="宋体" w:hAnsi="宋体" w:cs="宋体"/>
                <w:color w:val="auto"/>
                <w:sz w:val="21"/>
                <w:szCs w:val="21"/>
                <w:lang w:val="en-US" w:eastAsia="zh-CN"/>
              </w:rPr>
              <w:t>否</w:t>
            </w:r>
          </w:p>
        </w:tc>
      </w:tr>
      <w:tr w14:paraId="121C34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3A625281">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9084" w:type="dxa"/>
            <w:gridSpan w:val="2"/>
            <w:tcBorders>
              <w:top w:val="single" w:color="auto" w:sz="4" w:space="0"/>
              <w:left w:val="nil"/>
              <w:bottom w:val="single" w:color="auto" w:sz="4" w:space="0"/>
              <w:right w:val="single" w:color="auto" w:sz="4" w:space="0"/>
            </w:tcBorders>
            <w:noWrap w:val="0"/>
            <w:vAlign w:val="center"/>
          </w:tcPr>
          <w:p w14:paraId="207EB2BD">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是否接受联合体投标：否</w:t>
            </w:r>
          </w:p>
        </w:tc>
      </w:tr>
      <w:tr w14:paraId="394F2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5AF92ACF">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9084" w:type="dxa"/>
            <w:gridSpan w:val="2"/>
            <w:tcBorders>
              <w:top w:val="single" w:color="auto" w:sz="4" w:space="0"/>
              <w:left w:val="nil"/>
              <w:bottom w:val="single" w:color="auto" w:sz="4" w:space="0"/>
              <w:right w:val="single" w:color="auto" w:sz="4" w:space="0"/>
            </w:tcBorders>
            <w:noWrap w:val="0"/>
            <w:vAlign w:val="center"/>
          </w:tcPr>
          <w:p w14:paraId="7D95FF1A">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分   包：  不允许</w:t>
            </w:r>
          </w:p>
        </w:tc>
      </w:tr>
      <w:tr w14:paraId="1DD6CC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0BD6F254">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9084" w:type="dxa"/>
            <w:gridSpan w:val="2"/>
            <w:tcBorders>
              <w:top w:val="single" w:color="auto" w:sz="4" w:space="0"/>
              <w:left w:val="nil"/>
              <w:bottom w:val="single" w:color="auto" w:sz="4" w:space="0"/>
              <w:right w:val="single" w:color="auto" w:sz="4" w:space="0"/>
            </w:tcBorders>
            <w:noWrap w:val="0"/>
            <w:vAlign w:val="center"/>
          </w:tcPr>
          <w:p w14:paraId="2EB356CC">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核心产品：/</w:t>
            </w:r>
          </w:p>
        </w:tc>
      </w:tr>
      <w:tr w14:paraId="5CB3BB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29D41B2E">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w:t>
            </w:r>
          </w:p>
        </w:tc>
        <w:tc>
          <w:tcPr>
            <w:tcW w:w="9084" w:type="dxa"/>
            <w:gridSpan w:val="2"/>
            <w:tcBorders>
              <w:top w:val="single" w:color="auto" w:sz="4" w:space="0"/>
              <w:left w:val="nil"/>
              <w:bottom w:val="single" w:color="auto" w:sz="4" w:space="0"/>
              <w:right w:val="single" w:color="auto" w:sz="4" w:space="0"/>
            </w:tcBorders>
            <w:noWrap w:val="0"/>
            <w:vAlign w:val="center"/>
          </w:tcPr>
          <w:p w14:paraId="072C7D83">
            <w:pPr>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所属行业：</w:t>
            </w:r>
            <w:r>
              <w:rPr>
                <w:rFonts w:hint="eastAsia" w:ascii="宋体" w:hAnsi="宋体" w:eastAsia="宋体" w:cs="宋体"/>
                <w:i w:val="0"/>
                <w:iCs w:val="0"/>
                <w:caps w:val="0"/>
                <w:color w:val="auto"/>
                <w:spacing w:val="0"/>
                <w:sz w:val="21"/>
                <w:szCs w:val="21"/>
                <w:shd w:val="clear" w:color="auto" w:fill="FFFFFF"/>
              </w:rPr>
              <w:t>其他未列明行业</w:t>
            </w:r>
            <w:r>
              <w:rPr>
                <w:rFonts w:hint="eastAsia" w:ascii="宋体" w:hAnsi="宋体" w:eastAsia="宋体" w:cs="宋体"/>
                <w:color w:val="auto"/>
                <w:sz w:val="21"/>
                <w:szCs w:val="21"/>
                <w:lang w:eastAsia="zh-CN"/>
              </w:rPr>
              <w:t>。</w:t>
            </w:r>
          </w:p>
        </w:tc>
      </w:tr>
      <w:tr w14:paraId="54B20A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03FC1BCE">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w:t>
            </w:r>
          </w:p>
        </w:tc>
        <w:tc>
          <w:tcPr>
            <w:tcW w:w="9084" w:type="dxa"/>
            <w:gridSpan w:val="2"/>
            <w:tcBorders>
              <w:top w:val="single" w:color="auto" w:sz="4" w:space="0"/>
              <w:left w:val="nil"/>
              <w:bottom w:val="single" w:color="auto" w:sz="4" w:space="0"/>
              <w:right w:val="single" w:color="auto" w:sz="4" w:space="0"/>
            </w:tcBorders>
            <w:noWrap w:val="0"/>
            <w:vAlign w:val="center"/>
          </w:tcPr>
          <w:p w14:paraId="58DC0F48">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履约保证金：不收取。</w:t>
            </w:r>
          </w:p>
        </w:tc>
      </w:tr>
      <w:tr w14:paraId="4BDEA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0AFE8832">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w:t>
            </w:r>
          </w:p>
        </w:tc>
        <w:tc>
          <w:tcPr>
            <w:tcW w:w="9084" w:type="dxa"/>
            <w:gridSpan w:val="2"/>
            <w:tcBorders>
              <w:top w:val="single" w:color="auto" w:sz="4" w:space="0"/>
              <w:left w:val="nil"/>
              <w:bottom w:val="single" w:color="auto" w:sz="4" w:space="0"/>
              <w:right w:val="single" w:color="auto" w:sz="4" w:space="0"/>
            </w:tcBorders>
            <w:noWrap w:val="0"/>
            <w:vAlign w:val="center"/>
          </w:tcPr>
          <w:p w14:paraId="53A23481">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质量保证金：不收取。</w:t>
            </w:r>
          </w:p>
        </w:tc>
      </w:tr>
      <w:tr w14:paraId="49F91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3DF9C16C">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9084" w:type="dxa"/>
            <w:gridSpan w:val="2"/>
            <w:tcBorders>
              <w:top w:val="single" w:color="auto" w:sz="4" w:space="0"/>
              <w:left w:val="nil"/>
              <w:bottom w:val="single" w:color="auto" w:sz="4" w:space="0"/>
              <w:right w:val="single" w:color="auto" w:sz="4" w:space="0"/>
            </w:tcBorders>
            <w:noWrap w:val="0"/>
            <w:vAlign w:val="center"/>
          </w:tcPr>
          <w:p w14:paraId="69466BE0">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投标保证金：不收取。</w:t>
            </w:r>
          </w:p>
        </w:tc>
      </w:tr>
      <w:tr w14:paraId="3C3F30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36CFEED2">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w:t>
            </w:r>
          </w:p>
        </w:tc>
        <w:tc>
          <w:tcPr>
            <w:tcW w:w="9084" w:type="dxa"/>
            <w:gridSpan w:val="2"/>
            <w:tcBorders>
              <w:top w:val="single" w:color="auto" w:sz="4" w:space="0"/>
              <w:left w:val="nil"/>
              <w:bottom w:val="single" w:color="auto" w:sz="4" w:space="0"/>
              <w:right w:val="single" w:color="auto" w:sz="4" w:space="0"/>
            </w:tcBorders>
            <w:noWrap w:val="0"/>
            <w:vAlign w:val="center"/>
          </w:tcPr>
          <w:p w14:paraId="657D3FA3">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中标或成交供应商合同签订方式可选择在线签订（在公共资源交易中心网站进行）</w:t>
            </w:r>
          </w:p>
        </w:tc>
      </w:tr>
      <w:tr w14:paraId="547B0A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8" w:type="dxa"/>
            <w:tcBorders>
              <w:top w:val="single" w:color="auto" w:sz="4" w:space="0"/>
              <w:left w:val="single" w:color="auto" w:sz="4" w:space="0"/>
              <w:bottom w:val="single" w:color="auto" w:sz="4" w:space="0"/>
              <w:right w:val="single" w:color="auto" w:sz="4" w:space="0"/>
            </w:tcBorders>
            <w:noWrap w:val="0"/>
            <w:vAlign w:val="center"/>
          </w:tcPr>
          <w:p w14:paraId="657460D0">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w:t>
            </w:r>
          </w:p>
        </w:tc>
        <w:tc>
          <w:tcPr>
            <w:tcW w:w="2704" w:type="dxa"/>
            <w:tcBorders>
              <w:top w:val="single" w:color="auto" w:sz="4" w:space="0"/>
              <w:left w:val="nil"/>
              <w:bottom w:val="single" w:color="auto" w:sz="4" w:space="0"/>
              <w:right w:val="single" w:color="auto" w:sz="4" w:space="0"/>
            </w:tcBorders>
            <w:noWrap w:val="0"/>
            <w:vAlign w:val="center"/>
          </w:tcPr>
          <w:p w14:paraId="72C3CAF4">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资格审查主体</w:t>
            </w:r>
          </w:p>
        </w:tc>
        <w:tc>
          <w:tcPr>
            <w:tcW w:w="6380" w:type="dxa"/>
            <w:tcBorders>
              <w:top w:val="single" w:color="auto" w:sz="4" w:space="0"/>
              <w:left w:val="single" w:color="auto" w:sz="4" w:space="0"/>
              <w:bottom w:val="single" w:color="auto" w:sz="4" w:space="0"/>
              <w:right w:val="single" w:color="auto" w:sz="4" w:space="0"/>
            </w:tcBorders>
            <w:noWrap w:val="0"/>
            <w:vAlign w:val="center"/>
          </w:tcPr>
          <w:p w14:paraId="67CC1D7A">
            <w:pPr>
              <w:kinsoku w:val="0"/>
              <w:overflowPunct w:val="0"/>
              <w:autoSpaceDE w:val="0"/>
              <w:autoSpaceDN w:val="0"/>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公开招标（采购人和采购代理机构）。</w:t>
            </w:r>
          </w:p>
          <w:p w14:paraId="6CC3889D">
            <w:pPr>
              <w:kinsoku w:val="0"/>
              <w:overflowPunct w:val="0"/>
              <w:autoSpaceDE w:val="0"/>
              <w:autoSpaceDN w:val="0"/>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非公开招标（评标委员会）。</w:t>
            </w:r>
          </w:p>
        </w:tc>
      </w:tr>
      <w:tr w14:paraId="0F081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5EBCC64D">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w:t>
            </w:r>
          </w:p>
        </w:tc>
        <w:tc>
          <w:tcPr>
            <w:tcW w:w="9084" w:type="dxa"/>
            <w:gridSpan w:val="2"/>
            <w:tcBorders>
              <w:top w:val="single" w:color="auto" w:sz="4" w:space="0"/>
              <w:left w:val="nil"/>
              <w:bottom w:val="single" w:color="auto" w:sz="4" w:space="0"/>
              <w:right w:val="single" w:color="auto" w:sz="4" w:space="0"/>
            </w:tcBorders>
            <w:noWrap w:val="0"/>
            <w:vAlign w:val="center"/>
          </w:tcPr>
          <w:p w14:paraId="4B726499">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资格审查条件</w:t>
            </w:r>
            <w:r>
              <w:rPr>
                <w:rFonts w:hint="eastAsia" w:ascii="宋体" w:hAnsi="宋体" w:eastAsia="宋体" w:cs="宋体"/>
                <w:color w:val="auto"/>
                <w:kern w:val="0"/>
                <w:sz w:val="21"/>
                <w:szCs w:val="21"/>
              </w:rPr>
              <w:t>：具备招标公告“二、申请人的资格要求</w:t>
            </w:r>
            <w:r>
              <w:rPr>
                <w:rFonts w:hint="eastAsia" w:ascii="宋体" w:hAnsi="宋体" w:eastAsia="宋体" w:cs="宋体"/>
                <w:color w:val="auto"/>
                <w:sz w:val="21"/>
                <w:szCs w:val="21"/>
              </w:rPr>
              <w:t>”</w:t>
            </w:r>
            <w:r>
              <w:rPr>
                <w:rFonts w:hint="eastAsia" w:ascii="宋体" w:hAnsi="宋体" w:eastAsia="宋体" w:cs="宋体"/>
                <w:color w:val="auto"/>
                <w:kern w:val="0"/>
                <w:sz w:val="21"/>
                <w:szCs w:val="21"/>
              </w:rPr>
              <w:t>规定的条件。</w:t>
            </w:r>
          </w:p>
        </w:tc>
      </w:tr>
      <w:tr w14:paraId="05C44A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047957CF">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w:t>
            </w:r>
          </w:p>
        </w:tc>
        <w:tc>
          <w:tcPr>
            <w:tcW w:w="9084" w:type="dxa"/>
            <w:gridSpan w:val="2"/>
            <w:tcBorders>
              <w:top w:val="single" w:color="auto" w:sz="4" w:space="0"/>
              <w:left w:val="nil"/>
              <w:bottom w:val="single" w:color="auto" w:sz="4" w:space="0"/>
              <w:right w:val="single" w:color="auto" w:sz="4" w:space="0"/>
            </w:tcBorders>
            <w:noWrap w:val="0"/>
            <w:vAlign w:val="center"/>
          </w:tcPr>
          <w:p w14:paraId="6B7B6EDA">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rPr>
              <w:t>投标报价及费用：</w:t>
            </w:r>
          </w:p>
          <w:p w14:paraId="1EE04588">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rPr>
              <w:t>.1</w:t>
            </w:r>
            <w:r>
              <w:rPr>
                <w:rFonts w:hint="eastAsia" w:ascii="宋体" w:hAnsi="宋体" w:eastAsia="宋体" w:cs="宋体"/>
                <w:color w:val="auto"/>
                <w:lang w:eastAsia="zh-CN"/>
              </w:rPr>
              <w:t>、</w:t>
            </w:r>
            <w:r>
              <w:rPr>
                <w:rFonts w:hint="eastAsia" w:ascii="宋体" w:hAnsi="宋体" w:eastAsia="宋体" w:cs="宋体"/>
                <w:color w:val="auto"/>
              </w:rPr>
              <w:t>本项目投标应以</w:t>
            </w:r>
            <w:r>
              <w:rPr>
                <w:rFonts w:hint="eastAsia" w:ascii="宋体" w:hAnsi="宋体" w:cs="宋体"/>
                <w:color w:val="auto"/>
                <w:lang w:eastAsia="zh-CN"/>
              </w:rPr>
              <w:t>人民币</w:t>
            </w:r>
            <w:r>
              <w:rPr>
                <w:rFonts w:hint="eastAsia" w:ascii="宋体" w:hAnsi="宋体" w:eastAsia="宋体" w:cs="宋体"/>
                <w:color w:val="auto"/>
              </w:rPr>
              <w:t>报价。</w:t>
            </w:r>
          </w:p>
          <w:p w14:paraId="4BAE509B">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lang w:val="en-US" w:eastAsia="zh-CN"/>
              </w:rPr>
              <w:t>1</w:t>
            </w:r>
            <w:r>
              <w:rPr>
                <w:rFonts w:hint="eastAsia" w:ascii="宋体" w:hAnsi="宋体" w:eastAsia="宋体" w:cs="宋体"/>
                <w:color w:val="auto"/>
              </w:rPr>
              <w:t>.2</w:t>
            </w:r>
            <w:r>
              <w:rPr>
                <w:rFonts w:hint="eastAsia" w:ascii="宋体" w:hAnsi="宋体" w:eastAsia="宋体" w:cs="宋体"/>
                <w:color w:val="auto"/>
                <w:lang w:eastAsia="zh-CN"/>
              </w:rPr>
              <w:t>、</w:t>
            </w:r>
            <w:r>
              <w:rPr>
                <w:rFonts w:hint="eastAsia" w:ascii="宋体" w:hAnsi="宋体" w:eastAsia="宋体" w:cs="宋体"/>
                <w:color w:val="auto"/>
              </w:rPr>
              <w:t>最高投标限价：</w:t>
            </w:r>
            <w:r>
              <w:rPr>
                <w:rFonts w:hint="eastAsia" w:ascii="宋体" w:hAnsi="宋体" w:cs="宋体"/>
                <w:color w:val="auto"/>
                <w:lang w:val="en-US" w:eastAsia="zh-CN"/>
              </w:rPr>
              <w:t>970000.00元</w:t>
            </w:r>
          </w:p>
          <w:p w14:paraId="61680A27">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eastAsia="zh-CN"/>
              </w:rPr>
              <w:t>注：</w:t>
            </w:r>
            <w:r>
              <w:rPr>
                <w:rFonts w:hint="eastAsia" w:ascii="宋体" w:hAnsi="宋体" w:eastAsia="宋体" w:cs="宋体"/>
                <w:color w:val="auto"/>
              </w:rPr>
              <w:t>超过最高投标限价的投标报价为无效投标，供应商的投标报价均超过最高投标限价，采购人不能支付的，按废标处理。</w:t>
            </w:r>
          </w:p>
          <w:p w14:paraId="7A3EEF3F">
            <w:pPr>
              <w:numPr>
                <w:ilvl w:val="0"/>
                <w:numId w:val="1"/>
              </w:num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rPr>
              <w:t>代理服务费</w:t>
            </w:r>
            <w:r>
              <w:rPr>
                <w:rFonts w:hint="eastAsia" w:ascii="宋体" w:hAnsi="宋体" w:eastAsia="宋体" w:cs="宋体"/>
                <w:color w:val="auto"/>
                <w:lang w:eastAsia="zh-CN"/>
              </w:rPr>
              <w:t>：</w:t>
            </w:r>
          </w:p>
          <w:p w14:paraId="77EB8235">
            <w:pPr>
              <w:numPr>
                <w:ilvl w:val="0"/>
                <w:numId w:val="0"/>
              </w:num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本项目代理服务费收费标准根据</w:t>
            </w:r>
            <w:r>
              <w:rPr>
                <w:rFonts w:hint="eastAsia" w:ascii="宋体" w:hAnsi="宋体" w:eastAsia="宋体" w:cs="宋体"/>
                <w:color w:val="auto"/>
                <w:lang w:val="zh-CN"/>
              </w:rPr>
              <w:t>《河南省招标代理服务收费指导意见》（豫招协【</w:t>
            </w:r>
            <w:r>
              <w:rPr>
                <w:rFonts w:hint="eastAsia" w:ascii="宋体" w:hAnsi="宋体" w:eastAsia="宋体" w:cs="宋体"/>
                <w:color w:val="auto"/>
              </w:rPr>
              <w:t>2023</w:t>
            </w:r>
            <w:r>
              <w:rPr>
                <w:rFonts w:hint="eastAsia" w:ascii="宋体" w:hAnsi="宋体" w:eastAsia="宋体" w:cs="宋体"/>
                <w:color w:val="auto"/>
                <w:lang w:val="zh-CN"/>
              </w:rPr>
              <w:t>】</w:t>
            </w:r>
            <w:r>
              <w:rPr>
                <w:rFonts w:hint="eastAsia" w:ascii="宋体" w:hAnsi="宋体" w:eastAsia="宋体" w:cs="宋体"/>
                <w:color w:val="auto"/>
              </w:rPr>
              <w:t>002</w:t>
            </w:r>
            <w:r>
              <w:rPr>
                <w:rFonts w:hint="eastAsia" w:ascii="宋体" w:hAnsi="宋体" w:eastAsia="宋体" w:cs="宋体"/>
                <w:color w:val="auto"/>
                <w:lang w:val="zh-CN"/>
              </w:rPr>
              <w:t>）号计取</w:t>
            </w:r>
            <w:r>
              <w:rPr>
                <w:rFonts w:hint="eastAsia" w:ascii="宋体" w:hAnsi="宋体" w:eastAsia="宋体" w:cs="宋体"/>
                <w:color w:val="auto"/>
                <w:lang w:val="en-US" w:eastAsia="zh-CN"/>
              </w:rPr>
              <w:t>，</w:t>
            </w:r>
            <w:r>
              <w:rPr>
                <w:rFonts w:hint="eastAsia" w:ascii="宋体" w:hAnsi="宋体" w:eastAsia="宋体" w:cs="宋体"/>
                <w:color w:val="auto"/>
              </w:rPr>
              <w:t>由中标供应商支</w:t>
            </w:r>
            <w:bookmarkStart w:id="114" w:name="_GoBack"/>
            <w:bookmarkEnd w:id="114"/>
            <w:r>
              <w:rPr>
                <w:rFonts w:hint="eastAsia" w:ascii="宋体" w:hAnsi="宋体" w:eastAsia="宋体" w:cs="宋体"/>
                <w:color w:val="auto"/>
              </w:rPr>
              <w:t>付。</w:t>
            </w:r>
          </w:p>
          <w:p w14:paraId="62721E83">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kern w:val="0"/>
              </w:rPr>
            </w:pPr>
            <w:r>
              <w:rPr>
                <w:rFonts w:hint="eastAsia" w:ascii="宋体" w:hAnsi="宋体" w:eastAsia="宋体" w:cs="宋体"/>
                <w:color w:val="auto"/>
                <w:kern w:val="0"/>
              </w:rPr>
              <w:t>具体计算标准如下：</w:t>
            </w:r>
          </w:p>
          <w:p w14:paraId="205E2AA9">
            <w:pPr>
              <w:pStyle w:val="14"/>
              <w:jc w:val="center"/>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3441700" cy="1115060"/>
                  <wp:effectExtent l="0" t="0" r="6350"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3441700" cy="1115060"/>
                          </a:xfrm>
                          <a:prstGeom prst="rect">
                            <a:avLst/>
                          </a:prstGeom>
                          <a:noFill/>
                          <a:ln>
                            <a:noFill/>
                          </a:ln>
                        </pic:spPr>
                      </pic:pic>
                    </a:graphicData>
                  </a:graphic>
                </wp:inline>
              </w:drawing>
            </w:r>
          </w:p>
        </w:tc>
      </w:tr>
      <w:tr w14:paraId="6AFD2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3F85B2D5">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w:t>
            </w:r>
          </w:p>
        </w:tc>
        <w:tc>
          <w:tcPr>
            <w:tcW w:w="9084" w:type="dxa"/>
            <w:gridSpan w:val="2"/>
            <w:tcBorders>
              <w:top w:val="single" w:color="auto" w:sz="4" w:space="0"/>
              <w:left w:val="nil"/>
              <w:bottom w:val="single" w:color="auto" w:sz="4" w:space="0"/>
              <w:right w:val="single" w:color="auto" w:sz="4" w:space="0"/>
            </w:tcBorders>
            <w:noWrap w:val="0"/>
            <w:vAlign w:val="center"/>
          </w:tcPr>
          <w:p w14:paraId="27B9FEC5">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现场踏勘或标前答疑：本项目不组织现场踏勘或标前答疑会。供应商如果需要，可以自行现场踏勘。</w:t>
            </w:r>
          </w:p>
        </w:tc>
      </w:tr>
      <w:tr w14:paraId="12AB34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31BC5C5F">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w:t>
            </w:r>
          </w:p>
        </w:tc>
        <w:tc>
          <w:tcPr>
            <w:tcW w:w="9084" w:type="dxa"/>
            <w:gridSpan w:val="2"/>
            <w:tcBorders>
              <w:top w:val="single" w:color="auto" w:sz="4" w:space="0"/>
              <w:left w:val="nil"/>
              <w:bottom w:val="single" w:color="auto" w:sz="4" w:space="0"/>
              <w:right w:val="single" w:color="auto" w:sz="4" w:space="0"/>
            </w:tcBorders>
            <w:noWrap w:val="0"/>
            <w:vAlign w:val="center"/>
          </w:tcPr>
          <w:p w14:paraId="357569D9">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服务期限：</w:t>
            </w:r>
            <w:r>
              <w:rPr>
                <w:rFonts w:hint="eastAsia" w:ascii="宋体" w:hAnsi="宋体" w:cs="宋体"/>
                <w:color w:val="auto"/>
                <w:sz w:val="21"/>
                <w:szCs w:val="21"/>
                <w:lang w:eastAsia="zh-CN"/>
              </w:rPr>
              <w:t>合同签订之日起一年，合同签订之日乙方即开始提供运维服务。</w:t>
            </w:r>
          </w:p>
        </w:tc>
      </w:tr>
      <w:tr w14:paraId="5D12C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0C59D7A1">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w:t>
            </w:r>
          </w:p>
        </w:tc>
        <w:tc>
          <w:tcPr>
            <w:tcW w:w="9084" w:type="dxa"/>
            <w:gridSpan w:val="2"/>
            <w:tcBorders>
              <w:top w:val="single" w:color="auto" w:sz="4" w:space="0"/>
              <w:left w:val="nil"/>
              <w:bottom w:val="single" w:color="auto" w:sz="4" w:space="0"/>
              <w:right w:val="single" w:color="auto" w:sz="4" w:space="0"/>
            </w:tcBorders>
            <w:noWrap w:val="0"/>
            <w:vAlign w:val="center"/>
          </w:tcPr>
          <w:p w14:paraId="06750ACF">
            <w:pPr>
              <w:kinsoku w:val="0"/>
              <w:overflowPunct w:val="0"/>
              <w:autoSpaceDE w:val="0"/>
              <w:autoSpaceDN w:val="0"/>
              <w:adjustRightInd w:val="0"/>
              <w:snapToGrid w:val="0"/>
              <w:spacing w:line="360" w:lineRule="auto"/>
              <w:ind w:firstLine="420" w:firstLineChars="200"/>
              <w:rPr>
                <w:rFonts w:hint="eastAsia" w:ascii="宋体" w:hAnsi="宋体" w:eastAsia="宋体" w:cs="宋体"/>
                <w:b/>
                <w:bCs/>
                <w:color w:val="auto"/>
                <w:sz w:val="21"/>
                <w:szCs w:val="21"/>
              </w:rPr>
            </w:pPr>
            <w:r>
              <w:rPr>
                <w:rFonts w:hint="eastAsia" w:ascii="宋体" w:hAnsi="宋体" w:cs="宋体"/>
                <w:color w:val="auto"/>
                <w:sz w:val="21"/>
                <w:szCs w:val="21"/>
                <w:lang w:eastAsia="zh-CN"/>
              </w:rPr>
              <w:t>服务</w:t>
            </w:r>
            <w:r>
              <w:rPr>
                <w:rFonts w:hint="eastAsia" w:ascii="宋体" w:hAnsi="宋体" w:eastAsia="宋体" w:cs="宋体"/>
                <w:color w:val="auto"/>
                <w:sz w:val="21"/>
                <w:szCs w:val="21"/>
              </w:rPr>
              <w:t>质量要求：</w:t>
            </w:r>
            <w:r>
              <w:rPr>
                <w:rFonts w:hint="eastAsia"/>
                <w:color w:val="auto"/>
                <w:sz w:val="21"/>
                <w:szCs w:val="21"/>
              </w:rPr>
              <w:t>符合国家相关行业标准</w:t>
            </w:r>
            <w:r>
              <w:rPr>
                <w:rFonts w:hint="eastAsia"/>
                <w:color w:val="auto"/>
                <w:sz w:val="21"/>
                <w:szCs w:val="21"/>
                <w:lang w:eastAsia="zh-CN"/>
              </w:rPr>
              <w:t>及规范，满足</w:t>
            </w:r>
            <w:r>
              <w:rPr>
                <w:rFonts w:hint="eastAsia"/>
                <w:color w:val="auto"/>
                <w:sz w:val="21"/>
                <w:szCs w:val="21"/>
              </w:rPr>
              <w:t>采购人要求</w:t>
            </w:r>
            <w:r>
              <w:rPr>
                <w:rFonts w:hint="eastAsia" w:ascii="宋体" w:hAnsi="宋体" w:eastAsia="宋体" w:cs="宋体"/>
                <w:color w:val="auto"/>
                <w:sz w:val="21"/>
                <w:szCs w:val="21"/>
              </w:rPr>
              <w:t>。</w:t>
            </w:r>
          </w:p>
        </w:tc>
      </w:tr>
      <w:tr w14:paraId="711EC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6FDF6BFE">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w:t>
            </w:r>
          </w:p>
        </w:tc>
        <w:tc>
          <w:tcPr>
            <w:tcW w:w="9084" w:type="dxa"/>
            <w:gridSpan w:val="2"/>
            <w:tcBorders>
              <w:top w:val="single" w:color="auto" w:sz="4" w:space="0"/>
              <w:left w:val="nil"/>
              <w:bottom w:val="single" w:color="auto" w:sz="4" w:space="0"/>
              <w:right w:val="single" w:color="auto" w:sz="4" w:space="0"/>
            </w:tcBorders>
            <w:noWrap w:val="0"/>
            <w:vAlign w:val="center"/>
          </w:tcPr>
          <w:p w14:paraId="50748593">
            <w:pPr>
              <w:kinsoku w:val="0"/>
              <w:overflowPunct w:val="0"/>
              <w:autoSpaceDE w:val="0"/>
              <w:autoSpaceDN w:val="0"/>
              <w:adjustRightInd w:val="0"/>
              <w:snapToGrid w:val="0"/>
              <w:spacing w:line="36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投标文件格式及递交方式 ：</w:t>
            </w:r>
          </w:p>
          <w:p w14:paraId="7EB9EE38">
            <w:pPr>
              <w:kinsoku w:val="0"/>
              <w:overflowPunct w:val="0"/>
              <w:autoSpaceDE w:val="0"/>
              <w:autoSpaceDN w:val="0"/>
              <w:adjustRightInd w:val="0"/>
              <w:snapToGrid w:val="0"/>
              <w:spacing w:line="360" w:lineRule="auto"/>
              <w:ind w:firstLine="420" w:firstLineChars="200"/>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1、生成的电子版投标文件中的主文件（项目文件格式为：xxx公司_ 项目名称.file）上传至平顶山市公共资源交易中心交易系统。</w:t>
            </w:r>
          </w:p>
          <w:p w14:paraId="5D71D01A">
            <w:pPr>
              <w:kinsoku w:val="0"/>
              <w:overflowPunct w:val="0"/>
              <w:autoSpaceDE w:val="0"/>
              <w:autoSpaceDN w:val="0"/>
              <w:adjustRightInd w:val="0"/>
              <w:snapToGrid w:val="0"/>
              <w:spacing w:line="360" w:lineRule="auto"/>
              <w:ind w:firstLine="420" w:firstLineChars="200"/>
              <w:textAlignment w:val="bottom"/>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2、开标时，由供应商使用CA证书，在规定时间内对其电子化投标文件进行解密。</w:t>
            </w:r>
          </w:p>
          <w:p w14:paraId="7B805D56">
            <w:pPr>
              <w:kinsoku w:val="0"/>
              <w:overflowPunct w:val="0"/>
              <w:autoSpaceDE w:val="0"/>
              <w:autoSpaceDN w:val="0"/>
              <w:adjustRightInd w:val="0"/>
              <w:snapToGrid w:val="0"/>
              <w:spacing w:line="360" w:lineRule="auto"/>
              <w:ind w:firstLine="422" w:firstLineChars="200"/>
              <w:rPr>
                <w:rFonts w:hint="eastAsia" w:ascii="宋体" w:hAnsi="宋体" w:eastAsia="宋体" w:cs="宋体"/>
                <w:color w:val="auto"/>
                <w:kern w:val="0"/>
                <w:sz w:val="21"/>
                <w:szCs w:val="21"/>
              </w:rPr>
            </w:pPr>
            <w:r>
              <w:rPr>
                <w:rFonts w:hint="eastAsia" w:ascii="宋体" w:hAnsi="宋体" w:eastAsia="宋体" w:cs="宋体"/>
                <w:b/>
                <w:bCs/>
                <w:color w:val="auto"/>
                <w:sz w:val="21"/>
                <w:szCs w:val="21"/>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tc>
      </w:tr>
      <w:tr w14:paraId="276AD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2142BE34">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19</w:t>
            </w:r>
          </w:p>
        </w:tc>
        <w:tc>
          <w:tcPr>
            <w:tcW w:w="9084" w:type="dxa"/>
            <w:gridSpan w:val="2"/>
            <w:tcBorders>
              <w:top w:val="single" w:color="auto" w:sz="4" w:space="0"/>
              <w:left w:val="nil"/>
              <w:bottom w:val="single" w:color="auto" w:sz="4" w:space="0"/>
              <w:right w:val="single" w:color="auto" w:sz="4" w:space="0"/>
            </w:tcBorders>
            <w:noWrap w:val="0"/>
            <w:vAlign w:val="center"/>
          </w:tcPr>
          <w:p w14:paraId="1B294A8F">
            <w:pPr>
              <w:pStyle w:val="8"/>
              <w:kinsoku w:val="0"/>
              <w:overflowPunct w:val="0"/>
              <w:autoSpaceDE w:val="0"/>
              <w:autoSpaceDN w:val="0"/>
              <w:adjustRightInd w:val="0"/>
              <w:snapToGrid w:val="0"/>
              <w:spacing w:line="360" w:lineRule="auto"/>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投标文件上传截止时间：2025年</w:t>
            </w:r>
            <w:r>
              <w:rPr>
                <w:rFonts w:hint="eastAsia" w:ascii="宋体" w:hAnsi="宋体" w:cs="宋体"/>
                <w:color w:val="auto"/>
                <w:sz w:val="21"/>
                <w:szCs w:val="21"/>
                <w:lang w:val="en-US" w:eastAsia="zh-CN"/>
              </w:rPr>
              <w:t>12</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25</w:t>
            </w:r>
            <w:r>
              <w:rPr>
                <w:rFonts w:hint="eastAsia" w:ascii="宋体" w:hAnsi="宋体" w:eastAsia="宋体" w:cs="宋体"/>
                <w:color w:val="auto"/>
                <w:sz w:val="21"/>
                <w:szCs w:val="21"/>
              </w:rPr>
              <w:t>日</w:t>
            </w:r>
            <w:r>
              <w:rPr>
                <w:rFonts w:hint="eastAsia" w:ascii="宋体" w:hAnsi="宋体" w:cs="宋体"/>
                <w:color w:val="auto"/>
                <w:sz w:val="21"/>
                <w:szCs w:val="21"/>
                <w:lang w:val="en-US" w:eastAsia="zh-CN"/>
              </w:rPr>
              <w:t>09</w:t>
            </w:r>
            <w:r>
              <w:rPr>
                <w:rFonts w:hint="eastAsia" w:ascii="宋体" w:hAnsi="宋体" w:eastAsia="宋体" w:cs="宋体"/>
                <w:color w:val="auto"/>
                <w:sz w:val="21"/>
                <w:szCs w:val="21"/>
              </w:rPr>
              <w:t>时</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分</w:t>
            </w:r>
          </w:p>
        </w:tc>
      </w:tr>
      <w:tr w14:paraId="452E0A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7338848F">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9084" w:type="dxa"/>
            <w:gridSpan w:val="2"/>
            <w:tcBorders>
              <w:top w:val="single" w:color="auto" w:sz="4" w:space="0"/>
              <w:left w:val="nil"/>
              <w:bottom w:val="single" w:color="auto" w:sz="4" w:space="0"/>
              <w:right w:val="single" w:color="auto" w:sz="4" w:space="0"/>
            </w:tcBorders>
            <w:noWrap w:val="0"/>
            <w:vAlign w:val="center"/>
          </w:tcPr>
          <w:p w14:paraId="79C27CE7">
            <w:pPr>
              <w:pStyle w:val="8"/>
              <w:kinsoku w:val="0"/>
              <w:overflowPunct w:val="0"/>
              <w:autoSpaceDE w:val="0"/>
              <w:autoSpaceDN w:val="0"/>
              <w:adjustRightInd w:val="0"/>
              <w:snapToGrid w:val="0"/>
              <w:spacing w:line="360" w:lineRule="auto"/>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投标文件上传地点：《全国公共资源交易平台(河南省▪平顶山市)》公共资源交易系统</w:t>
            </w:r>
          </w:p>
        </w:tc>
      </w:tr>
      <w:tr w14:paraId="7DA8C3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1BE8102D">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w:t>
            </w:r>
          </w:p>
        </w:tc>
        <w:tc>
          <w:tcPr>
            <w:tcW w:w="9084" w:type="dxa"/>
            <w:gridSpan w:val="2"/>
            <w:tcBorders>
              <w:top w:val="single" w:color="auto" w:sz="4" w:space="0"/>
              <w:left w:val="nil"/>
              <w:bottom w:val="single" w:color="auto" w:sz="4" w:space="0"/>
              <w:right w:val="single" w:color="auto" w:sz="4" w:space="0"/>
            </w:tcBorders>
            <w:noWrap w:val="0"/>
            <w:vAlign w:val="center"/>
          </w:tcPr>
          <w:p w14:paraId="34AED550">
            <w:pPr>
              <w:shd w:val="clear" w:color="auto" w:fill="FFFFFF"/>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开标时间：2025年</w:t>
            </w:r>
            <w:r>
              <w:rPr>
                <w:rFonts w:hint="eastAsia" w:ascii="宋体" w:hAnsi="宋体" w:cs="宋体"/>
                <w:color w:val="auto"/>
                <w:sz w:val="21"/>
                <w:szCs w:val="21"/>
                <w:lang w:val="en-US" w:eastAsia="zh-CN"/>
              </w:rPr>
              <w:t>12</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25</w:t>
            </w:r>
            <w:r>
              <w:rPr>
                <w:rFonts w:hint="eastAsia" w:ascii="宋体" w:hAnsi="宋体" w:eastAsia="宋体" w:cs="宋体"/>
                <w:color w:val="auto"/>
                <w:sz w:val="21"/>
                <w:szCs w:val="21"/>
              </w:rPr>
              <w:t>日</w:t>
            </w:r>
            <w:r>
              <w:rPr>
                <w:rFonts w:hint="eastAsia" w:ascii="宋体" w:hAnsi="宋体" w:cs="宋体"/>
                <w:color w:val="auto"/>
                <w:sz w:val="21"/>
                <w:szCs w:val="21"/>
                <w:lang w:val="en-US" w:eastAsia="zh-CN"/>
              </w:rPr>
              <w:t>09</w:t>
            </w:r>
            <w:r>
              <w:rPr>
                <w:rFonts w:hint="eastAsia" w:ascii="宋体" w:hAnsi="宋体" w:eastAsia="宋体" w:cs="宋体"/>
                <w:color w:val="auto"/>
                <w:sz w:val="21"/>
                <w:szCs w:val="21"/>
              </w:rPr>
              <w:t>时</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分</w:t>
            </w:r>
          </w:p>
          <w:p w14:paraId="7E0B083E">
            <w:pPr>
              <w:shd w:val="clear" w:color="auto" w:fill="FFFFFF"/>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pacing w:val="8"/>
                <w:kern w:val="0"/>
                <w:sz w:val="21"/>
                <w:szCs w:val="21"/>
              </w:rPr>
            </w:pPr>
            <w:r>
              <w:rPr>
                <w:rFonts w:hint="eastAsia" w:ascii="宋体" w:hAnsi="宋体" w:eastAsia="宋体" w:cs="宋体"/>
                <w:bCs/>
                <w:color w:val="auto"/>
                <w:sz w:val="21"/>
                <w:szCs w:val="21"/>
              </w:rPr>
              <w:t>开标地点：</w:t>
            </w:r>
            <w:r>
              <w:rPr>
                <w:rFonts w:hint="eastAsia" w:ascii="宋体" w:hAnsi="宋体" w:eastAsia="宋体" w:cs="宋体"/>
                <w:color w:val="auto"/>
                <w:spacing w:val="8"/>
                <w:kern w:val="0"/>
                <w:sz w:val="21"/>
                <w:szCs w:val="21"/>
              </w:rPr>
              <w:t>平顶山市公共资源交易中心电子交易系统中。</w:t>
            </w:r>
          </w:p>
          <w:p w14:paraId="01FCEBBF">
            <w:pPr>
              <w:shd w:val="clear" w:color="auto" w:fill="FFFFFF"/>
              <w:kinsoku w:val="0"/>
              <w:overflowPunct w:val="0"/>
              <w:autoSpaceDE w:val="0"/>
              <w:autoSpaceDN w:val="0"/>
              <w:adjustRightInd w:val="0"/>
              <w:snapToGrid w:val="0"/>
              <w:spacing w:line="360" w:lineRule="auto"/>
              <w:ind w:firstLine="454" w:firstLineChars="200"/>
              <w:rPr>
                <w:rFonts w:hint="eastAsia" w:ascii="宋体" w:hAnsi="宋体" w:eastAsia="宋体" w:cs="宋体"/>
                <w:color w:val="auto"/>
                <w:sz w:val="21"/>
                <w:szCs w:val="21"/>
              </w:rPr>
            </w:pPr>
            <w:r>
              <w:rPr>
                <w:rFonts w:hint="eastAsia" w:ascii="宋体" w:hAnsi="宋体" w:eastAsia="宋体" w:cs="宋体"/>
                <w:b/>
                <w:color w:val="auto"/>
                <w:spacing w:val="8"/>
                <w:kern w:val="0"/>
                <w:sz w:val="21"/>
                <w:szCs w:val="21"/>
              </w:rPr>
              <w:t>注：</w:t>
            </w:r>
            <w:r>
              <w:rPr>
                <w:rFonts w:hint="eastAsia" w:ascii="宋体" w:hAnsi="宋体" w:eastAsia="宋体" w:cs="宋体"/>
                <w:b/>
                <w:color w:val="auto"/>
                <w:sz w:val="21"/>
                <w:szCs w:val="21"/>
              </w:rPr>
              <w:t>全面实行在线“不见面”开标，投标人远程在线解密投标文件，不再到开标现场，投标人开标前应仔细阅读《“不见面”开标注意事项及操作流程》。</w:t>
            </w:r>
          </w:p>
        </w:tc>
      </w:tr>
      <w:tr w14:paraId="023BB5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37B440BC">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w:t>
            </w:r>
          </w:p>
        </w:tc>
        <w:tc>
          <w:tcPr>
            <w:tcW w:w="9084" w:type="dxa"/>
            <w:gridSpan w:val="2"/>
            <w:tcBorders>
              <w:top w:val="single" w:color="auto" w:sz="4" w:space="0"/>
              <w:left w:val="nil"/>
              <w:bottom w:val="single" w:color="auto" w:sz="4" w:space="0"/>
              <w:right w:val="single" w:color="auto" w:sz="4" w:space="0"/>
            </w:tcBorders>
            <w:noWrap w:val="0"/>
            <w:vAlign w:val="center"/>
          </w:tcPr>
          <w:p w14:paraId="330D37B6">
            <w:pPr>
              <w:kinsoku w:val="0"/>
              <w:overflowPunct w:val="0"/>
              <w:autoSpaceDE w:val="0"/>
              <w:autoSpaceDN w:val="0"/>
              <w:adjustRightInd w:val="0"/>
              <w:snapToGrid w:val="0"/>
              <w:spacing w:line="360" w:lineRule="auto"/>
              <w:ind w:firstLine="315" w:firstLineChars="150"/>
              <w:textAlignment w:val="bottom"/>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评标办法：采用综合评分法。</w:t>
            </w:r>
          </w:p>
        </w:tc>
      </w:tr>
      <w:tr w14:paraId="44551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6294F37A">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23</w:t>
            </w:r>
          </w:p>
        </w:tc>
        <w:tc>
          <w:tcPr>
            <w:tcW w:w="9084" w:type="dxa"/>
            <w:gridSpan w:val="2"/>
            <w:tcBorders>
              <w:top w:val="single" w:color="auto" w:sz="4" w:space="0"/>
              <w:left w:val="nil"/>
              <w:bottom w:val="single" w:color="auto" w:sz="4" w:space="0"/>
              <w:right w:val="single" w:color="auto" w:sz="4" w:space="0"/>
            </w:tcBorders>
            <w:noWrap w:val="0"/>
            <w:vAlign w:val="center"/>
          </w:tcPr>
          <w:p w14:paraId="7ABE2A8A">
            <w:pPr>
              <w:kinsoku w:val="0"/>
              <w:overflowPunct w:val="0"/>
              <w:autoSpaceDE w:val="0"/>
              <w:autoSpaceDN w:val="0"/>
              <w:adjustRightInd w:val="0"/>
              <w:snapToGrid w:val="0"/>
              <w:spacing w:line="360" w:lineRule="auto"/>
              <w:ind w:firstLine="420" w:firstLineChars="200"/>
              <w:textAlignment w:val="bottom"/>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成交</w:t>
            </w:r>
            <w:r>
              <w:rPr>
                <w:rFonts w:hint="eastAsia" w:ascii="宋体" w:hAnsi="宋体" w:eastAsia="宋体" w:cs="宋体"/>
                <w:color w:val="auto"/>
                <w:kern w:val="0"/>
                <w:sz w:val="21"/>
                <w:szCs w:val="21"/>
              </w:rPr>
              <w:t>公告及</w:t>
            </w:r>
            <w:r>
              <w:rPr>
                <w:rFonts w:hint="eastAsia" w:ascii="宋体" w:hAnsi="宋体" w:eastAsia="宋体" w:cs="宋体"/>
                <w:color w:val="auto"/>
                <w:kern w:val="0"/>
                <w:sz w:val="21"/>
                <w:szCs w:val="21"/>
                <w:lang w:val="en-US" w:eastAsia="zh-CN"/>
              </w:rPr>
              <w:t>成交</w:t>
            </w:r>
            <w:r>
              <w:rPr>
                <w:rFonts w:hint="eastAsia" w:ascii="宋体" w:hAnsi="宋体" w:eastAsia="宋体" w:cs="宋体"/>
                <w:color w:val="auto"/>
                <w:kern w:val="0"/>
                <w:sz w:val="21"/>
                <w:szCs w:val="21"/>
              </w:rPr>
              <w:t>通知书：由采购人授权评标委员会直接确定3名</w:t>
            </w:r>
            <w:r>
              <w:rPr>
                <w:rFonts w:hint="eastAsia" w:ascii="宋体" w:hAnsi="宋体" w:eastAsia="宋体" w:cs="宋体"/>
                <w:color w:val="auto"/>
                <w:kern w:val="0"/>
                <w:sz w:val="21"/>
                <w:szCs w:val="21"/>
                <w:lang w:val="en-US" w:eastAsia="zh-CN"/>
              </w:rPr>
              <w:t>成交</w:t>
            </w:r>
            <w:r>
              <w:rPr>
                <w:rFonts w:hint="eastAsia" w:ascii="宋体" w:hAnsi="宋体" w:eastAsia="宋体" w:cs="宋体"/>
                <w:color w:val="auto"/>
                <w:kern w:val="0"/>
                <w:sz w:val="21"/>
                <w:szCs w:val="21"/>
              </w:rPr>
              <w:t>候选供应商。评审结束后，采购代理机构在</w:t>
            </w:r>
            <w:r>
              <w:rPr>
                <w:rFonts w:hint="eastAsia" w:ascii="宋体" w:hAnsi="宋体" w:eastAsia="宋体" w:cs="宋体"/>
                <w:color w:val="auto"/>
                <w:sz w:val="21"/>
                <w:szCs w:val="21"/>
              </w:rPr>
              <w:t>《河南省政府采购网》、《平顶山市政府采购网》、《全国公共资源交易平台（河南省•平顶山市）》</w:t>
            </w:r>
            <w:r>
              <w:rPr>
                <w:rFonts w:hint="eastAsia" w:ascii="宋体" w:hAnsi="宋体" w:eastAsia="宋体" w:cs="宋体"/>
                <w:color w:val="auto"/>
                <w:kern w:val="0"/>
                <w:sz w:val="21"/>
                <w:szCs w:val="21"/>
              </w:rPr>
              <w:t>发布</w:t>
            </w:r>
            <w:r>
              <w:rPr>
                <w:rFonts w:hint="eastAsia" w:ascii="宋体" w:hAnsi="宋体" w:eastAsia="宋体" w:cs="宋体"/>
                <w:color w:val="auto"/>
                <w:kern w:val="0"/>
                <w:sz w:val="21"/>
                <w:szCs w:val="21"/>
                <w:lang w:val="en-US" w:eastAsia="zh-CN"/>
              </w:rPr>
              <w:t>成交</w:t>
            </w:r>
            <w:r>
              <w:rPr>
                <w:rFonts w:hint="eastAsia" w:ascii="宋体" w:hAnsi="宋体" w:eastAsia="宋体" w:cs="宋体"/>
                <w:color w:val="auto"/>
                <w:kern w:val="0"/>
                <w:sz w:val="21"/>
                <w:szCs w:val="21"/>
              </w:rPr>
              <w:t>公告。</w:t>
            </w:r>
          </w:p>
        </w:tc>
      </w:tr>
      <w:tr w14:paraId="35AAE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08A09CDD">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24</w:t>
            </w:r>
          </w:p>
        </w:tc>
        <w:tc>
          <w:tcPr>
            <w:tcW w:w="9084" w:type="dxa"/>
            <w:gridSpan w:val="2"/>
            <w:tcBorders>
              <w:top w:val="single" w:color="auto" w:sz="4" w:space="0"/>
              <w:left w:val="nil"/>
              <w:bottom w:val="single" w:color="auto" w:sz="4" w:space="0"/>
              <w:right w:val="single" w:color="auto" w:sz="4" w:space="0"/>
            </w:tcBorders>
            <w:noWrap w:val="0"/>
            <w:vAlign w:val="center"/>
          </w:tcPr>
          <w:p w14:paraId="146B331F">
            <w:pPr>
              <w:kinsoku w:val="0"/>
              <w:overflowPunct w:val="0"/>
              <w:autoSpaceDE w:val="0"/>
              <w:autoSpaceDN w:val="0"/>
              <w:adjustRightInd w:val="0"/>
              <w:snapToGrid w:val="0"/>
              <w:spacing w:line="360" w:lineRule="auto"/>
              <w:ind w:firstLine="420" w:firstLineChars="200"/>
              <w:textAlignment w:val="bottom"/>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签订合同：</w:t>
            </w:r>
            <w:r>
              <w:rPr>
                <w:rFonts w:hint="eastAsia" w:ascii="宋体" w:hAnsi="宋体" w:eastAsia="宋体" w:cs="宋体"/>
                <w:color w:val="auto"/>
                <w:kern w:val="0"/>
                <w:sz w:val="21"/>
                <w:szCs w:val="21"/>
                <w:lang w:val="en-US" w:eastAsia="zh-CN"/>
              </w:rPr>
              <w:t>成交</w:t>
            </w:r>
            <w:r>
              <w:rPr>
                <w:rFonts w:hint="eastAsia" w:ascii="宋体" w:hAnsi="宋体" w:eastAsia="宋体" w:cs="宋体"/>
                <w:color w:val="auto"/>
                <w:kern w:val="0"/>
                <w:sz w:val="21"/>
                <w:szCs w:val="21"/>
              </w:rPr>
              <w:t>通知书发出后</w:t>
            </w:r>
            <w:r>
              <w:rPr>
                <w:rFonts w:hint="eastAsia" w:ascii="宋体" w:hAnsi="宋体" w:eastAsia="宋体" w:cs="宋体"/>
                <w:color w:val="auto"/>
                <w:kern w:val="0"/>
                <w:sz w:val="21"/>
                <w:szCs w:val="21"/>
                <w:u w:val="single"/>
              </w:rPr>
              <w:t xml:space="preserve"> </w:t>
            </w:r>
            <w:r>
              <w:rPr>
                <w:rFonts w:hint="eastAsia" w:ascii="宋体" w:hAnsi="宋体" w:cs="宋体"/>
                <w:color w:val="auto"/>
                <w:kern w:val="0"/>
                <w:sz w:val="21"/>
                <w:szCs w:val="21"/>
                <w:u w:val="single"/>
                <w:lang w:val="en-US" w:eastAsia="zh-CN"/>
              </w:rPr>
              <w:t>30</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日内。</w:t>
            </w:r>
          </w:p>
        </w:tc>
      </w:tr>
      <w:tr w14:paraId="1C0F0F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69523741">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w:t>
            </w:r>
          </w:p>
        </w:tc>
        <w:tc>
          <w:tcPr>
            <w:tcW w:w="9084" w:type="dxa"/>
            <w:gridSpan w:val="2"/>
            <w:tcBorders>
              <w:top w:val="single" w:color="auto" w:sz="4" w:space="0"/>
              <w:left w:val="nil"/>
              <w:bottom w:val="single" w:color="auto" w:sz="4" w:space="0"/>
              <w:right w:val="single" w:color="auto" w:sz="4" w:space="0"/>
            </w:tcBorders>
            <w:noWrap w:val="0"/>
            <w:vAlign w:val="center"/>
          </w:tcPr>
          <w:p w14:paraId="24EF81C1">
            <w:pPr>
              <w:kinsoku w:val="0"/>
              <w:overflowPunct w:val="0"/>
              <w:autoSpaceDE w:val="0"/>
              <w:autoSpaceDN w:val="0"/>
              <w:adjustRightInd w:val="0"/>
              <w:snapToGrid w:val="0"/>
              <w:spacing w:line="360" w:lineRule="auto"/>
              <w:ind w:firstLine="420" w:firstLineChars="200"/>
              <w:textAlignment w:val="bottom"/>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采购资金来源：</w:t>
            </w:r>
            <w:r>
              <w:rPr>
                <w:rFonts w:hint="eastAsia" w:ascii="宋体" w:hAnsi="宋体" w:eastAsia="宋体" w:cs="宋体"/>
                <w:color w:val="auto"/>
                <w:sz w:val="21"/>
                <w:szCs w:val="21"/>
              </w:rPr>
              <w:t>财政资金。</w:t>
            </w:r>
          </w:p>
        </w:tc>
      </w:tr>
      <w:tr w14:paraId="1231A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046C923D">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26</w:t>
            </w:r>
          </w:p>
        </w:tc>
        <w:tc>
          <w:tcPr>
            <w:tcW w:w="9084" w:type="dxa"/>
            <w:gridSpan w:val="2"/>
            <w:tcBorders>
              <w:top w:val="single" w:color="auto" w:sz="4" w:space="0"/>
              <w:left w:val="nil"/>
              <w:bottom w:val="single" w:color="auto" w:sz="4" w:space="0"/>
              <w:right w:val="single" w:color="auto" w:sz="4" w:space="0"/>
            </w:tcBorders>
            <w:noWrap w:val="0"/>
            <w:vAlign w:val="center"/>
          </w:tcPr>
          <w:p w14:paraId="63A77DAE">
            <w:pPr>
              <w:pStyle w:val="5"/>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p w14:paraId="131AB28B">
            <w:pPr>
              <w:pStyle w:val="5"/>
              <w:numPr>
                <w:ilvl w:val="0"/>
                <w:numId w:val="0"/>
              </w:numPr>
              <w:bidi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第一考核周期结束，支付当期运维费应为合同总金额</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%，如考核需扣除运维费，则结合考核结果实际支付</w:t>
            </w:r>
            <w:r>
              <w:rPr>
                <w:rFonts w:hint="eastAsia" w:ascii="宋体" w:hAnsi="宋体" w:cs="宋体"/>
                <w:color w:val="auto"/>
                <w:sz w:val="21"/>
                <w:szCs w:val="21"/>
                <w:highlight w:val="none"/>
                <w:lang w:eastAsia="zh-CN"/>
              </w:rPr>
              <w:t>。</w:t>
            </w:r>
          </w:p>
          <w:p w14:paraId="772558F1">
            <w:pPr>
              <w:pStyle w:val="5"/>
              <w:bidi w:val="0"/>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第二考核周期结束，支付当期运维费应为合同总金额的</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如考核需扣除运维费，则结合考核结果实际支付</w:t>
            </w:r>
            <w:r>
              <w:rPr>
                <w:rFonts w:hint="eastAsia" w:ascii="宋体" w:hAnsi="宋体" w:cs="宋体"/>
                <w:color w:val="auto"/>
                <w:sz w:val="21"/>
                <w:szCs w:val="21"/>
                <w:highlight w:val="none"/>
                <w:lang w:eastAsia="zh-CN"/>
              </w:rPr>
              <w:t>。</w:t>
            </w:r>
          </w:p>
        </w:tc>
      </w:tr>
      <w:tr w14:paraId="2036D0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296E4E8F">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27</w:t>
            </w:r>
          </w:p>
        </w:tc>
        <w:tc>
          <w:tcPr>
            <w:tcW w:w="9084" w:type="dxa"/>
            <w:gridSpan w:val="2"/>
            <w:tcBorders>
              <w:top w:val="single" w:color="auto" w:sz="4" w:space="0"/>
              <w:left w:val="nil"/>
              <w:bottom w:val="single" w:color="auto" w:sz="4" w:space="0"/>
              <w:right w:val="single" w:color="auto" w:sz="4" w:space="0"/>
            </w:tcBorders>
            <w:noWrap w:val="0"/>
            <w:vAlign w:val="center"/>
          </w:tcPr>
          <w:p w14:paraId="0CD374FC">
            <w:pPr>
              <w:kinsoku w:val="0"/>
              <w:overflowPunct w:val="0"/>
              <w:autoSpaceDE w:val="0"/>
              <w:autoSpaceDN w:val="0"/>
              <w:adjustRightInd w:val="0"/>
              <w:snapToGrid w:val="0"/>
              <w:spacing w:line="360" w:lineRule="auto"/>
              <w:ind w:firstLine="420" w:firstLineChars="200"/>
              <w:textAlignment w:val="bottom"/>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竞争性磋商响应</w:t>
            </w:r>
            <w:r>
              <w:rPr>
                <w:rFonts w:hint="eastAsia" w:ascii="宋体" w:hAnsi="宋体" w:eastAsia="宋体" w:cs="宋体"/>
                <w:color w:val="auto"/>
                <w:kern w:val="0"/>
                <w:sz w:val="21"/>
                <w:szCs w:val="21"/>
              </w:rPr>
              <w:t>文件有效期：</w:t>
            </w:r>
            <w:bookmarkStart w:id="29" w:name="OLE_LINK7"/>
            <w:r>
              <w:rPr>
                <w:rFonts w:hint="eastAsia" w:ascii="宋体" w:hAnsi="宋体" w:eastAsia="宋体" w:cs="宋体"/>
                <w:color w:val="auto"/>
                <w:kern w:val="0"/>
                <w:sz w:val="21"/>
                <w:szCs w:val="21"/>
              </w:rPr>
              <w:t>投标截止期结束后90日。</w:t>
            </w:r>
            <w:r>
              <w:rPr>
                <w:rFonts w:hint="eastAsia" w:ascii="宋体" w:hAnsi="宋体" w:eastAsia="宋体" w:cs="宋体"/>
                <w:color w:val="auto"/>
                <w:kern w:val="0"/>
                <w:sz w:val="21"/>
                <w:szCs w:val="21"/>
                <w:lang w:val="en-US" w:eastAsia="zh-CN"/>
              </w:rPr>
              <w:t>成交</w:t>
            </w:r>
            <w:r>
              <w:rPr>
                <w:rFonts w:hint="eastAsia" w:ascii="宋体" w:hAnsi="宋体" w:eastAsia="宋体" w:cs="宋体"/>
                <w:color w:val="auto"/>
                <w:kern w:val="0"/>
                <w:sz w:val="21"/>
                <w:szCs w:val="21"/>
              </w:rPr>
              <w:t>供应商的</w:t>
            </w:r>
            <w:r>
              <w:rPr>
                <w:rFonts w:hint="eastAsia" w:ascii="宋体" w:hAnsi="宋体" w:eastAsia="宋体" w:cs="宋体"/>
                <w:color w:val="auto"/>
                <w:kern w:val="0"/>
                <w:sz w:val="21"/>
                <w:szCs w:val="21"/>
                <w:lang w:val="en-US" w:eastAsia="zh-CN"/>
              </w:rPr>
              <w:t>响应</w:t>
            </w:r>
            <w:r>
              <w:rPr>
                <w:rFonts w:hint="eastAsia" w:ascii="宋体" w:hAnsi="宋体" w:eastAsia="宋体" w:cs="宋体"/>
                <w:color w:val="auto"/>
                <w:kern w:val="0"/>
                <w:sz w:val="21"/>
                <w:szCs w:val="21"/>
              </w:rPr>
              <w:t>文件是合同的组成部分,有效期至合同完全履行止。</w:t>
            </w:r>
            <w:bookmarkEnd w:id="29"/>
          </w:p>
        </w:tc>
      </w:tr>
      <w:tr w14:paraId="72FAC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1E226DF5">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28</w:t>
            </w:r>
          </w:p>
        </w:tc>
        <w:tc>
          <w:tcPr>
            <w:tcW w:w="9084" w:type="dxa"/>
            <w:gridSpan w:val="2"/>
            <w:tcBorders>
              <w:top w:val="single" w:color="auto" w:sz="4" w:space="0"/>
              <w:left w:val="nil"/>
              <w:bottom w:val="single" w:color="auto" w:sz="4" w:space="0"/>
              <w:right w:val="single" w:color="auto" w:sz="4" w:space="0"/>
            </w:tcBorders>
            <w:noWrap w:val="0"/>
            <w:vAlign w:val="center"/>
          </w:tcPr>
          <w:p w14:paraId="504516AE">
            <w:pPr>
              <w:adjustRightInd w:val="0"/>
              <w:spacing w:line="380" w:lineRule="exact"/>
              <w:ind w:firstLine="420" w:firstLineChars="200"/>
              <w:jc w:val="left"/>
              <w:textAlignment w:val="baseline"/>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对中小微、监狱、残福企业的优惠政策：</w:t>
            </w:r>
          </w:p>
          <w:p w14:paraId="726888D8">
            <w:pPr>
              <w:adjustRightInd w:val="0"/>
              <w:spacing w:line="380" w:lineRule="exact"/>
              <w:ind w:firstLine="420" w:firstLineChars="200"/>
              <w:jc w:val="left"/>
              <w:textAlignment w:val="baseline"/>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根据财政部、工信部关于印发《政府采购促进中小企业发展管理办法》的通知(财库(2020)46号)文件、关于进一步加大政府采购支持中小企业力度的通知</w:t>
            </w:r>
            <w:r>
              <w:rPr>
                <w:rFonts w:hint="eastAsia" w:ascii="宋体" w:hAnsi="宋体" w:cs="宋体"/>
                <w:color w:val="auto"/>
                <w:sz w:val="21"/>
                <w:szCs w:val="21"/>
                <w:lang w:val="en-US" w:eastAsia="zh-CN" w:bidi="ar"/>
              </w:rPr>
              <w:t xml:space="preserve"> </w:t>
            </w:r>
            <w:r>
              <w:rPr>
                <w:rFonts w:hint="eastAsia" w:ascii="宋体" w:hAnsi="宋体" w:eastAsia="宋体" w:cs="宋体"/>
                <w:color w:val="auto"/>
                <w:sz w:val="21"/>
                <w:szCs w:val="21"/>
                <w:lang w:bidi="ar"/>
              </w:rPr>
              <w:t>财库〔2022〕19</w:t>
            </w:r>
            <w:r>
              <w:rPr>
                <w:rFonts w:hint="eastAsia" w:ascii="宋体" w:hAnsi="宋体" w:eastAsia="宋体" w:cs="宋体"/>
                <w:color w:val="auto"/>
                <w:sz w:val="21"/>
                <w:szCs w:val="21"/>
              </w:rPr>
              <w:t>号</w:t>
            </w:r>
            <w:r>
              <w:rPr>
                <w:rFonts w:hint="eastAsia" w:ascii="宋体" w:hAnsi="宋体" w:eastAsia="宋体" w:cs="宋体"/>
                <w:color w:val="auto"/>
                <w:sz w:val="21"/>
                <w:szCs w:val="21"/>
                <w:lang w:bidi="ar"/>
              </w:rPr>
              <w:t>规定</w:t>
            </w:r>
          </w:p>
          <w:p w14:paraId="144801C7">
            <w:pPr>
              <w:adjustRightInd w:val="0"/>
              <w:spacing w:line="380" w:lineRule="exact"/>
              <w:ind w:firstLine="420" w:firstLineChars="200"/>
              <w:jc w:val="left"/>
              <w:textAlignment w:val="baseline"/>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1、对符合规定的小微企业报价给20%的扣除。（适用于非单独面向中小企业采购项目）</w:t>
            </w:r>
          </w:p>
          <w:p w14:paraId="58AE15AB">
            <w:pPr>
              <w:adjustRightInd w:val="0"/>
              <w:spacing w:line="380" w:lineRule="exact"/>
              <w:ind w:firstLine="420" w:firstLineChars="200"/>
              <w:jc w:val="left"/>
              <w:textAlignment w:val="baseline"/>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2、本办法所称中小企业(含中型、小型、微型企业，下同)应当同时符合以下条件</w:t>
            </w:r>
          </w:p>
          <w:p w14:paraId="07D4B54E">
            <w:pPr>
              <w:adjustRightInd w:val="0"/>
              <w:spacing w:line="380" w:lineRule="exact"/>
              <w:ind w:firstLine="420" w:firstLineChars="200"/>
              <w:jc w:val="left"/>
              <w:textAlignment w:val="baseline"/>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(1)符合中小企业划分标准;</w:t>
            </w:r>
          </w:p>
          <w:p w14:paraId="48E2DD76">
            <w:pPr>
              <w:adjustRightInd w:val="0"/>
              <w:spacing w:line="380" w:lineRule="exact"/>
              <w:ind w:firstLine="420" w:firstLineChars="200"/>
              <w:jc w:val="left"/>
              <w:textAlignment w:val="baseline"/>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(2)提供本企业制造的货物、承担的工程或者服务，或者提供其他中小企业制造的货物。本项所称货物不包括使用大型企业注册商标的货物。</w:t>
            </w:r>
          </w:p>
          <w:p w14:paraId="0D1F4E79">
            <w:pPr>
              <w:adjustRightInd w:val="0"/>
              <w:spacing w:line="380" w:lineRule="exact"/>
              <w:ind w:firstLine="420" w:firstLineChars="200"/>
              <w:jc w:val="left"/>
              <w:textAlignment w:val="baseline"/>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本办法所称中小企业划分标准，是指国务院有关部门根据企业从业人员、营业收入、资产总额制定的中小企业划型标准</w:t>
            </w:r>
          </w:p>
          <w:p w14:paraId="1E5CFA27">
            <w:pPr>
              <w:adjustRightInd w:val="0"/>
              <w:spacing w:line="380" w:lineRule="exact"/>
              <w:ind w:firstLine="420" w:firstLineChars="200"/>
              <w:jc w:val="left"/>
              <w:textAlignment w:val="baseline"/>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3、小型、微型企业提供中型企业制造的货物的，视同为中型企业。</w:t>
            </w:r>
          </w:p>
          <w:p w14:paraId="4A5EA3EC">
            <w:pPr>
              <w:adjustRightInd w:val="0"/>
              <w:spacing w:line="380" w:lineRule="exact"/>
              <w:ind w:firstLine="420" w:firstLineChars="200"/>
              <w:jc w:val="left"/>
              <w:textAlignment w:val="baseline"/>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4、供应商应在分项报价表中写明符合上述条件的属于小型和微型企业产品的单价、合价和小计，并如实填写“小微企业声明函”，否则在价格评审时不予考虑价格扣除。</w:t>
            </w:r>
          </w:p>
          <w:p w14:paraId="06248B3C">
            <w:pPr>
              <w:adjustRightInd w:val="0"/>
              <w:spacing w:line="380" w:lineRule="exact"/>
              <w:ind w:firstLine="420" w:firstLineChars="200"/>
              <w:jc w:val="left"/>
              <w:textAlignment w:val="baseline"/>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5、关于监狱企业：视同小微企业。须提供由省级以上监狱管理局、戒毒管理局(含新疆生产建设兵团)出具的属于监狱企业的证明文件，否则不考虑价格扣除。</w:t>
            </w:r>
          </w:p>
          <w:p w14:paraId="0A7DCFB6">
            <w:pPr>
              <w:kinsoku w:val="0"/>
              <w:overflowPunct w:val="0"/>
              <w:autoSpaceDE w:val="0"/>
              <w:autoSpaceDN w:val="0"/>
              <w:adjustRightInd w:val="0"/>
              <w:snapToGrid w:val="0"/>
              <w:spacing w:line="360" w:lineRule="auto"/>
              <w:ind w:firstLine="420" w:firstLineChars="200"/>
              <w:textAlignment w:val="bottom"/>
              <w:rPr>
                <w:rFonts w:hint="eastAsia" w:ascii="宋体" w:hAnsi="宋体" w:eastAsia="宋体" w:cs="宋体"/>
                <w:color w:val="auto"/>
                <w:kern w:val="0"/>
                <w:sz w:val="21"/>
                <w:szCs w:val="21"/>
                <w:lang w:eastAsia="zh-CN"/>
              </w:rPr>
            </w:pPr>
            <w:r>
              <w:rPr>
                <w:rFonts w:hint="eastAsia" w:ascii="宋体" w:hAnsi="宋体" w:eastAsia="宋体" w:cs="宋体"/>
                <w:color w:val="auto"/>
                <w:sz w:val="21"/>
                <w:szCs w:val="21"/>
                <w:lang w:bidi="ar"/>
              </w:rPr>
              <w:t>6、关于残疾人福利性单位：视同小微企业。须提供完整的“残疾人福利性单位声明函”，否则在价格评审时不予考虑价格扣除。残疾人福利性单位属于小型、微型企业的，不重复享受政策。</w:t>
            </w:r>
          </w:p>
        </w:tc>
      </w:tr>
      <w:tr w14:paraId="3C9872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29FED950">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29</w:t>
            </w:r>
          </w:p>
        </w:tc>
        <w:tc>
          <w:tcPr>
            <w:tcW w:w="9084" w:type="dxa"/>
            <w:gridSpan w:val="2"/>
            <w:tcBorders>
              <w:top w:val="single" w:color="auto" w:sz="4" w:space="0"/>
              <w:left w:val="nil"/>
              <w:bottom w:val="single" w:color="auto" w:sz="4" w:space="0"/>
              <w:right w:val="single" w:color="auto" w:sz="4" w:space="0"/>
            </w:tcBorders>
            <w:noWrap w:val="0"/>
            <w:vAlign w:val="center"/>
          </w:tcPr>
          <w:p w14:paraId="13A4000E">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河南省政府采购合同融资政策告知函</w:t>
            </w:r>
          </w:p>
          <w:p w14:paraId="03D77CDD">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各供应商：</w:t>
            </w:r>
          </w:p>
          <w:p w14:paraId="204E1D16">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欢迎贵公司参与河南省政府采购活动！</w:t>
            </w:r>
          </w:p>
          <w:p w14:paraId="3AFFDCDA">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6726AA70">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rPr>
              <w:t>贷款渠道和提供贷款的金融机构，可在河南省政府采购网“河南省政府采购合同融资平台”查询联系。</w:t>
            </w:r>
          </w:p>
        </w:tc>
      </w:tr>
      <w:tr w14:paraId="67CF15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6977572F">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w:t>
            </w:r>
          </w:p>
        </w:tc>
        <w:tc>
          <w:tcPr>
            <w:tcW w:w="9084" w:type="dxa"/>
            <w:gridSpan w:val="2"/>
            <w:tcBorders>
              <w:top w:val="single" w:color="auto" w:sz="4" w:space="0"/>
              <w:left w:val="nil"/>
              <w:bottom w:val="single" w:color="auto" w:sz="4" w:space="0"/>
              <w:right w:val="single" w:color="auto" w:sz="4" w:space="0"/>
            </w:tcBorders>
            <w:noWrap w:val="0"/>
            <w:vAlign w:val="center"/>
          </w:tcPr>
          <w:p w14:paraId="7D7455CA">
            <w:pPr>
              <w:kinsoku w:val="0"/>
              <w:overflowPunct w:val="0"/>
              <w:autoSpaceDE w:val="0"/>
              <w:autoSpaceDN w:val="0"/>
              <w:adjustRightInd w:val="0"/>
              <w:snapToGrid w:val="0"/>
              <w:spacing w:line="360" w:lineRule="auto"/>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一</w:t>
            </w:r>
            <w:r>
              <w:rPr>
                <w:rFonts w:hint="eastAsia" w:ascii="宋体" w:hAnsi="宋体" w:eastAsia="宋体" w:cs="宋体"/>
                <w:b/>
                <w:bCs/>
                <w:color w:val="auto"/>
                <w:sz w:val="21"/>
                <w:szCs w:val="21"/>
              </w:rPr>
              <w:t>、维护企业在政府采购活动中的知情权</w:t>
            </w:r>
          </w:p>
          <w:p w14:paraId="4A8CDCD2">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14:paraId="1C6EA02C">
            <w:pPr>
              <w:kinsoku w:val="0"/>
              <w:overflowPunct w:val="0"/>
              <w:autoSpaceDE w:val="0"/>
              <w:autoSpaceDN w:val="0"/>
              <w:adjustRightInd w:val="0"/>
              <w:snapToGrid w:val="0"/>
              <w:spacing w:line="360" w:lineRule="auto"/>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二</w:t>
            </w:r>
            <w:r>
              <w:rPr>
                <w:rFonts w:hint="eastAsia" w:ascii="宋体" w:hAnsi="宋体" w:eastAsia="宋体" w:cs="宋体"/>
                <w:b/>
                <w:bCs/>
                <w:color w:val="auto"/>
                <w:sz w:val="21"/>
                <w:szCs w:val="21"/>
              </w:rPr>
              <w:t>、提供中小企业声明函格式</w:t>
            </w:r>
          </w:p>
          <w:p w14:paraId="66C58048">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在采购文件中，采购代理机构应按照财政部、工信部印发的《政府采购促进中小企业发展管理办法》的通知精神（财库〔2020〕46号）提供中小企业声明函格式。详见“政府采购政策：中小企业声明函”</w:t>
            </w:r>
          </w:p>
          <w:p w14:paraId="062387CE">
            <w:pPr>
              <w:kinsoku w:val="0"/>
              <w:overflowPunct w:val="0"/>
              <w:autoSpaceDE w:val="0"/>
              <w:autoSpaceDN w:val="0"/>
              <w:adjustRightInd w:val="0"/>
              <w:snapToGrid w:val="0"/>
              <w:spacing w:line="360" w:lineRule="auto"/>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三</w:t>
            </w:r>
            <w:r>
              <w:rPr>
                <w:rFonts w:hint="eastAsia" w:ascii="宋体" w:hAnsi="宋体" w:eastAsia="宋体" w:cs="宋体"/>
                <w:b/>
                <w:bCs/>
                <w:color w:val="auto"/>
                <w:sz w:val="21"/>
                <w:szCs w:val="21"/>
              </w:rPr>
              <w:t>、推广政府采购合同融资</w:t>
            </w:r>
          </w:p>
          <w:p w14:paraId="03423876">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要求采购人和代理机构将“政府采购合同融资告知函”写入招标文件，鼓励中标供应商凭借采购合同申请贷款，助力解决中小企业融资难、融资贵的问题。详见“11、政府采购政策：六、河南省政府采购合同融资政策告知函”</w:t>
            </w:r>
          </w:p>
          <w:p w14:paraId="3C780CEC">
            <w:pPr>
              <w:kinsoku w:val="0"/>
              <w:overflowPunct w:val="0"/>
              <w:autoSpaceDE w:val="0"/>
              <w:autoSpaceDN w:val="0"/>
              <w:adjustRightInd w:val="0"/>
              <w:snapToGrid w:val="0"/>
              <w:spacing w:line="360" w:lineRule="auto"/>
              <w:jc w:val="left"/>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四</w:t>
            </w:r>
            <w:r>
              <w:rPr>
                <w:rFonts w:hint="eastAsia" w:ascii="宋体" w:hAnsi="宋体" w:eastAsia="宋体" w:cs="宋体"/>
                <w:b/>
                <w:bCs/>
                <w:color w:val="auto"/>
                <w:sz w:val="21"/>
                <w:szCs w:val="21"/>
              </w:rPr>
              <w:t>、落实预留采购份额</w:t>
            </w:r>
          </w:p>
          <w:p w14:paraId="5CBB802D">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14:paraId="35776D9C">
            <w:pPr>
              <w:numPr>
                <w:ilvl w:val="0"/>
                <w:numId w:val="0"/>
              </w:numPr>
              <w:spacing w:line="460" w:lineRule="exact"/>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五、</w:t>
            </w:r>
            <w:r>
              <w:rPr>
                <w:rFonts w:hint="eastAsia" w:ascii="宋体" w:hAnsi="宋体" w:eastAsia="宋体" w:cs="宋体"/>
                <w:b w:val="0"/>
                <w:bCs/>
                <w:color w:val="auto"/>
                <w:sz w:val="21"/>
                <w:szCs w:val="21"/>
              </w:rPr>
              <w:t>落实价格评审优惠政策</w:t>
            </w:r>
          </w:p>
          <w:p w14:paraId="10DD776F">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 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上述政策应当在评审办法中注明确定值。</w:t>
            </w:r>
          </w:p>
        </w:tc>
      </w:tr>
      <w:tr w14:paraId="2D4F4B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639208FF">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31</w:t>
            </w:r>
          </w:p>
        </w:tc>
        <w:tc>
          <w:tcPr>
            <w:tcW w:w="9084" w:type="dxa"/>
            <w:gridSpan w:val="2"/>
            <w:tcBorders>
              <w:top w:val="single" w:color="auto" w:sz="4" w:space="0"/>
              <w:left w:val="nil"/>
              <w:bottom w:val="single" w:color="auto" w:sz="4" w:space="0"/>
              <w:right w:val="single" w:color="auto" w:sz="4" w:space="0"/>
            </w:tcBorders>
            <w:noWrap w:val="0"/>
            <w:vAlign w:val="center"/>
          </w:tcPr>
          <w:p w14:paraId="643AC7AF">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本项目为全流程电子化交易项目，请认真阅读招标文件，并注意以下事项。</w:t>
            </w:r>
          </w:p>
          <w:p w14:paraId="298B2BF8">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1.投标人应按招标文件规定编制、提交电子投标文件。</w:t>
            </w:r>
          </w:p>
          <w:p w14:paraId="410FF4B2">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2.本项目投标人不用再提供纸质投标文件。</w:t>
            </w:r>
          </w:p>
          <w:p w14:paraId="4F8713DC">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3.电子文件下载、制作、提交期间和开标（电子投标文件的解密）环节，投标人须使用CA数字证书（证书须在有效期内）。</w:t>
            </w:r>
          </w:p>
          <w:p w14:paraId="05EC5460">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4.电子投标文件的制作</w:t>
            </w:r>
          </w:p>
          <w:p w14:paraId="2EB871FF">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4.1 投标人登录《全国公共资源交易平台(河南省▪平顶山市)》公共资源交易系统下载“平顶山投标文件制作系统”，按招标文件要求制作电子投标文件。</w:t>
            </w:r>
          </w:p>
          <w:p w14:paraId="147066CA">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电子投标文件的制作，参考《全国公共资源交易平台(河南省▪平顶山市)》公共资源交易系统——组件下载——交易系统操作手册（投标人、投标人）。</w:t>
            </w:r>
          </w:p>
          <w:p w14:paraId="2520FD4F">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4.2 投标人须将招标文件要求的资质、业绩、荣誉及相关人员证明材料等资料原件扫描件（或图片）制作到所提交的电子投标文件中。</w:t>
            </w:r>
          </w:p>
          <w:p w14:paraId="4A276F7B">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4.3投标人对同一项目多个标段进行投标的，应分别下载所投标段的招标文件，按标段制作电子投标文件，并按招标文件要求在相应位置加盖投标人电子印章和法人电子印章。</w:t>
            </w:r>
          </w:p>
          <w:p w14:paraId="2DF509AB">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5.加密电子投标文件的提交</w:t>
            </w:r>
          </w:p>
          <w:p w14:paraId="207ECB0B">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5.1加密电子投标文件应在招标文件规定的投标截止时间（开标时间）之前成功提交至《全国公共资源交易平台(河南省▪平顶山市)》公共资源交易系统。投标人应充分考虑并预留技术处理和上传数据所需时间。</w:t>
            </w:r>
          </w:p>
          <w:p w14:paraId="1BECB249">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5.2 投标人对同一项目多个标段进行投标的，加密电子投标文件应按标段分别提交。</w:t>
            </w:r>
          </w:p>
          <w:p w14:paraId="494892CF">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“不见面”开标注意事项：</w:t>
            </w:r>
          </w:p>
          <w:p w14:paraId="6DB3FFEB">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1、招标人和代理机构应当提前做好各项准备工作，准时开标。</w:t>
            </w:r>
          </w:p>
          <w:p w14:paraId="2B513496">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14:paraId="3A4907A3">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3、如出现投标人的电子投标文件无法解密的情况，投标人应及时联系招标人（代理机构）进行说明。投标文件解密异常，按以下步骤进行处理：</w:t>
            </w:r>
          </w:p>
          <w:p w14:paraId="25403940">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（1）如果是投标文件自身问题导致投标文件无法解密的，该投标文件将不予接收、解密。</w:t>
            </w:r>
          </w:p>
          <w:p w14:paraId="7D77B842">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（2）如果是电子化交易系统问题造成投标文件无法解密的，将由技术人员进行排查处理。如短时间内问题无法解决的，将由招标人（代理机构）联系监督部门申请暂停开标，待问题解决后继续开标。</w:t>
            </w:r>
          </w:p>
          <w:p w14:paraId="3C7B460E">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4、所有投标文件解密完成后，由招标人（代理机构）操作，对开标结果进行公示。</w:t>
            </w:r>
          </w:p>
          <w:p w14:paraId="2CD7038D">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5、投标人应保证在开标期间电话、电脑、网络等能够正常使用，投标人因停电、电脑病毒、网络堵塞等原因，未在规定的解密时间内对投标文件进行解密的，其投标文件不予接收。</w:t>
            </w:r>
          </w:p>
          <w:p w14:paraId="5DAA2A6F">
            <w:pPr>
              <w:kinsoku w:val="0"/>
              <w:overflowPunct w:val="0"/>
              <w:autoSpaceDE w:val="0"/>
              <w:autoSpaceDN w:val="0"/>
              <w:adjustRightInd w:val="0"/>
              <w:snapToGrid w:val="0"/>
              <w:spacing w:line="360" w:lineRule="auto"/>
              <w:ind w:firstLine="420" w:firstLineChars="200"/>
              <w:textAlignment w:val="bottom"/>
              <w:rPr>
                <w:rFonts w:hint="eastAsia" w:ascii="宋体" w:hAnsi="宋体" w:eastAsia="宋体" w:cs="宋体"/>
                <w:color w:val="auto"/>
                <w:kern w:val="0"/>
                <w:sz w:val="21"/>
                <w:szCs w:val="21"/>
              </w:rPr>
            </w:pPr>
            <w:r>
              <w:rPr>
                <w:rFonts w:hint="eastAsia" w:ascii="宋体" w:hAnsi="宋体" w:eastAsia="宋体" w:cs="宋体"/>
                <w:color w:val="auto"/>
                <w:sz w:val="21"/>
                <w:szCs w:val="21"/>
                <w:shd w:val="clear" w:color="auto" w:fill="FFFFFF"/>
              </w:rPr>
              <w:t>6、解密完成后，投标人可登录到交易系统查看自己的投标报价。如对自己的报价内容有异议的，应在报价内容显示后20分钟内联系招标人（代理机构）进行质疑，投标人未在规定时间内提出质疑的，视为认可开标结果显示内容。</w:t>
            </w:r>
          </w:p>
        </w:tc>
      </w:tr>
      <w:tr w14:paraId="139087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69D9781E">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32</w:t>
            </w:r>
          </w:p>
        </w:tc>
        <w:tc>
          <w:tcPr>
            <w:tcW w:w="9084" w:type="dxa"/>
            <w:gridSpan w:val="2"/>
            <w:tcBorders>
              <w:top w:val="single" w:color="auto" w:sz="4" w:space="0"/>
              <w:left w:val="nil"/>
              <w:bottom w:val="single" w:color="auto" w:sz="4" w:space="0"/>
              <w:right w:val="single" w:color="auto" w:sz="4" w:space="0"/>
            </w:tcBorders>
            <w:noWrap w:val="0"/>
            <w:vAlign w:val="center"/>
          </w:tcPr>
          <w:p w14:paraId="176F4E21">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根据政府采购相关规定，文件中明确不接受进口产品的设备，不得投报进口产品。</w:t>
            </w:r>
          </w:p>
        </w:tc>
      </w:tr>
      <w:tr w14:paraId="64DB97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7570D31D">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33</w:t>
            </w:r>
          </w:p>
        </w:tc>
        <w:tc>
          <w:tcPr>
            <w:tcW w:w="9084" w:type="dxa"/>
            <w:gridSpan w:val="2"/>
            <w:tcBorders>
              <w:top w:val="single" w:color="auto" w:sz="4" w:space="0"/>
              <w:left w:val="nil"/>
              <w:bottom w:val="single" w:color="auto" w:sz="4" w:space="0"/>
              <w:right w:val="single" w:color="auto" w:sz="4" w:space="0"/>
            </w:tcBorders>
            <w:noWrap w:val="0"/>
            <w:vAlign w:val="center"/>
          </w:tcPr>
          <w:p w14:paraId="6CC3D6C5">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质疑函应在平顶山市公共资源交易系统中接收，质疑函的格式和内容应当符合相关法律法规的要求</w:t>
            </w:r>
            <w:r>
              <w:rPr>
                <w:rFonts w:hint="eastAsia" w:ascii="宋体" w:hAnsi="宋体" w:eastAsia="宋体" w:cs="宋体"/>
                <w:color w:val="auto"/>
                <w:kern w:val="0"/>
                <w:sz w:val="21"/>
                <w:szCs w:val="21"/>
                <w:lang w:eastAsia="zh-CN"/>
              </w:rPr>
              <w:t>。联系方式如下：</w:t>
            </w:r>
          </w:p>
          <w:p w14:paraId="1E36E641">
            <w:pPr>
              <w:kinsoku w:val="0"/>
              <w:overflowPunct w:val="0"/>
              <w:autoSpaceDE w:val="0"/>
              <w:autoSpaceDN w:val="0"/>
              <w:adjustRightInd w:val="0"/>
              <w:snapToGrid w:val="0"/>
              <w:spacing w:line="360" w:lineRule="auto"/>
              <w:ind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联系</w:t>
            </w:r>
            <w:r>
              <w:rPr>
                <w:rFonts w:hint="eastAsia" w:ascii="宋体" w:hAnsi="宋体" w:eastAsia="宋体" w:cs="宋体"/>
                <w:color w:val="auto"/>
                <w:kern w:val="0"/>
                <w:sz w:val="21"/>
                <w:szCs w:val="21"/>
                <w:lang w:eastAsia="zh-CN"/>
              </w:rPr>
              <w:t>人</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 xml:space="preserve">顾洪沛   </w:t>
            </w:r>
            <w:r>
              <w:rPr>
                <w:rFonts w:hint="eastAsia" w:ascii="宋体" w:hAnsi="宋体" w:eastAsia="宋体" w:cs="宋体"/>
                <w:color w:val="auto"/>
                <w:kern w:val="0"/>
                <w:sz w:val="21"/>
                <w:szCs w:val="21"/>
                <w:lang w:val="en-US" w:eastAsia="zh-CN"/>
              </w:rPr>
              <w:t xml:space="preserve">  联系电话：</w:t>
            </w:r>
            <w:r>
              <w:rPr>
                <w:rFonts w:hint="eastAsia" w:ascii="宋体" w:hAnsi="宋体" w:cs="宋体"/>
                <w:color w:val="auto"/>
                <w:kern w:val="0"/>
                <w:sz w:val="21"/>
                <w:szCs w:val="21"/>
                <w:lang w:val="en-US" w:eastAsia="zh-CN"/>
              </w:rPr>
              <w:t>13949469976</w:t>
            </w:r>
          </w:p>
          <w:p w14:paraId="5AF522B8">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对供应商提出的质疑，采购人、采购代理机构应当依法及时答复和处理，不得推诿扯皮故意刁难，须进行实质性回应。</w:t>
            </w:r>
          </w:p>
        </w:tc>
      </w:tr>
      <w:tr w14:paraId="424F9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679D6DFA">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3</w:t>
            </w:r>
            <w:r>
              <w:rPr>
                <w:rFonts w:hint="eastAsia" w:ascii="宋体" w:hAnsi="宋体" w:eastAsia="宋体" w:cs="宋体"/>
                <w:color w:val="auto"/>
                <w:kern w:val="0"/>
                <w:sz w:val="21"/>
                <w:szCs w:val="21"/>
                <w:lang w:val="en-US" w:eastAsia="zh-CN"/>
              </w:rPr>
              <w:t>4</w:t>
            </w:r>
          </w:p>
        </w:tc>
        <w:tc>
          <w:tcPr>
            <w:tcW w:w="9084" w:type="dxa"/>
            <w:gridSpan w:val="2"/>
            <w:tcBorders>
              <w:top w:val="single" w:color="auto" w:sz="4" w:space="0"/>
              <w:left w:val="nil"/>
              <w:bottom w:val="single" w:color="auto" w:sz="4" w:space="0"/>
              <w:right w:val="single" w:color="auto" w:sz="4" w:space="0"/>
            </w:tcBorders>
            <w:noWrap w:val="0"/>
            <w:vAlign w:val="center"/>
          </w:tcPr>
          <w:p w14:paraId="6BEC127F">
            <w:pPr>
              <w:kinsoku w:val="0"/>
              <w:overflowPunct w:val="0"/>
              <w:autoSpaceDE w:val="0"/>
              <w:autoSpaceDN w:val="0"/>
              <w:adjustRightInd w:val="0"/>
              <w:snapToGrid w:val="0"/>
              <w:spacing w:line="360" w:lineRule="auto"/>
              <w:ind w:firstLine="420" w:firstLineChars="200"/>
              <w:textAlignment w:val="bottom"/>
              <w:rPr>
                <w:rFonts w:hint="eastAsia" w:ascii="宋体" w:hAnsi="宋体" w:eastAsia="宋体" w:cs="宋体"/>
                <w:color w:val="auto"/>
                <w:kern w:val="0"/>
                <w:sz w:val="21"/>
                <w:szCs w:val="21"/>
              </w:rPr>
            </w:pPr>
            <w:r>
              <w:rPr>
                <w:rFonts w:hint="eastAsia" w:ascii="宋体" w:hAnsi="宋体" w:eastAsia="宋体" w:cs="宋体"/>
                <w:b w:val="0"/>
                <w:bCs w:val="0"/>
                <w:color w:val="auto"/>
                <w:kern w:val="0"/>
                <w:sz w:val="21"/>
                <w:szCs w:val="21"/>
              </w:rPr>
              <w:t>解释：构成本招标文件的各个组成文件应互为解释，互为说明；如有不明确或不一致，构成合同文件组成内容的，以合同文件约定内容为准；除招标文件中有特殊规定外，仅适用于招标投标阶段的规定，按招标公告、供应商须知、评标办法、投标文件格式的先后顺序解释；同一组成文件中就同一事项的规定或约定不一致的，以编排顺序在后者为准；当招标文件与招标文件的澄清、修改或补充通知就同一内容的表述不一致时，以最后发出的书面文件为准。合同文件约定或后者明显错误的除外。按本款前述规定仍不能形成结论的，由采购人（或采购代理机构）负责解释。</w:t>
            </w:r>
          </w:p>
        </w:tc>
      </w:tr>
      <w:tr w14:paraId="0B528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6702AAEF">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35</w:t>
            </w:r>
          </w:p>
        </w:tc>
        <w:tc>
          <w:tcPr>
            <w:tcW w:w="9084" w:type="dxa"/>
            <w:gridSpan w:val="2"/>
            <w:tcBorders>
              <w:top w:val="single" w:color="auto" w:sz="4" w:space="0"/>
              <w:left w:val="nil"/>
              <w:bottom w:val="single" w:color="auto" w:sz="4" w:space="0"/>
              <w:right w:val="single" w:color="auto" w:sz="4" w:space="0"/>
            </w:tcBorders>
            <w:noWrap w:val="0"/>
            <w:vAlign w:val="center"/>
          </w:tcPr>
          <w:p w14:paraId="38B34422">
            <w:pPr>
              <w:keepNext w:val="0"/>
              <w:keepLines w:val="0"/>
              <w:widowControl/>
              <w:suppressLineNumbers w:val="0"/>
              <w:spacing w:before="0" w:beforeLines="0" w:beforeAutospacing="0" w:after="0" w:afterLines="0" w:afterAutospacing="0" w:line="360" w:lineRule="auto"/>
              <w:ind w:left="0" w:right="0" w:firstLine="316" w:firstLineChars="150"/>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四方信用评价</w:t>
            </w:r>
          </w:p>
          <w:p w14:paraId="7680459C">
            <w:pPr>
              <w:keepNext w:val="0"/>
              <w:keepLines w:val="0"/>
              <w:widowControl/>
              <w:suppressLineNumbers w:val="0"/>
              <w:spacing w:before="0" w:beforeLines="0" w:beforeAutospacing="0" w:after="0" w:afterLines="0" w:afterAutospacing="0" w:line="360" w:lineRule="auto"/>
              <w:ind w:left="0" w:right="0" w:firstLine="315" w:firstLineChars="150"/>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我市政府采购项目已实行四方信用评价功能，各方主体请登录“平顶山市政府采购网”按照评价要求进行客观公正的评价。</w:t>
            </w:r>
          </w:p>
          <w:p w14:paraId="209EBAC5">
            <w:pPr>
              <w:keepNext w:val="0"/>
              <w:keepLines w:val="0"/>
              <w:widowControl/>
              <w:suppressLineNumbers w:val="0"/>
              <w:spacing w:before="0" w:beforeLines="0" w:beforeAutospacing="0" w:after="0" w:afterLines="0" w:afterAutospacing="0" w:line="360" w:lineRule="auto"/>
              <w:ind w:left="0" w:right="0" w:firstLine="315" w:firstLineChars="150"/>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1.对采购人评价指标评价主体:中标、成交供应商</w:t>
            </w:r>
          </w:p>
          <w:p w14:paraId="5B40AE50">
            <w:pPr>
              <w:keepNext w:val="0"/>
              <w:keepLines w:val="0"/>
              <w:widowControl/>
              <w:suppressLineNumbers w:val="0"/>
              <w:spacing w:before="0" w:beforeLines="0" w:beforeAutospacing="0" w:after="0" w:afterLines="0" w:afterAutospacing="0" w:line="360" w:lineRule="auto"/>
              <w:ind w:left="0" w:right="0" w:firstLine="315" w:firstLineChars="150"/>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评价节点:合同履约完成后</w:t>
            </w:r>
          </w:p>
          <w:p w14:paraId="3F477D52">
            <w:pPr>
              <w:keepNext w:val="0"/>
              <w:keepLines w:val="0"/>
              <w:widowControl/>
              <w:suppressLineNumbers w:val="0"/>
              <w:spacing w:before="0" w:beforeLines="0" w:beforeAutospacing="0" w:after="0" w:afterLines="0" w:afterAutospacing="0" w:line="360" w:lineRule="auto"/>
              <w:ind w:left="0" w:right="0" w:firstLine="315" w:firstLineChars="150"/>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2.对中标、成交供应商评价指标评价主体为:采购人</w:t>
            </w:r>
          </w:p>
          <w:p w14:paraId="3F83A8FF">
            <w:pPr>
              <w:keepNext w:val="0"/>
              <w:keepLines w:val="0"/>
              <w:widowControl/>
              <w:suppressLineNumbers w:val="0"/>
              <w:spacing w:before="0" w:beforeLines="0" w:beforeAutospacing="0" w:after="0" w:afterLines="0" w:afterAutospacing="0" w:line="360" w:lineRule="auto"/>
              <w:ind w:left="0" w:right="0" w:firstLine="315" w:firstLineChars="150"/>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评价节点:合同履约完成后</w:t>
            </w:r>
          </w:p>
          <w:p w14:paraId="5A3D13A6">
            <w:pPr>
              <w:keepNext w:val="0"/>
              <w:keepLines w:val="0"/>
              <w:widowControl/>
              <w:suppressLineNumbers w:val="0"/>
              <w:spacing w:before="0" w:beforeLines="0" w:beforeAutospacing="0" w:after="0" w:afterLines="0" w:afterAutospacing="0" w:line="360" w:lineRule="auto"/>
              <w:ind w:left="0" w:right="0" w:firstLine="315" w:firstLineChars="150"/>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3.对评审专家评价指标评价主体为:采购人、代理机构</w:t>
            </w:r>
          </w:p>
          <w:p w14:paraId="290ED209">
            <w:pPr>
              <w:keepNext w:val="0"/>
              <w:keepLines w:val="0"/>
              <w:widowControl/>
              <w:suppressLineNumbers w:val="0"/>
              <w:spacing w:before="0" w:beforeLines="0" w:beforeAutospacing="0" w:after="0" w:afterLines="0" w:afterAutospacing="0" w:line="360" w:lineRule="auto"/>
              <w:ind w:left="0" w:right="0" w:firstLine="315" w:firstLineChars="150"/>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评价节点:项目评审结束后</w:t>
            </w:r>
          </w:p>
          <w:p w14:paraId="1CA9D05D">
            <w:pPr>
              <w:keepNext w:val="0"/>
              <w:keepLines w:val="0"/>
              <w:widowControl/>
              <w:suppressLineNumbers w:val="0"/>
              <w:spacing w:before="0" w:beforeLines="0" w:beforeAutospacing="0" w:after="0" w:afterLines="0" w:afterAutospacing="0" w:line="360" w:lineRule="auto"/>
              <w:ind w:left="0" w:right="0" w:firstLine="315" w:firstLineChars="150"/>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4.对代理机构评价指标评价主体为:采购人、评审专家、供应商</w:t>
            </w:r>
          </w:p>
          <w:p w14:paraId="2BA6ED54">
            <w:pPr>
              <w:kinsoku w:val="0"/>
              <w:overflowPunct w:val="0"/>
              <w:autoSpaceDE w:val="0"/>
              <w:autoSpaceDN w:val="0"/>
              <w:adjustRightInd w:val="0"/>
              <w:snapToGrid w:val="0"/>
              <w:spacing w:line="360" w:lineRule="auto"/>
              <w:ind w:firstLine="420" w:firstLineChars="200"/>
              <w:textAlignment w:val="bottom"/>
              <w:rPr>
                <w:rFonts w:hint="eastAsia" w:ascii="宋体" w:hAnsi="宋体" w:eastAsia="宋体" w:cs="宋体"/>
                <w:b w:val="0"/>
                <w:bCs w:val="0"/>
                <w:color w:val="auto"/>
                <w:kern w:val="0"/>
                <w:sz w:val="21"/>
                <w:szCs w:val="21"/>
              </w:rPr>
            </w:pPr>
            <w:r>
              <w:rPr>
                <w:rFonts w:hint="eastAsia" w:ascii="宋体" w:hAnsi="宋体" w:eastAsia="宋体" w:cs="宋体"/>
                <w:color w:val="auto"/>
                <w:kern w:val="0"/>
                <w:szCs w:val="21"/>
                <w:highlight w:val="none"/>
                <w:lang w:bidi="ar"/>
              </w:rPr>
              <w:t>评价节点:项目评审结束后</w:t>
            </w:r>
          </w:p>
        </w:tc>
      </w:tr>
    </w:tbl>
    <w:p w14:paraId="3A8CE6F3">
      <w:pPr>
        <w:spacing w:line="360" w:lineRule="auto"/>
        <w:rPr>
          <w:rFonts w:hint="eastAsia" w:ascii="宋体" w:hAnsi="宋体" w:eastAsia="宋体" w:cs="宋体"/>
          <w:b/>
          <w:bCs/>
          <w:color w:val="auto"/>
          <w:sz w:val="21"/>
          <w:szCs w:val="21"/>
          <w:lang w:val="en-US" w:eastAsia="zh-CN"/>
        </w:rPr>
      </w:pPr>
    </w:p>
    <w:p w14:paraId="738671B3">
      <w:pPr>
        <w:spacing w:line="360" w:lineRule="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一、总则</w:t>
      </w:r>
    </w:p>
    <w:p w14:paraId="67B53583">
      <w:pPr>
        <w:spacing w:line="360" w:lineRule="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rPr>
        <w:t>1、项目</w:t>
      </w:r>
      <w:r>
        <w:rPr>
          <w:rFonts w:hint="eastAsia" w:ascii="宋体" w:hAnsi="宋体" w:eastAsia="宋体" w:cs="宋体"/>
          <w:b/>
          <w:bCs/>
          <w:color w:val="auto"/>
          <w:sz w:val="21"/>
          <w:szCs w:val="21"/>
          <w:lang w:val="en-US" w:eastAsia="zh-CN"/>
        </w:rPr>
        <w:t>概况</w:t>
      </w:r>
    </w:p>
    <w:p w14:paraId="435950D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1.1项目名称：</w:t>
      </w:r>
      <w:r>
        <w:rPr>
          <w:rFonts w:hint="eastAsia" w:ascii="宋体" w:hAnsi="宋体" w:cs="宋体"/>
          <w:color w:val="auto"/>
          <w:sz w:val="21"/>
          <w:szCs w:val="21"/>
          <w:lang w:eastAsia="zh-CN"/>
        </w:rPr>
        <w:t>平顶山市生态环境局2025年颗粒物组分站（合建交通站）和挥发性有机物站（合建交通站）运维及站点保障项目</w:t>
      </w:r>
    </w:p>
    <w:p w14:paraId="44628D74">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rPr>
          <w:rFonts w:hint="eastAsia"/>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内容</w:t>
      </w:r>
      <w:r>
        <w:rPr>
          <w:rFonts w:hint="eastAsia" w:ascii="宋体" w:hAnsi="宋体" w:eastAsia="宋体" w:cs="宋体"/>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采购一家</w:t>
      </w:r>
      <w:r>
        <w:rPr>
          <w:rFonts w:hint="eastAsia" w:asciiTheme="minorEastAsia" w:hAnsiTheme="minorEastAsia" w:eastAsiaTheme="minorEastAsia" w:cstheme="minorEastAsia"/>
          <w:color w:val="auto"/>
          <w:sz w:val="21"/>
          <w:szCs w:val="21"/>
          <w:highlight w:val="none"/>
        </w:rPr>
        <w:t>承担对挥发性有机物（VOCs）自动监测站（合建交通站）、颗粒物组分自动监测站（合建交通站）设备进行日常检修，耗材更换，例行检查、质控与维护，负责站房配套设施（包含空调、电力、防水、防雷、消防等设施）的维修保养，能耗与动力费用；保障站点正常开展117种 VOCs 组分、甲烷非甲烷总烃、颗粒物组分</w:t>
      </w:r>
      <w:r>
        <w:rPr>
          <w:rFonts w:hint="eastAsia" w:asciiTheme="minorEastAsia" w:hAnsiTheme="minorEastAsia" w:eastAsiaTheme="minorEastAsia" w:cstheme="minorEastAsia"/>
          <w:b w:val="0"/>
          <w:bCs w:val="0"/>
          <w:color w:val="auto"/>
          <w:sz w:val="21"/>
          <w:szCs w:val="21"/>
          <w:highlight w:val="none"/>
        </w:rPr>
        <w:t>（水溶性离子、碳组分、无机元素）、氮氧化物、一氧化碳、PM2.5、PM10、气象五参数等指标的实时监测联网</w:t>
      </w:r>
      <w:r>
        <w:rPr>
          <w:rFonts w:hint="eastAsia" w:asciiTheme="minorEastAsia" w:hAnsiTheme="minorEastAsia" w:eastAsiaTheme="minorEastAsia" w:cstheme="minorEastAsia"/>
          <w:b w:val="0"/>
          <w:bCs w:val="0"/>
          <w:color w:val="auto"/>
          <w:sz w:val="21"/>
          <w:szCs w:val="21"/>
          <w:highlight w:val="none"/>
          <w:lang w:val="en-US" w:eastAsia="zh-CN"/>
        </w:rPr>
        <w:t>等服务的单</w:t>
      </w:r>
      <w:r>
        <w:rPr>
          <w:rFonts w:hint="eastAsia" w:asciiTheme="minorEastAsia" w:hAnsiTheme="minorEastAsia" w:eastAsiaTheme="minorEastAsia" w:cstheme="minorEastAsia"/>
          <w:color w:val="auto"/>
          <w:sz w:val="21"/>
          <w:szCs w:val="21"/>
          <w:highlight w:val="none"/>
          <w:lang w:val="en-US" w:eastAsia="zh-CN"/>
        </w:rPr>
        <w:t>位，</w:t>
      </w:r>
      <w:r>
        <w:rPr>
          <w:rFonts w:hint="eastAsia" w:asciiTheme="minorEastAsia" w:hAnsiTheme="minorEastAsia" w:eastAsiaTheme="minorEastAsia" w:cstheme="minorEastAsia"/>
          <w:color w:val="auto"/>
          <w:sz w:val="21"/>
          <w:szCs w:val="21"/>
          <w:highlight w:val="none"/>
        </w:rPr>
        <w:t>具体</w:t>
      </w:r>
      <w:r>
        <w:rPr>
          <w:rFonts w:hint="eastAsia" w:asciiTheme="minorEastAsia" w:hAnsiTheme="minorEastAsia" w:eastAsiaTheme="minorEastAsia" w:cstheme="minorEastAsia"/>
          <w:color w:val="auto"/>
          <w:sz w:val="21"/>
          <w:szCs w:val="21"/>
          <w:highlight w:val="none"/>
          <w:lang w:val="en-US" w:eastAsia="zh-CN"/>
        </w:rPr>
        <w:t>内容详见采购文件</w:t>
      </w:r>
      <w:r>
        <w:rPr>
          <w:rFonts w:hint="eastAsia" w:asciiTheme="minorEastAsia" w:hAnsiTheme="minorEastAsia" w:eastAsiaTheme="minorEastAsia" w:cstheme="minorEastAsia"/>
          <w:color w:val="auto"/>
          <w:sz w:val="21"/>
          <w:szCs w:val="21"/>
          <w:highlight w:val="none"/>
        </w:rPr>
        <w:t>。</w:t>
      </w:r>
    </w:p>
    <w:p w14:paraId="73FB16D9">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1.3资金来源：财政资金</w:t>
      </w:r>
      <w:r>
        <w:rPr>
          <w:rFonts w:hint="eastAsia" w:ascii="宋体" w:hAnsi="宋体" w:eastAsia="宋体" w:cs="宋体"/>
          <w:color w:val="auto"/>
          <w:sz w:val="21"/>
          <w:szCs w:val="21"/>
          <w:highlight w:val="none"/>
          <w:lang w:eastAsia="zh-CN"/>
        </w:rPr>
        <w:t>。</w:t>
      </w:r>
    </w:p>
    <w:p w14:paraId="7C35B3BD">
      <w:pPr>
        <w:spacing w:line="360" w:lineRule="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rPr>
        <w:t>2、采购方式及</w:t>
      </w:r>
      <w:r>
        <w:rPr>
          <w:rFonts w:hint="eastAsia" w:ascii="宋体" w:hAnsi="宋体" w:eastAsia="宋体" w:cs="宋体"/>
          <w:b/>
          <w:bCs/>
          <w:color w:val="auto"/>
          <w:sz w:val="21"/>
          <w:szCs w:val="21"/>
          <w:lang w:val="en-US" w:eastAsia="zh-CN"/>
        </w:rPr>
        <w:t>标包划分</w:t>
      </w:r>
    </w:p>
    <w:p w14:paraId="060614D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 采购方式：见供应商须知前附表</w:t>
      </w:r>
    </w:p>
    <w:p w14:paraId="2D41982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2.2 标包划分：见供应商须知前附表</w:t>
      </w:r>
    </w:p>
    <w:p w14:paraId="13ECB0AC">
      <w:pPr>
        <w:spacing w:line="360" w:lineRule="auto"/>
        <w:rPr>
          <w:rFonts w:ascii="宋体" w:hAnsi="宋体" w:eastAsia="宋体" w:cs="宋体"/>
          <w:b/>
          <w:bCs/>
          <w:color w:val="auto"/>
          <w:sz w:val="24"/>
          <w:szCs w:val="24"/>
        </w:rPr>
      </w:pPr>
      <w:r>
        <w:rPr>
          <w:rFonts w:hint="eastAsia" w:ascii="宋体" w:hAnsi="宋体" w:eastAsia="宋体" w:cs="宋体"/>
          <w:b/>
          <w:bCs/>
          <w:color w:val="auto"/>
          <w:sz w:val="24"/>
          <w:szCs w:val="24"/>
        </w:rPr>
        <w:t>3、服务期限与质量要求</w:t>
      </w:r>
    </w:p>
    <w:p w14:paraId="11D2D98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3.1 服务期限：见供应商须知前附表</w:t>
      </w:r>
    </w:p>
    <w:p w14:paraId="5CCDC7A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3.2 质量要求：见供应商须知前附表</w:t>
      </w:r>
    </w:p>
    <w:p w14:paraId="30689A9D">
      <w:pPr>
        <w:spacing w:line="360" w:lineRule="auto"/>
        <w:rPr>
          <w:rFonts w:ascii="宋体" w:hAnsi="宋体" w:eastAsia="宋体" w:cs="宋体"/>
          <w:b/>
          <w:bCs/>
          <w:color w:val="auto"/>
          <w:sz w:val="24"/>
          <w:szCs w:val="24"/>
        </w:rPr>
      </w:pPr>
      <w:r>
        <w:rPr>
          <w:rFonts w:hint="eastAsia" w:ascii="宋体" w:hAnsi="宋体" w:eastAsia="宋体" w:cs="宋体"/>
          <w:b/>
          <w:bCs/>
          <w:color w:val="auto"/>
          <w:sz w:val="24"/>
          <w:szCs w:val="24"/>
        </w:rPr>
        <w:t>4、供应商资格要求</w:t>
      </w:r>
    </w:p>
    <w:p w14:paraId="1ADEE1E2">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4.1供应商应具备承担本项目的资格条件：具备</w:t>
      </w:r>
      <w:r>
        <w:rPr>
          <w:rFonts w:hint="eastAsia" w:ascii="宋体" w:hAnsi="宋体" w:cs="宋体"/>
          <w:color w:val="auto"/>
          <w:szCs w:val="21"/>
          <w:lang w:val="en-US" w:eastAsia="zh-CN"/>
        </w:rPr>
        <w:t>竞争性磋商公告</w:t>
      </w:r>
      <w:r>
        <w:rPr>
          <w:rFonts w:hint="eastAsia" w:ascii="宋体" w:hAnsi="宋体" w:eastAsia="宋体" w:cs="宋体"/>
          <w:color w:val="auto"/>
          <w:szCs w:val="21"/>
        </w:rPr>
        <w:t>“二、申请人的资格要求”规定的条件。</w:t>
      </w:r>
    </w:p>
    <w:p w14:paraId="5C82175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4.2 供应商不得存在下列情形：</w:t>
      </w:r>
    </w:p>
    <w:p w14:paraId="410A2C0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（1）为采购人不具有独立法人资格的附属机构（单位）；</w:t>
      </w:r>
    </w:p>
    <w:p w14:paraId="764F178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（2）为本项目提供招标代理服务的；</w:t>
      </w:r>
    </w:p>
    <w:p w14:paraId="45DFDC7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（3）与本项目的采购代理机构同为一个法定代表人的；</w:t>
      </w:r>
    </w:p>
    <w:p w14:paraId="42EED1A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（4）与本项目的采购代理机构相互控股或参股的；</w:t>
      </w:r>
    </w:p>
    <w:p w14:paraId="01716F5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（5）与本项目的采购代理机构相互任职或工作的；</w:t>
      </w:r>
    </w:p>
    <w:p w14:paraId="5A033C4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（6）被责令停业的；</w:t>
      </w:r>
    </w:p>
    <w:p w14:paraId="60B7D3D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（7）被暂停或取消投标资格的；</w:t>
      </w:r>
    </w:p>
    <w:p w14:paraId="505B634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（8）财产被接管或冻结的；</w:t>
      </w:r>
    </w:p>
    <w:p w14:paraId="5F73AC7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（9）在最近三年内有骗取中标或严重违约的。</w:t>
      </w:r>
    </w:p>
    <w:p w14:paraId="1D755A41">
      <w:pPr>
        <w:spacing w:line="360" w:lineRule="auto"/>
        <w:rPr>
          <w:rFonts w:ascii="宋体" w:hAnsi="宋体" w:eastAsia="宋体" w:cs="宋体"/>
          <w:b/>
          <w:bCs/>
          <w:color w:val="auto"/>
          <w:sz w:val="24"/>
          <w:szCs w:val="24"/>
        </w:rPr>
      </w:pPr>
      <w:r>
        <w:rPr>
          <w:rFonts w:hint="eastAsia" w:ascii="宋体" w:hAnsi="宋体" w:eastAsia="宋体" w:cs="宋体"/>
          <w:b/>
          <w:bCs/>
          <w:color w:val="auto"/>
          <w:sz w:val="24"/>
          <w:szCs w:val="24"/>
        </w:rPr>
        <w:t>5、</w:t>
      </w:r>
      <w:r>
        <w:rPr>
          <w:rFonts w:hint="eastAsia" w:ascii="宋体" w:hAnsi="宋体" w:eastAsia="宋体" w:cs="宋体"/>
          <w:b/>
          <w:bCs/>
          <w:color w:val="auto"/>
          <w:szCs w:val="21"/>
        </w:rPr>
        <w:t xml:space="preserve"> </w:t>
      </w:r>
      <w:bookmarkStart w:id="30" w:name="_Toc25764"/>
      <w:bookmarkEnd w:id="30"/>
      <w:bookmarkStart w:id="31" w:name="_Toc5811"/>
      <w:r>
        <w:rPr>
          <w:rFonts w:hint="eastAsia" w:ascii="宋体" w:hAnsi="宋体" w:eastAsia="宋体" w:cs="宋体"/>
          <w:b/>
          <w:bCs/>
          <w:color w:val="auto"/>
          <w:sz w:val="24"/>
          <w:szCs w:val="24"/>
        </w:rPr>
        <w:t>磋商报价</w:t>
      </w:r>
      <w:bookmarkEnd w:id="31"/>
    </w:p>
    <w:p w14:paraId="42ABA83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5.1供应商可根据企业具体情况及本磋商文件规定的</w:t>
      </w:r>
      <w:r>
        <w:rPr>
          <w:rFonts w:hint="eastAsia" w:ascii="宋体" w:hAnsi="宋体" w:eastAsia="宋体" w:cs="宋体"/>
          <w:color w:val="auto"/>
          <w:szCs w:val="21"/>
          <w:lang w:val="en-US" w:eastAsia="zh-CN"/>
        </w:rPr>
        <w:t>服务</w:t>
      </w:r>
      <w:r>
        <w:rPr>
          <w:rFonts w:hint="eastAsia" w:ascii="宋体" w:hAnsi="宋体" w:eastAsia="宋体" w:cs="宋体"/>
          <w:color w:val="auto"/>
          <w:szCs w:val="21"/>
        </w:rPr>
        <w:t>内容在合理范围内进行报价。本项目的磋商报价为综合价格，所有磋商文件中列出的及隐含的为完成合同所需要的一切责任和义务等费用都应在内。包括所有</w:t>
      </w:r>
      <w:r>
        <w:rPr>
          <w:rFonts w:hint="eastAsia" w:ascii="宋体" w:hAnsi="宋体" w:cs="宋体"/>
          <w:color w:val="auto"/>
          <w:szCs w:val="21"/>
          <w:lang w:val="en-US" w:eastAsia="zh-CN"/>
        </w:rPr>
        <w:t>运维、</w:t>
      </w:r>
      <w:r>
        <w:rPr>
          <w:color w:val="auto"/>
          <w:spacing w:val="-1"/>
          <w:w w:val="100"/>
        </w:rPr>
        <w:t>人员、耗</w:t>
      </w:r>
      <w:r>
        <w:rPr>
          <w:color w:val="auto"/>
        </w:rPr>
        <w:t>材</w:t>
      </w:r>
      <w:r>
        <w:rPr>
          <w:color w:val="auto"/>
          <w:spacing w:val="-3"/>
        </w:rPr>
        <w:t>、配件、调试、质量检验、各项税费、保险费、意外事故、验收、技</w:t>
      </w:r>
      <w:r>
        <w:rPr>
          <w:color w:val="auto"/>
          <w:spacing w:val="-12"/>
        </w:rPr>
        <w:t>术资料费等全部费用，以及合同实施过程中不可预见的各项费用</w:t>
      </w:r>
      <w:r>
        <w:rPr>
          <w:rFonts w:hint="eastAsia" w:ascii="宋体" w:hAnsi="宋体" w:eastAsia="宋体" w:cs="宋体"/>
          <w:color w:val="auto"/>
          <w:szCs w:val="21"/>
        </w:rPr>
        <w:t>及可能的风险，不再有报价以外的任何附加费用。未列入或者没有填写的项目费用视为已在相关项目的价格中。</w:t>
      </w:r>
    </w:p>
    <w:p w14:paraId="6F53E67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5.2如报价表中的大写</w:t>
      </w:r>
      <w:r>
        <w:rPr>
          <w:rFonts w:hint="eastAsia" w:ascii="宋体" w:hAnsi="宋体" w:eastAsia="宋体" w:cs="宋体"/>
          <w:color w:val="auto"/>
          <w:szCs w:val="21"/>
          <w:lang w:val="en-US" w:eastAsia="zh-CN"/>
        </w:rPr>
        <w:t>报价</w:t>
      </w:r>
      <w:r>
        <w:rPr>
          <w:rFonts w:hint="eastAsia" w:ascii="宋体" w:hAnsi="宋体" w:eastAsia="宋体" w:cs="宋体"/>
          <w:color w:val="auto"/>
          <w:szCs w:val="21"/>
        </w:rPr>
        <w:t>和小写</w:t>
      </w:r>
      <w:r>
        <w:rPr>
          <w:rFonts w:hint="eastAsia" w:ascii="宋体" w:hAnsi="宋体" w:eastAsia="宋体" w:cs="宋体"/>
          <w:color w:val="auto"/>
          <w:szCs w:val="21"/>
          <w:lang w:val="en-US" w:eastAsia="zh-CN"/>
        </w:rPr>
        <w:t>报价</w:t>
      </w:r>
      <w:r>
        <w:rPr>
          <w:rFonts w:hint="eastAsia" w:ascii="宋体" w:hAnsi="宋体" w:eastAsia="宋体" w:cs="宋体"/>
          <w:color w:val="auto"/>
          <w:szCs w:val="21"/>
        </w:rPr>
        <w:t>不一致的，以大写</w:t>
      </w:r>
      <w:r>
        <w:rPr>
          <w:rFonts w:hint="eastAsia" w:ascii="宋体" w:hAnsi="宋体" w:eastAsia="宋体" w:cs="宋体"/>
          <w:color w:val="auto"/>
          <w:szCs w:val="21"/>
          <w:lang w:val="en-US" w:eastAsia="zh-CN"/>
        </w:rPr>
        <w:t>报价</w:t>
      </w:r>
      <w:r>
        <w:rPr>
          <w:rFonts w:hint="eastAsia" w:ascii="宋体" w:hAnsi="宋体" w:eastAsia="宋体" w:cs="宋体"/>
          <w:color w:val="auto"/>
          <w:szCs w:val="21"/>
        </w:rPr>
        <w:t>为准；总价</w:t>
      </w:r>
      <w:r>
        <w:rPr>
          <w:rFonts w:hint="eastAsia" w:ascii="宋体" w:hAnsi="宋体" w:eastAsia="宋体" w:cs="宋体"/>
          <w:color w:val="auto"/>
          <w:szCs w:val="21"/>
          <w:lang w:val="en-US" w:eastAsia="zh-CN"/>
        </w:rPr>
        <w:t>报价</w:t>
      </w:r>
      <w:r>
        <w:rPr>
          <w:rFonts w:hint="eastAsia" w:ascii="宋体" w:hAnsi="宋体" w:eastAsia="宋体" w:cs="宋体"/>
          <w:color w:val="auto"/>
          <w:szCs w:val="21"/>
        </w:rPr>
        <w:t>与单价</w:t>
      </w:r>
      <w:r>
        <w:rPr>
          <w:rFonts w:hint="eastAsia" w:ascii="宋体" w:hAnsi="宋体" w:eastAsia="宋体" w:cs="宋体"/>
          <w:color w:val="auto"/>
          <w:szCs w:val="21"/>
          <w:lang w:val="en-US" w:eastAsia="zh-CN"/>
        </w:rPr>
        <w:t>报价</w:t>
      </w:r>
      <w:r>
        <w:rPr>
          <w:rFonts w:hint="eastAsia" w:ascii="宋体" w:hAnsi="宋体" w:eastAsia="宋体" w:cs="宋体"/>
          <w:color w:val="auto"/>
          <w:szCs w:val="21"/>
        </w:rPr>
        <w:t>不一致的，以单价</w:t>
      </w:r>
      <w:r>
        <w:rPr>
          <w:rFonts w:hint="eastAsia" w:ascii="宋体" w:hAnsi="宋体" w:eastAsia="宋体" w:cs="宋体"/>
          <w:color w:val="auto"/>
          <w:szCs w:val="21"/>
          <w:lang w:val="en-US" w:eastAsia="zh-CN"/>
        </w:rPr>
        <w:t>报价</w:t>
      </w:r>
      <w:r>
        <w:rPr>
          <w:rFonts w:hint="eastAsia" w:ascii="宋体" w:hAnsi="宋体" w:eastAsia="宋体" w:cs="宋体"/>
          <w:color w:val="auto"/>
          <w:szCs w:val="21"/>
        </w:rPr>
        <w:t>为准修正总价，但单价</w:t>
      </w:r>
      <w:r>
        <w:rPr>
          <w:rFonts w:hint="eastAsia" w:ascii="宋体" w:hAnsi="宋体" w:eastAsia="宋体" w:cs="宋体"/>
          <w:color w:val="auto"/>
          <w:szCs w:val="21"/>
          <w:lang w:val="en-US" w:eastAsia="zh-CN"/>
        </w:rPr>
        <w:t>报价</w:t>
      </w:r>
      <w:r>
        <w:rPr>
          <w:rFonts w:hint="eastAsia" w:ascii="宋体" w:hAnsi="宋体" w:eastAsia="宋体" w:cs="宋体"/>
          <w:color w:val="auto"/>
          <w:szCs w:val="21"/>
        </w:rPr>
        <w:t>小数点有明显错误的除外；对不同文字文本响应文件的解释发生异议的，以中文文本为准。</w:t>
      </w:r>
    </w:p>
    <w:p w14:paraId="2076485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5.3 </w:t>
      </w:r>
      <w:r>
        <w:rPr>
          <w:rFonts w:hint="eastAsia" w:ascii="宋体" w:hAnsi="宋体" w:eastAsia="宋体" w:cs="宋体"/>
          <w:color w:val="auto"/>
          <w:kern w:val="0"/>
        </w:rPr>
        <w:t>所有投标报价均以</w:t>
      </w:r>
      <w:bookmarkStart w:id="32" w:name="OLE_LINK6"/>
      <w:r>
        <w:rPr>
          <w:rFonts w:hint="eastAsia" w:ascii="宋体" w:hAnsi="宋体" w:eastAsia="宋体" w:cs="宋体"/>
          <w:color w:val="auto"/>
          <w:kern w:val="0"/>
        </w:rPr>
        <w:t>人民币元</w:t>
      </w:r>
      <w:bookmarkEnd w:id="32"/>
      <w:r>
        <w:rPr>
          <w:rFonts w:hint="eastAsia" w:ascii="宋体" w:hAnsi="宋体" w:eastAsia="宋体" w:cs="宋体"/>
          <w:color w:val="auto"/>
          <w:kern w:val="0"/>
        </w:rPr>
        <w:t>为计算单位</w:t>
      </w:r>
      <w:r>
        <w:rPr>
          <w:rFonts w:hint="eastAsia" w:ascii="宋体" w:hAnsi="宋体" w:eastAsia="宋体" w:cs="宋体"/>
          <w:color w:val="auto"/>
          <w:szCs w:val="21"/>
        </w:rPr>
        <w:t>。磋商报价是以</w:t>
      </w:r>
      <w:r>
        <w:rPr>
          <w:rFonts w:hint="eastAsia" w:ascii="宋体" w:hAnsi="宋体" w:eastAsia="宋体" w:cs="宋体"/>
          <w:color w:val="auto"/>
          <w:kern w:val="0"/>
        </w:rPr>
        <w:t>人民币元</w:t>
      </w:r>
      <w:r>
        <w:rPr>
          <w:rFonts w:hint="eastAsia" w:ascii="宋体" w:hAnsi="宋体" w:eastAsia="宋体" w:cs="宋体"/>
          <w:color w:val="auto"/>
          <w:szCs w:val="21"/>
        </w:rPr>
        <w:t>为单位的综合报价，供应商应根据本项目最高投标限价， 结合本项目实际情况，提出不高于最高限价的报价。任何有选择性的报价将不予接受，每轮只许有一个报价</w:t>
      </w:r>
      <w:r>
        <w:rPr>
          <w:rFonts w:hint="eastAsia" w:ascii="宋体" w:hAnsi="宋体" w:cs="宋体"/>
          <w:color w:val="auto"/>
          <w:szCs w:val="21"/>
          <w:lang w:eastAsia="zh-CN"/>
        </w:rPr>
        <w:t>。</w:t>
      </w:r>
      <w:r>
        <w:rPr>
          <w:rFonts w:hint="eastAsia" w:ascii="宋体" w:hAnsi="宋体" w:eastAsia="宋体" w:cs="宋体"/>
          <w:color w:val="auto"/>
          <w:szCs w:val="21"/>
        </w:rPr>
        <w:t xml:space="preserve"> </w:t>
      </w:r>
    </w:p>
    <w:p w14:paraId="04E49B0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w:t>
      </w:r>
      <w:r>
        <w:rPr>
          <w:rFonts w:hint="eastAsia" w:ascii="宋体" w:hAnsi="宋体" w:cs="宋体"/>
          <w:color w:val="auto"/>
          <w:szCs w:val="21"/>
          <w:lang w:val="en-US" w:eastAsia="zh-CN"/>
        </w:rPr>
        <w:t>4</w:t>
      </w:r>
      <w:r>
        <w:rPr>
          <w:rFonts w:hint="eastAsia" w:ascii="宋体" w:hAnsi="宋体" w:eastAsia="宋体" w:cs="宋体"/>
          <w:color w:val="auto"/>
          <w:szCs w:val="21"/>
        </w:rPr>
        <w:t>磋商过程供应商需二轮报价（首次报价、最终报价）</w:t>
      </w:r>
    </w:p>
    <w:p w14:paraId="247E3820">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6、投标费用</w:t>
      </w:r>
    </w:p>
    <w:p w14:paraId="65162AD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供应商应承担响应文件编制与递交所涉及的一切费用，采购人和招标代理机构对上述费用均不承担任何责任。</w:t>
      </w:r>
    </w:p>
    <w:p w14:paraId="30E067B9">
      <w:pPr>
        <w:spacing w:line="360" w:lineRule="auto"/>
        <w:rPr>
          <w:rFonts w:ascii="宋体" w:hAnsi="宋体" w:eastAsia="宋体" w:cs="宋体"/>
          <w:b/>
          <w:bCs/>
          <w:color w:val="auto"/>
          <w:sz w:val="24"/>
          <w:szCs w:val="24"/>
        </w:rPr>
      </w:pPr>
      <w:r>
        <w:rPr>
          <w:rFonts w:hint="eastAsia" w:ascii="宋体" w:hAnsi="宋体" w:eastAsia="宋体" w:cs="宋体"/>
          <w:b/>
          <w:bCs/>
          <w:color w:val="auto"/>
          <w:sz w:val="24"/>
          <w:szCs w:val="24"/>
        </w:rPr>
        <w:t>7</w:t>
      </w:r>
      <w:r>
        <w:rPr>
          <w:rFonts w:hint="eastAsia" w:ascii="宋体" w:hAnsi="宋体" w:eastAsia="宋体" w:cs="宋体"/>
          <w:color w:val="auto"/>
          <w:sz w:val="24"/>
          <w:szCs w:val="24"/>
        </w:rPr>
        <w:t>、</w:t>
      </w:r>
      <w:r>
        <w:rPr>
          <w:rFonts w:hint="eastAsia" w:ascii="宋体" w:hAnsi="宋体" w:eastAsia="宋体" w:cs="宋体"/>
          <w:b/>
          <w:bCs/>
          <w:color w:val="auto"/>
          <w:sz w:val="24"/>
          <w:szCs w:val="24"/>
        </w:rPr>
        <w:t>投标有效期</w:t>
      </w:r>
    </w:p>
    <w:p w14:paraId="39DE8A2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7.1</w:t>
      </w:r>
      <w:r>
        <w:rPr>
          <w:rFonts w:hint="eastAsia" w:ascii="宋体" w:hAnsi="宋体" w:cs="宋体"/>
          <w:color w:val="auto"/>
          <w:szCs w:val="21"/>
          <w:lang w:eastAsia="zh-CN"/>
        </w:rPr>
        <w:t>投标有效期：</w:t>
      </w:r>
      <w:r>
        <w:rPr>
          <w:rFonts w:hint="eastAsia" w:ascii="宋体" w:hAnsi="宋体" w:eastAsia="宋体" w:cs="宋体"/>
          <w:color w:val="auto"/>
          <w:kern w:val="0"/>
          <w:sz w:val="21"/>
          <w:szCs w:val="21"/>
        </w:rPr>
        <w:t>投标截止期结束后90日。</w:t>
      </w:r>
      <w:r>
        <w:rPr>
          <w:rFonts w:hint="eastAsia" w:ascii="宋体" w:hAnsi="宋体" w:eastAsia="宋体" w:cs="宋体"/>
          <w:color w:val="auto"/>
          <w:kern w:val="0"/>
          <w:sz w:val="21"/>
          <w:szCs w:val="21"/>
          <w:lang w:val="en-US" w:eastAsia="zh-CN"/>
        </w:rPr>
        <w:t>成交</w:t>
      </w:r>
      <w:r>
        <w:rPr>
          <w:rFonts w:hint="eastAsia" w:ascii="宋体" w:hAnsi="宋体" w:eastAsia="宋体" w:cs="宋体"/>
          <w:color w:val="auto"/>
          <w:kern w:val="0"/>
          <w:sz w:val="21"/>
          <w:szCs w:val="21"/>
        </w:rPr>
        <w:t>供应商的</w:t>
      </w:r>
      <w:r>
        <w:rPr>
          <w:rFonts w:hint="eastAsia" w:ascii="宋体" w:hAnsi="宋体" w:eastAsia="宋体" w:cs="宋体"/>
          <w:color w:val="auto"/>
          <w:kern w:val="0"/>
          <w:sz w:val="21"/>
          <w:szCs w:val="21"/>
          <w:lang w:val="en-US" w:eastAsia="zh-CN"/>
        </w:rPr>
        <w:t>响应</w:t>
      </w:r>
      <w:r>
        <w:rPr>
          <w:rFonts w:hint="eastAsia" w:ascii="宋体" w:hAnsi="宋体" w:eastAsia="宋体" w:cs="宋体"/>
          <w:color w:val="auto"/>
          <w:kern w:val="0"/>
          <w:sz w:val="21"/>
          <w:szCs w:val="21"/>
        </w:rPr>
        <w:t>文件是合同的组成部分,有效期至合同完全履行止。</w:t>
      </w:r>
    </w:p>
    <w:p w14:paraId="4B9A53A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7.2在特殊情况下，采购人在原定投标有效期内，可以根据需要向供应商提出延长有效期的要求。供应商可以拒绝这种要求，而不被没收投标保证金。同意延长投标有效期的供应商不能要求也不允许修改其投标文件，但需要相应延长投标保证金的有效期，在延长的投标有效期内，有关投标保证金的相关规定仍然适用。</w:t>
      </w:r>
    </w:p>
    <w:p w14:paraId="01130B0C">
      <w:pPr>
        <w:spacing w:line="360" w:lineRule="auto"/>
        <w:rPr>
          <w:rFonts w:ascii="宋体" w:hAnsi="宋体" w:eastAsia="宋体" w:cs="宋体"/>
          <w:b/>
          <w:bCs/>
          <w:color w:val="auto"/>
          <w:kern w:val="0"/>
          <w:sz w:val="24"/>
          <w:szCs w:val="24"/>
        </w:rPr>
      </w:pPr>
      <w:bookmarkStart w:id="33" w:name="_Toc7191"/>
      <w:bookmarkEnd w:id="33"/>
      <w:bookmarkStart w:id="34" w:name="_Toc3187"/>
      <w:r>
        <w:rPr>
          <w:rFonts w:hint="eastAsia" w:ascii="宋体" w:hAnsi="宋体" w:eastAsia="宋体" w:cs="宋体"/>
          <w:b/>
          <w:bCs/>
          <w:color w:val="auto"/>
          <w:kern w:val="0"/>
          <w:sz w:val="24"/>
          <w:szCs w:val="24"/>
        </w:rPr>
        <w:t>二、磋商文件内容</w:t>
      </w:r>
      <w:bookmarkEnd w:id="34"/>
    </w:p>
    <w:p w14:paraId="2081482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1、供应商应认真审阅磋商文件中所有的供应商须知、服务内容及要求、规定格式等。如果供应商的响应文件不符合磋商文件的要求，责任由供应商自己承担。实质上不响应磋商文件要求的投标将被拒绝。</w:t>
      </w:r>
    </w:p>
    <w:p w14:paraId="73A003C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2、磋商文件内容包括补充说明和招标答疑：</w:t>
      </w:r>
    </w:p>
    <w:p w14:paraId="5E85E30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3、磋商文件的构成</w:t>
      </w:r>
    </w:p>
    <w:p w14:paraId="00D83E1B">
      <w:pPr>
        <w:spacing w:line="360" w:lineRule="auto"/>
        <w:ind w:firstLine="420" w:firstLineChars="200"/>
        <w:rPr>
          <w:rFonts w:hint="eastAsia" w:ascii="宋体" w:hAnsi="宋体" w:eastAsia="宋体" w:cs="宋体"/>
          <w:color w:val="auto"/>
          <w:szCs w:val="21"/>
        </w:rPr>
      </w:pPr>
      <w:bookmarkStart w:id="35" w:name="_Toc3150"/>
      <w:bookmarkEnd w:id="35"/>
      <w:bookmarkStart w:id="36" w:name="_Toc26799"/>
      <w:bookmarkEnd w:id="36"/>
      <w:bookmarkStart w:id="37" w:name="_Toc31213"/>
      <w:bookmarkEnd w:id="37"/>
      <w:bookmarkStart w:id="38" w:name="_Toc29346"/>
      <w:r>
        <w:rPr>
          <w:rFonts w:hint="eastAsia" w:ascii="宋体" w:hAnsi="宋体" w:eastAsia="宋体" w:cs="宋体"/>
          <w:color w:val="auto"/>
          <w:szCs w:val="21"/>
          <w:lang w:val="en-US" w:eastAsia="zh-CN"/>
        </w:rPr>
        <w:t>3.1</w:t>
      </w:r>
      <w:r>
        <w:rPr>
          <w:rFonts w:hint="eastAsia" w:ascii="宋体" w:hAnsi="宋体" w:eastAsia="宋体" w:cs="宋体"/>
          <w:color w:val="auto"/>
          <w:szCs w:val="21"/>
        </w:rPr>
        <w:t>、磋商响应书</w:t>
      </w:r>
    </w:p>
    <w:p w14:paraId="7FBDE64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3.2</w:t>
      </w:r>
      <w:r>
        <w:rPr>
          <w:rFonts w:hint="eastAsia" w:ascii="宋体" w:hAnsi="宋体" w:eastAsia="宋体" w:cs="宋体"/>
          <w:color w:val="auto"/>
          <w:szCs w:val="21"/>
        </w:rPr>
        <w:t>、报价一览表</w:t>
      </w:r>
    </w:p>
    <w:p w14:paraId="7040596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3.3</w:t>
      </w:r>
      <w:r>
        <w:rPr>
          <w:rFonts w:hint="eastAsia" w:ascii="宋体" w:hAnsi="宋体" w:eastAsia="宋体" w:cs="宋体"/>
          <w:color w:val="auto"/>
          <w:szCs w:val="21"/>
        </w:rPr>
        <w:t>、法定代表人身份证明</w:t>
      </w:r>
    </w:p>
    <w:p w14:paraId="0F771AC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3.4</w:t>
      </w:r>
      <w:r>
        <w:rPr>
          <w:rFonts w:hint="eastAsia" w:ascii="宋体" w:hAnsi="宋体" w:eastAsia="宋体" w:cs="宋体"/>
          <w:color w:val="auto"/>
          <w:szCs w:val="21"/>
        </w:rPr>
        <w:t>、授权委托书</w:t>
      </w:r>
    </w:p>
    <w:p w14:paraId="49CC4B9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3.5</w:t>
      </w:r>
      <w:r>
        <w:rPr>
          <w:rFonts w:hint="eastAsia" w:ascii="宋体" w:hAnsi="宋体" w:eastAsia="宋体" w:cs="宋体"/>
          <w:color w:val="auto"/>
          <w:szCs w:val="21"/>
        </w:rPr>
        <w:t>、服务内容及要求的响应</w:t>
      </w:r>
    </w:p>
    <w:p w14:paraId="72F9A2C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3.6</w:t>
      </w:r>
      <w:r>
        <w:rPr>
          <w:rFonts w:hint="eastAsia" w:ascii="宋体" w:hAnsi="宋体" w:eastAsia="宋体" w:cs="宋体"/>
          <w:color w:val="auto"/>
          <w:szCs w:val="21"/>
        </w:rPr>
        <w:t>、资格审查资料</w:t>
      </w:r>
    </w:p>
    <w:p w14:paraId="09DAD58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3.7</w:t>
      </w:r>
      <w:r>
        <w:rPr>
          <w:rFonts w:hint="eastAsia" w:ascii="宋体" w:hAnsi="宋体" w:eastAsia="宋体" w:cs="宋体"/>
          <w:color w:val="auto"/>
          <w:szCs w:val="21"/>
        </w:rPr>
        <w:t>、其它资料</w:t>
      </w:r>
    </w:p>
    <w:p w14:paraId="558E9F9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4、磋商文件的澄清</w:t>
      </w:r>
      <w:bookmarkEnd w:id="38"/>
    </w:p>
    <w:p w14:paraId="6A06854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供应商对磋商文件如有需要澄清的疑问，须在规定的质疑时间内在电子交易系统中提出。招标代理机构将视情况在供应商须知前附表中所述的投标截止日期前予以答复。</w:t>
      </w:r>
    </w:p>
    <w:p w14:paraId="4465736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5、磋商文件的修改和补充</w:t>
      </w:r>
    </w:p>
    <w:p w14:paraId="33DB902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(1)在投标须知前附表中所述的投标截止日期</w:t>
      </w:r>
      <w:r>
        <w:rPr>
          <w:rFonts w:hint="eastAsia" w:ascii="宋体" w:hAnsi="宋体" w:eastAsia="宋体" w:cs="宋体"/>
          <w:color w:val="auto"/>
          <w:szCs w:val="21"/>
          <w:lang w:val="en-US" w:eastAsia="zh-CN"/>
        </w:rPr>
        <w:t>5</w:t>
      </w:r>
      <w:r>
        <w:rPr>
          <w:rFonts w:hint="eastAsia" w:ascii="宋体" w:hAnsi="宋体" w:eastAsia="宋体" w:cs="宋体"/>
          <w:color w:val="auto"/>
          <w:szCs w:val="21"/>
        </w:rPr>
        <w:t>日前，招标代理机构可主动地或在解答供应商提出的澄清问题时对磋商文件进行修改。</w:t>
      </w:r>
    </w:p>
    <w:p w14:paraId="5AC9D71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(2)磋商文件的修改将在电子交易系统中公示，并构成磋商文件的一部分，对所有供应商均具有约束力。</w:t>
      </w:r>
    </w:p>
    <w:p w14:paraId="2F4B360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(3)为使供应商有充分的时间对磋商文件的修改部分进行研究，招标代理机构可适当延长投标截止期。</w:t>
      </w:r>
    </w:p>
    <w:p w14:paraId="1FB8D44E">
      <w:pPr>
        <w:spacing w:line="360" w:lineRule="auto"/>
        <w:rPr>
          <w:rFonts w:ascii="宋体" w:hAnsi="宋体" w:eastAsia="宋体" w:cs="宋体"/>
          <w:b/>
          <w:bCs/>
          <w:color w:val="auto"/>
          <w:sz w:val="28"/>
          <w:szCs w:val="28"/>
        </w:rPr>
      </w:pPr>
      <w:r>
        <w:rPr>
          <w:rFonts w:hint="eastAsia" w:ascii="宋体" w:hAnsi="宋体" w:eastAsia="宋体" w:cs="宋体"/>
          <w:b/>
          <w:bCs/>
          <w:color w:val="auto"/>
          <w:sz w:val="28"/>
          <w:szCs w:val="28"/>
        </w:rPr>
        <w:t>三、响应文件编制</w:t>
      </w:r>
    </w:p>
    <w:p w14:paraId="72497F1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供应商应仔细阅读磋商文件中所有的事项、格式、条款和技术要求，按磋商文件规定的要求提供响应文件，并保证所提供的全部资料的真实性。如果响应文件没有按照磋商文件要求提供全部资料，或者响应文件没有对磋商文件在各方面都做出实质性响应，其投标将被拒绝，其风险应由供应商承担。</w:t>
      </w:r>
    </w:p>
    <w:p w14:paraId="428616C2">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1、响应文件的语言及计量单位</w:t>
      </w:r>
    </w:p>
    <w:p w14:paraId="00D3519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（1）除专用术语外，与招标投标有关的语言均使用中文。</w:t>
      </w:r>
    </w:p>
    <w:p w14:paraId="2210F3F2">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（2）所有计量均采用中华人民共和国法定计量单位。</w:t>
      </w:r>
    </w:p>
    <w:p w14:paraId="575A180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2、响应文件的组成</w:t>
      </w:r>
    </w:p>
    <w:p w14:paraId="34F4EE4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一、磋商响应书</w:t>
      </w:r>
    </w:p>
    <w:p w14:paraId="6CDCB72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二、报价一览表</w:t>
      </w:r>
    </w:p>
    <w:p w14:paraId="34BDE8D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三、法定代表人身份证明</w:t>
      </w:r>
    </w:p>
    <w:p w14:paraId="01574CF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四、授权委托书</w:t>
      </w:r>
    </w:p>
    <w:p w14:paraId="075115F7">
      <w:pPr>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rPr>
        <w:t>五、服务内容及要求</w:t>
      </w:r>
      <w:r>
        <w:rPr>
          <w:rFonts w:hint="eastAsia" w:ascii="宋体" w:hAnsi="宋体" w:cs="宋体"/>
          <w:color w:val="auto"/>
          <w:szCs w:val="21"/>
          <w:lang w:val="en-US" w:eastAsia="zh-CN"/>
        </w:rPr>
        <w:t>的响应</w:t>
      </w:r>
    </w:p>
    <w:p w14:paraId="4BD09F9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六</w:t>
      </w:r>
      <w:r>
        <w:rPr>
          <w:rFonts w:hint="eastAsia" w:ascii="宋体" w:hAnsi="宋体" w:eastAsia="宋体" w:cs="宋体"/>
          <w:color w:val="auto"/>
          <w:szCs w:val="21"/>
        </w:rPr>
        <w:t>、资格审查资料</w:t>
      </w:r>
    </w:p>
    <w:p w14:paraId="7CC7A03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七</w:t>
      </w:r>
      <w:r>
        <w:rPr>
          <w:rFonts w:hint="eastAsia" w:ascii="宋体" w:hAnsi="宋体" w:eastAsia="宋体" w:cs="宋体"/>
          <w:color w:val="auto"/>
          <w:szCs w:val="21"/>
        </w:rPr>
        <w:t>、其它资料</w:t>
      </w:r>
    </w:p>
    <w:p w14:paraId="523BC52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3、响应文件的格式</w:t>
      </w:r>
    </w:p>
    <w:p w14:paraId="5039156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供应商应按磋商文件中提供的响应文件格式填写</w:t>
      </w:r>
    </w:p>
    <w:p w14:paraId="7EDD427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4、磋商报价</w:t>
      </w:r>
    </w:p>
    <w:p w14:paraId="2428AB8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响应文件投标总价为初始报价，最终磋商报价即为成交合同价。</w:t>
      </w:r>
    </w:p>
    <w:p w14:paraId="6B83E84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5、投标货币</w:t>
      </w:r>
    </w:p>
    <w:p w14:paraId="0223F3A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供应商应以</w:t>
      </w:r>
      <w:r>
        <w:rPr>
          <w:rFonts w:hint="eastAsia" w:ascii="宋体" w:hAnsi="宋体" w:eastAsia="宋体" w:cs="宋体"/>
          <w:color w:val="auto"/>
          <w:kern w:val="0"/>
        </w:rPr>
        <w:t>人民币元</w:t>
      </w:r>
      <w:r>
        <w:rPr>
          <w:rFonts w:hint="eastAsia" w:ascii="宋体" w:hAnsi="宋体" w:eastAsia="宋体" w:cs="宋体"/>
          <w:color w:val="auto"/>
          <w:kern w:val="0"/>
          <w:lang w:eastAsia="zh-CN"/>
        </w:rPr>
        <w:t>的</w:t>
      </w:r>
      <w:r>
        <w:rPr>
          <w:rFonts w:hint="eastAsia" w:ascii="宋体" w:hAnsi="宋体" w:eastAsia="宋体" w:cs="宋体"/>
          <w:color w:val="auto"/>
          <w:szCs w:val="21"/>
          <w:lang w:val="en-US" w:eastAsia="zh-CN"/>
        </w:rPr>
        <w:t>形式进行报价，以人民币方式进行结算</w:t>
      </w:r>
      <w:r>
        <w:rPr>
          <w:rFonts w:hint="eastAsia" w:ascii="宋体" w:hAnsi="宋体" w:eastAsia="宋体" w:cs="宋体"/>
          <w:color w:val="auto"/>
          <w:szCs w:val="21"/>
        </w:rPr>
        <w:t>。</w:t>
      </w:r>
    </w:p>
    <w:p w14:paraId="63F3B72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6、供应商资格的证明文件</w:t>
      </w:r>
    </w:p>
    <w:p w14:paraId="6DC4858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按照磋商文件规定的格式提交相应的资格证明文件，作为响应文件的一部分，以证明其供应商有资格进行投标和有能力履行合同。</w:t>
      </w:r>
    </w:p>
    <w:p w14:paraId="0B9728A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7、磋商有效期</w:t>
      </w:r>
    </w:p>
    <w:p w14:paraId="32FD096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（1）须知前附表规定的有效期内，供应商不得要求撤销和修改其响应文件。</w:t>
      </w:r>
    </w:p>
    <w:p w14:paraId="5A6D7A3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（2）特殊情况需要延长投标有效期的，采购人在电子交易系统中通知所有供应商延长投标有效期。供应商同意延长的，但不得要求或被允许修改或撤销其投标文件；供应商拒绝延长的，其投标失效。</w:t>
      </w:r>
    </w:p>
    <w:p w14:paraId="5AA6C6CC">
      <w:pPr>
        <w:spacing w:line="360" w:lineRule="auto"/>
        <w:rPr>
          <w:rFonts w:ascii="宋体" w:hAnsi="宋体" w:eastAsia="宋体" w:cs="宋体"/>
          <w:b/>
          <w:bCs/>
          <w:color w:val="auto"/>
          <w:kern w:val="0"/>
          <w:sz w:val="28"/>
          <w:szCs w:val="28"/>
        </w:rPr>
      </w:pPr>
      <w:bookmarkStart w:id="39" w:name="_Toc23431"/>
      <w:bookmarkEnd w:id="39"/>
      <w:bookmarkStart w:id="40" w:name="_Toc5999"/>
      <w:bookmarkEnd w:id="40"/>
      <w:bookmarkStart w:id="41" w:name="_Toc14963"/>
      <w:bookmarkEnd w:id="41"/>
      <w:bookmarkStart w:id="42" w:name="_Toc23310"/>
      <w:r>
        <w:rPr>
          <w:rFonts w:hint="eastAsia" w:ascii="宋体" w:hAnsi="宋体" w:eastAsia="宋体" w:cs="宋体"/>
          <w:b/>
          <w:bCs/>
          <w:color w:val="auto"/>
          <w:kern w:val="0"/>
          <w:sz w:val="28"/>
          <w:szCs w:val="28"/>
        </w:rPr>
        <w:t>四、响应文件递交</w:t>
      </w:r>
      <w:bookmarkEnd w:id="42"/>
    </w:p>
    <w:p w14:paraId="284F2FE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kern w:val="0"/>
          <w:szCs w:val="21"/>
        </w:rPr>
        <w:t>1</w:t>
      </w:r>
      <w:r>
        <w:rPr>
          <w:rFonts w:hint="eastAsia" w:ascii="宋体" w:hAnsi="宋体" w:eastAsia="宋体" w:cs="宋体"/>
          <w:color w:val="auto"/>
          <w:szCs w:val="21"/>
        </w:rPr>
        <w:t>、响应文件的递交和截止时间</w:t>
      </w:r>
    </w:p>
    <w:p w14:paraId="370380C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1.1供应商应在供应商须知前附表中规定的投标截止时间前上传响应文件至平顶山市公共资源交易中心交易系统中。</w:t>
      </w:r>
    </w:p>
    <w:p w14:paraId="0ED1B92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1.2 采购人可以根据供应商须知的规定发出补充文件并酌情延长投标截止时间。在上述情况下采购人与供应商在原投标截止时间方面的全部权利和义务将适用于延长后新的投标截止时间。</w:t>
      </w:r>
    </w:p>
    <w:p w14:paraId="370896E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2、逾期递交的响应文件</w:t>
      </w:r>
    </w:p>
    <w:p w14:paraId="57EE233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在投标截止时间后递交的响应文件，采购人将不予接受。</w:t>
      </w:r>
    </w:p>
    <w:p w14:paraId="269E973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3、响应文件的修改或撤回</w:t>
      </w:r>
    </w:p>
    <w:p w14:paraId="6B7C918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（1）供应商在规定的投标截止日期前，可以修改或撤回其响应文件。</w:t>
      </w:r>
    </w:p>
    <w:p w14:paraId="6C53E81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（2）修改的内容为响应文件的组成部分。</w:t>
      </w:r>
    </w:p>
    <w:p w14:paraId="2576ECBF">
      <w:pPr>
        <w:spacing w:line="360" w:lineRule="auto"/>
        <w:rPr>
          <w:rFonts w:ascii="宋体" w:hAnsi="宋体" w:eastAsia="宋体" w:cs="宋体"/>
          <w:b/>
          <w:bCs/>
          <w:color w:val="auto"/>
          <w:sz w:val="28"/>
          <w:szCs w:val="28"/>
        </w:rPr>
      </w:pPr>
      <w:bookmarkStart w:id="43" w:name="_Toc26439"/>
      <w:bookmarkEnd w:id="43"/>
      <w:bookmarkStart w:id="44" w:name="_Toc9552"/>
      <w:r>
        <w:rPr>
          <w:rFonts w:hint="eastAsia" w:ascii="宋体" w:hAnsi="宋体" w:eastAsia="宋体" w:cs="宋体"/>
          <w:b/>
          <w:bCs/>
          <w:color w:val="auto"/>
          <w:sz w:val="28"/>
          <w:szCs w:val="28"/>
        </w:rPr>
        <w:t>五、磋商程序</w:t>
      </w:r>
      <w:bookmarkEnd w:id="44"/>
    </w:p>
    <w:p w14:paraId="71665C88">
      <w:pPr>
        <w:spacing w:line="360" w:lineRule="auto"/>
        <w:rPr>
          <w:rFonts w:ascii="宋体" w:hAnsi="宋体" w:eastAsia="宋体" w:cs="宋体"/>
          <w:b/>
          <w:bCs/>
          <w:color w:val="auto"/>
          <w:szCs w:val="21"/>
        </w:rPr>
      </w:pPr>
      <w:bookmarkStart w:id="45" w:name="_Toc9120"/>
      <w:bookmarkEnd w:id="45"/>
      <w:bookmarkStart w:id="46" w:name="_Toc29954"/>
      <w:r>
        <w:rPr>
          <w:rFonts w:hint="eastAsia" w:ascii="宋体" w:hAnsi="宋体" w:eastAsia="宋体" w:cs="宋体"/>
          <w:b/>
          <w:bCs/>
          <w:color w:val="auto"/>
          <w:szCs w:val="21"/>
        </w:rPr>
        <w:t>1、竞争性磋商</w:t>
      </w:r>
      <w:bookmarkEnd w:id="46"/>
    </w:p>
    <w:p w14:paraId="4B095BBA">
      <w:pPr>
        <w:spacing w:line="360" w:lineRule="auto"/>
        <w:ind w:firstLine="413" w:firstLineChars="196"/>
        <w:rPr>
          <w:rFonts w:ascii="宋体" w:hAnsi="宋体" w:eastAsia="宋体" w:cs="宋体"/>
          <w:b/>
          <w:bCs/>
          <w:color w:val="auto"/>
          <w:szCs w:val="21"/>
        </w:rPr>
      </w:pPr>
      <w:bookmarkStart w:id="47" w:name="_Toc12857"/>
      <w:bookmarkEnd w:id="47"/>
      <w:r>
        <w:rPr>
          <w:rFonts w:hint="eastAsia" w:ascii="宋体" w:hAnsi="宋体" w:eastAsia="宋体" w:cs="宋体"/>
          <w:b/>
          <w:bCs/>
          <w:color w:val="auto"/>
          <w:szCs w:val="21"/>
        </w:rPr>
        <w:t>全面实行在线“不见面”开标，供应商远程在线解密投标文件，不再到开标现场，不再提供投标文件电子版及任何纸质投标文件。</w:t>
      </w:r>
    </w:p>
    <w:p w14:paraId="2EAEC2E1">
      <w:pPr>
        <w:spacing w:line="360" w:lineRule="auto"/>
        <w:rPr>
          <w:rFonts w:ascii="宋体" w:hAnsi="宋体" w:eastAsia="宋体" w:cs="宋体"/>
          <w:b/>
          <w:bCs/>
          <w:color w:val="auto"/>
          <w:szCs w:val="21"/>
        </w:rPr>
      </w:pPr>
      <w:r>
        <w:rPr>
          <w:rFonts w:hint="eastAsia" w:ascii="宋体" w:hAnsi="宋体" w:eastAsia="宋体" w:cs="宋体"/>
          <w:b/>
          <w:bCs/>
          <w:color w:val="auto"/>
          <w:szCs w:val="21"/>
        </w:rPr>
        <w:t>2、磋商小组</w:t>
      </w:r>
    </w:p>
    <w:p w14:paraId="6EBEC5D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磋商小组成员的组建：磋商小组由采购人依法组建。磋商小组由3人及3人以上单数的采购人代表和从评标专家库中随机抽取有关技术、经济等方面的专家共同组成，磋商小组中具有技术、经济方面的专家不少于2/3。</w:t>
      </w:r>
    </w:p>
    <w:p w14:paraId="69C8ADF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注：“上述规定为一组评标专家组成方式，根据项目标段数量和评标工作量，可由多组专家完成评审，但一个标段只能由一组专家评审”。</w:t>
      </w:r>
    </w:p>
    <w:p w14:paraId="21948F0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磋商小组人员中推选磋商小组主任1人，主持评标、磋商工作。磋商小组按照本项目竞争性磋商文件中的评定标原则，评标结束后，由磋商小组写出评标报告，按最终得分由高到低的顺序向采购人推荐前3名为成交侯选人，各磋商小组成员并在评标报告上签名备案。</w:t>
      </w:r>
    </w:p>
    <w:p w14:paraId="44E515FA">
      <w:pPr>
        <w:spacing w:line="360" w:lineRule="auto"/>
        <w:rPr>
          <w:rFonts w:ascii="宋体" w:hAnsi="宋体" w:eastAsia="宋体" w:cs="宋体"/>
          <w:b/>
          <w:color w:val="auto"/>
          <w:kern w:val="0"/>
          <w:szCs w:val="21"/>
        </w:rPr>
      </w:pPr>
      <w:r>
        <w:rPr>
          <w:rFonts w:hint="eastAsia" w:ascii="宋体" w:hAnsi="宋体" w:eastAsia="宋体" w:cs="宋体"/>
          <w:b/>
          <w:color w:val="auto"/>
          <w:kern w:val="0"/>
          <w:szCs w:val="21"/>
        </w:rPr>
        <w:t>3、磋商原则</w:t>
      </w:r>
    </w:p>
    <w:p w14:paraId="29D4E9C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磋商小组成员应当按照客观、公正、审慎的原则，根据磋商文件规定的磋商程序、评标办法和标准进行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1CEBC08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磋商小组成员和有关工作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bookmarkStart w:id="48" w:name="_Toc31029"/>
      <w:bookmarkEnd w:id="48"/>
      <w:bookmarkStart w:id="49" w:name="_Toc27315"/>
      <w:bookmarkEnd w:id="49"/>
    </w:p>
    <w:p w14:paraId="515F754A">
      <w:pPr>
        <w:spacing w:line="360" w:lineRule="auto"/>
        <w:rPr>
          <w:rFonts w:ascii="宋体" w:hAnsi="宋体" w:eastAsia="宋体" w:cs="宋体"/>
          <w:b/>
          <w:bCs/>
          <w:color w:val="auto"/>
          <w:sz w:val="24"/>
          <w:szCs w:val="24"/>
        </w:rPr>
      </w:pPr>
      <w:r>
        <w:rPr>
          <w:rFonts w:hint="eastAsia" w:ascii="宋体" w:hAnsi="宋体" w:eastAsia="宋体" w:cs="宋体"/>
          <w:b/>
          <w:bCs/>
          <w:color w:val="auto"/>
          <w:szCs w:val="21"/>
        </w:rPr>
        <w:t>4、响应文件的澄清</w:t>
      </w:r>
    </w:p>
    <w:p w14:paraId="61177B7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磋商小组在对响应文件的有效性、完整性和响应程度进行审查时，可以要求供应商对响应文件中含义不明确、同类问题表述不一致或者有明显文字和计算错误的内容等作出必要的澄清、说明或更正。供应商的澄清、说明或者更正不得超出响应文件的范围或者改变响应文件的实质性内容。磋商供应商应派授权委托人按磋商小组通知的时间和地点接受质询。</w:t>
      </w:r>
    </w:p>
    <w:p w14:paraId="46AF5DD2">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磋商小组认为有必要，以书面形式要求磋商供应商对某些问题作出必要的澄清、说明和纠正。磋商供应商的澄清、说明或者补正应当采用书面形式，由其授权代表人签字。磋商供应商的书面澄清材料作为响应文件的补充。磋商供应商不按磋商小组规定的时间和地点作出书面澄清，将视为放弃该权利。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在规定的时间内重新提交响应文件，并由其法定代表人或授权代表人签字或者加盖公章。由授权代表人签字的，应当附法定代表人授权书。</w:t>
      </w:r>
    </w:p>
    <w:p w14:paraId="7DF00586">
      <w:pPr>
        <w:spacing w:line="360" w:lineRule="auto"/>
        <w:rPr>
          <w:rFonts w:ascii="宋体" w:hAnsi="宋体" w:eastAsia="宋体" w:cs="宋体"/>
          <w:b/>
          <w:bCs/>
          <w:color w:val="auto"/>
          <w:szCs w:val="21"/>
        </w:rPr>
      </w:pPr>
      <w:bookmarkStart w:id="50" w:name="_Toc5532"/>
      <w:bookmarkEnd w:id="50"/>
      <w:bookmarkStart w:id="51" w:name="_Toc8171"/>
      <w:r>
        <w:rPr>
          <w:rFonts w:hint="eastAsia" w:ascii="宋体" w:hAnsi="宋体" w:eastAsia="宋体" w:cs="宋体"/>
          <w:b/>
          <w:bCs/>
          <w:color w:val="auto"/>
          <w:szCs w:val="21"/>
        </w:rPr>
        <w:t>5、确定成交候选人</w:t>
      </w:r>
      <w:bookmarkEnd w:id="51"/>
    </w:p>
    <w:p w14:paraId="5E024A6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磋商小组按照磋商文件确定的磋商程序、评标办法及标准对供应商进行磋商，推选确定成交候选人3名。详细评审办法见本磋商文件。</w:t>
      </w:r>
    </w:p>
    <w:p w14:paraId="248E700E">
      <w:pPr>
        <w:spacing w:line="360" w:lineRule="auto"/>
        <w:rPr>
          <w:rFonts w:ascii="宋体" w:hAnsi="宋体" w:eastAsia="宋体" w:cs="宋体"/>
          <w:b/>
          <w:bCs/>
          <w:color w:val="auto"/>
          <w:szCs w:val="21"/>
        </w:rPr>
      </w:pPr>
      <w:bookmarkStart w:id="52" w:name="_Toc5964"/>
      <w:bookmarkEnd w:id="52"/>
      <w:bookmarkStart w:id="53" w:name="_Toc20291"/>
      <w:r>
        <w:rPr>
          <w:rFonts w:hint="eastAsia" w:ascii="宋体" w:hAnsi="宋体" w:eastAsia="宋体" w:cs="宋体"/>
          <w:b/>
          <w:bCs/>
          <w:color w:val="auto"/>
          <w:szCs w:val="21"/>
        </w:rPr>
        <w:t>6、磋商过程保密</w:t>
      </w:r>
      <w:bookmarkEnd w:id="53"/>
    </w:p>
    <w:p w14:paraId="1C1AFEF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磋商是竞争性磋商的重要环节，磋商工作在磋商小组内独立进行。磋商小组将遵照评标原则，公正、平等地对待所有供应商。在确定成交人之前，凡属于审查、澄清、评价、比较响应文件等有关信息，相关当事人均不得泄露给任何磋商供应商或与磋商工作无关的人员。</w:t>
      </w:r>
    </w:p>
    <w:p w14:paraId="5446EFE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 磋商供应商不得向磋商小组成员询问磋商情况，不得以任何行为影响磋商过程，否则其响应文件将被作为无效响应文件。</w:t>
      </w:r>
    </w:p>
    <w:p w14:paraId="61EBDAE2">
      <w:pPr>
        <w:spacing w:line="360" w:lineRule="auto"/>
        <w:rPr>
          <w:rFonts w:ascii="宋体" w:hAnsi="宋体" w:eastAsia="宋体" w:cs="宋体"/>
          <w:b/>
          <w:bCs/>
          <w:color w:val="auto"/>
          <w:szCs w:val="21"/>
        </w:rPr>
      </w:pPr>
      <w:r>
        <w:rPr>
          <w:rFonts w:hint="eastAsia" w:ascii="宋体" w:hAnsi="宋体" w:eastAsia="宋体" w:cs="宋体"/>
          <w:b/>
          <w:bCs/>
          <w:color w:val="auto"/>
          <w:szCs w:val="21"/>
        </w:rPr>
        <w:t>7、评标因素</w:t>
      </w:r>
    </w:p>
    <w:p w14:paraId="287537D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（1）供应商所提交的响应文件应包含磋商文件中要求必须提交的材料，并按照磋商文件中提供的格式完整地填写资格证明文件及各项表格内容。</w:t>
      </w:r>
    </w:p>
    <w:p w14:paraId="5008348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（2）出现下列情况将会导致响应文件无效：</w:t>
      </w:r>
    </w:p>
    <w:p w14:paraId="73A42A91">
      <w:pPr>
        <w:spacing w:line="360" w:lineRule="auto"/>
        <w:ind w:firstLine="707" w:firstLineChars="337"/>
        <w:rPr>
          <w:rFonts w:ascii="宋体" w:hAnsi="宋体" w:eastAsia="宋体" w:cs="宋体"/>
          <w:color w:val="auto"/>
          <w:szCs w:val="21"/>
        </w:rPr>
      </w:pPr>
      <w:r>
        <w:rPr>
          <w:rFonts w:hint="eastAsia" w:ascii="宋体" w:hAnsi="宋体" w:eastAsia="宋体" w:cs="宋体"/>
          <w:color w:val="auto"/>
          <w:szCs w:val="21"/>
        </w:rPr>
        <w:t>1）其它实质性偏离或不响应招标文件、不符合法律法规的情况；</w:t>
      </w:r>
    </w:p>
    <w:p w14:paraId="177A138C">
      <w:pPr>
        <w:spacing w:line="360" w:lineRule="auto"/>
        <w:ind w:firstLine="707" w:firstLineChars="337"/>
        <w:rPr>
          <w:rFonts w:ascii="宋体" w:hAnsi="宋体" w:eastAsia="宋体" w:cs="宋体"/>
          <w:color w:val="auto"/>
          <w:szCs w:val="21"/>
        </w:rPr>
      </w:pPr>
      <w:r>
        <w:rPr>
          <w:rFonts w:hint="eastAsia" w:ascii="宋体" w:hAnsi="宋体" w:eastAsia="宋体" w:cs="宋体"/>
          <w:color w:val="auto"/>
          <w:szCs w:val="21"/>
        </w:rPr>
        <w:t>2）串通投标或弄虚作假或有其他违法行为的；</w:t>
      </w:r>
    </w:p>
    <w:p w14:paraId="14854990">
      <w:pPr>
        <w:spacing w:line="360" w:lineRule="auto"/>
        <w:ind w:firstLine="707" w:firstLineChars="337"/>
        <w:rPr>
          <w:rFonts w:ascii="宋体" w:hAnsi="宋体" w:eastAsia="宋体" w:cs="宋体"/>
          <w:color w:val="auto"/>
          <w:szCs w:val="21"/>
        </w:rPr>
      </w:pPr>
      <w:r>
        <w:rPr>
          <w:rFonts w:hint="eastAsia" w:ascii="宋体" w:hAnsi="宋体" w:eastAsia="宋体" w:cs="宋体"/>
          <w:color w:val="auto"/>
          <w:szCs w:val="21"/>
        </w:rPr>
        <w:t>3）不按磋商小组要求澄清、说明或补正的；</w:t>
      </w:r>
    </w:p>
    <w:p w14:paraId="134FBF10">
      <w:pPr>
        <w:spacing w:line="360" w:lineRule="auto"/>
        <w:ind w:firstLine="707" w:firstLineChars="337"/>
        <w:rPr>
          <w:rFonts w:hint="eastAsia" w:ascii="宋体" w:hAnsi="宋体" w:eastAsia="宋体" w:cs="宋体"/>
          <w:color w:val="auto"/>
          <w:szCs w:val="21"/>
        </w:rPr>
      </w:pPr>
      <w:r>
        <w:rPr>
          <w:rFonts w:hint="eastAsia" w:ascii="宋体" w:hAnsi="宋体" w:eastAsia="宋体" w:cs="宋体"/>
          <w:color w:val="auto"/>
          <w:szCs w:val="21"/>
        </w:rPr>
        <w:t>4）响应文件未按文件格式签章的。</w:t>
      </w:r>
    </w:p>
    <w:p w14:paraId="6FB8259A">
      <w:pPr>
        <w:spacing w:line="360" w:lineRule="auto"/>
        <w:ind w:firstLine="707" w:firstLineChars="337"/>
        <w:rPr>
          <w:rFonts w:hint="eastAsia" w:ascii="宋体" w:hAnsi="宋体" w:eastAsia="宋体" w:cs="宋体"/>
          <w:color w:val="auto"/>
          <w:szCs w:val="21"/>
        </w:rPr>
      </w:pPr>
      <w:r>
        <w:rPr>
          <w:rFonts w:hint="eastAsia" w:ascii="宋体" w:hAnsi="宋体" w:cs="宋体"/>
          <w:color w:val="auto"/>
          <w:szCs w:val="21"/>
          <w:lang w:val="en-US" w:eastAsia="zh-CN"/>
        </w:rPr>
        <w:t>注：</w:t>
      </w:r>
      <w:r>
        <w:rPr>
          <w:rFonts w:hint="eastAsia" w:ascii="宋体" w:hAnsi="宋体" w:eastAsia="宋体" w:cs="宋体"/>
          <w:color w:val="auto"/>
          <w:szCs w:val="21"/>
        </w:rPr>
        <w:t>实质性偏离是指：（1）实质性影响合同的范围、质量和履行。（2）实质性违背招标文件，限制了采购人的权利。（3）不公正地影响了其它作出实质性响应的供应商的竞争地位。对没有实质性响应的投标文件将不进行评估，其投标被作为无效投标。</w:t>
      </w:r>
    </w:p>
    <w:p w14:paraId="3402149B">
      <w:pPr>
        <w:kinsoku w:val="0"/>
        <w:overflowPunct w:val="0"/>
        <w:autoSpaceDE w:val="0"/>
        <w:autoSpaceDN w:val="0"/>
        <w:adjustRightInd w:val="0"/>
        <w:snapToGrid w:val="0"/>
        <w:spacing w:line="360" w:lineRule="auto"/>
        <w:ind w:firstLine="422" w:firstLineChars="200"/>
        <w:rPr>
          <w:rFonts w:ascii="宋体" w:hAnsi="宋体"/>
          <w:b/>
          <w:bCs/>
          <w:color w:val="auto"/>
          <w:kern w:val="24"/>
          <w:szCs w:val="21"/>
        </w:rPr>
      </w:pPr>
      <w:r>
        <w:rPr>
          <w:rFonts w:hint="eastAsia" w:ascii="宋体" w:hAnsi="宋体"/>
          <w:b/>
          <w:bCs/>
          <w:color w:val="auto"/>
          <w:kern w:val="24"/>
          <w:szCs w:val="21"/>
        </w:rPr>
        <w:t>（3）有下列情形之一的，视为供应商相互串通投标：</w:t>
      </w:r>
    </w:p>
    <w:p w14:paraId="1FAB3F0B">
      <w:pPr>
        <w:kinsoku w:val="0"/>
        <w:overflowPunct w:val="0"/>
        <w:autoSpaceDE w:val="0"/>
        <w:autoSpaceDN w:val="0"/>
        <w:adjustRightInd w:val="0"/>
        <w:snapToGrid w:val="0"/>
        <w:spacing w:line="360" w:lineRule="auto"/>
        <w:ind w:left="283" w:leftChars="135" w:firstLine="315" w:firstLineChars="150"/>
        <w:rPr>
          <w:rFonts w:hint="eastAsia" w:ascii="宋体" w:hAnsi="宋体"/>
          <w:color w:val="auto"/>
          <w:kern w:val="24"/>
          <w:szCs w:val="21"/>
        </w:rPr>
      </w:pPr>
      <w:r>
        <w:rPr>
          <w:rFonts w:hint="eastAsia" w:ascii="宋体" w:hAnsi="宋体"/>
          <w:color w:val="auto"/>
          <w:kern w:val="24"/>
          <w:szCs w:val="21"/>
        </w:rPr>
        <w:t>1）不同供应商的竞争性磋商响应文件上传计算机的网卡 MAC地址、CPU序列号和硬盘序列号等硬件信息相同的。</w:t>
      </w:r>
    </w:p>
    <w:p w14:paraId="6A6F3F56">
      <w:pPr>
        <w:kinsoku w:val="0"/>
        <w:overflowPunct w:val="0"/>
        <w:autoSpaceDE w:val="0"/>
        <w:autoSpaceDN w:val="0"/>
        <w:adjustRightInd w:val="0"/>
        <w:snapToGrid w:val="0"/>
        <w:spacing w:line="360" w:lineRule="auto"/>
        <w:ind w:left="283" w:leftChars="135" w:firstLine="420" w:firstLineChars="200"/>
        <w:rPr>
          <w:rFonts w:hint="eastAsia" w:ascii="宋体" w:hAnsi="宋体"/>
          <w:color w:val="auto"/>
          <w:kern w:val="24"/>
          <w:szCs w:val="21"/>
        </w:rPr>
      </w:pPr>
      <w:r>
        <w:rPr>
          <w:rFonts w:hint="eastAsia" w:ascii="宋体" w:hAnsi="宋体"/>
          <w:color w:val="auto"/>
          <w:kern w:val="24"/>
          <w:szCs w:val="21"/>
        </w:rPr>
        <w:t>2）不同供应商的投标（响应）文件由同一电子设备编制、打印加密或者上传。</w:t>
      </w:r>
    </w:p>
    <w:p w14:paraId="35684984">
      <w:pPr>
        <w:kinsoku w:val="0"/>
        <w:overflowPunct w:val="0"/>
        <w:autoSpaceDE w:val="0"/>
        <w:autoSpaceDN w:val="0"/>
        <w:adjustRightInd w:val="0"/>
        <w:snapToGrid w:val="0"/>
        <w:spacing w:line="360" w:lineRule="auto"/>
        <w:ind w:left="764"/>
        <w:rPr>
          <w:rFonts w:hint="eastAsia" w:ascii="宋体" w:hAnsi="宋体"/>
          <w:color w:val="auto"/>
          <w:kern w:val="24"/>
          <w:szCs w:val="21"/>
        </w:rPr>
      </w:pPr>
      <w:r>
        <w:rPr>
          <w:rFonts w:hint="eastAsia" w:ascii="宋体" w:hAnsi="宋体"/>
          <w:color w:val="auto"/>
          <w:kern w:val="24"/>
          <w:szCs w:val="21"/>
        </w:rPr>
        <w:t>3）不同供应商的投标（响应）文件由同一电子设备打印、复印。</w:t>
      </w:r>
    </w:p>
    <w:p w14:paraId="22244E20">
      <w:pPr>
        <w:kinsoku w:val="0"/>
        <w:overflowPunct w:val="0"/>
        <w:autoSpaceDE w:val="0"/>
        <w:autoSpaceDN w:val="0"/>
        <w:adjustRightInd w:val="0"/>
        <w:snapToGrid w:val="0"/>
        <w:spacing w:line="360" w:lineRule="auto"/>
        <w:ind w:left="283" w:leftChars="135" w:firstLine="420" w:firstLineChars="200"/>
        <w:rPr>
          <w:rFonts w:hint="eastAsia" w:ascii="MS Mincho" w:hAnsi="MS Mincho" w:eastAsia="MS Mincho" w:cs="MS Mincho"/>
          <w:color w:val="auto"/>
          <w:kern w:val="24"/>
          <w:szCs w:val="21"/>
        </w:rPr>
      </w:pPr>
      <w:r>
        <w:rPr>
          <w:rFonts w:hint="eastAsia" w:ascii="宋体" w:hAnsi="宋体"/>
          <w:color w:val="auto"/>
          <w:kern w:val="24"/>
          <w:szCs w:val="21"/>
        </w:rPr>
        <w:t>4）不同供应商的投标（响应）文件由同一人送达或者分发，或者不同供应商联系人为同一人或不同联系人的联系电话一致的。</w:t>
      </w:r>
      <w:r>
        <w:rPr>
          <w:rFonts w:hint="eastAsia" w:ascii="MS Mincho" w:hAnsi="MS Mincho" w:eastAsia="MS Mincho" w:cs="MS Mincho"/>
          <w:color w:val="auto"/>
          <w:kern w:val="24"/>
          <w:szCs w:val="21"/>
        </w:rPr>
        <w:t> </w:t>
      </w:r>
    </w:p>
    <w:p w14:paraId="3B36C0AD">
      <w:pPr>
        <w:kinsoku w:val="0"/>
        <w:overflowPunct w:val="0"/>
        <w:autoSpaceDE w:val="0"/>
        <w:autoSpaceDN w:val="0"/>
        <w:adjustRightInd w:val="0"/>
        <w:snapToGrid w:val="0"/>
        <w:spacing w:line="360" w:lineRule="auto"/>
        <w:ind w:left="283" w:leftChars="135" w:firstLine="420" w:firstLineChars="200"/>
        <w:rPr>
          <w:rFonts w:hint="eastAsia" w:ascii="宋体" w:hAnsi="宋体" w:eastAsia="宋体" w:cs="宋体"/>
          <w:color w:val="auto"/>
          <w:kern w:val="24"/>
          <w:szCs w:val="21"/>
        </w:rPr>
      </w:pPr>
      <w:r>
        <w:rPr>
          <w:rFonts w:hint="eastAsia" w:ascii="宋体" w:hAnsi="宋体"/>
          <w:color w:val="auto"/>
          <w:kern w:val="24"/>
          <w:szCs w:val="21"/>
        </w:rPr>
        <w:t>5）不同供应商的竞争性磋商响应文件的内容存在两处以上细节错误一致。</w:t>
      </w:r>
    </w:p>
    <w:p w14:paraId="2DF10CDF">
      <w:pPr>
        <w:kinsoku w:val="0"/>
        <w:overflowPunct w:val="0"/>
        <w:autoSpaceDE w:val="0"/>
        <w:autoSpaceDN w:val="0"/>
        <w:adjustRightInd w:val="0"/>
        <w:snapToGrid w:val="0"/>
        <w:spacing w:line="360" w:lineRule="auto"/>
        <w:ind w:left="143" w:leftChars="68" w:firstLine="598" w:firstLineChars="285"/>
        <w:rPr>
          <w:rFonts w:hint="eastAsia" w:ascii="宋体" w:hAnsi="宋体"/>
          <w:color w:val="auto"/>
          <w:kern w:val="24"/>
          <w:szCs w:val="21"/>
        </w:rPr>
      </w:pPr>
      <w:r>
        <w:rPr>
          <w:rFonts w:hint="eastAsia" w:ascii="宋体" w:hAnsi="宋体"/>
          <w:color w:val="auto"/>
          <w:kern w:val="24"/>
          <w:szCs w:val="21"/>
        </w:rPr>
        <w:t>6）不同供应商的法定代表人、委托代理人、项目经理、项目负责人等由同一个单位缴纳社会保险或者领取报酬的。</w:t>
      </w:r>
    </w:p>
    <w:p w14:paraId="40249853">
      <w:pPr>
        <w:kinsoku w:val="0"/>
        <w:overflowPunct w:val="0"/>
        <w:autoSpaceDE w:val="0"/>
        <w:autoSpaceDN w:val="0"/>
        <w:adjustRightInd w:val="0"/>
        <w:snapToGrid w:val="0"/>
        <w:spacing w:line="360" w:lineRule="auto"/>
        <w:ind w:left="764"/>
        <w:rPr>
          <w:rFonts w:hint="eastAsia" w:ascii="宋体" w:hAnsi="宋体"/>
          <w:color w:val="auto"/>
          <w:kern w:val="24"/>
          <w:szCs w:val="21"/>
        </w:rPr>
      </w:pPr>
      <w:r>
        <w:rPr>
          <w:rFonts w:hint="eastAsia" w:ascii="宋体" w:hAnsi="宋体"/>
          <w:color w:val="auto"/>
          <w:kern w:val="24"/>
          <w:szCs w:val="21"/>
        </w:rPr>
        <w:t>7)不同供应商投标（响应）文件中法定代表人或者负责人签字出自同一人之手。</w:t>
      </w:r>
    </w:p>
    <w:p w14:paraId="7EC6DE37">
      <w:pPr>
        <w:kinsoku w:val="0"/>
        <w:overflowPunct w:val="0"/>
        <w:autoSpaceDE w:val="0"/>
        <w:autoSpaceDN w:val="0"/>
        <w:adjustRightInd w:val="0"/>
        <w:snapToGrid w:val="0"/>
        <w:spacing w:line="360" w:lineRule="auto"/>
        <w:ind w:left="420" w:leftChars="200" w:firstLine="210" w:firstLineChars="100"/>
        <w:rPr>
          <w:rFonts w:hint="eastAsia" w:ascii="宋体" w:hAnsi="宋体"/>
          <w:color w:val="auto"/>
          <w:kern w:val="24"/>
          <w:szCs w:val="21"/>
        </w:rPr>
      </w:pPr>
      <w:r>
        <w:rPr>
          <w:rFonts w:hint="eastAsia" w:ascii="MS Mincho" w:hAnsi="MS Mincho" w:eastAsia="MS Mincho" w:cs="MS Mincho"/>
          <w:color w:val="auto"/>
          <w:kern w:val="24"/>
          <w:szCs w:val="21"/>
        </w:rPr>
        <w:t> </w:t>
      </w:r>
      <w:r>
        <w:rPr>
          <w:rFonts w:hint="eastAsia" w:ascii="宋体" w:hAnsi="宋体"/>
          <w:color w:val="auto"/>
          <w:kern w:val="24"/>
          <w:szCs w:val="21"/>
        </w:rPr>
        <w:t>8)其它涉嫌串通的情形。</w:t>
      </w:r>
    </w:p>
    <w:p w14:paraId="358D643F">
      <w:pPr>
        <w:spacing w:line="360" w:lineRule="auto"/>
        <w:rPr>
          <w:rFonts w:ascii="宋体" w:hAnsi="宋体" w:eastAsia="宋体" w:cs="宋体"/>
          <w:b/>
          <w:bCs/>
          <w:color w:val="auto"/>
          <w:szCs w:val="21"/>
        </w:rPr>
      </w:pPr>
      <w:r>
        <w:rPr>
          <w:rFonts w:hint="eastAsia" w:ascii="宋体" w:hAnsi="宋体" w:eastAsia="宋体" w:cs="宋体"/>
          <w:b/>
          <w:bCs/>
          <w:color w:val="auto"/>
          <w:szCs w:val="21"/>
        </w:rPr>
        <w:t>8、磋商程序</w:t>
      </w:r>
    </w:p>
    <w:p w14:paraId="48697CC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（1）磋商小组依据法律法规和磋商文件规定，按照磋商文件供应商须知前附表供应商资格条件要求进行审查，以确定供应商是否具备投标资格。</w:t>
      </w:r>
    </w:p>
    <w:p w14:paraId="681E308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（2）磋商小组依据磋商文件的规定，从响应文件的有效性、完整性和对磋商文件的响应程度进行符合性审查，以确定是否对磋商文件的实质性要求作出响应。</w:t>
      </w:r>
    </w:p>
    <w:p w14:paraId="406EA9F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（3）磋商小组通过对供应商资格审查和响应文件符合性审查合格的供应商进入磋商评审。并确定与各供应商磋商的具体内容。</w:t>
      </w:r>
    </w:p>
    <w:p w14:paraId="7E59837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（4）磋商小组围绕对各供应商确定的磋商内容要点集中与单一供应商分别进行磋商。磋商报价分为二轮报价，初次报价（文件中报价即为初次报价）、最终报价。</w:t>
      </w:r>
    </w:p>
    <w:p w14:paraId="24BF436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（5）磋</w:t>
      </w:r>
      <w:r>
        <w:rPr>
          <w:rFonts w:hint="eastAsia" w:ascii="宋体" w:hAnsi="宋体" w:eastAsia="宋体" w:cs="宋体"/>
          <w:color w:val="auto"/>
          <w:kern w:val="0"/>
          <w:szCs w:val="21"/>
        </w:rPr>
        <w:t>商结束后，磋商小组将要求实质性响应磋商文件的供应商在规定时间内提交最后报价，在规定</w:t>
      </w:r>
      <w:r>
        <w:rPr>
          <w:rFonts w:hint="eastAsia" w:ascii="宋体" w:hAnsi="宋体" w:eastAsia="宋体" w:cs="宋体"/>
          <w:color w:val="auto"/>
          <w:szCs w:val="21"/>
        </w:rPr>
        <w:t>时间内没有提交最后报价的磋商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14:paraId="435439E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（6）磋商小组按照“磋商办法”规定的方法、评审因素、标准和程序对响应文件进行评审，并计算出供应商的综合得分。“磋商办法”中没有规定的的方法、评审因素、标准，不作为评标磋商依据。</w:t>
      </w:r>
    </w:p>
    <w:p w14:paraId="463E354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（7）磋商小组将根据评标办法及标准对各供应商进行独立打分，并在“综合得分表”中填写各供应商具体得分，计分取至小数点后二位，计分过程中小数点后三位四舍五入。</w:t>
      </w:r>
    </w:p>
    <w:p w14:paraId="4DFADE5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磋商小组将各评委的打分进行汇总，按照得分由高到低进行排序，编写评标报告并签字。得分相同的，按投标报价由低到高顺序排列，得分且投标报价相同的，按技术指标优劣顺序排列，向采购人推荐排序前3名为成交候选人。</w:t>
      </w:r>
    </w:p>
    <w:p w14:paraId="49F7A06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（9）供应商得分以所有评委评出的供应商得分的算术平均值为供应商最终得分。</w:t>
      </w:r>
    </w:p>
    <w:p w14:paraId="2BF963A0">
      <w:pPr>
        <w:spacing w:line="360" w:lineRule="auto"/>
        <w:rPr>
          <w:rFonts w:ascii="宋体" w:hAnsi="宋体" w:eastAsia="宋体" w:cs="宋体"/>
          <w:b/>
          <w:bCs/>
          <w:color w:val="auto"/>
          <w:sz w:val="28"/>
          <w:szCs w:val="28"/>
        </w:rPr>
      </w:pPr>
      <w:r>
        <w:rPr>
          <w:rFonts w:hint="eastAsia" w:ascii="宋体" w:hAnsi="宋体" w:eastAsia="宋体" w:cs="宋体"/>
          <w:b/>
          <w:bCs/>
          <w:color w:val="auto"/>
          <w:szCs w:val="21"/>
        </w:rPr>
        <w:t>9、合同授予</w:t>
      </w:r>
    </w:p>
    <w:p w14:paraId="66FA710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9.1定标方式</w:t>
      </w:r>
    </w:p>
    <w:p w14:paraId="11D6431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除供应商须知前附表规定磋商小组直接确定成交人外，采购人依据磋商小组推荐的成交候选人确定成交人，磋商小组推荐成交候选人的人数见供应商须知前附表。</w:t>
      </w:r>
    </w:p>
    <w:p w14:paraId="7900CF1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9.2 成交通知</w:t>
      </w:r>
    </w:p>
    <w:p w14:paraId="4AA3913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在公告成交结果的同时，采购人或者代理机构以书面形式向成交人发出成交通知书，同时将成交结果通知未成交的供应商。</w:t>
      </w:r>
    </w:p>
    <w:p w14:paraId="7D8C1D5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9.3签订合同</w:t>
      </w:r>
    </w:p>
    <w:p w14:paraId="01736AE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9.3.1采购人和成交人应当自成交通知书发出之日起</w:t>
      </w:r>
      <w:r>
        <w:rPr>
          <w:rFonts w:hint="eastAsia" w:ascii="宋体" w:hAnsi="宋体" w:cs="宋体"/>
          <w:color w:val="auto"/>
          <w:szCs w:val="21"/>
          <w:lang w:val="en-US" w:eastAsia="zh-CN"/>
        </w:rPr>
        <w:t>在规定的时间内</w:t>
      </w:r>
      <w:r>
        <w:rPr>
          <w:rFonts w:hint="eastAsia" w:ascii="宋体" w:hAnsi="宋体" w:eastAsia="宋体" w:cs="宋体"/>
          <w:color w:val="auto"/>
          <w:szCs w:val="21"/>
        </w:rPr>
        <w:t xml:space="preserve">，根据磋商文件和成交人的响应文件订立书面合同。成交人无正当理由拒签合同的，采购人取消其成交资格；给采购人造成的损失的，成交人还应当对予以赔偿。 </w:t>
      </w:r>
    </w:p>
    <w:p w14:paraId="2B71B711">
      <w:pPr>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szCs w:val="21"/>
        </w:rPr>
        <w:t>9.3.2 发出成交通知书后</w:t>
      </w:r>
      <w:r>
        <w:rPr>
          <w:rFonts w:hint="eastAsia" w:ascii="宋体" w:hAnsi="宋体" w:eastAsia="宋体" w:cs="宋体"/>
          <w:color w:val="auto"/>
          <w:kern w:val="0"/>
          <w:szCs w:val="21"/>
        </w:rPr>
        <w:t xml:space="preserve">，采购人无正当理由拒签合同的，给成交人造成损失的，应当赔偿损失。 </w:t>
      </w:r>
    </w:p>
    <w:p w14:paraId="3D822DC0">
      <w:pPr>
        <w:spacing w:line="360" w:lineRule="auto"/>
        <w:rPr>
          <w:rFonts w:ascii="宋体" w:hAnsi="宋体" w:eastAsia="宋体" w:cs="宋体"/>
          <w:b/>
          <w:bCs/>
          <w:color w:val="auto"/>
          <w:szCs w:val="21"/>
        </w:rPr>
      </w:pPr>
      <w:r>
        <w:rPr>
          <w:rFonts w:hint="eastAsia" w:ascii="宋体" w:hAnsi="宋体" w:eastAsia="宋体" w:cs="宋体"/>
          <w:b/>
          <w:bCs/>
          <w:color w:val="auto"/>
          <w:szCs w:val="21"/>
        </w:rPr>
        <w:t>10、重新招标和不再招标</w:t>
      </w:r>
    </w:p>
    <w:p w14:paraId="17610439">
      <w:pPr>
        <w:spacing w:line="360" w:lineRule="auto"/>
        <w:ind w:firstLine="420" w:firstLineChars="200"/>
        <w:rPr>
          <w:rFonts w:ascii="宋体" w:hAnsi="宋体" w:eastAsia="宋体" w:cs="宋体"/>
          <w:color w:val="auto"/>
          <w:sz w:val="24"/>
          <w:szCs w:val="24"/>
        </w:rPr>
      </w:pPr>
      <w:r>
        <w:rPr>
          <w:rFonts w:hint="eastAsia" w:ascii="宋体" w:hAnsi="宋体" w:eastAsia="宋体" w:cs="宋体"/>
          <w:color w:val="auto"/>
          <w:szCs w:val="21"/>
        </w:rPr>
        <w:t>10.1 重新招标</w:t>
      </w:r>
    </w:p>
    <w:p w14:paraId="46B50DA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有下列情形之一的，招标人将重新招标：</w:t>
      </w:r>
    </w:p>
    <w:p w14:paraId="0698C1E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（1）投标截止时间止，供应商少于3家的；</w:t>
      </w:r>
    </w:p>
    <w:p w14:paraId="6BFB1D0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（2）经磋商小组评审后否决所有投标的。</w:t>
      </w:r>
    </w:p>
    <w:p w14:paraId="232E82E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10.2不再招标</w:t>
      </w:r>
    </w:p>
    <w:p w14:paraId="42001C4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重新招标后供应商仍少于3个或者所有投标被否决的，经原审批或核准部门批准后不再进行招标。</w:t>
      </w:r>
    </w:p>
    <w:p w14:paraId="5C00318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 </w:t>
      </w:r>
    </w:p>
    <w:p w14:paraId="06A845C4">
      <w:pPr>
        <w:pStyle w:val="14"/>
        <w:rPr>
          <w:rFonts w:hint="eastAsia" w:ascii="宋体" w:hAnsi="宋体" w:eastAsia="宋体" w:cs="宋体"/>
          <w:color w:val="auto"/>
          <w:szCs w:val="21"/>
        </w:rPr>
      </w:pPr>
    </w:p>
    <w:p w14:paraId="543ED49F">
      <w:pPr>
        <w:pStyle w:val="14"/>
        <w:rPr>
          <w:rFonts w:hint="eastAsia" w:ascii="宋体" w:hAnsi="宋体" w:eastAsia="宋体" w:cs="宋体"/>
          <w:color w:val="auto"/>
          <w:szCs w:val="21"/>
        </w:rPr>
      </w:pPr>
    </w:p>
    <w:p w14:paraId="1E51BD78">
      <w:pPr>
        <w:pStyle w:val="14"/>
        <w:rPr>
          <w:rFonts w:hint="eastAsia" w:ascii="宋体" w:hAnsi="宋体" w:eastAsia="宋体" w:cs="宋体"/>
          <w:color w:val="auto"/>
          <w:szCs w:val="21"/>
        </w:rPr>
      </w:pPr>
    </w:p>
    <w:p w14:paraId="62F939AE">
      <w:pPr>
        <w:pStyle w:val="14"/>
        <w:rPr>
          <w:rFonts w:hint="eastAsia" w:ascii="宋体" w:hAnsi="宋体" w:eastAsia="宋体" w:cs="宋体"/>
          <w:color w:val="auto"/>
          <w:szCs w:val="21"/>
        </w:rPr>
      </w:pPr>
    </w:p>
    <w:p w14:paraId="08951474">
      <w:pPr>
        <w:pStyle w:val="14"/>
        <w:numPr>
          <w:ilvl w:val="0"/>
          <w:numId w:val="0"/>
        </w:numPr>
        <w:jc w:val="center"/>
        <w:rPr>
          <w:rFonts w:hint="eastAsia"/>
          <w:b/>
          <w:bCs/>
          <w:color w:val="auto"/>
          <w:sz w:val="24"/>
          <w:szCs w:val="28"/>
          <w:highlight w:val="none"/>
        </w:rPr>
      </w:pPr>
      <w:r>
        <w:rPr>
          <w:rFonts w:hint="eastAsia" w:ascii="宋体" w:hAnsi="宋体" w:eastAsia="宋体" w:cs="宋体"/>
          <w:color w:val="auto"/>
          <w:szCs w:val="21"/>
        </w:rPr>
        <w:br w:type="page"/>
      </w:r>
      <w:bookmarkStart w:id="54" w:name="_Toc113437299"/>
      <w:r>
        <w:rPr>
          <w:rFonts w:hint="eastAsia" w:cs="宋体"/>
          <w:b/>
          <w:bCs/>
          <w:color w:val="auto"/>
          <w:sz w:val="32"/>
          <w:szCs w:val="32"/>
          <w:highlight w:val="none"/>
          <w:lang w:eastAsia="zh-CN"/>
        </w:rPr>
        <w:t>第三章、</w:t>
      </w:r>
      <w:r>
        <w:rPr>
          <w:rFonts w:hint="eastAsia"/>
          <w:b/>
          <w:bCs/>
          <w:color w:val="auto"/>
          <w:sz w:val="32"/>
          <w:szCs w:val="32"/>
          <w:highlight w:val="none"/>
        </w:rPr>
        <w:t>磋商办法</w:t>
      </w:r>
      <w:bookmarkEnd w:id="54"/>
    </w:p>
    <w:p w14:paraId="727B321E">
      <w:pPr>
        <w:pStyle w:val="15"/>
        <w:numPr>
          <w:ilvl w:val="0"/>
          <w:numId w:val="0"/>
        </w:numPr>
        <w:ind w:leftChars="200"/>
        <w:rPr>
          <w:color w:val="auto"/>
          <w:highlight w:val="none"/>
        </w:rPr>
      </w:pPr>
    </w:p>
    <w:p w14:paraId="6A2616C1">
      <w:pPr>
        <w:spacing w:line="360" w:lineRule="auto"/>
        <w:rPr>
          <w:rFonts w:ascii="宋体" w:hAnsi="宋体" w:eastAsia="宋体" w:cs="宋体"/>
          <w:vanish/>
          <w:color w:val="auto"/>
          <w:kern w:val="0"/>
          <w:sz w:val="24"/>
          <w:szCs w:val="24"/>
          <w:highlight w:val="none"/>
        </w:rPr>
      </w:pPr>
      <w:r>
        <w:rPr>
          <w:rFonts w:hint="eastAsia" w:ascii="宋体" w:hAnsi="宋体" w:eastAsia="宋体" w:cs="宋体"/>
          <w:vanish/>
          <w:color w:val="auto"/>
          <w:kern w:val="0"/>
          <w:sz w:val="24"/>
          <w:szCs w:val="24"/>
          <w:highlight w:val="none"/>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302"/>
        <w:gridCol w:w="830"/>
        <w:gridCol w:w="1370"/>
        <w:gridCol w:w="667"/>
        <w:gridCol w:w="5611"/>
        <w:gridCol w:w="16"/>
      </w:tblGrid>
      <w:tr w14:paraId="4826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418" w:hRule="atLeast"/>
          <w:jc w:val="center"/>
        </w:trPr>
        <w:tc>
          <w:tcPr>
            <w:tcW w:w="2090" w:type="dxa"/>
            <w:gridSpan w:val="3"/>
            <w:tcBorders>
              <w:top w:val="single" w:color="auto" w:sz="4" w:space="0"/>
              <w:left w:val="single" w:color="auto" w:sz="4" w:space="0"/>
              <w:bottom w:val="single" w:color="auto" w:sz="4" w:space="0"/>
              <w:right w:val="single" w:color="auto" w:sz="4" w:space="0"/>
            </w:tcBorders>
            <w:noWrap w:val="0"/>
            <w:vAlign w:val="center"/>
          </w:tcPr>
          <w:p w14:paraId="2B361C28">
            <w:pPr>
              <w:spacing w:line="360" w:lineRule="auto"/>
              <w:rPr>
                <w:rFonts w:ascii="宋体" w:hAnsi="宋体" w:eastAsia="宋体" w:cs="宋体"/>
                <w:color w:val="auto"/>
                <w:szCs w:val="21"/>
                <w:highlight w:val="none"/>
              </w:rPr>
            </w:pPr>
            <w:bookmarkStart w:id="55" w:name="_Toc16931"/>
            <w:r>
              <w:rPr>
                <w:rFonts w:hint="eastAsia" w:ascii="宋体" w:hAnsi="宋体" w:eastAsia="宋体" w:cs="宋体"/>
                <w:color w:val="auto"/>
                <w:szCs w:val="21"/>
                <w:highlight w:val="none"/>
              </w:rPr>
              <w:t>条款号</w:t>
            </w:r>
            <w:bookmarkEnd w:id="55"/>
          </w:p>
        </w:tc>
        <w:tc>
          <w:tcPr>
            <w:tcW w:w="2037" w:type="dxa"/>
            <w:gridSpan w:val="2"/>
            <w:tcBorders>
              <w:top w:val="single" w:color="auto" w:sz="4" w:space="0"/>
              <w:left w:val="nil"/>
              <w:bottom w:val="single" w:color="auto" w:sz="4" w:space="0"/>
              <w:right w:val="single" w:color="auto" w:sz="4" w:space="0"/>
            </w:tcBorders>
            <w:noWrap w:val="0"/>
            <w:vAlign w:val="center"/>
          </w:tcPr>
          <w:p w14:paraId="231019E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评审因素</w:t>
            </w:r>
          </w:p>
        </w:tc>
        <w:tc>
          <w:tcPr>
            <w:tcW w:w="5611" w:type="dxa"/>
            <w:tcBorders>
              <w:top w:val="single" w:color="auto" w:sz="4" w:space="0"/>
              <w:left w:val="nil"/>
              <w:bottom w:val="single" w:color="auto" w:sz="4" w:space="0"/>
              <w:right w:val="single" w:color="auto" w:sz="4" w:space="0"/>
            </w:tcBorders>
            <w:noWrap w:val="0"/>
            <w:vAlign w:val="center"/>
          </w:tcPr>
          <w:p w14:paraId="186E6BE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评审标准</w:t>
            </w:r>
          </w:p>
        </w:tc>
      </w:tr>
      <w:tr w14:paraId="4C27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683" w:hRule="atLeast"/>
          <w:jc w:val="center"/>
        </w:trPr>
        <w:tc>
          <w:tcPr>
            <w:tcW w:w="958" w:type="dxa"/>
            <w:vMerge w:val="restart"/>
            <w:tcBorders>
              <w:top w:val="nil"/>
              <w:left w:val="single" w:color="auto" w:sz="4" w:space="0"/>
              <w:bottom w:val="single" w:color="auto" w:sz="4" w:space="0"/>
              <w:right w:val="single" w:color="auto" w:sz="4" w:space="0"/>
            </w:tcBorders>
            <w:noWrap w:val="0"/>
            <w:vAlign w:val="center"/>
          </w:tcPr>
          <w:p w14:paraId="07ACF92D">
            <w:pPr>
              <w:spacing w:line="360" w:lineRule="auto"/>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 xml:space="preserve">   1</w:t>
            </w:r>
          </w:p>
        </w:tc>
        <w:tc>
          <w:tcPr>
            <w:tcW w:w="1132" w:type="dxa"/>
            <w:gridSpan w:val="2"/>
            <w:vMerge w:val="restart"/>
            <w:tcBorders>
              <w:top w:val="nil"/>
              <w:left w:val="nil"/>
              <w:bottom w:val="single" w:color="auto" w:sz="4" w:space="0"/>
              <w:right w:val="single" w:color="auto" w:sz="4" w:space="0"/>
            </w:tcBorders>
            <w:noWrap w:val="0"/>
            <w:vAlign w:val="center"/>
          </w:tcPr>
          <w:p w14:paraId="4235F3B9">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形式评审标准</w:t>
            </w:r>
          </w:p>
        </w:tc>
        <w:tc>
          <w:tcPr>
            <w:tcW w:w="2037" w:type="dxa"/>
            <w:gridSpan w:val="2"/>
            <w:tcBorders>
              <w:top w:val="single" w:color="auto" w:sz="4" w:space="0"/>
              <w:left w:val="nil"/>
              <w:bottom w:val="single" w:color="auto" w:sz="4" w:space="0"/>
              <w:right w:val="single" w:color="auto" w:sz="4" w:space="0"/>
            </w:tcBorders>
            <w:noWrap w:val="0"/>
            <w:vAlign w:val="center"/>
          </w:tcPr>
          <w:p w14:paraId="293AE32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供应商名称 </w:t>
            </w:r>
          </w:p>
        </w:tc>
        <w:tc>
          <w:tcPr>
            <w:tcW w:w="5611" w:type="dxa"/>
            <w:tcBorders>
              <w:top w:val="single" w:color="auto" w:sz="4" w:space="0"/>
              <w:left w:val="nil"/>
              <w:bottom w:val="single" w:color="auto" w:sz="4" w:space="0"/>
              <w:right w:val="single" w:color="auto" w:sz="4" w:space="0"/>
            </w:tcBorders>
            <w:noWrap w:val="0"/>
            <w:vAlign w:val="center"/>
          </w:tcPr>
          <w:p w14:paraId="264215F9">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与营业执照一致</w:t>
            </w:r>
          </w:p>
        </w:tc>
      </w:tr>
      <w:tr w14:paraId="5956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683" w:hRule="atLeast"/>
          <w:jc w:val="center"/>
        </w:trPr>
        <w:tc>
          <w:tcPr>
            <w:tcW w:w="958" w:type="dxa"/>
            <w:vMerge w:val="continue"/>
            <w:tcBorders>
              <w:top w:val="nil"/>
              <w:left w:val="single" w:color="auto" w:sz="4" w:space="0"/>
              <w:bottom w:val="single" w:color="auto" w:sz="4" w:space="0"/>
              <w:right w:val="single" w:color="auto" w:sz="4" w:space="0"/>
            </w:tcBorders>
            <w:noWrap w:val="0"/>
            <w:vAlign w:val="center"/>
          </w:tcPr>
          <w:p w14:paraId="59BDDD0C">
            <w:pPr>
              <w:spacing w:line="360" w:lineRule="auto"/>
              <w:rPr>
                <w:rFonts w:ascii="宋体" w:hAnsi="宋体" w:eastAsia="宋体" w:cs="宋体"/>
                <w:color w:val="auto"/>
                <w:spacing w:val="1"/>
                <w:kern w:val="0"/>
                <w:szCs w:val="21"/>
                <w:highlight w:val="none"/>
              </w:rPr>
            </w:pPr>
          </w:p>
        </w:tc>
        <w:tc>
          <w:tcPr>
            <w:tcW w:w="1132" w:type="dxa"/>
            <w:gridSpan w:val="2"/>
            <w:vMerge w:val="continue"/>
            <w:tcBorders>
              <w:top w:val="nil"/>
              <w:left w:val="nil"/>
              <w:bottom w:val="single" w:color="auto" w:sz="4" w:space="0"/>
              <w:right w:val="single" w:color="auto" w:sz="4" w:space="0"/>
            </w:tcBorders>
            <w:noWrap w:val="0"/>
            <w:vAlign w:val="center"/>
          </w:tcPr>
          <w:p w14:paraId="7DE7479C">
            <w:pPr>
              <w:spacing w:line="360" w:lineRule="auto"/>
              <w:jc w:val="center"/>
              <w:rPr>
                <w:rFonts w:ascii="宋体" w:hAnsi="宋体" w:eastAsia="宋体" w:cs="宋体"/>
                <w:color w:val="auto"/>
                <w:kern w:val="0"/>
                <w:szCs w:val="21"/>
                <w:highlight w:val="none"/>
              </w:rPr>
            </w:pPr>
          </w:p>
        </w:tc>
        <w:tc>
          <w:tcPr>
            <w:tcW w:w="2037" w:type="dxa"/>
            <w:gridSpan w:val="2"/>
            <w:tcBorders>
              <w:top w:val="single" w:color="auto" w:sz="4" w:space="0"/>
              <w:left w:val="nil"/>
              <w:bottom w:val="single" w:color="auto" w:sz="4" w:space="0"/>
              <w:right w:val="single" w:color="auto" w:sz="4" w:space="0"/>
            </w:tcBorders>
            <w:noWrap w:val="0"/>
            <w:vAlign w:val="center"/>
          </w:tcPr>
          <w:p w14:paraId="529100D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响应文件签章</w:t>
            </w:r>
          </w:p>
        </w:tc>
        <w:tc>
          <w:tcPr>
            <w:tcW w:w="5611" w:type="dxa"/>
            <w:tcBorders>
              <w:top w:val="single" w:color="auto" w:sz="4" w:space="0"/>
              <w:left w:val="nil"/>
              <w:bottom w:val="single" w:color="auto" w:sz="4" w:space="0"/>
              <w:right w:val="single" w:color="auto" w:sz="4" w:space="0"/>
            </w:tcBorders>
            <w:noWrap w:val="0"/>
            <w:vAlign w:val="center"/>
          </w:tcPr>
          <w:p w14:paraId="3B335B7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符合磋商文件响应文件格式要求；</w:t>
            </w:r>
          </w:p>
        </w:tc>
      </w:tr>
      <w:tr w14:paraId="65887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683" w:hRule="atLeast"/>
          <w:jc w:val="center"/>
        </w:trPr>
        <w:tc>
          <w:tcPr>
            <w:tcW w:w="958" w:type="dxa"/>
            <w:vMerge w:val="continue"/>
            <w:tcBorders>
              <w:top w:val="nil"/>
              <w:left w:val="single" w:color="auto" w:sz="4" w:space="0"/>
              <w:bottom w:val="single" w:color="auto" w:sz="4" w:space="0"/>
              <w:right w:val="single" w:color="auto" w:sz="4" w:space="0"/>
            </w:tcBorders>
            <w:noWrap w:val="0"/>
            <w:vAlign w:val="center"/>
          </w:tcPr>
          <w:p w14:paraId="6C71C6AE">
            <w:pPr>
              <w:spacing w:line="360" w:lineRule="auto"/>
              <w:rPr>
                <w:rFonts w:ascii="宋体" w:hAnsi="宋体" w:eastAsia="宋体" w:cs="宋体"/>
                <w:color w:val="auto"/>
                <w:spacing w:val="1"/>
                <w:kern w:val="0"/>
                <w:szCs w:val="21"/>
                <w:highlight w:val="none"/>
              </w:rPr>
            </w:pPr>
          </w:p>
        </w:tc>
        <w:tc>
          <w:tcPr>
            <w:tcW w:w="1132" w:type="dxa"/>
            <w:gridSpan w:val="2"/>
            <w:vMerge w:val="continue"/>
            <w:tcBorders>
              <w:top w:val="nil"/>
              <w:left w:val="nil"/>
              <w:bottom w:val="single" w:color="auto" w:sz="4" w:space="0"/>
              <w:right w:val="single" w:color="auto" w:sz="4" w:space="0"/>
            </w:tcBorders>
            <w:noWrap w:val="0"/>
            <w:vAlign w:val="center"/>
          </w:tcPr>
          <w:p w14:paraId="1A4990A4">
            <w:pPr>
              <w:spacing w:line="360" w:lineRule="auto"/>
              <w:jc w:val="center"/>
              <w:rPr>
                <w:rFonts w:ascii="宋体" w:hAnsi="宋体" w:eastAsia="宋体" w:cs="宋体"/>
                <w:color w:val="auto"/>
                <w:kern w:val="0"/>
                <w:szCs w:val="21"/>
                <w:highlight w:val="none"/>
              </w:rPr>
            </w:pPr>
          </w:p>
        </w:tc>
        <w:tc>
          <w:tcPr>
            <w:tcW w:w="2037" w:type="dxa"/>
            <w:gridSpan w:val="2"/>
            <w:tcBorders>
              <w:top w:val="single" w:color="auto" w:sz="4" w:space="0"/>
              <w:left w:val="nil"/>
              <w:bottom w:val="single" w:color="auto" w:sz="4" w:space="0"/>
              <w:right w:val="single" w:color="auto" w:sz="4" w:space="0"/>
            </w:tcBorders>
            <w:noWrap w:val="0"/>
            <w:vAlign w:val="center"/>
          </w:tcPr>
          <w:p w14:paraId="04B822A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响应文件格式</w:t>
            </w:r>
          </w:p>
        </w:tc>
        <w:tc>
          <w:tcPr>
            <w:tcW w:w="5611" w:type="dxa"/>
            <w:tcBorders>
              <w:top w:val="single" w:color="auto" w:sz="4" w:space="0"/>
              <w:left w:val="nil"/>
              <w:bottom w:val="single" w:color="auto" w:sz="4" w:space="0"/>
              <w:right w:val="single" w:color="auto" w:sz="4" w:space="0"/>
            </w:tcBorders>
            <w:noWrap w:val="0"/>
            <w:vAlign w:val="center"/>
          </w:tcPr>
          <w:p w14:paraId="1F6F303F">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符合磋商文件响应文件格式要求；</w:t>
            </w:r>
          </w:p>
        </w:tc>
      </w:tr>
      <w:tr w14:paraId="1AB0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176" w:hRule="atLeast"/>
          <w:jc w:val="center"/>
        </w:trPr>
        <w:tc>
          <w:tcPr>
            <w:tcW w:w="958" w:type="dxa"/>
            <w:tcBorders>
              <w:top w:val="single" w:color="auto" w:sz="4" w:space="0"/>
              <w:left w:val="single" w:color="auto" w:sz="4" w:space="0"/>
              <w:bottom w:val="nil"/>
              <w:right w:val="single" w:color="auto" w:sz="4" w:space="0"/>
            </w:tcBorders>
            <w:noWrap w:val="0"/>
            <w:vAlign w:val="center"/>
          </w:tcPr>
          <w:p w14:paraId="176C9E38">
            <w:pPr>
              <w:spacing w:line="360" w:lineRule="auto"/>
              <w:rPr>
                <w:rFonts w:ascii="宋体" w:hAnsi="宋体" w:eastAsia="宋体" w:cs="宋体"/>
                <w:color w:val="auto"/>
                <w:szCs w:val="21"/>
                <w:highlight w:val="none"/>
              </w:rPr>
            </w:pPr>
            <w:r>
              <w:rPr>
                <w:rFonts w:hint="eastAsia" w:ascii="宋体" w:hAnsi="宋体" w:eastAsia="宋体" w:cs="宋体"/>
                <w:color w:val="auto"/>
                <w:spacing w:val="1"/>
                <w:kern w:val="0"/>
                <w:szCs w:val="21"/>
                <w:highlight w:val="none"/>
              </w:rPr>
              <w:t xml:space="preserve">   2</w:t>
            </w:r>
          </w:p>
        </w:tc>
        <w:tc>
          <w:tcPr>
            <w:tcW w:w="1132" w:type="dxa"/>
            <w:gridSpan w:val="2"/>
            <w:tcBorders>
              <w:top w:val="single" w:color="auto" w:sz="4" w:space="0"/>
              <w:left w:val="nil"/>
              <w:bottom w:val="nil"/>
              <w:right w:val="single" w:color="auto" w:sz="4" w:space="0"/>
            </w:tcBorders>
            <w:noWrap w:val="0"/>
            <w:vAlign w:val="center"/>
          </w:tcPr>
          <w:p w14:paraId="7792DCBA">
            <w:pPr>
              <w:spacing w:line="360" w:lineRule="auto"/>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资格评审标准</w:t>
            </w:r>
          </w:p>
        </w:tc>
        <w:tc>
          <w:tcPr>
            <w:tcW w:w="2037" w:type="dxa"/>
            <w:gridSpan w:val="2"/>
            <w:tcBorders>
              <w:top w:val="single" w:color="auto" w:sz="4" w:space="0"/>
              <w:left w:val="nil"/>
              <w:bottom w:val="single" w:color="auto" w:sz="4" w:space="0"/>
              <w:right w:val="single" w:color="auto" w:sz="4" w:space="0"/>
            </w:tcBorders>
            <w:noWrap w:val="0"/>
            <w:vAlign w:val="center"/>
          </w:tcPr>
          <w:p w14:paraId="5D42F40A">
            <w:pPr>
              <w:kinsoku w:val="0"/>
              <w:overflowPunct w:val="0"/>
              <w:autoSpaceDE w:val="0"/>
              <w:autoSpaceDN w:val="0"/>
              <w:adjustRightInd w:val="0"/>
              <w:snapToGrid w:val="0"/>
              <w:spacing w:line="360" w:lineRule="auto"/>
              <w:jc w:val="left"/>
              <w:rPr>
                <w:rFonts w:ascii="宋体" w:hAnsi="宋体" w:eastAsia="宋体" w:cs="宋体"/>
                <w:color w:val="auto"/>
                <w:szCs w:val="21"/>
                <w:highlight w:val="none"/>
              </w:rPr>
            </w:pPr>
            <w:r>
              <w:rPr>
                <w:rFonts w:hint="eastAsia"/>
                <w:color w:val="auto"/>
                <w:highlight w:val="none"/>
              </w:rPr>
              <w:t>资格审查标准</w:t>
            </w:r>
          </w:p>
        </w:tc>
        <w:tc>
          <w:tcPr>
            <w:tcW w:w="5611" w:type="dxa"/>
            <w:tcBorders>
              <w:top w:val="single" w:color="auto" w:sz="4" w:space="0"/>
              <w:left w:val="nil"/>
              <w:bottom w:val="single" w:color="auto" w:sz="4" w:space="0"/>
              <w:right w:val="single" w:color="auto" w:sz="4" w:space="0"/>
            </w:tcBorders>
            <w:noWrap w:val="0"/>
            <w:vAlign w:val="center"/>
          </w:tcPr>
          <w:p w14:paraId="23D05DA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符合第二章“供应商须知前附表”第</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项规定</w:t>
            </w:r>
          </w:p>
        </w:tc>
      </w:tr>
      <w:tr w14:paraId="1259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97" w:hRule="atLeast"/>
          <w:jc w:val="center"/>
        </w:trPr>
        <w:tc>
          <w:tcPr>
            <w:tcW w:w="958" w:type="dxa"/>
            <w:vMerge w:val="restart"/>
            <w:tcBorders>
              <w:top w:val="single" w:color="auto" w:sz="4" w:space="0"/>
              <w:left w:val="single" w:color="auto" w:sz="4" w:space="0"/>
              <w:right w:val="single" w:color="auto" w:sz="4" w:space="0"/>
            </w:tcBorders>
            <w:noWrap w:val="0"/>
            <w:vAlign w:val="center"/>
          </w:tcPr>
          <w:p w14:paraId="2B9A83A5">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3</w:t>
            </w:r>
          </w:p>
        </w:tc>
        <w:tc>
          <w:tcPr>
            <w:tcW w:w="1132" w:type="dxa"/>
            <w:gridSpan w:val="2"/>
            <w:vMerge w:val="restart"/>
            <w:tcBorders>
              <w:top w:val="single" w:color="auto" w:sz="4" w:space="0"/>
              <w:left w:val="nil"/>
              <w:right w:val="single" w:color="auto" w:sz="4" w:space="0"/>
            </w:tcBorders>
            <w:noWrap w:val="0"/>
            <w:vAlign w:val="center"/>
          </w:tcPr>
          <w:p w14:paraId="38AE3498">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 应 性</w:t>
            </w:r>
          </w:p>
          <w:p w14:paraId="078AC17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评审标准</w:t>
            </w:r>
          </w:p>
        </w:tc>
        <w:tc>
          <w:tcPr>
            <w:tcW w:w="2037" w:type="dxa"/>
            <w:gridSpan w:val="2"/>
            <w:tcBorders>
              <w:top w:val="single" w:color="auto" w:sz="4" w:space="0"/>
              <w:left w:val="nil"/>
              <w:bottom w:val="single" w:color="auto" w:sz="4" w:space="0"/>
              <w:right w:val="single" w:color="auto" w:sz="4" w:space="0"/>
            </w:tcBorders>
            <w:noWrap w:val="0"/>
            <w:vAlign w:val="center"/>
          </w:tcPr>
          <w:p w14:paraId="46DCFFA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5611" w:type="dxa"/>
            <w:tcBorders>
              <w:top w:val="single" w:color="auto" w:sz="4" w:space="0"/>
              <w:left w:val="nil"/>
              <w:bottom w:val="single" w:color="auto" w:sz="4" w:space="0"/>
              <w:right w:val="single" w:color="auto" w:sz="4" w:space="0"/>
            </w:tcBorders>
            <w:noWrap w:val="0"/>
            <w:vAlign w:val="center"/>
          </w:tcPr>
          <w:p w14:paraId="16FC288B">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符合第二章“供应商须知前附表”规定</w:t>
            </w:r>
          </w:p>
        </w:tc>
      </w:tr>
      <w:tr w14:paraId="6EEF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88" w:hRule="atLeast"/>
          <w:jc w:val="center"/>
        </w:trPr>
        <w:tc>
          <w:tcPr>
            <w:tcW w:w="958" w:type="dxa"/>
            <w:vMerge w:val="continue"/>
            <w:tcBorders>
              <w:left w:val="single" w:color="auto" w:sz="4" w:space="0"/>
              <w:right w:val="single" w:color="auto" w:sz="4" w:space="0"/>
            </w:tcBorders>
            <w:noWrap w:val="0"/>
            <w:vAlign w:val="center"/>
          </w:tcPr>
          <w:p w14:paraId="5C55F6A9">
            <w:pPr>
              <w:spacing w:line="360" w:lineRule="auto"/>
              <w:rPr>
                <w:rFonts w:ascii="宋体" w:hAnsi="宋体" w:eastAsia="宋体" w:cs="宋体"/>
                <w:color w:val="auto"/>
                <w:szCs w:val="21"/>
                <w:highlight w:val="none"/>
              </w:rPr>
            </w:pPr>
          </w:p>
        </w:tc>
        <w:tc>
          <w:tcPr>
            <w:tcW w:w="1132" w:type="dxa"/>
            <w:gridSpan w:val="2"/>
            <w:vMerge w:val="continue"/>
            <w:tcBorders>
              <w:left w:val="nil"/>
              <w:right w:val="single" w:color="auto" w:sz="4" w:space="0"/>
            </w:tcBorders>
            <w:noWrap w:val="0"/>
            <w:vAlign w:val="center"/>
          </w:tcPr>
          <w:p w14:paraId="7F0D2755">
            <w:pPr>
              <w:spacing w:line="360" w:lineRule="auto"/>
              <w:rPr>
                <w:rFonts w:ascii="宋体" w:hAnsi="宋体" w:eastAsia="宋体" w:cs="宋体"/>
                <w:color w:val="auto"/>
                <w:szCs w:val="21"/>
                <w:highlight w:val="none"/>
              </w:rPr>
            </w:pPr>
          </w:p>
        </w:tc>
        <w:tc>
          <w:tcPr>
            <w:tcW w:w="2037" w:type="dxa"/>
            <w:gridSpan w:val="2"/>
            <w:tcBorders>
              <w:top w:val="single" w:color="auto" w:sz="4" w:space="0"/>
              <w:left w:val="nil"/>
              <w:bottom w:val="single" w:color="auto" w:sz="4" w:space="0"/>
              <w:right w:val="single" w:color="auto" w:sz="4" w:space="0"/>
            </w:tcBorders>
            <w:noWrap w:val="0"/>
            <w:vAlign w:val="center"/>
          </w:tcPr>
          <w:p w14:paraId="2EC68DA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服务期限</w:t>
            </w:r>
          </w:p>
        </w:tc>
        <w:tc>
          <w:tcPr>
            <w:tcW w:w="5611" w:type="dxa"/>
            <w:tcBorders>
              <w:top w:val="single" w:color="auto" w:sz="4" w:space="0"/>
              <w:left w:val="nil"/>
              <w:bottom w:val="single" w:color="auto" w:sz="4" w:space="0"/>
              <w:right w:val="single" w:color="auto" w:sz="4" w:space="0"/>
            </w:tcBorders>
            <w:noWrap w:val="0"/>
            <w:vAlign w:val="center"/>
          </w:tcPr>
          <w:p w14:paraId="5A3EB2FF">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符合第二章“供应商须知前附表”规定</w:t>
            </w:r>
          </w:p>
        </w:tc>
      </w:tr>
      <w:tr w14:paraId="1A58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438" w:hRule="atLeast"/>
          <w:jc w:val="center"/>
        </w:trPr>
        <w:tc>
          <w:tcPr>
            <w:tcW w:w="958" w:type="dxa"/>
            <w:vMerge w:val="continue"/>
            <w:tcBorders>
              <w:left w:val="single" w:color="auto" w:sz="4" w:space="0"/>
              <w:right w:val="single" w:color="auto" w:sz="4" w:space="0"/>
            </w:tcBorders>
            <w:noWrap w:val="0"/>
            <w:vAlign w:val="center"/>
          </w:tcPr>
          <w:p w14:paraId="1353AE2E">
            <w:pPr>
              <w:spacing w:line="360" w:lineRule="auto"/>
              <w:rPr>
                <w:rFonts w:ascii="宋体" w:hAnsi="宋体" w:eastAsia="宋体" w:cs="宋体"/>
                <w:color w:val="auto"/>
                <w:szCs w:val="21"/>
                <w:highlight w:val="none"/>
              </w:rPr>
            </w:pPr>
          </w:p>
        </w:tc>
        <w:tc>
          <w:tcPr>
            <w:tcW w:w="1132" w:type="dxa"/>
            <w:gridSpan w:val="2"/>
            <w:vMerge w:val="continue"/>
            <w:tcBorders>
              <w:left w:val="nil"/>
              <w:right w:val="single" w:color="auto" w:sz="4" w:space="0"/>
            </w:tcBorders>
            <w:noWrap w:val="0"/>
            <w:vAlign w:val="center"/>
          </w:tcPr>
          <w:p w14:paraId="3CF402D0">
            <w:pPr>
              <w:spacing w:line="360" w:lineRule="auto"/>
              <w:rPr>
                <w:rFonts w:ascii="宋体" w:hAnsi="宋体" w:eastAsia="宋体" w:cs="宋体"/>
                <w:color w:val="auto"/>
                <w:szCs w:val="21"/>
                <w:highlight w:val="none"/>
              </w:rPr>
            </w:pPr>
          </w:p>
        </w:tc>
        <w:tc>
          <w:tcPr>
            <w:tcW w:w="2037" w:type="dxa"/>
            <w:gridSpan w:val="2"/>
            <w:tcBorders>
              <w:top w:val="single" w:color="auto" w:sz="4" w:space="0"/>
              <w:left w:val="nil"/>
              <w:bottom w:val="single" w:color="auto" w:sz="4" w:space="0"/>
              <w:right w:val="single" w:color="auto" w:sz="4" w:space="0"/>
            </w:tcBorders>
            <w:noWrap w:val="0"/>
            <w:vAlign w:val="center"/>
          </w:tcPr>
          <w:p w14:paraId="14C3B40C">
            <w:pPr>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服务</w:t>
            </w:r>
            <w:r>
              <w:rPr>
                <w:rFonts w:hint="eastAsia" w:ascii="宋体" w:hAnsi="宋体" w:eastAsia="宋体" w:cs="宋体"/>
                <w:color w:val="auto"/>
                <w:szCs w:val="21"/>
                <w:highlight w:val="none"/>
              </w:rPr>
              <w:t>质量</w:t>
            </w:r>
            <w:r>
              <w:rPr>
                <w:rFonts w:hint="eastAsia" w:ascii="宋体" w:hAnsi="宋体" w:eastAsia="宋体" w:cs="宋体"/>
                <w:color w:val="auto"/>
                <w:szCs w:val="21"/>
                <w:highlight w:val="none"/>
                <w:lang w:val="en-US" w:eastAsia="zh-CN"/>
              </w:rPr>
              <w:t>要求</w:t>
            </w:r>
          </w:p>
        </w:tc>
        <w:tc>
          <w:tcPr>
            <w:tcW w:w="5611" w:type="dxa"/>
            <w:tcBorders>
              <w:top w:val="single" w:color="auto" w:sz="4" w:space="0"/>
              <w:left w:val="nil"/>
              <w:bottom w:val="single" w:color="auto" w:sz="4" w:space="0"/>
              <w:right w:val="single" w:color="auto" w:sz="4" w:space="0"/>
            </w:tcBorders>
            <w:noWrap w:val="0"/>
            <w:vAlign w:val="center"/>
          </w:tcPr>
          <w:p w14:paraId="1717949B">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符合第二章“供应商须知前附表”规定</w:t>
            </w:r>
          </w:p>
        </w:tc>
      </w:tr>
      <w:tr w14:paraId="3B10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98" w:hRule="atLeast"/>
          <w:jc w:val="center"/>
        </w:trPr>
        <w:tc>
          <w:tcPr>
            <w:tcW w:w="958" w:type="dxa"/>
            <w:vMerge w:val="continue"/>
            <w:tcBorders>
              <w:left w:val="single" w:color="auto" w:sz="4" w:space="0"/>
              <w:right w:val="single" w:color="auto" w:sz="4" w:space="0"/>
            </w:tcBorders>
            <w:noWrap w:val="0"/>
            <w:vAlign w:val="center"/>
          </w:tcPr>
          <w:p w14:paraId="000ADDD6">
            <w:pPr>
              <w:spacing w:line="360" w:lineRule="auto"/>
              <w:rPr>
                <w:rFonts w:ascii="宋体" w:hAnsi="宋体" w:eastAsia="宋体" w:cs="宋体"/>
                <w:color w:val="auto"/>
                <w:szCs w:val="21"/>
                <w:highlight w:val="none"/>
              </w:rPr>
            </w:pPr>
          </w:p>
        </w:tc>
        <w:tc>
          <w:tcPr>
            <w:tcW w:w="1132" w:type="dxa"/>
            <w:gridSpan w:val="2"/>
            <w:vMerge w:val="continue"/>
            <w:tcBorders>
              <w:left w:val="nil"/>
              <w:right w:val="single" w:color="auto" w:sz="4" w:space="0"/>
            </w:tcBorders>
            <w:noWrap w:val="0"/>
            <w:vAlign w:val="center"/>
          </w:tcPr>
          <w:p w14:paraId="7238BD7E">
            <w:pPr>
              <w:spacing w:line="360" w:lineRule="auto"/>
              <w:rPr>
                <w:rFonts w:ascii="宋体" w:hAnsi="宋体" w:eastAsia="宋体" w:cs="宋体"/>
                <w:color w:val="auto"/>
                <w:szCs w:val="21"/>
                <w:highlight w:val="none"/>
              </w:rPr>
            </w:pPr>
          </w:p>
        </w:tc>
        <w:tc>
          <w:tcPr>
            <w:tcW w:w="2037" w:type="dxa"/>
            <w:gridSpan w:val="2"/>
            <w:tcBorders>
              <w:top w:val="single" w:color="auto" w:sz="4" w:space="0"/>
              <w:left w:val="nil"/>
              <w:bottom w:val="single" w:color="auto" w:sz="4" w:space="0"/>
              <w:right w:val="single" w:color="auto" w:sz="4" w:space="0"/>
            </w:tcBorders>
            <w:noWrap w:val="0"/>
            <w:vAlign w:val="center"/>
          </w:tcPr>
          <w:p w14:paraId="241D52F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5611" w:type="dxa"/>
            <w:tcBorders>
              <w:top w:val="single" w:color="auto" w:sz="4" w:space="0"/>
              <w:left w:val="nil"/>
              <w:bottom w:val="single" w:color="auto" w:sz="4" w:space="0"/>
              <w:right w:val="single" w:color="auto" w:sz="4" w:space="0"/>
            </w:tcBorders>
            <w:noWrap w:val="0"/>
            <w:vAlign w:val="center"/>
          </w:tcPr>
          <w:p w14:paraId="05872043">
            <w:pPr>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rPr>
              <w:t>符合第二章“供应商须知前附表”规定</w:t>
            </w:r>
          </w:p>
        </w:tc>
      </w:tr>
      <w:tr w14:paraId="1125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707" w:hRule="atLeast"/>
          <w:jc w:val="center"/>
        </w:trPr>
        <w:tc>
          <w:tcPr>
            <w:tcW w:w="958" w:type="dxa"/>
            <w:vMerge w:val="continue"/>
            <w:tcBorders>
              <w:left w:val="single" w:color="auto" w:sz="4" w:space="0"/>
              <w:right w:val="single" w:color="auto" w:sz="4" w:space="0"/>
            </w:tcBorders>
            <w:noWrap w:val="0"/>
            <w:vAlign w:val="center"/>
          </w:tcPr>
          <w:p w14:paraId="7CBFD4E1">
            <w:pPr>
              <w:spacing w:line="360" w:lineRule="auto"/>
              <w:rPr>
                <w:rFonts w:ascii="宋体" w:hAnsi="宋体" w:eastAsia="宋体" w:cs="宋体"/>
                <w:color w:val="auto"/>
                <w:szCs w:val="21"/>
                <w:highlight w:val="none"/>
              </w:rPr>
            </w:pPr>
          </w:p>
        </w:tc>
        <w:tc>
          <w:tcPr>
            <w:tcW w:w="1132" w:type="dxa"/>
            <w:gridSpan w:val="2"/>
            <w:vMerge w:val="continue"/>
            <w:tcBorders>
              <w:left w:val="nil"/>
              <w:right w:val="single" w:color="auto" w:sz="4" w:space="0"/>
            </w:tcBorders>
            <w:noWrap w:val="0"/>
            <w:vAlign w:val="center"/>
          </w:tcPr>
          <w:p w14:paraId="6D65EC19">
            <w:pPr>
              <w:spacing w:line="360" w:lineRule="auto"/>
              <w:rPr>
                <w:rFonts w:ascii="宋体" w:hAnsi="宋体" w:eastAsia="宋体" w:cs="宋体"/>
                <w:color w:val="auto"/>
                <w:szCs w:val="21"/>
                <w:highlight w:val="none"/>
              </w:rPr>
            </w:pPr>
          </w:p>
        </w:tc>
        <w:tc>
          <w:tcPr>
            <w:tcW w:w="2037" w:type="dxa"/>
            <w:gridSpan w:val="2"/>
            <w:tcBorders>
              <w:top w:val="single" w:color="auto" w:sz="4" w:space="0"/>
              <w:left w:val="nil"/>
              <w:bottom w:val="single" w:color="auto" w:sz="4" w:space="0"/>
              <w:right w:val="single" w:color="auto" w:sz="4" w:space="0"/>
            </w:tcBorders>
            <w:noWrap w:val="0"/>
            <w:vAlign w:val="center"/>
          </w:tcPr>
          <w:p w14:paraId="2E180FE3">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最高投标限价</w:t>
            </w:r>
          </w:p>
        </w:tc>
        <w:tc>
          <w:tcPr>
            <w:tcW w:w="5611" w:type="dxa"/>
            <w:tcBorders>
              <w:top w:val="single" w:color="auto" w:sz="4" w:space="0"/>
              <w:left w:val="nil"/>
              <w:bottom w:val="single" w:color="auto" w:sz="4" w:space="0"/>
              <w:right w:val="single" w:color="auto" w:sz="4" w:space="0"/>
            </w:tcBorders>
            <w:noWrap w:val="0"/>
            <w:vAlign w:val="center"/>
          </w:tcPr>
          <w:p w14:paraId="11AFE7C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响应文件投标价格不高于采购人最高投标限价</w:t>
            </w:r>
          </w:p>
        </w:tc>
      </w:tr>
      <w:tr w14:paraId="51DF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707" w:hRule="atLeast"/>
          <w:jc w:val="center"/>
        </w:trPr>
        <w:tc>
          <w:tcPr>
            <w:tcW w:w="958" w:type="dxa"/>
            <w:vMerge w:val="continue"/>
            <w:tcBorders>
              <w:left w:val="single" w:color="auto" w:sz="4" w:space="0"/>
              <w:bottom w:val="single" w:color="auto" w:sz="4" w:space="0"/>
              <w:right w:val="single" w:color="auto" w:sz="4" w:space="0"/>
            </w:tcBorders>
            <w:noWrap w:val="0"/>
            <w:vAlign w:val="center"/>
          </w:tcPr>
          <w:p w14:paraId="0051455A">
            <w:pPr>
              <w:spacing w:line="360" w:lineRule="auto"/>
              <w:rPr>
                <w:rFonts w:ascii="宋体" w:hAnsi="宋体" w:eastAsia="宋体" w:cs="宋体"/>
                <w:color w:val="auto"/>
                <w:szCs w:val="21"/>
                <w:highlight w:val="none"/>
              </w:rPr>
            </w:pPr>
          </w:p>
        </w:tc>
        <w:tc>
          <w:tcPr>
            <w:tcW w:w="1132" w:type="dxa"/>
            <w:gridSpan w:val="2"/>
            <w:vMerge w:val="continue"/>
            <w:tcBorders>
              <w:left w:val="nil"/>
              <w:bottom w:val="single" w:color="auto" w:sz="4" w:space="0"/>
              <w:right w:val="single" w:color="auto" w:sz="4" w:space="0"/>
            </w:tcBorders>
            <w:noWrap w:val="0"/>
            <w:vAlign w:val="center"/>
          </w:tcPr>
          <w:p w14:paraId="3B67BFB2">
            <w:pPr>
              <w:spacing w:line="360" w:lineRule="auto"/>
              <w:rPr>
                <w:rFonts w:ascii="宋体" w:hAnsi="宋体" w:eastAsia="宋体" w:cs="宋体"/>
                <w:color w:val="auto"/>
                <w:szCs w:val="21"/>
                <w:highlight w:val="none"/>
              </w:rPr>
            </w:pPr>
          </w:p>
        </w:tc>
        <w:tc>
          <w:tcPr>
            <w:tcW w:w="2037" w:type="dxa"/>
            <w:gridSpan w:val="2"/>
            <w:tcBorders>
              <w:top w:val="single" w:color="auto" w:sz="4" w:space="0"/>
              <w:left w:val="nil"/>
              <w:bottom w:val="single" w:color="auto" w:sz="4" w:space="0"/>
              <w:right w:val="single" w:color="auto" w:sz="4" w:space="0"/>
            </w:tcBorders>
            <w:noWrap w:val="0"/>
            <w:vAlign w:val="center"/>
          </w:tcPr>
          <w:p w14:paraId="76669AC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出现下列情况将会导致响应文件无效</w:t>
            </w:r>
          </w:p>
        </w:tc>
        <w:tc>
          <w:tcPr>
            <w:tcW w:w="5611" w:type="dxa"/>
            <w:tcBorders>
              <w:top w:val="single" w:color="auto" w:sz="4" w:space="0"/>
              <w:left w:val="nil"/>
              <w:bottom w:val="single" w:color="auto" w:sz="4" w:space="0"/>
              <w:right w:val="single" w:color="auto" w:sz="4" w:space="0"/>
            </w:tcBorders>
            <w:noWrap w:val="0"/>
            <w:vAlign w:val="center"/>
          </w:tcPr>
          <w:p w14:paraId="4CEA628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1）其它实质性偏离或不响应招标文件、不符合法律法规的情况；</w:t>
            </w:r>
          </w:p>
          <w:p w14:paraId="2A3D12E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2）串通投标或弄虚作假或有其他违法行为的；</w:t>
            </w:r>
          </w:p>
          <w:p w14:paraId="3702956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3）不按磋商小组要求澄清、说明或补正的；</w:t>
            </w:r>
          </w:p>
          <w:p w14:paraId="4FA8D11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4）响应文件未按文件格式签章的。</w:t>
            </w:r>
          </w:p>
        </w:tc>
      </w:tr>
      <w:tr w14:paraId="3C08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460" w:type="dxa"/>
            <w:gridSpan w:val="4"/>
            <w:noWrap w:val="0"/>
            <w:vAlign w:val="center"/>
          </w:tcPr>
          <w:p w14:paraId="4AD6B45D">
            <w:pPr>
              <w:widowControl w:val="0"/>
              <w:autoSpaceDE w:val="0"/>
              <w:autoSpaceDN w:val="0"/>
              <w:adjustRightInd w:val="0"/>
              <w:spacing w:line="360" w:lineRule="auto"/>
              <w:jc w:val="center"/>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分值构成（总分100分）</w:t>
            </w:r>
          </w:p>
        </w:tc>
        <w:tc>
          <w:tcPr>
            <w:tcW w:w="6294" w:type="dxa"/>
            <w:gridSpan w:val="3"/>
            <w:noWrap w:val="0"/>
            <w:vAlign w:val="center"/>
          </w:tcPr>
          <w:p w14:paraId="192E1AFC">
            <w:pPr>
              <w:widowControl w:val="0"/>
              <w:autoSpaceDE w:val="0"/>
              <w:autoSpaceDN w:val="0"/>
              <w:adjustRightInd w:val="0"/>
              <w:spacing w:line="360" w:lineRule="auto"/>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报价得分：15分，商务部分：</w:t>
            </w:r>
            <w:r>
              <w:rPr>
                <w:rFonts w:hint="eastAsia" w:ascii="宋体" w:hAnsi="宋体" w:cs="宋体"/>
                <w:b/>
                <w:color w:val="auto"/>
                <w:sz w:val="21"/>
                <w:szCs w:val="21"/>
                <w:highlight w:val="none"/>
                <w:lang w:val="en-US" w:eastAsia="zh-CN" w:bidi="ar-SA"/>
              </w:rPr>
              <w:t>15</w:t>
            </w:r>
            <w:r>
              <w:rPr>
                <w:rFonts w:hint="eastAsia" w:ascii="宋体" w:hAnsi="宋体" w:eastAsia="宋体" w:cs="宋体"/>
                <w:b/>
                <w:color w:val="auto"/>
                <w:sz w:val="21"/>
                <w:szCs w:val="21"/>
                <w:highlight w:val="none"/>
                <w:lang w:val="en-US" w:eastAsia="zh-CN" w:bidi="ar-SA"/>
              </w:rPr>
              <w:t>分，技术部分：</w:t>
            </w:r>
            <w:r>
              <w:rPr>
                <w:rFonts w:hint="eastAsia" w:ascii="宋体" w:hAnsi="宋体" w:cs="宋体"/>
                <w:b/>
                <w:color w:val="auto"/>
                <w:sz w:val="21"/>
                <w:szCs w:val="21"/>
                <w:highlight w:val="none"/>
                <w:lang w:val="en-US" w:eastAsia="zh-CN" w:bidi="ar-SA"/>
              </w:rPr>
              <w:t>70</w:t>
            </w:r>
            <w:r>
              <w:rPr>
                <w:rFonts w:hint="eastAsia" w:ascii="宋体" w:hAnsi="宋体" w:eastAsia="宋体" w:cs="宋体"/>
                <w:b/>
                <w:color w:val="auto"/>
                <w:sz w:val="21"/>
                <w:szCs w:val="21"/>
                <w:highlight w:val="none"/>
                <w:lang w:val="en-US" w:eastAsia="zh-CN" w:bidi="ar-SA"/>
              </w:rPr>
              <w:t>分</w:t>
            </w:r>
          </w:p>
        </w:tc>
      </w:tr>
      <w:tr w14:paraId="4A70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260" w:type="dxa"/>
            <w:gridSpan w:val="2"/>
            <w:noWrap w:val="0"/>
            <w:vAlign w:val="center"/>
          </w:tcPr>
          <w:p w14:paraId="434D6BD8">
            <w:pPr>
              <w:widowControl w:val="0"/>
              <w:autoSpaceDE w:val="0"/>
              <w:autoSpaceDN w:val="0"/>
              <w:adjustRightInd w:val="0"/>
              <w:spacing w:line="360" w:lineRule="auto"/>
              <w:jc w:val="center"/>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评分因素</w:t>
            </w:r>
          </w:p>
        </w:tc>
        <w:tc>
          <w:tcPr>
            <w:tcW w:w="2200" w:type="dxa"/>
            <w:gridSpan w:val="2"/>
            <w:noWrap w:val="0"/>
            <w:vAlign w:val="center"/>
          </w:tcPr>
          <w:p w14:paraId="15B10060">
            <w:pPr>
              <w:widowControl w:val="0"/>
              <w:autoSpaceDE w:val="0"/>
              <w:autoSpaceDN w:val="0"/>
              <w:adjustRightInd w:val="0"/>
              <w:spacing w:line="360" w:lineRule="auto"/>
              <w:jc w:val="center"/>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评分内容</w:t>
            </w:r>
          </w:p>
        </w:tc>
        <w:tc>
          <w:tcPr>
            <w:tcW w:w="6294" w:type="dxa"/>
            <w:gridSpan w:val="3"/>
            <w:noWrap w:val="0"/>
            <w:vAlign w:val="center"/>
          </w:tcPr>
          <w:p w14:paraId="5DE54584">
            <w:pPr>
              <w:widowControl w:val="0"/>
              <w:autoSpaceDE w:val="0"/>
              <w:autoSpaceDN w:val="0"/>
              <w:adjustRightInd w:val="0"/>
              <w:spacing w:line="360" w:lineRule="auto"/>
              <w:jc w:val="center"/>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评分标准</w:t>
            </w:r>
          </w:p>
        </w:tc>
      </w:tr>
      <w:tr w14:paraId="3915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0" w:type="dxa"/>
            <w:gridSpan w:val="2"/>
            <w:noWrap w:val="0"/>
            <w:vAlign w:val="center"/>
          </w:tcPr>
          <w:p w14:paraId="6F84DE02">
            <w:pPr>
              <w:widowControl w:val="0"/>
              <w:tabs>
                <w:tab w:val="center" w:pos="4153"/>
                <w:tab w:val="right" w:pos="8306"/>
              </w:tabs>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报价部分（15分）</w:t>
            </w:r>
          </w:p>
        </w:tc>
        <w:tc>
          <w:tcPr>
            <w:tcW w:w="2200" w:type="dxa"/>
            <w:gridSpan w:val="2"/>
            <w:noWrap w:val="0"/>
            <w:vAlign w:val="center"/>
          </w:tcPr>
          <w:p w14:paraId="730A0466">
            <w:pPr>
              <w:widowControl w:val="0"/>
              <w:autoSpaceDE w:val="0"/>
              <w:autoSpaceDN w:val="0"/>
              <w:adjustRightInd w:val="0"/>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投标报价</w:t>
            </w:r>
          </w:p>
          <w:p w14:paraId="40FF5C78">
            <w:pPr>
              <w:widowControl w:val="0"/>
              <w:autoSpaceDE w:val="0"/>
              <w:autoSpaceDN w:val="0"/>
              <w:adjustRightInd w:val="0"/>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(15分)</w:t>
            </w:r>
          </w:p>
        </w:tc>
        <w:tc>
          <w:tcPr>
            <w:tcW w:w="6294" w:type="dxa"/>
            <w:gridSpan w:val="3"/>
            <w:noWrap w:val="0"/>
            <w:vAlign w:val="center"/>
          </w:tcPr>
          <w:p w14:paraId="3CD5488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投标报价得分统一采用低价优先法计算，即满足招标文件要求且投标价格最低的投标报价为评标基准价，其价格分为满分。其他供应商的价格分统一按照下列公式计算：</w:t>
            </w:r>
          </w:p>
          <w:p w14:paraId="16E5BA9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投标报价得分=（评标基准价/投标报价）×15</w:t>
            </w:r>
          </w:p>
          <w:p w14:paraId="10C4472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最终得分计算保留小数点两位。</w:t>
            </w:r>
          </w:p>
          <w:p w14:paraId="41830CE2">
            <w:pPr>
              <w:kinsoku w:val="0"/>
              <w:overflowPunct w:val="0"/>
              <w:autoSpaceDE w:val="0"/>
              <w:autoSpaceDN w:val="0"/>
              <w:adjustRightInd w:val="0"/>
              <w:snapToGrid w:val="0"/>
              <w:spacing w:line="360" w:lineRule="auto"/>
              <w:ind w:firstLine="420" w:firstLineChars="200"/>
              <w:rPr>
                <w:rFonts w:hint="eastAsia" w:ascii="宋体" w:hAnsi="宋体" w:cs="宋体"/>
                <w:color w:val="auto"/>
              </w:rPr>
            </w:pPr>
            <w:r>
              <w:rPr>
                <w:rFonts w:hint="eastAsia" w:ascii="宋体" w:hAnsi="宋体" w:eastAsia="宋体" w:cs="宋体"/>
                <w:color w:val="auto"/>
                <w:sz w:val="21"/>
                <w:szCs w:val="21"/>
                <w:highlight w:val="none"/>
              </w:rPr>
              <w:t>注：</w:t>
            </w:r>
            <w:r>
              <w:rPr>
                <w:rFonts w:hint="eastAsia" w:ascii="宋体" w:hAnsi="宋体" w:cs="宋体"/>
                <w:color w:val="auto"/>
              </w:rPr>
              <w:t>1、有效供应商是指实质上响应招标文件要求并通过实质性审核未被否决投标的所有供应商。</w:t>
            </w:r>
          </w:p>
          <w:p w14:paraId="0C6EBEF7">
            <w:pPr>
              <w:snapToGrid w:val="0"/>
              <w:ind w:firstLine="420" w:firstLineChars="200"/>
              <w:rPr>
                <w:rFonts w:hint="eastAsia" w:ascii="宋体" w:hAnsi="宋体" w:cs="宋体"/>
                <w:color w:val="auto"/>
              </w:rPr>
            </w:pPr>
            <w:r>
              <w:rPr>
                <w:rFonts w:hint="eastAsia" w:ascii="宋体" w:hAnsi="宋体" w:cs="宋体"/>
                <w:color w:val="auto"/>
              </w:rPr>
              <w:t>2、 按照《政府采购促进中小企业发展管理办法》（财库〔2020〕46号）文件规定，对小型和微型企业的价格给予20%的扣除，用扣除后的价格参与评审。供应商须在响应文件中按照相关文件的要求出具中小企业声明函。</w:t>
            </w:r>
          </w:p>
          <w:p w14:paraId="79B14DA0">
            <w:pPr>
              <w:snapToGrid w:val="0"/>
              <w:ind w:firstLine="420" w:firstLineChars="200"/>
              <w:rPr>
                <w:rFonts w:hint="eastAsia" w:ascii="宋体" w:hAnsi="宋体" w:cs="宋体"/>
                <w:color w:val="auto"/>
              </w:rPr>
            </w:pPr>
            <w:r>
              <w:rPr>
                <w:rFonts w:hint="eastAsia" w:ascii="宋体" w:hAnsi="宋体" w:cs="宋体"/>
                <w:color w:val="auto"/>
              </w:rPr>
              <w:t>3、根据财政部司法部《关于政府采购支持监狱企业发展有关问题的通知》（财库〔2014〕68号）规定，本项目对监狱企业作为供应商所提供的本企业生产的产品或服务的价格给予20%的扣除，用扣除后的价格参与评审。。</w:t>
            </w:r>
          </w:p>
          <w:p w14:paraId="255211BE">
            <w:pPr>
              <w:snapToGrid w:val="0"/>
              <w:ind w:firstLine="420" w:firstLineChars="200"/>
              <w:rPr>
                <w:rFonts w:hint="eastAsia" w:ascii="宋体" w:hAnsi="宋体" w:cs="宋体"/>
                <w:color w:val="auto"/>
              </w:rPr>
            </w:pPr>
            <w:r>
              <w:rPr>
                <w:rFonts w:hint="eastAsia" w:ascii="宋体" w:hAnsi="宋体" w:cs="宋体"/>
                <w:color w:val="auto"/>
              </w:rPr>
              <w:t>4、按照《关于促进残疾人就业政府采购政策的通知》财库〔2017〕141号文件规定，对残疾人福利单位的价格给予20%的扣除，用扣除后的价格参与评审。供应商须在响应文件中按照相关文件的要求出具残疾人福利性单位声明函。</w:t>
            </w:r>
          </w:p>
          <w:p w14:paraId="64173901">
            <w:pPr>
              <w:snapToGrid w:val="0"/>
              <w:ind w:firstLine="420" w:firstLineChars="200"/>
              <w:rPr>
                <w:rFonts w:hint="eastAsia" w:ascii="宋体" w:hAnsi="宋体" w:cs="宋体"/>
                <w:color w:val="auto"/>
              </w:rPr>
            </w:pPr>
            <w:r>
              <w:rPr>
                <w:rFonts w:hint="eastAsia" w:ascii="宋体" w:hAnsi="宋体" w:cs="宋体"/>
                <w:color w:val="auto"/>
              </w:rPr>
              <w:t>5、残疾人福利性单位、监狱企业、属于小型、微型企业的，不重复享受政策，取扣除后价格最低的。</w:t>
            </w:r>
          </w:p>
          <w:p w14:paraId="788DA08C">
            <w:pPr>
              <w:snapToGrid w:val="0"/>
              <w:ind w:firstLine="420" w:firstLineChars="200"/>
              <w:rPr>
                <w:rFonts w:hint="eastAsia" w:ascii="宋体" w:hAnsi="宋体" w:cs="宋体"/>
                <w:color w:val="auto"/>
              </w:rPr>
            </w:pPr>
            <w:r>
              <w:rPr>
                <w:rFonts w:hint="eastAsia" w:ascii="宋体" w:hAnsi="宋体" w:cs="宋体"/>
                <w:color w:val="auto"/>
              </w:rPr>
              <w:t>6、根据上述要求计算得出的价格仅限于评标时使用，对中标价格没有任何影响。</w:t>
            </w:r>
          </w:p>
          <w:p w14:paraId="32F4C122">
            <w:pPr>
              <w:snapToGrid w:val="0"/>
              <w:ind w:firstLine="420" w:firstLineChars="200"/>
              <w:rPr>
                <w:rFonts w:hint="eastAsia" w:ascii="宋体" w:hAnsi="宋体" w:eastAsia="宋体" w:cs="宋体"/>
                <w:color w:val="auto"/>
                <w:sz w:val="21"/>
                <w:szCs w:val="21"/>
                <w:highlight w:val="none"/>
              </w:rPr>
            </w:pPr>
            <w:r>
              <w:rPr>
                <w:rFonts w:hint="eastAsia" w:ascii="宋体" w:hAnsi="宋体" w:cs="宋体"/>
                <w:color w:val="auto"/>
              </w:rPr>
              <w:t>7、评标委员会认为供应商的报价明显低于其他通过符合性审查供应商的报价或成本价，有可能影响产品质量或者不能诚信履约的，应当要求其在评标现场合理的时间内提供书面说明，必要时提交相关证明材料；供应商不能证明其报价合理性的，评标委员会应当将其作为无效投标处理。</w:t>
            </w:r>
          </w:p>
        </w:tc>
      </w:tr>
      <w:tr w14:paraId="39E1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6" w:hRule="atLeast"/>
          <w:jc w:val="center"/>
        </w:trPr>
        <w:tc>
          <w:tcPr>
            <w:tcW w:w="1260" w:type="dxa"/>
            <w:gridSpan w:val="2"/>
            <w:vMerge w:val="restart"/>
            <w:noWrap w:val="0"/>
            <w:vAlign w:val="center"/>
          </w:tcPr>
          <w:p w14:paraId="6C42AADC">
            <w:pPr>
              <w:widowControl w:val="0"/>
              <w:tabs>
                <w:tab w:val="center" w:pos="4153"/>
                <w:tab w:val="right" w:pos="8306"/>
              </w:tabs>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商务部分（</w:t>
            </w:r>
            <w:r>
              <w:rPr>
                <w:rFonts w:hint="eastAsia" w:ascii="宋体" w:hAnsi="宋体" w:cs="宋体"/>
                <w:color w:val="auto"/>
                <w:kern w:val="2"/>
                <w:sz w:val="21"/>
                <w:szCs w:val="21"/>
                <w:highlight w:val="none"/>
                <w:lang w:val="en-US" w:eastAsia="zh-CN" w:bidi="ar-SA"/>
              </w:rPr>
              <w:t>15</w:t>
            </w:r>
            <w:r>
              <w:rPr>
                <w:rFonts w:hint="eastAsia" w:ascii="宋体" w:hAnsi="宋体" w:eastAsia="宋体" w:cs="宋体"/>
                <w:color w:val="auto"/>
                <w:kern w:val="2"/>
                <w:sz w:val="21"/>
                <w:szCs w:val="21"/>
                <w:highlight w:val="none"/>
                <w:lang w:val="en-US" w:eastAsia="zh-CN" w:bidi="ar-SA"/>
              </w:rPr>
              <w:t>分)</w:t>
            </w:r>
          </w:p>
        </w:tc>
        <w:tc>
          <w:tcPr>
            <w:tcW w:w="2200" w:type="dxa"/>
            <w:gridSpan w:val="2"/>
            <w:noWrap w:val="0"/>
            <w:vAlign w:val="center"/>
          </w:tcPr>
          <w:p w14:paraId="53236982">
            <w:pPr>
              <w:widowControl w:val="0"/>
              <w:tabs>
                <w:tab w:val="left" w:pos="854"/>
              </w:tabs>
              <w:autoSpaceDE w:val="0"/>
              <w:autoSpaceDN w:val="0"/>
              <w:adjustRightInd w:val="0"/>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企业业绩</w:t>
            </w:r>
          </w:p>
          <w:p w14:paraId="3C5CAD59">
            <w:pPr>
              <w:widowControl w:val="0"/>
              <w:tabs>
                <w:tab w:val="left" w:pos="854"/>
              </w:tabs>
              <w:autoSpaceDE w:val="0"/>
              <w:autoSpaceDN w:val="0"/>
              <w:adjustRightInd w:val="0"/>
              <w:spacing w:line="360" w:lineRule="auto"/>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w:t>
            </w:r>
            <w:r>
              <w:rPr>
                <w:rFonts w:hint="eastAsia" w:ascii="宋体" w:hAnsi="宋体" w:cs="宋体"/>
                <w:color w:val="auto"/>
                <w:sz w:val="21"/>
                <w:szCs w:val="21"/>
                <w:highlight w:val="none"/>
                <w:lang w:val="en-US" w:eastAsia="zh-CN" w:bidi="ar-SA"/>
              </w:rPr>
              <w:t>6</w:t>
            </w:r>
            <w:r>
              <w:rPr>
                <w:rFonts w:hint="eastAsia" w:ascii="宋体" w:hAnsi="宋体" w:eastAsia="宋体" w:cs="宋体"/>
                <w:color w:val="auto"/>
                <w:sz w:val="21"/>
                <w:szCs w:val="21"/>
                <w:highlight w:val="none"/>
                <w:lang w:val="en-US" w:eastAsia="zh-CN" w:bidi="ar-SA"/>
              </w:rPr>
              <w:t>分）</w:t>
            </w:r>
          </w:p>
        </w:tc>
        <w:tc>
          <w:tcPr>
            <w:tcW w:w="6294" w:type="dxa"/>
            <w:gridSpan w:val="3"/>
            <w:noWrap w:val="0"/>
            <w:vAlign w:val="center"/>
          </w:tcPr>
          <w:p w14:paraId="786B8A4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提供自202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年1月1日以来（以合同签订时间为准），承担的</w:t>
            </w:r>
            <w:r>
              <w:rPr>
                <w:rFonts w:hint="eastAsia" w:ascii="宋体" w:hAnsi="宋体" w:eastAsia="宋体" w:cs="宋体"/>
                <w:color w:val="auto"/>
                <w:sz w:val="21"/>
                <w:szCs w:val="21"/>
                <w:highlight w:val="none"/>
                <w:lang w:eastAsia="zh-CN"/>
              </w:rPr>
              <w:t>类似项目业绩</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每有一份</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分，最高得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1D54076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F7F1B49">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kern w:val="0"/>
                <w:szCs w:val="21"/>
                <w:highlight w:val="none"/>
              </w:rPr>
              <w:t>业绩中至少包含</w:t>
            </w:r>
            <w:r>
              <w:rPr>
                <w:color w:val="auto"/>
                <w:sz w:val="21"/>
                <w:highlight w:val="none"/>
              </w:rPr>
              <w:t>挥发性有机物在线监测</w:t>
            </w:r>
            <w:r>
              <w:rPr>
                <w:rFonts w:hint="eastAsia" w:ascii="宋体" w:hAnsi="宋体" w:cs="宋体"/>
                <w:color w:val="auto"/>
                <w:kern w:val="0"/>
                <w:szCs w:val="21"/>
                <w:highlight w:val="none"/>
              </w:rPr>
              <w:t>设备</w:t>
            </w:r>
            <w:r>
              <w:rPr>
                <w:rFonts w:hint="eastAsia" w:ascii="宋体" w:hAnsi="宋体" w:cs="宋体"/>
                <w:color w:val="auto"/>
                <w:kern w:val="0"/>
                <w:szCs w:val="21"/>
                <w:highlight w:val="none"/>
                <w:lang w:eastAsia="zh-CN"/>
              </w:rPr>
              <w:t>、</w:t>
            </w:r>
            <w:r>
              <w:rPr>
                <w:color w:val="auto"/>
                <w:sz w:val="21"/>
                <w:highlight w:val="none"/>
              </w:rPr>
              <w:t>水溶性离子分析仪</w:t>
            </w:r>
            <w:r>
              <w:rPr>
                <w:rFonts w:hint="eastAsia"/>
                <w:color w:val="auto"/>
                <w:sz w:val="21"/>
                <w:highlight w:val="none"/>
                <w:lang w:eastAsia="zh-CN"/>
              </w:rPr>
              <w:t>、</w:t>
            </w:r>
            <w:r>
              <w:rPr>
                <w:rFonts w:hint="eastAsia" w:ascii="宋体" w:hAnsi="宋体" w:cs="宋体"/>
                <w:color w:val="auto"/>
                <w:kern w:val="0"/>
                <w:szCs w:val="21"/>
                <w:highlight w:val="none"/>
              </w:rPr>
              <w:t>碳组分自动监测设备、无机元素/重金属自动监测设备</w:t>
            </w:r>
            <w:r>
              <w:rPr>
                <w:rFonts w:hint="eastAsia" w:ascii="宋体" w:hAnsi="宋体" w:cs="宋体"/>
                <w:color w:val="auto"/>
                <w:kern w:val="0"/>
                <w:szCs w:val="21"/>
                <w:highlight w:val="none"/>
                <w:lang w:eastAsia="zh-CN"/>
              </w:rPr>
              <w:t>、</w:t>
            </w:r>
            <w:r>
              <w:rPr>
                <w:color w:val="auto"/>
                <w:sz w:val="21"/>
                <w:highlight w:val="none"/>
              </w:rPr>
              <w:t>甲烷非甲烷总烃监测</w:t>
            </w:r>
            <w:r>
              <w:rPr>
                <w:rFonts w:hint="eastAsia" w:ascii="宋体" w:hAnsi="宋体" w:cs="宋体"/>
                <w:color w:val="auto"/>
                <w:kern w:val="0"/>
                <w:szCs w:val="21"/>
                <w:highlight w:val="none"/>
              </w:rPr>
              <w:t>设备运行维护</w:t>
            </w:r>
            <w:r>
              <w:rPr>
                <w:rFonts w:hint="eastAsia" w:ascii="宋体" w:hAnsi="宋体" w:cs="宋体"/>
                <w:color w:val="auto"/>
                <w:kern w:val="0"/>
                <w:szCs w:val="21"/>
                <w:highlight w:val="none"/>
                <w:lang w:eastAsia="zh-CN"/>
              </w:rPr>
              <w:t>中两项</w:t>
            </w:r>
            <w:r>
              <w:rPr>
                <w:rFonts w:hint="eastAsia" w:ascii="宋体" w:hAnsi="宋体" w:cs="宋体"/>
                <w:color w:val="auto"/>
                <w:kern w:val="0"/>
                <w:szCs w:val="21"/>
                <w:highlight w:val="none"/>
              </w:rPr>
              <w:t>内容；</w:t>
            </w:r>
          </w:p>
          <w:p w14:paraId="7165598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文件中应提供加盖单位公章的合同业绩复印件；</w:t>
            </w:r>
          </w:p>
          <w:p w14:paraId="7FB3A55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）不同年度运维的同一站点不得重复统计。</w:t>
            </w:r>
          </w:p>
        </w:tc>
      </w:tr>
      <w:tr w14:paraId="7730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3" w:hRule="atLeast"/>
          <w:jc w:val="center"/>
        </w:trPr>
        <w:tc>
          <w:tcPr>
            <w:tcW w:w="1260" w:type="dxa"/>
            <w:gridSpan w:val="2"/>
            <w:vMerge w:val="continue"/>
            <w:noWrap w:val="0"/>
            <w:vAlign w:val="center"/>
          </w:tcPr>
          <w:p w14:paraId="5D96295F">
            <w:pPr>
              <w:widowControl w:val="0"/>
              <w:tabs>
                <w:tab w:val="center" w:pos="4153"/>
                <w:tab w:val="right" w:pos="8306"/>
              </w:tabs>
              <w:snapToGrid w:val="0"/>
              <w:spacing w:line="360" w:lineRule="auto"/>
              <w:jc w:val="center"/>
              <w:rPr>
                <w:rFonts w:hint="eastAsia" w:ascii="宋体" w:hAnsi="宋体" w:eastAsia="宋体" w:cs="宋体"/>
                <w:color w:val="auto"/>
                <w:kern w:val="2"/>
                <w:sz w:val="21"/>
                <w:szCs w:val="21"/>
                <w:highlight w:val="none"/>
                <w:lang w:val="en-US" w:eastAsia="zh-CN" w:bidi="ar-SA"/>
              </w:rPr>
            </w:pPr>
          </w:p>
        </w:tc>
        <w:tc>
          <w:tcPr>
            <w:tcW w:w="2200" w:type="dxa"/>
            <w:gridSpan w:val="2"/>
            <w:noWrap w:val="0"/>
            <w:vAlign w:val="center"/>
          </w:tcPr>
          <w:p w14:paraId="33B9E555">
            <w:pPr>
              <w:widowControl w:val="0"/>
              <w:tabs>
                <w:tab w:val="left" w:pos="854"/>
              </w:tabs>
              <w:autoSpaceDE w:val="0"/>
              <w:autoSpaceDN w:val="0"/>
              <w:adjustRightInd w:val="0"/>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人员配备</w:t>
            </w:r>
          </w:p>
          <w:p w14:paraId="00DBDCF1">
            <w:pPr>
              <w:widowControl w:val="0"/>
              <w:tabs>
                <w:tab w:val="left" w:pos="854"/>
              </w:tabs>
              <w:autoSpaceDE w:val="0"/>
              <w:autoSpaceDN w:val="0"/>
              <w:adjustRightInd w:val="0"/>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（6分）</w:t>
            </w:r>
          </w:p>
        </w:tc>
        <w:tc>
          <w:tcPr>
            <w:tcW w:w="6294" w:type="dxa"/>
            <w:gridSpan w:val="3"/>
            <w:noWrap w:val="0"/>
            <w:vAlign w:val="center"/>
          </w:tcPr>
          <w:p w14:paraId="6381739E">
            <w:pPr>
              <w:snapToGrid w:val="0"/>
              <w:spacing w:line="360" w:lineRule="auto"/>
              <w:rPr>
                <w:rFonts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（1）人员配备方案及职责分工</w:t>
            </w:r>
          </w:p>
          <w:p w14:paraId="4ACE478F">
            <w:pPr>
              <w:snapToGrid w:val="0"/>
              <w:spacing w:line="360" w:lineRule="auto"/>
              <w:rPr>
                <w:rFonts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项目组成员配置齐全，满足本项目需求，岗位职责明确、人员配置合理</w:t>
            </w:r>
            <w:r>
              <w:rPr>
                <w:rFonts w:hint="eastAsia" w:ascii="宋体" w:hAnsi="宋体" w:cs="宋体"/>
                <w:b w:val="0"/>
                <w:bCs w:val="0"/>
                <w:color w:val="auto"/>
                <w:kern w:val="0"/>
                <w:szCs w:val="21"/>
                <w:highlight w:val="none"/>
                <w:lang w:eastAsia="zh-CN"/>
              </w:rPr>
              <w:t>，</w:t>
            </w:r>
            <w:r>
              <w:rPr>
                <w:rFonts w:hint="eastAsia" w:ascii="宋体" w:hAnsi="宋体" w:cs="宋体"/>
                <w:b w:val="0"/>
                <w:bCs w:val="0"/>
                <w:color w:val="auto"/>
                <w:kern w:val="0"/>
                <w:szCs w:val="21"/>
                <w:highlight w:val="none"/>
              </w:rPr>
              <w:t>提供项目组人员岗位职责分工明细表，得2分。</w:t>
            </w:r>
          </w:p>
          <w:p w14:paraId="44D90ED7">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）现场运维人员持证情况，</w:t>
            </w:r>
          </w:p>
          <w:p w14:paraId="546988E5">
            <w:pPr>
              <w:spacing w:line="360" w:lineRule="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具有</w:t>
            </w:r>
            <w:r>
              <w:rPr>
                <w:rFonts w:hint="eastAsia" w:ascii="宋体" w:hAnsi="宋体" w:cs="宋体"/>
                <w:b w:val="0"/>
                <w:bCs w:val="0"/>
                <w:color w:val="auto"/>
                <w:kern w:val="0"/>
                <w:szCs w:val="21"/>
                <w:highlight w:val="none"/>
              </w:rPr>
              <w:t>环境监测人员培训合格证书</w:t>
            </w:r>
            <w:r>
              <w:rPr>
                <w:rFonts w:hint="eastAsia" w:ascii="宋体" w:hAnsi="宋体" w:eastAsia="宋体" w:cs="宋体"/>
                <w:b w:val="0"/>
                <w:bCs w:val="0"/>
                <w:color w:val="auto"/>
                <w:sz w:val="21"/>
                <w:szCs w:val="21"/>
                <w:highlight w:val="none"/>
              </w:rPr>
              <w:t>，每人得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分，最高得</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p w14:paraId="47ACD4B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提供培训合格证或上岗证原件扫描件等信息，且须提供2025年1月1日以来至少三个月在供应商处缴纳社保的凭证并加盖供应商公章，否则不予认可。</w:t>
            </w:r>
          </w:p>
        </w:tc>
      </w:tr>
      <w:tr w14:paraId="7C67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60" w:type="dxa"/>
            <w:gridSpan w:val="2"/>
            <w:vMerge w:val="continue"/>
            <w:noWrap w:val="0"/>
            <w:vAlign w:val="center"/>
          </w:tcPr>
          <w:p w14:paraId="5D1F44CE">
            <w:pPr>
              <w:widowControl w:val="0"/>
              <w:tabs>
                <w:tab w:val="center" w:pos="4153"/>
                <w:tab w:val="right" w:pos="8306"/>
              </w:tabs>
              <w:snapToGrid w:val="0"/>
              <w:spacing w:line="360" w:lineRule="auto"/>
              <w:jc w:val="center"/>
              <w:rPr>
                <w:rFonts w:hint="eastAsia" w:ascii="宋体" w:hAnsi="宋体" w:eastAsia="宋体" w:cs="宋体"/>
                <w:color w:val="auto"/>
                <w:kern w:val="2"/>
                <w:sz w:val="21"/>
                <w:szCs w:val="21"/>
                <w:highlight w:val="none"/>
                <w:lang w:val="en-US" w:eastAsia="zh-CN" w:bidi="ar-SA"/>
              </w:rPr>
            </w:pPr>
          </w:p>
        </w:tc>
        <w:tc>
          <w:tcPr>
            <w:tcW w:w="2200" w:type="dxa"/>
            <w:gridSpan w:val="2"/>
            <w:vMerge w:val="restart"/>
            <w:noWrap w:val="0"/>
            <w:vAlign w:val="center"/>
          </w:tcPr>
          <w:p w14:paraId="302DB9AC">
            <w:pPr>
              <w:widowControl w:val="0"/>
              <w:tabs>
                <w:tab w:val="left" w:pos="854"/>
              </w:tabs>
              <w:autoSpaceDE w:val="0"/>
              <w:autoSpaceDN w:val="0"/>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备品备件</w:t>
            </w:r>
          </w:p>
          <w:p w14:paraId="140FB9E3">
            <w:pPr>
              <w:widowControl w:val="0"/>
              <w:tabs>
                <w:tab w:val="left" w:pos="854"/>
              </w:tabs>
              <w:autoSpaceDE w:val="0"/>
              <w:autoSpaceDN w:val="0"/>
              <w:adjustRightInd w:val="0"/>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p>
        </w:tc>
        <w:tc>
          <w:tcPr>
            <w:tcW w:w="6294" w:type="dxa"/>
            <w:gridSpan w:val="3"/>
            <w:noWrap w:val="0"/>
            <w:vAlign w:val="center"/>
          </w:tcPr>
          <w:p w14:paraId="78419DF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根据供应商提供详细的备品备件种类、价格以及来源，易损件分类列表</w:t>
            </w:r>
            <w:r>
              <w:rPr>
                <w:rFonts w:hint="eastAsia" w:ascii="宋体" w:hAnsi="宋体" w:eastAsia="宋体" w:cs="宋体"/>
                <w:color w:val="auto"/>
                <w:sz w:val="21"/>
                <w:szCs w:val="21"/>
                <w:highlight w:val="none"/>
                <w:lang w:eastAsia="zh-CN"/>
              </w:rPr>
              <w:t>等综合评比</w:t>
            </w:r>
            <w:r>
              <w:rPr>
                <w:rFonts w:hint="eastAsia" w:ascii="宋体" w:hAnsi="宋体" w:eastAsia="宋体" w:cs="宋体"/>
                <w:color w:val="auto"/>
                <w:sz w:val="21"/>
                <w:szCs w:val="21"/>
                <w:highlight w:val="none"/>
              </w:rPr>
              <w:t>。</w:t>
            </w:r>
          </w:p>
          <w:p w14:paraId="536D572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备品备件种类齐全，得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备品备件种类</w:t>
            </w:r>
            <w:r>
              <w:rPr>
                <w:rFonts w:hint="eastAsia" w:ascii="宋体" w:hAnsi="宋体" w:eastAsia="宋体" w:cs="宋体"/>
                <w:color w:val="auto"/>
                <w:sz w:val="21"/>
                <w:szCs w:val="21"/>
                <w:highlight w:val="none"/>
                <w:lang w:eastAsia="zh-CN"/>
              </w:rPr>
              <w:t>比较</w:t>
            </w:r>
            <w:r>
              <w:rPr>
                <w:rFonts w:hint="eastAsia" w:ascii="宋体" w:hAnsi="宋体" w:eastAsia="宋体" w:cs="宋体"/>
                <w:color w:val="auto"/>
                <w:sz w:val="21"/>
                <w:szCs w:val="21"/>
                <w:highlight w:val="none"/>
              </w:rPr>
              <w:t>齐全，得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备品备件种类</w:t>
            </w:r>
            <w:r>
              <w:rPr>
                <w:rFonts w:hint="eastAsia" w:ascii="宋体" w:hAnsi="宋体" w:eastAsia="宋体" w:cs="宋体"/>
                <w:color w:val="auto"/>
                <w:sz w:val="21"/>
                <w:szCs w:val="21"/>
                <w:highlight w:val="none"/>
                <w:lang w:eastAsia="zh-CN"/>
              </w:rPr>
              <w:t>一般，基本满足服务需求的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r>
      <w:tr w14:paraId="6F09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7" w:hRule="atLeast"/>
          <w:jc w:val="center"/>
        </w:trPr>
        <w:tc>
          <w:tcPr>
            <w:tcW w:w="1260" w:type="dxa"/>
            <w:gridSpan w:val="2"/>
            <w:vMerge w:val="restart"/>
            <w:noWrap w:val="0"/>
            <w:vAlign w:val="center"/>
          </w:tcPr>
          <w:p w14:paraId="611B3081">
            <w:pPr>
              <w:widowControl w:val="0"/>
              <w:tabs>
                <w:tab w:val="center" w:pos="4153"/>
                <w:tab w:val="right" w:pos="8306"/>
              </w:tabs>
              <w:snapToGrid w:val="0"/>
              <w:spacing w:line="360" w:lineRule="auto"/>
              <w:jc w:val="center"/>
              <w:rPr>
                <w:rFonts w:hint="eastAsia" w:ascii="宋体" w:hAnsi="宋体" w:eastAsia="宋体" w:cs="宋体"/>
                <w:color w:val="auto"/>
                <w:kern w:val="2"/>
                <w:sz w:val="21"/>
                <w:szCs w:val="21"/>
                <w:highlight w:val="none"/>
                <w:lang w:val="en-US" w:eastAsia="zh-CN" w:bidi="ar-SA"/>
              </w:rPr>
            </w:pPr>
            <w:bookmarkStart w:id="56" w:name="_Toc393959557"/>
            <w:bookmarkEnd w:id="56"/>
            <w:bookmarkStart w:id="57" w:name="_Toc393959555"/>
            <w:bookmarkEnd w:id="57"/>
            <w:r>
              <w:rPr>
                <w:rFonts w:hint="eastAsia" w:ascii="宋体" w:hAnsi="宋体" w:eastAsia="宋体" w:cs="宋体"/>
                <w:color w:val="auto"/>
                <w:kern w:val="2"/>
                <w:sz w:val="21"/>
                <w:szCs w:val="21"/>
                <w:highlight w:val="none"/>
                <w:lang w:val="en-US" w:eastAsia="zh-CN" w:bidi="ar-SA"/>
              </w:rPr>
              <w:t>技术部分（</w:t>
            </w:r>
            <w:r>
              <w:rPr>
                <w:rFonts w:hint="eastAsia" w:ascii="宋体" w:hAnsi="宋体" w:cs="宋体"/>
                <w:color w:val="auto"/>
                <w:kern w:val="2"/>
                <w:sz w:val="21"/>
                <w:szCs w:val="21"/>
                <w:highlight w:val="none"/>
                <w:lang w:val="en-US" w:eastAsia="zh-CN" w:bidi="ar-SA"/>
              </w:rPr>
              <w:t>70</w:t>
            </w:r>
            <w:r>
              <w:rPr>
                <w:rFonts w:hint="eastAsia" w:ascii="宋体" w:hAnsi="宋体" w:eastAsia="宋体" w:cs="宋体"/>
                <w:color w:val="auto"/>
                <w:kern w:val="2"/>
                <w:sz w:val="21"/>
                <w:szCs w:val="21"/>
                <w:highlight w:val="none"/>
                <w:lang w:val="en-US" w:eastAsia="zh-CN" w:bidi="ar-SA"/>
              </w:rPr>
              <w:t>分）</w:t>
            </w:r>
          </w:p>
        </w:tc>
        <w:tc>
          <w:tcPr>
            <w:tcW w:w="2200" w:type="dxa"/>
            <w:gridSpan w:val="2"/>
            <w:noWrap w:val="0"/>
            <w:vAlign w:val="center"/>
          </w:tcPr>
          <w:p w14:paraId="748FCC1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运维方案</w:t>
            </w:r>
          </w:p>
          <w:p w14:paraId="1B2DA47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6294" w:type="dxa"/>
            <w:gridSpan w:val="3"/>
            <w:noWrap w:val="0"/>
            <w:vAlign w:val="center"/>
          </w:tcPr>
          <w:p w14:paraId="145A4666">
            <w:pPr>
              <w:bidi w:val="0"/>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投标人能根据对挥发性有机物（VOCs）自动监测站（合建交通站）、颗粒物组分自动监测站（合建交通站）的建设背景、管理模式、运行现状等，对服务项目的总体目标、服务内容制定方案。</w:t>
            </w:r>
          </w:p>
          <w:p w14:paraId="0F82D25D">
            <w:pPr>
              <w:bidi w:val="0"/>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方案内容包括：日常运行维护、设备保养及维修、监测数据审核、运行质量管理、数据采集系统的维护、相关辅助设施的维护</w:t>
            </w:r>
            <w:r>
              <w:rPr>
                <w:rFonts w:hint="eastAsia" w:ascii="宋体" w:hAnsi="宋体" w:eastAsia="宋体" w:cs="宋体"/>
                <w:color w:val="auto"/>
              </w:rPr>
              <w:t>（包含空调、电力、防水、防雷、消防等设施）</w:t>
            </w:r>
            <w:r>
              <w:rPr>
                <w:rFonts w:hint="eastAsia" w:ascii="宋体" w:hAnsi="宋体" w:eastAsia="宋体" w:cs="宋体"/>
                <w:color w:val="auto"/>
                <w:lang w:eastAsia="zh-CN"/>
              </w:rPr>
              <w:t>、保养、维修、运维目标、站房环境保障等内容。</w:t>
            </w:r>
          </w:p>
          <w:p w14:paraId="4F1A8CD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运维方案要素针对性强、对每个监测指标的措施描述具体</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可行性好的，得</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1F9CDBD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运维方案要素针对性</w:t>
            </w:r>
            <w:r>
              <w:rPr>
                <w:rFonts w:hint="eastAsia" w:ascii="宋体" w:hAnsi="宋体" w:eastAsia="宋体" w:cs="宋体"/>
                <w:color w:val="auto"/>
                <w:sz w:val="21"/>
                <w:szCs w:val="21"/>
                <w:highlight w:val="none"/>
                <w:lang w:eastAsia="zh-CN"/>
              </w:rPr>
              <w:t>较好</w:t>
            </w:r>
            <w:r>
              <w:rPr>
                <w:rFonts w:hint="eastAsia" w:ascii="宋体" w:hAnsi="宋体" w:eastAsia="宋体" w:cs="宋体"/>
                <w:color w:val="auto"/>
                <w:sz w:val="21"/>
                <w:szCs w:val="21"/>
                <w:highlight w:val="none"/>
              </w:rPr>
              <w:t>、对每个监测指标的措施描述</w:t>
            </w:r>
            <w:r>
              <w:rPr>
                <w:rFonts w:hint="eastAsia" w:ascii="宋体" w:hAnsi="宋体" w:eastAsia="宋体" w:cs="宋体"/>
                <w:color w:val="auto"/>
                <w:sz w:val="21"/>
                <w:szCs w:val="21"/>
                <w:highlight w:val="none"/>
                <w:lang w:eastAsia="zh-CN"/>
              </w:rPr>
              <w:t>比较</w:t>
            </w:r>
            <w:r>
              <w:rPr>
                <w:rFonts w:hint="eastAsia" w:ascii="宋体" w:hAnsi="宋体" w:eastAsia="宋体" w:cs="宋体"/>
                <w:color w:val="auto"/>
                <w:sz w:val="21"/>
                <w:szCs w:val="21"/>
                <w:highlight w:val="none"/>
              </w:rPr>
              <w:t>具体</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可行性</w:t>
            </w:r>
            <w:r>
              <w:rPr>
                <w:rFonts w:hint="eastAsia" w:ascii="宋体" w:hAnsi="宋体" w:eastAsia="宋体" w:cs="宋体"/>
                <w:color w:val="auto"/>
                <w:sz w:val="21"/>
                <w:szCs w:val="21"/>
                <w:highlight w:val="none"/>
                <w:lang w:eastAsia="zh-CN"/>
              </w:rPr>
              <w:t>较</w:t>
            </w:r>
            <w:r>
              <w:rPr>
                <w:rFonts w:hint="eastAsia" w:ascii="宋体" w:hAnsi="宋体" w:eastAsia="宋体" w:cs="宋体"/>
                <w:color w:val="auto"/>
                <w:sz w:val="21"/>
                <w:szCs w:val="21"/>
                <w:highlight w:val="none"/>
              </w:rPr>
              <w:t>好的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p w14:paraId="4B9E045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运维方案要素针对性一般、对每个监测指标的措施描述</w:t>
            </w:r>
            <w:r>
              <w:rPr>
                <w:rFonts w:hint="eastAsia" w:ascii="宋体" w:hAnsi="宋体" w:eastAsia="宋体" w:cs="宋体"/>
                <w:color w:val="auto"/>
                <w:sz w:val="21"/>
                <w:szCs w:val="21"/>
                <w:highlight w:val="none"/>
                <w:lang w:eastAsia="zh-CN"/>
              </w:rPr>
              <w:t>一般</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可行性一般的，得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4527C39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运维方案要素针对性差，每个监测指标的措施描述模糊</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可行性较差的，得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14:paraId="0470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0" w:hRule="atLeast"/>
          <w:jc w:val="center"/>
        </w:trPr>
        <w:tc>
          <w:tcPr>
            <w:tcW w:w="1260" w:type="dxa"/>
            <w:gridSpan w:val="2"/>
            <w:vMerge w:val="continue"/>
            <w:noWrap w:val="0"/>
            <w:vAlign w:val="center"/>
          </w:tcPr>
          <w:p w14:paraId="76A99525">
            <w:pPr>
              <w:widowControl w:val="0"/>
              <w:tabs>
                <w:tab w:val="center" w:pos="4153"/>
                <w:tab w:val="right" w:pos="8306"/>
              </w:tabs>
              <w:snapToGrid w:val="0"/>
              <w:spacing w:line="360" w:lineRule="auto"/>
              <w:jc w:val="center"/>
              <w:rPr>
                <w:rFonts w:hint="eastAsia" w:ascii="宋体" w:hAnsi="宋体" w:eastAsia="宋体" w:cs="宋体"/>
                <w:color w:val="auto"/>
                <w:kern w:val="2"/>
                <w:sz w:val="21"/>
                <w:szCs w:val="21"/>
                <w:highlight w:val="none"/>
                <w:lang w:val="en-US" w:eastAsia="zh-CN" w:bidi="ar-SA"/>
              </w:rPr>
            </w:pPr>
          </w:p>
        </w:tc>
        <w:tc>
          <w:tcPr>
            <w:tcW w:w="2200" w:type="dxa"/>
            <w:gridSpan w:val="2"/>
            <w:noWrap w:val="0"/>
            <w:vAlign w:val="center"/>
          </w:tcPr>
          <w:p w14:paraId="285B5E1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质控措施</w:t>
            </w:r>
          </w:p>
          <w:p w14:paraId="44A22EE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6294" w:type="dxa"/>
            <w:gridSpan w:val="3"/>
            <w:noWrap w:val="0"/>
            <w:vAlign w:val="center"/>
          </w:tcPr>
          <w:p w14:paraId="17D8427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供应商应按照《环境空气质量自动监测技术规范》要求，建立具体质量保证和质量控制体系，制定完善的针对每个监测指标的质控措施</w:t>
            </w:r>
            <w:r>
              <w:rPr>
                <w:rFonts w:hint="eastAsia" w:ascii="宋体" w:hAnsi="宋体" w:eastAsia="宋体" w:cs="宋体"/>
                <w:color w:val="auto"/>
                <w:sz w:val="21"/>
                <w:szCs w:val="21"/>
                <w:highlight w:val="none"/>
                <w:lang w:eastAsia="zh-CN"/>
              </w:rPr>
              <w:t>（质控项目包含</w:t>
            </w:r>
            <w:r>
              <w:rPr>
                <w:rFonts w:hint="eastAsia" w:asciiTheme="minorEastAsia" w:hAnsiTheme="minorEastAsia" w:eastAsiaTheme="minorEastAsia" w:cstheme="minorEastAsia"/>
                <w:color w:val="auto"/>
                <w:sz w:val="21"/>
                <w:highlight w:val="none"/>
              </w:rPr>
              <w:t>挥发性有机物在线监测</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碳组分</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无机元素、</w:t>
            </w:r>
            <w:r>
              <w:rPr>
                <w:rFonts w:hint="eastAsia" w:asciiTheme="minorEastAsia" w:hAnsiTheme="minorEastAsia" w:eastAsiaTheme="minorEastAsia" w:cstheme="minorEastAsia"/>
                <w:color w:val="auto"/>
                <w:sz w:val="21"/>
                <w:highlight w:val="none"/>
              </w:rPr>
              <w:t>甲烷非甲烷总烃</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kern w:val="0"/>
                <w:szCs w:val="21"/>
                <w:highlight w:val="none"/>
              </w:rPr>
              <w:t>PM2.5</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PM</w:t>
            </w:r>
            <w:r>
              <w:rPr>
                <w:rFonts w:hint="eastAsia" w:asciiTheme="minorEastAsia" w:hAnsiTheme="minorEastAsia" w:eastAsiaTheme="minorEastAsia" w:cstheme="minorEastAsia"/>
                <w:color w:val="auto"/>
                <w:kern w:val="0"/>
                <w:szCs w:val="21"/>
                <w:highlight w:val="none"/>
                <w:lang w:val="en-US" w:eastAsia="zh-CN"/>
              </w:rPr>
              <w:t>10、氮氧化物、一氧化碳等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6F1146E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针对性强，对每个监测指标的质控措施描述具体，严格按照规范要求进行的，得1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4FB42DB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针对性</w:t>
            </w:r>
            <w:r>
              <w:rPr>
                <w:rFonts w:hint="eastAsia" w:ascii="宋体" w:hAnsi="宋体" w:eastAsia="宋体" w:cs="宋体"/>
                <w:color w:val="auto"/>
                <w:sz w:val="21"/>
                <w:szCs w:val="21"/>
                <w:highlight w:val="none"/>
                <w:lang w:eastAsia="zh-CN"/>
              </w:rPr>
              <w:t>较好</w:t>
            </w:r>
            <w:r>
              <w:rPr>
                <w:rFonts w:hint="eastAsia" w:ascii="宋体" w:hAnsi="宋体" w:eastAsia="宋体" w:cs="宋体"/>
                <w:color w:val="auto"/>
                <w:sz w:val="21"/>
                <w:szCs w:val="21"/>
                <w:highlight w:val="none"/>
              </w:rPr>
              <w:t>，对每个监测指标的质控措施描述</w:t>
            </w:r>
            <w:r>
              <w:rPr>
                <w:rFonts w:hint="eastAsia" w:ascii="宋体" w:hAnsi="宋体" w:eastAsia="宋体" w:cs="宋体"/>
                <w:color w:val="auto"/>
                <w:sz w:val="21"/>
                <w:szCs w:val="21"/>
                <w:highlight w:val="none"/>
                <w:lang w:eastAsia="zh-CN"/>
              </w:rPr>
              <w:t>比较</w:t>
            </w:r>
            <w:r>
              <w:rPr>
                <w:rFonts w:hint="eastAsia" w:ascii="宋体" w:hAnsi="宋体" w:eastAsia="宋体" w:cs="宋体"/>
                <w:color w:val="auto"/>
                <w:sz w:val="21"/>
                <w:szCs w:val="21"/>
                <w:highlight w:val="none"/>
              </w:rPr>
              <w:t>具体，按照规范要求进行的，得</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p w14:paraId="5D3281C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针对性</w:t>
            </w:r>
            <w:r>
              <w:rPr>
                <w:rFonts w:hint="eastAsia" w:ascii="宋体" w:hAnsi="宋体" w:eastAsia="宋体" w:cs="宋体"/>
                <w:color w:val="auto"/>
                <w:sz w:val="21"/>
                <w:szCs w:val="21"/>
                <w:highlight w:val="none"/>
                <w:lang w:eastAsia="zh-CN"/>
              </w:rPr>
              <w:t>一般，</w:t>
            </w:r>
            <w:r>
              <w:rPr>
                <w:rFonts w:hint="eastAsia" w:ascii="宋体" w:hAnsi="宋体" w:eastAsia="宋体" w:cs="宋体"/>
                <w:color w:val="auto"/>
                <w:sz w:val="21"/>
                <w:szCs w:val="21"/>
                <w:highlight w:val="none"/>
              </w:rPr>
              <w:t>对每个监测指标的质控措施描述</w:t>
            </w:r>
            <w:r>
              <w:rPr>
                <w:rFonts w:hint="eastAsia" w:ascii="宋体" w:hAnsi="宋体" w:eastAsia="宋体" w:cs="宋体"/>
                <w:color w:val="auto"/>
                <w:sz w:val="21"/>
                <w:szCs w:val="21"/>
                <w:highlight w:val="none"/>
                <w:lang w:eastAsia="zh-CN"/>
              </w:rPr>
              <w:t>一般</w:t>
            </w:r>
            <w:r>
              <w:rPr>
                <w:rFonts w:hint="eastAsia" w:ascii="宋体" w:hAnsi="宋体" w:eastAsia="宋体" w:cs="宋体"/>
                <w:color w:val="auto"/>
                <w:sz w:val="21"/>
                <w:szCs w:val="21"/>
                <w:highlight w:val="none"/>
              </w:rPr>
              <w:t>，按照规范要求进行的，得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704BB81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针对性</w:t>
            </w:r>
            <w:r>
              <w:rPr>
                <w:rFonts w:hint="eastAsia" w:ascii="宋体" w:hAnsi="宋体" w:eastAsia="宋体" w:cs="宋体"/>
                <w:color w:val="auto"/>
                <w:sz w:val="21"/>
                <w:szCs w:val="21"/>
                <w:highlight w:val="none"/>
                <w:lang w:eastAsia="zh-CN"/>
              </w:rPr>
              <w:t>较差，</w:t>
            </w:r>
            <w:r>
              <w:rPr>
                <w:rFonts w:hint="eastAsia" w:ascii="宋体" w:hAnsi="宋体" w:eastAsia="宋体" w:cs="宋体"/>
                <w:color w:val="auto"/>
                <w:sz w:val="21"/>
                <w:szCs w:val="21"/>
                <w:highlight w:val="none"/>
              </w:rPr>
              <w:t>对每个监测指标的质控措施描述模糊，对质控要求不理解、不清楚的得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14:paraId="6D09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0" w:type="dxa"/>
            <w:gridSpan w:val="2"/>
            <w:vMerge w:val="continue"/>
            <w:noWrap w:val="0"/>
            <w:vAlign w:val="center"/>
          </w:tcPr>
          <w:p w14:paraId="438CB6C9">
            <w:pPr>
              <w:widowControl w:val="0"/>
              <w:tabs>
                <w:tab w:val="center" w:pos="4153"/>
                <w:tab w:val="right" w:pos="8306"/>
              </w:tabs>
              <w:snapToGrid w:val="0"/>
              <w:spacing w:line="360" w:lineRule="auto"/>
              <w:jc w:val="center"/>
              <w:rPr>
                <w:rFonts w:hint="eastAsia" w:ascii="宋体" w:hAnsi="宋体" w:eastAsia="宋体" w:cs="宋体"/>
                <w:color w:val="auto"/>
                <w:kern w:val="2"/>
                <w:sz w:val="21"/>
                <w:szCs w:val="21"/>
                <w:highlight w:val="none"/>
                <w:lang w:val="en-US" w:eastAsia="zh-CN" w:bidi="ar-SA"/>
              </w:rPr>
            </w:pPr>
          </w:p>
        </w:tc>
        <w:tc>
          <w:tcPr>
            <w:tcW w:w="2200" w:type="dxa"/>
            <w:gridSpan w:val="2"/>
            <w:noWrap w:val="0"/>
            <w:vAlign w:val="center"/>
          </w:tcPr>
          <w:p w14:paraId="442E2506">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运维</w:t>
            </w:r>
            <w:r>
              <w:rPr>
                <w:rFonts w:hint="eastAsia" w:ascii="宋体" w:hAnsi="宋体" w:eastAsia="宋体" w:cs="宋体"/>
                <w:color w:val="auto"/>
                <w:sz w:val="21"/>
                <w:szCs w:val="21"/>
                <w:highlight w:val="none"/>
                <w:lang w:eastAsia="zh-CN"/>
              </w:rPr>
              <w:t>措施计划</w:t>
            </w:r>
          </w:p>
          <w:p w14:paraId="31AD94A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294" w:type="dxa"/>
            <w:gridSpan w:val="3"/>
            <w:noWrap w:val="0"/>
            <w:vAlign w:val="center"/>
          </w:tcPr>
          <w:p w14:paraId="3C87C34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运维</w:t>
            </w:r>
            <w:r>
              <w:rPr>
                <w:rFonts w:hint="eastAsia" w:ascii="宋体" w:hAnsi="宋体" w:eastAsia="宋体" w:cs="宋体"/>
                <w:color w:val="auto"/>
                <w:sz w:val="21"/>
                <w:szCs w:val="21"/>
                <w:highlight w:val="none"/>
                <w:lang w:eastAsia="zh-CN"/>
              </w:rPr>
              <w:t>措施计划</w:t>
            </w:r>
            <w:r>
              <w:rPr>
                <w:rFonts w:hint="eastAsia" w:ascii="宋体" w:hAnsi="宋体" w:eastAsia="宋体" w:cs="宋体"/>
                <w:color w:val="auto"/>
                <w:sz w:val="21"/>
                <w:szCs w:val="21"/>
                <w:highlight w:val="none"/>
              </w:rPr>
              <w:t>应包括操作规范和规章制度制定情况，具体机构管理、日常维护、定期巡检和故障维修等</w:t>
            </w:r>
            <w:r>
              <w:rPr>
                <w:rFonts w:hint="eastAsia" w:ascii="宋体" w:hAnsi="宋体" w:eastAsia="宋体" w:cs="宋体"/>
                <w:color w:val="auto"/>
                <w:sz w:val="21"/>
                <w:szCs w:val="21"/>
                <w:highlight w:val="none"/>
                <w:lang w:eastAsia="zh-CN"/>
              </w:rPr>
              <w:t>计划</w:t>
            </w:r>
            <w:r>
              <w:rPr>
                <w:rFonts w:hint="eastAsia" w:ascii="宋体" w:hAnsi="宋体" w:eastAsia="宋体" w:cs="宋体"/>
                <w:color w:val="auto"/>
                <w:sz w:val="21"/>
                <w:szCs w:val="21"/>
                <w:highlight w:val="none"/>
              </w:rPr>
              <w:t>，日常运行维护记录的各种表格</w:t>
            </w:r>
            <w:r>
              <w:rPr>
                <w:rFonts w:hint="eastAsia" w:ascii="宋体" w:hAnsi="宋体" w:eastAsia="宋体" w:cs="宋体"/>
                <w:color w:val="auto"/>
                <w:sz w:val="21"/>
                <w:szCs w:val="21"/>
                <w:highlight w:val="none"/>
                <w:lang w:eastAsia="zh-CN"/>
              </w:rPr>
              <w:t>（维护项目包含</w:t>
            </w:r>
            <w:r>
              <w:rPr>
                <w:rFonts w:hint="eastAsia" w:asciiTheme="minorEastAsia" w:hAnsiTheme="minorEastAsia" w:eastAsiaTheme="minorEastAsia" w:cstheme="minorEastAsia"/>
                <w:color w:val="auto"/>
                <w:sz w:val="21"/>
                <w:highlight w:val="none"/>
              </w:rPr>
              <w:t>挥发性有机物在线监测</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碳组分</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无机元素/重金属、</w:t>
            </w:r>
            <w:r>
              <w:rPr>
                <w:rFonts w:hint="eastAsia" w:asciiTheme="minorEastAsia" w:hAnsiTheme="minorEastAsia" w:eastAsiaTheme="minorEastAsia" w:cstheme="minorEastAsia"/>
                <w:color w:val="auto"/>
                <w:sz w:val="21"/>
                <w:highlight w:val="none"/>
              </w:rPr>
              <w:t>甲烷非甲烷总烃</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kern w:val="0"/>
                <w:szCs w:val="21"/>
                <w:highlight w:val="none"/>
              </w:rPr>
              <w:t>PM2.5</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PM</w:t>
            </w:r>
            <w:r>
              <w:rPr>
                <w:rFonts w:hint="eastAsia" w:asciiTheme="minorEastAsia" w:hAnsiTheme="minorEastAsia" w:eastAsiaTheme="minorEastAsia" w:cstheme="minorEastAsia"/>
                <w:color w:val="auto"/>
                <w:kern w:val="0"/>
                <w:szCs w:val="21"/>
                <w:highlight w:val="none"/>
                <w:lang w:val="en-US" w:eastAsia="zh-CN"/>
              </w:rPr>
              <w:t>10、氮氧化物、一氧化碳等</w:t>
            </w:r>
            <w:r>
              <w:rPr>
                <w:rFonts w:hint="eastAsia" w:ascii="宋体" w:hAnsi="宋体" w:eastAsia="宋体" w:cs="宋体"/>
                <w:color w:val="auto"/>
                <w:sz w:val="21"/>
                <w:szCs w:val="21"/>
                <w:highlight w:val="none"/>
                <w:lang w:eastAsia="zh-CN"/>
              </w:rPr>
              <w:t>）</w:t>
            </w:r>
          </w:p>
          <w:p w14:paraId="6DFD969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管理制度健全、对每个监测指标操作规程完善的，得</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p w14:paraId="4D8598E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管理制度</w:t>
            </w:r>
            <w:r>
              <w:rPr>
                <w:rFonts w:hint="eastAsia" w:ascii="宋体" w:hAnsi="宋体" w:eastAsia="宋体" w:cs="宋体"/>
                <w:color w:val="auto"/>
                <w:sz w:val="21"/>
                <w:szCs w:val="21"/>
                <w:highlight w:val="none"/>
                <w:lang w:eastAsia="zh-CN"/>
              </w:rPr>
              <w:t>比较</w:t>
            </w:r>
            <w:r>
              <w:rPr>
                <w:rFonts w:hint="eastAsia" w:ascii="宋体" w:hAnsi="宋体" w:eastAsia="宋体" w:cs="宋体"/>
                <w:color w:val="auto"/>
                <w:sz w:val="21"/>
                <w:szCs w:val="21"/>
                <w:highlight w:val="none"/>
              </w:rPr>
              <w:t>健全、对每个监测指标操作规程</w:t>
            </w:r>
            <w:r>
              <w:rPr>
                <w:rFonts w:hint="eastAsia" w:ascii="宋体" w:hAnsi="宋体" w:eastAsia="宋体" w:cs="宋体"/>
                <w:color w:val="auto"/>
                <w:sz w:val="21"/>
                <w:szCs w:val="21"/>
                <w:highlight w:val="none"/>
                <w:lang w:eastAsia="zh-CN"/>
              </w:rPr>
              <w:t>比较</w:t>
            </w:r>
            <w:r>
              <w:rPr>
                <w:rFonts w:hint="eastAsia" w:ascii="宋体" w:hAnsi="宋体" w:eastAsia="宋体" w:cs="宋体"/>
                <w:color w:val="auto"/>
                <w:sz w:val="21"/>
                <w:szCs w:val="21"/>
                <w:highlight w:val="none"/>
              </w:rPr>
              <w:t>完善的，得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2BE98E8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管理制度基本健全、对每个监测指标操作规程较为</w:t>
            </w:r>
            <w:r>
              <w:rPr>
                <w:rFonts w:hint="eastAsia" w:ascii="宋体" w:hAnsi="宋体" w:eastAsia="宋体" w:cs="宋体"/>
                <w:color w:val="auto"/>
                <w:sz w:val="21"/>
                <w:szCs w:val="21"/>
                <w:highlight w:val="none"/>
                <w:lang w:eastAsia="zh-CN"/>
              </w:rPr>
              <w:t>一般</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676A57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管理制度或操作规程不完整的，得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r>
      <w:tr w14:paraId="6DB0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0" w:type="dxa"/>
            <w:gridSpan w:val="2"/>
            <w:vMerge w:val="continue"/>
            <w:noWrap w:val="0"/>
            <w:vAlign w:val="center"/>
          </w:tcPr>
          <w:p w14:paraId="50987B5B">
            <w:pPr>
              <w:widowControl w:val="0"/>
              <w:tabs>
                <w:tab w:val="center" w:pos="4153"/>
                <w:tab w:val="right" w:pos="8306"/>
              </w:tabs>
              <w:snapToGrid w:val="0"/>
              <w:spacing w:line="360" w:lineRule="auto"/>
              <w:jc w:val="center"/>
              <w:rPr>
                <w:rFonts w:hint="eastAsia" w:ascii="宋体" w:hAnsi="宋体" w:eastAsia="宋体" w:cs="宋体"/>
                <w:color w:val="auto"/>
                <w:kern w:val="2"/>
                <w:sz w:val="21"/>
                <w:szCs w:val="21"/>
                <w:highlight w:val="none"/>
                <w:lang w:val="en-US" w:eastAsia="zh-CN" w:bidi="ar-SA"/>
              </w:rPr>
            </w:pPr>
          </w:p>
        </w:tc>
        <w:tc>
          <w:tcPr>
            <w:tcW w:w="2200" w:type="dxa"/>
            <w:gridSpan w:val="2"/>
            <w:noWrap w:val="0"/>
            <w:vAlign w:val="center"/>
          </w:tcPr>
          <w:p w14:paraId="504F620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应急预案</w:t>
            </w:r>
          </w:p>
          <w:p w14:paraId="01644B0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294" w:type="dxa"/>
            <w:gridSpan w:val="3"/>
            <w:noWrap w:val="0"/>
            <w:vAlign w:val="center"/>
          </w:tcPr>
          <w:p w14:paraId="414B2A47">
            <w:pPr>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供应商应根据招标文件采购需求针对该项目制定详细的故障维修方案、应急处理预案和应急承诺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对运营期间如出现严重影响系统运行和数据质量的重大问题时，是否具备有效的预防和补救措施</w:t>
            </w:r>
            <w:r>
              <w:rPr>
                <w:rFonts w:hint="eastAsia" w:ascii="宋体" w:hAnsi="宋体" w:cs="宋体"/>
                <w:color w:val="auto"/>
                <w:sz w:val="21"/>
                <w:szCs w:val="21"/>
                <w:highlight w:val="none"/>
                <w:lang w:eastAsia="zh-CN"/>
              </w:rPr>
              <w:t>。</w:t>
            </w:r>
          </w:p>
          <w:p w14:paraId="24A6621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方案健全，可操作性强的，得</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p w14:paraId="7B6B8C3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比较</w:t>
            </w:r>
            <w:r>
              <w:rPr>
                <w:rFonts w:hint="eastAsia" w:ascii="宋体" w:hAnsi="宋体" w:eastAsia="宋体" w:cs="宋体"/>
                <w:color w:val="auto"/>
                <w:sz w:val="21"/>
                <w:szCs w:val="21"/>
                <w:highlight w:val="none"/>
              </w:rPr>
              <w:t>健全，可操作性</w:t>
            </w:r>
            <w:r>
              <w:rPr>
                <w:rFonts w:hint="eastAsia" w:ascii="宋体" w:hAnsi="宋体" w:eastAsia="宋体" w:cs="宋体"/>
                <w:color w:val="auto"/>
                <w:sz w:val="21"/>
                <w:szCs w:val="21"/>
                <w:highlight w:val="none"/>
                <w:lang w:eastAsia="zh-CN"/>
              </w:rPr>
              <w:t>比较</w:t>
            </w:r>
            <w:r>
              <w:rPr>
                <w:rFonts w:hint="eastAsia" w:ascii="宋体" w:hAnsi="宋体" w:eastAsia="宋体" w:cs="宋体"/>
                <w:color w:val="auto"/>
                <w:sz w:val="21"/>
                <w:szCs w:val="21"/>
                <w:highlight w:val="none"/>
              </w:rPr>
              <w:t>强的，得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35E2346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方案操作性一般的，得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0F8B192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方案内容不能满足应急需要，可行性较差的，得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r>
      <w:tr w14:paraId="477C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0" w:type="dxa"/>
            <w:gridSpan w:val="2"/>
            <w:vMerge w:val="continue"/>
            <w:noWrap w:val="0"/>
            <w:vAlign w:val="center"/>
          </w:tcPr>
          <w:p w14:paraId="7310AFF2">
            <w:pPr>
              <w:widowControl w:val="0"/>
              <w:tabs>
                <w:tab w:val="center" w:pos="4153"/>
                <w:tab w:val="right" w:pos="8306"/>
              </w:tabs>
              <w:snapToGrid w:val="0"/>
              <w:spacing w:line="360" w:lineRule="auto"/>
              <w:jc w:val="center"/>
              <w:rPr>
                <w:rFonts w:hint="eastAsia" w:ascii="宋体" w:hAnsi="宋体" w:eastAsia="宋体" w:cs="宋体"/>
                <w:color w:val="auto"/>
                <w:kern w:val="2"/>
                <w:sz w:val="21"/>
                <w:szCs w:val="21"/>
                <w:highlight w:val="none"/>
                <w:lang w:val="en-US" w:eastAsia="zh-CN" w:bidi="ar-SA"/>
              </w:rPr>
            </w:pPr>
          </w:p>
        </w:tc>
        <w:tc>
          <w:tcPr>
            <w:tcW w:w="2200" w:type="dxa"/>
            <w:gridSpan w:val="2"/>
            <w:noWrap w:val="0"/>
            <w:vAlign w:val="center"/>
          </w:tcPr>
          <w:p w14:paraId="6DF324D1">
            <w:pPr>
              <w:snapToGrid w:val="0"/>
              <w:spacing w:line="360" w:lineRule="auto"/>
              <w:jc w:val="center"/>
              <w:rPr>
                <w:rFonts w:hint="eastAsia" w:asciiTheme="majorEastAsia" w:hAnsiTheme="majorEastAsia" w:eastAsiaTheme="majorEastAsia" w:cstheme="majorEastAsia"/>
                <w:b w:val="0"/>
                <w:bCs w:val="0"/>
                <w:color w:val="auto"/>
                <w:kern w:val="0"/>
                <w:szCs w:val="21"/>
                <w:highlight w:val="none"/>
              </w:rPr>
            </w:pPr>
            <w:r>
              <w:rPr>
                <w:rFonts w:hint="eastAsia" w:asciiTheme="majorEastAsia" w:hAnsiTheme="majorEastAsia" w:eastAsiaTheme="majorEastAsia" w:cstheme="majorEastAsia"/>
                <w:b w:val="0"/>
                <w:bCs w:val="0"/>
                <w:color w:val="auto"/>
                <w:kern w:val="0"/>
                <w:szCs w:val="21"/>
                <w:highlight w:val="none"/>
              </w:rPr>
              <w:t>时效性保障措施</w:t>
            </w:r>
          </w:p>
          <w:p w14:paraId="362D0D93">
            <w:pPr>
              <w:snapToGrid w:val="0"/>
              <w:spacing w:line="360" w:lineRule="auto"/>
              <w:jc w:val="center"/>
              <w:rPr>
                <w:rFonts w:hint="eastAsia" w:asciiTheme="majorEastAsia" w:hAnsiTheme="majorEastAsia" w:eastAsiaTheme="majorEastAsia" w:cstheme="majorEastAsia"/>
                <w:b w:val="0"/>
                <w:bCs w:val="0"/>
                <w:color w:val="auto"/>
                <w:kern w:val="0"/>
                <w:szCs w:val="21"/>
                <w:highlight w:val="none"/>
              </w:rPr>
            </w:pP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val="en-US" w:eastAsia="zh-CN"/>
              </w:rPr>
              <w:t>5</w:t>
            </w:r>
            <w:r>
              <w:rPr>
                <w:rFonts w:hint="eastAsia" w:asciiTheme="majorEastAsia" w:hAnsiTheme="majorEastAsia" w:eastAsiaTheme="majorEastAsia" w:cstheme="majorEastAsia"/>
                <w:b w:val="0"/>
                <w:bCs w:val="0"/>
                <w:color w:val="auto"/>
                <w:sz w:val="21"/>
                <w:szCs w:val="21"/>
                <w:highlight w:val="none"/>
              </w:rPr>
              <w:t>分)</w:t>
            </w:r>
          </w:p>
          <w:p w14:paraId="776253A0">
            <w:pPr>
              <w:spacing w:line="360" w:lineRule="auto"/>
              <w:jc w:val="center"/>
              <w:rPr>
                <w:rFonts w:hint="eastAsia" w:ascii="宋体" w:hAnsi="宋体" w:eastAsia="宋体" w:cs="宋体"/>
                <w:color w:val="auto"/>
                <w:sz w:val="21"/>
                <w:szCs w:val="21"/>
                <w:highlight w:val="none"/>
              </w:rPr>
            </w:pPr>
          </w:p>
        </w:tc>
        <w:tc>
          <w:tcPr>
            <w:tcW w:w="6294" w:type="dxa"/>
            <w:gridSpan w:val="3"/>
            <w:shd w:val="clear" w:color="auto" w:fill="auto"/>
            <w:noWrap w:val="0"/>
            <w:vAlign w:val="center"/>
          </w:tcPr>
          <w:p w14:paraId="63A43476">
            <w:pPr>
              <w:spacing w:line="360" w:lineRule="auto"/>
              <w:ind w:firstLine="420" w:firstLineChars="200"/>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能有效解决运维期间异常数据的，分析解决故障问题能力突出、时间迅速，工作中能及时发现问题、迅速沟通现场人员， 能在最快时间内迅速排除故障，</w:t>
            </w:r>
          </w:p>
          <w:p w14:paraId="3981B52D">
            <w:pPr>
              <w:spacing w:line="360" w:lineRule="auto"/>
              <w:ind w:firstLine="420" w:firstLineChars="200"/>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方案内容完整、全面，可行度高的得 5 分；</w:t>
            </w:r>
          </w:p>
          <w:p w14:paraId="506E7FB4">
            <w:pPr>
              <w:spacing w:line="360" w:lineRule="auto"/>
              <w:ind w:firstLine="420" w:firstLineChars="200"/>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方案内容较完整、较全面，可行度一般的得 3 分；</w:t>
            </w:r>
          </w:p>
          <w:p w14:paraId="2EF05037">
            <w:pPr>
              <w:spacing w:line="360" w:lineRule="auto"/>
              <w:ind w:firstLine="420" w:firstLineChars="200"/>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内容不完整、可行度低的得 1分。</w:t>
            </w:r>
          </w:p>
        </w:tc>
      </w:tr>
      <w:tr w14:paraId="3B8D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jc w:val="center"/>
        </w:trPr>
        <w:tc>
          <w:tcPr>
            <w:tcW w:w="1260" w:type="dxa"/>
            <w:gridSpan w:val="2"/>
            <w:vMerge w:val="continue"/>
            <w:noWrap w:val="0"/>
            <w:vAlign w:val="center"/>
          </w:tcPr>
          <w:p w14:paraId="40BF55E1">
            <w:pPr>
              <w:widowControl w:val="0"/>
              <w:tabs>
                <w:tab w:val="center" w:pos="4153"/>
                <w:tab w:val="right" w:pos="8306"/>
              </w:tabs>
              <w:snapToGrid w:val="0"/>
              <w:spacing w:line="360" w:lineRule="auto"/>
              <w:jc w:val="center"/>
              <w:rPr>
                <w:rFonts w:hint="eastAsia" w:ascii="宋体" w:hAnsi="宋体" w:eastAsia="宋体" w:cs="宋体"/>
                <w:color w:val="auto"/>
                <w:kern w:val="2"/>
                <w:sz w:val="21"/>
                <w:szCs w:val="21"/>
                <w:highlight w:val="none"/>
                <w:lang w:val="en-US" w:eastAsia="zh-CN" w:bidi="ar-SA"/>
              </w:rPr>
            </w:pPr>
          </w:p>
          <w:p w14:paraId="6011745C">
            <w:pPr>
              <w:widowControl w:val="0"/>
              <w:tabs>
                <w:tab w:val="center" w:pos="4153"/>
                <w:tab w:val="right" w:pos="8306"/>
              </w:tabs>
              <w:snapToGrid w:val="0"/>
              <w:spacing w:line="360" w:lineRule="auto"/>
              <w:jc w:val="center"/>
              <w:rPr>
                <w:rFonts w:hint="eastAsia" w:ascii="宋体" w:hAnsi="宋体" w:eastAsia="宋体" w:cs="宋体"/>
                <w:color w:val="auto"/>
                <w:kern w:val="2"/>
                <w:sz w:val="21"/>
                <w:szCs w:val="21"/>
                <w:highlight w:val="none"/>
                <w:lang w:val="en-US" w:eastAsia="zh-CN" w:bidi="ar-SA"/>
              </w:rPr>
            </w:pPr>
          </w:p>
        </w:tc>
        <w:tc>
          <w:tcPr>
            <w:tcW w:w="2200" w:type="dxa"/>
            <w:gridSpan w:val="2"/>
            <w:noWrap w:val="0"/>
            <w:vAlign w:val="center"/>
          </w:tcPr>
          <w:p w14:paraId="46981513">
            <w:pPr>
              <w:snapToGrid w:val="0"/>
              <w:spacing w:line="360" w:lineRule="auto"/>
              <w:jc w:val="center"/>
              <w:rPr>
                <w:rFonts w:hint="eastAsia" w:asciiTheme="majorEastAsia" w:hAnsiTheme="majorEastAsia" w:eastAsiaTheme="majorEastAsia" w:cstheme="majorEastAsia"/>
                <w:b w:val="0"/>
                <w:bCs w:val="0"/>
                <w:color w:val="auto"/>
                <w:kern w:val="0"/>
                <w:szCs w:val="21"/>
                <w:highlight w:val="none"/>
              </w:rPr>
            </w:pPr>
            <w:r>
              <w:rPr>
                <w:rFonts w:hint="eastAsia" w:asciiTheme="majorEastAsia" w:hAnsiTheme="majorEastAsia" w:eastAsiaTheme="majorEastAsia" w:cstheme="majorEastAsia"/>
                <w:b w:val="0"/>
                <w:bCs w:val="0"/>
                <w:color w:val="auto"/>
                <w:kern w:val="0"/>
                <w:szCs w:val="21"/>
                <w:highlight w:val="none"/>
              </w:rPr>
              <w:t>安全保障措施</w:t>
            </w:r>
          </w:p>
          <w:p w14:paraId="6D7AC295">
            <w:pPr>
              <w:snapToGrid w:val="0"/>
              <w:spacing w:line="360" w:lineRule="auto"/>
              <w:jc w:val="center"/>
              <w:rPr>
                <w:rFonts w:hint="eastAsia" w:asciiTheme="majorEastAsia" w:hAnsiTheme="majorEastAsia" w:eastAsiaTheme="majorEastAsia" w:cstheme="majorEastAsia"/>
                <w:b w:val="0"/>
                <w:bCs w:val="0"/>
                <w:color w:val="auto"/>
                <w:kern w:val="0"/>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val="en-US" w:eastAsia="zh-CN"/>
              </w:rPr>
              <w:t>5</w:t>
            </w:r>
            <w:r>
              <w:rPr>
                <w:rFonts w:hint="eastAsia" w:asciiTheme="majorEastAsia" w:hAnsiTheme="majorEastAsia" w:eastAsiaTheme="majorEastAsia" w:cstheme="majorEastAsia"/>
                <w:b w:val="0"/>
                <w:bCs w:val="0"/>
                <w:color w:val="auto"/>
                <w:sz w:val="21"/>
                <w:szCs w:val="21"/>
                <w:highlight w:val="none"/>
              </w:rPr>
              <w:t>分)</w:t>
            </w:r>
          </w:p>
          <w:p w14:paraId="404FC36A">
            <w:pPr>
              <w:spacing w:line="360" w:lineRule="auto"/>
              <w:jc w:val="center"/>
              <w:rPr>
                <w:rFonts w:hint="eastAsia" w:ascii="宋体" w:hAnsi="宋体" w:eastAsia="宋体" w:cs="宋体"/>
                <w:color w:val="auto"/>
                <w:sz w:val="21"/>
                <w:szCs w:val="21"/>
                <w:highlight w:val="none"/>
              </w:rPr>
            </w:pPr>
          </w:p>
        </w:tc>
        <w:tc>
          <w:tcPr>
            <w:tcW w:w="6294" w:type="dxa"/>
            <w:gridSpan w:val="3"/>
            <w:noWrap w:val="0"/>
            <w:vAlign w:val="center"/>
          </w:tcPr>
          <w:p w14:paraId="0DD80EF4">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根据本项目特点制定安全保障措施。包括但不限于①安全保证体系；②安全责任体系；③安全管理制度等措施，</w:t>
            </w:r>
          </w:p>
          <w:p w14:paraId="77D483C3">
            <w:pPr>
              <w:spacing w:line="360" w:lineRule="auto"/>
              <w:ind w:firstLine="420" w:firstLineChars="200"/>
              <w:rPr>
                <w:rFonts w:hint="eastAsia" w:ascii="Calibri" w:hAnsi="Calibri" w:eastAsia="宋体" w:cs="Times New Roman"/>
                <w:color w:val="auto"/>
                <w:kern w:val="2"/>
                <w:sz w:val="21"/>
                <w:szCs w:val="21"/>
                <w:highlight w:val="none"/>
                <w:lang w:val="en-US" w:eastAsia="zh-CN" w:bidi="ar-SA"/>
              </w:rPr>
            </w:pPr>
            <w:r>
              <w:rPr>
                <w:rFonts w:hint="eastAsia" w:asciiTheme="majorEastAsia" w:hAnsiTheme="majorEastAsia" w:eastAsiaTheme="majorEastAsia" w:cstheme="majorEastAsia"/>
                <w:b w:val="0"/>
                <w:bCs w:val="0"/>
                <w:color w:val="auto"/>
                <w:kern w:val="0"/>
                <w:szCs w:val="21"/>
                <w:highlight w:val="none"/>
              </w:rPr>
              <w:t>措施</w:t>
            </w:r>
            <w:r>
              <w:rPr>
                <w:rFonts w:hint="eastAsia" w:ascii="Calibri" w:hAnsi="Calibri" w:eastAsia="宋体" w:cs="Times New Roman"/>
                <w:color w:val="auto"/>
                <w:kern w:val="2"/>
                <w:sz w:val="21"/>
                <w:szCs w:val="21"/>
                <w:highlight w:val="none"/>
                <w:lang w:val="en-US" w:eastAsia="zh-CN" w:bidi="ar-SA"/>
              </w:rPr>
              <w:t>内容完整、全面，可行度高的得 5 分；</w:t>
            </w:r>
          </w:p>
          <w:p w14:paraId="284238DF">
            <w:pPr>
              <w:spacing w:line="360" w:lineRule="auto"/>
              <w:ind w:firstLine="420" w:firstLineChars="200"/>
              <w:rPr>
                <w:rFonts w:hint="eastAsia" w:ascii="Calibri" w:hAnsi="Calibri" w:eastAsia="宋体" w:cs="Times New Roman"/>
                <w:color w:val="auto"/>
                <w:kern w:val="2"/>
                <w:sz w:val="21"/>
                <w:szCs w:val="21"/>
                <w:highlight w:val="none"/>
                <w:lang w:val="en-US" w:eastAsia="zh-CN" w:bidi="ar-SA"/>
              </w:rPr>
            </w:pPr>
            <w:r>
              <w:rPr>
                <w:rFonts w:hint="eastAsia" w:asciiTheme="majorEastAsia" w:hAnsiTheme="majorEastAsia" w:eastAsiaTheme="majorEastAsia" w:cstheme="majorEastAsia"/>
                <w:b w:val="0"/>
                <w:bCs w:val="0"/>
                <w:color w:val="auto"/>
                <w:kern w:val="0"/>
                <w:szCs w:val="21"/>
                <w:highlight w:val="none"/>
              </w:rPr>
              <w:t>措施</w:t>
            </w:r>
            <w:r>
              <w:rPr>
                <w:rFonts w:hint="eastAsia" w:ascii="Calibri" w:hAnsi="Calibri" w:eastAsia="宋体" w:cs="Times New Roman"/>
                <w:color w:val="auto"/>
                <w:kern w:val="2"/>
                <w:sz w:val="21"/>
                <w:szCs w:val="21"/>
                <w:highlight w:val="none"/>
                <w:lang w:val="en-US" w:eastAsia="zh-CN" w:bidi="ar-SA"/>
              </w:rPr>
              <w:t>内容较完整、较全面，可行度一般的得 3 分；</w:t>
            </w:r>
          </w:p>
          <w:p w14:paraId="38E2895B">
            <w:pPr>
              <w:spacing w:line="360" w:lineRule="auto"/>
              <w:ind w:firstLine="420" w:firstLineChars="200"/>
              <w:rPr>
                <w:rFonts w:hint="eastAsia" w:ascii="宋体" w:hAnsi="宋体" w:eastAsia="宋体" w:cs="宋体"/>
                <w:color w:val="auto"/>
                <w:sz w:val="21"/>
                <w:szCs w:val="21"/>
                <w:highlight w:val="none"/>
              </w:rPr>
            </w:pPr>
            <w:r>
              <w:rPr>
                <w:rFonts w:hint="eastAsia" w:asciiTheme="majorEastAsia" w:hAnsiTheme="majorEastAsia" w:eastAsiaTheme="majorEastAsia" w:cstheme="majorEastAsia"/>
                <w:b w:val="0"/>
                <w:bCs w:val="0"/>
                <w:color w:val="auto"/>
                <w:kern w:val="0"/>
                <w:szCs w:val="21"/>
                <w:highlight w:val="none"/>
              </w:rPr>
              <w:t>措施</w:t>
            </w:r>
            <w:r>
              <w:rPr>
                <w:rFonts w:hint="eastAsia" w:ascii="Calibri" w:hAnsi="Calibri" w:eastAsia="宋体" w:cs="Times New Roman"/>
                <w:color w:val="auto"/>
                <w:kern w:val="2"/>
                <w:sz w:val="21"/>
                <w:szCs w:val="21"/>
                <w:highlight w:val="none"/>
                <w:lang w:val="en-US" w:eastAsia="zh-CN" w:bidi="ar-SA"/>
              </w:rPr>
              <w:t>内容不完整、可行度低的得 1分。</w:t>
            </w:r>
          </w:p>
        </w:tc>
      </w:tr>
      <w:tr w14:paraId="110C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0" w:type="dxa"/>
            <w:gridSpan w:val="2"/>
            <w:vMerge w:val="continue"/>
            <w:noWrap w:val="0"/>
            <w:vAlign w:val="center"/>
          </w:tcPr>
          <w:p w14:paraId="58BFFD88">
            <w:pPr>
              <w:widowControl w:val="0"/>
              <w:tabs>
                <w:tab w:val="center" w:pos="4153"/>
                <w:tab w:val="right" w:pos="8306"/>
              </w:tabs>
              <w:snapToGrid w:val="0"/>
              <w:spacing w:line="360" w:lineRule="auto"/>
              <w:jc w:val="center"/>
              <w:rPr>
                <w:rFonts w:hint="eastAsia" w:ascii="宋体" w:hAnsi="宋体" w:eastAsia="宋体" w:cs="宋体"/>
                <w:color w:val="auto"/>
                <w:kern w:val="2"/>
                <w:sz w:val="21"/>
                <w:szCs w:val="21"/>
                <w:highlight w:val="none"/>
                <w:lang w:val="en-US" w:eastAsia="zh-CN" w:bidi="ar-SA"/>
              </w:rPr>
            </w:pPr>
          </w:p>
        </w:tc>
        <w:tc>
          <w:tcPr>
            <w:tcW w:w="2200" w:type="dxa"/>
            <w:gridSpan w:val="2"/>
            <w:noWrap w:val="0"/>
            <w:vAlign w:val="top"/>
          </w:tcPr>
          <w:p w14:paraId="44F66247">
            <w:pPr>
              <w:pStyle w:val="20"/>
              <w:spacing w:before="1"/>
              <w:rPr>
                <w:b/>
                <w:color w:val="auto"/>
                <w:sz w:val="24"/>
              </w:rPr>
            </w:pPr>
          </w:p>
          <w:p w14:paraId="236A8D47">
            <w:pPr>
              <w:pStyle w:val="20"/>
              <w:ind w:left="284"/>
              <w:rPr>
                <w:color w:val="auto"/>
                <w:sz w:val="21"/>
              </w:rPr>
            </w:pPr>
            <w:r>
              <w:rPr>
                <w:color w:val="auto"/>
                <w:sz w:val="21"/>
              </w:rPr>
              <w:t>服务保障措施</w:t>
            </w:r>
          </w:p>
          <w:p w14:paraId="097CACBE">
            <w:pPr>
              <w:pStyle w:val="20"/>
              <w:spacing w:before="132"/>
              <w:ind w:left="363" w:leftChars="0"/>
              <w:rPr>
                <w:rFonts w:hint="eastAsia" w:ascii="宋体" w:hAnsi="宋体" w:eastAsia="宋体" w:cs="宋体"/>
                <w:color w:val="auto"/>
                <w:sz w:val="21"/>
                <w:szCs w:val="21"/>
                <w:highlight w:val="none"/>
              </w:rPr>
            </w:pPr>
            <w:r>
              <w:rPr>
                <w:color w:val="auto"/>
                <w:sz w:val="21"/>
              </w:rPr>
              <w:t>（</w:t>
            </w:r>
            <w:r>
              <w:rPr>
                <w:rFonts w:hint="eastAsia"/>
                <w:color w:val="auto"/>
                <w:sz w:val="21"/>
                <w:lang w:val="en-US" w:eastAsia="zh-CN"/>
              </w:rPr>
              <w:t>5</w:t>
            </w:r>
            <w:r>
              <w:rPr>
                <w:color w:val="auto"/>
                <w:sz w:val="21"/>
              </w:rPr>
              <w:t>分）</w:t>
            </w:r>
          </w:p>
        </w:tc>
        <w:tc>
          <w:tcPr>
            <w:tcW w:w="6294" w:type="dxa"/>
            <w:gridSpan w:val="3"/>
            <w:noWrap w:val="0"/>
            <w:vAlign w:val="top"/>
          </w:tcPr>
          <w:p w14:paraId="588F5F71">
            <w:pPr>
              <w:pStyle w:val="20"/>
              <w:spacing w:before="110"/>
              <w:ind w:left="107" w:firstLine="408" w:firstLineChars="200"/>
              <w:rPr>
                <w:color w:val="auto"/>
                <w:sz w:val="21"/>
              </w:rPr>
            </w:pPr>
            <w:r>
              <w:rPr>
                <w:color w:val="auto"/>
                <w:spacing w:val="-3"/>
                <w:sz w:val="21"/>
              </w:rPr>
              <w:t>服务保障措施科学规范，内容详实，可行性强的得</w:t>
            </w:r>
            <w:r>
              <w:rPr>
                <w:rFonts w:hint="eastAsia"/>
                <w:color w:val="auto"/>
                <w:spacing w:val="-3"/>
                <w:sz w:val="21"/>
                <w:lang w:val="en-US" w:eastAsia="zh-CN"/>
              </w:rPr>
              <w:t>5</w:t>
            </w:r>
            <w:r>
              <w:rPr>
                <w:color w:val="auto"/>
                <w:spacing w:val="-20"/>
                <w:sz w:val="21"/>
              </w:rPr>
              <w:t>分；</w:t>
            </w:r>
          </w:p>
          <w:p w14:paraId="7F19EE2A">
            <w:pPr>
              <w:pStyle w:val="20"/>
              <w:spacing w:before="131"/>
              <w:ind w:left="107" w:firstLine="408" w:firstLineChars="200"/>
              <w:rPr>
                <w:color w:val="auto"/>
                <w:sz w:val="21"/>
              </w:rPr>
            </w:pPr>
            <w:r>
              <w:rPr>
                <w:color w:val="auto"/>
                <w:spacing w:val="-3"/>
                <w:sz w:val="21"/>
              </w:rPr>
              <w:t xml:space="preserve">服务保障措施科学规范，内容完整，基本可行的得 </w:t>
            </w:r>
            <w:r>
              <w:rPr>
                <w:rFonts w:hint="eastAsia"/>
                <w:color w:val="auto"/>
                <w:sz w:val="21"/>
                <w:lang w:val="en-US" w:eastAsia="zh-CN"/>
              </w:rPr>
              <w:t>3</w:t>
            </w:r>
            <w:r>
              <w:rPr>
                <w:color w:val="auto"/>
                <w:spacing w:val="-20"/>
                <w:sz w:val="21"/>
              </w:rPr>
              <w:t xml:space="preserve"> 分；</w:t>
            </w:r>
          </w:p>
          <w:p w14:paraId="4830BE24">
            <w:pPr>
              <w:pStyle w:val="20"/>
              <w:spacing w:before="130"/>
              <w:ind w:left="107" w:leftChars="0" w:firstLine="420" w:firstLineChars="200"/>
              <w:rPr>
                <w:rFonts w:hint="eastAsia" w:ascii="宋体" w:hAnsi="宋体" w:eastAsia="宋体" w:cs="宋体"/>
                <w:color w:val="auto"/>
                <w:sz w:val="21"/>
                <w:szCs w:val="21"/>
                <w:highlight w:val="none"/>
              </w:rPr>
            </w:pPr>
            <w:r>
              <w:rPr>
                <w:color w:val="auto"/>
                <w:sz w:val="21"/>
              </w:rPr>
              <w:t xml:space="preserve">服务保障措施，内容不完整，可行性差的得 </w:t>
            </w:r>
            <w:r>
              <w:rPr>
                <w:rFonts w:hint="eastAsia"/>
                <w:color w:val="auto"/>
                <w:sz w:val="21"/>
                <w:lang w:val="en-US" w:eastAsia="zh-CN"/>
              </w:rPr>
              <w:t>2</w:t>
            </w:r>
            <w:r>
              <w:rPr>
                <w:color w:val="auto"/>
                <w:sz w:val="21"/>
              </w:rPr>
              <w:t>分。</w:t>
            </w:r>
          </w:p>
        </w:tc>
      </w:tr>
      <w:tr w14:paraId="0C08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1260" w:type="dxa"/>
            <w:gridSpan w:val="2"/>
            <w:vMerge w:val="continue"/>
            <w:noWrap w:val="0"/>
            <w:vAlign w:val="center"/>
          </w:tcPr>
          <w:p w14:paraId="19E3875C">
            <w:pPr>
              <w:widowControl w:val="0"/>
              <w:tabs>
                <w:tab w:val="center" w:pos="4153"/>
                <w:tab w:val="right" w:pos="8306"/>
              </w:tabs>
              <w:snapToGrid w:val="0"/>
              <w:spacing w:line="360" w:lineRule="auto"/>
              <w:jc w:val="center"/>
              <w:rPr>
                <w:rFonts w:hint="eastAsia" w:ascii="宋体" w:hAnsi="宋体" w:eastAsia="宋体" w:cs="宋体"/>
                <w:color w:val="auto"/>
                <w:kern w:val="2"/>
                <w:sz w:val="21"/>
                <w:szCs w:val="21"/>
                <w:highlight w:val="none"/>
                <w:lang w:val="en-US" w:eastAsia="zh-CN" w:bidi="ar-SA"/>
              </w:rPr>
            </w:pPr>
          </w:p>
        </w:tc>
        <w:tc>
          <w:tcPr>
            <w:tcW w:w="2200" w:type="dxa"/>
            <w:gridSpan w:val="2"/>
            <w:vMerge w:val="restart"/>
            <w:noWrap w:val="0"/>
            <w:vAlign w:val="center"/>
          </w:tcPr>
          <w:p w14:paraId="2CAEB519">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承诺</w:t>
            </w:r>
            <w:r>
              <w:rPr>
                <w:rFonts w:hint="eastAsia" w:ascii="宋体" w:hAnsi="宋体" w:eastAsia="宋体" w:cs="宋体"/>
                <w:color w:val="auto"/>
                <w:sz w:val="21"/>
                <w:szCs w:val="21"/>
                <w:highlight w:val="none"/>
                <w:lang w:eastAsia="zh-CN"/>
              </w:rPr>
              <w:t>及优惠措施</w:t>
            </w:r>
          </w:p>
          <w:p w14:paraId="019FE514">
            <w:pPr>
              <w:widowControl w:val="0"/>
              <w:spacing w:line="360" w:lineRule="auto"/>
              <w:ind w:firstLine="210" w:firstLineChars="10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p>
        </w:tc>
        <w:tc>
          <w:tcPr>
            <w:tcW w:w="6294" w:type="dxa"/>
            <w:gridSpan w:val="3"/>
            <w:noWrap w:val="0"/>
            <w:vAlign w:val="center"/>
          </w:tcPr>
          <w:p w14:paraId="47D2EB8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供应商对协助做好空气站资产保管等工作，做好空气站日常24h监控，填写监控记录等承诺情况综合评审：</w:t>
            </w:r>
          </w:p>
          <w:p w14:paraId="62A90E9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承诺全面、且利于项目进展的，得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12A1A5F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w:t>
            </w:r>
            <w:r>
              <w:rPr>
                <w:rFonts w:hint="eastAsia" w:ascii="宋体" w:hAnsi="宋体" w:eastAsia="宋体" w:cs="宋体"/>
                <w:color w:val="auto"/>
                <w:sz w:val="21"/>
                <w:szCs w:val="21"/>
                <w:highlight w:val="none"/>
                <w:lang w:eastAsia="zh-CN"/>
              </w:rPr>
              <w:t>比较</w:t>
            </w:r>
            <w:r>
              <w:rPr>
                <w:rFonts w:hint="eastAsia" w:ascii="宋体" w:hAnsi="宋体" w:eastAsia="宋体" w:cs="宋体"/>
                <w:color w:val="auto"/>
                <w:sz w:val="21"/>
                <w:szCs w:val="21"/>
                <w:highlight w:val="none"/>
              </w:rPr>
              <w:t>全面、</w:t>
            </w:r>
            <w:r>
              <w:rPr>
                <w:rFonts w:hint="eastAsia" w:ascii="宋体" w:hAnsi="宋体" w:eastAsia="宋体" w:cs="宋体"/>
                <w:color w:val="auto"/>
                <w:sz w:val="21"/>
                <w:szCs w:val="21"/>
                <w:highlight w:val="none"/>
                <w:lang w:eastAsia="zh-CN"/>
              </w:rPr>
              <w:t>比较</w:t>
            </w:r>
            <w:r>
              <w:rPr>
                <w:rFonts w:hint="eastAsia" w:ascii="宋体" w:hAnsi="宋体" w:eastAsia="宋体" w:cs="宋体"/>
                <w:color w:val="auto"/>
                <w:sz w:val="21"/>
                <w:szCs w:val="21"/>
                <w:highlight w:val="none"/>
              </w:rPr>
              <w:t>利于项目进展的，得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0E03F46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承诺内容一般、可行性一般的，得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tc>
      </w:tr>
      <w:tr w14:paraId="3BEE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0" w:type="dxa"/>
            <w:gridSpan w:val="2"/>
            <w:vMerge w:val="continue"/>
            <w:noWrap w:val="0"/>
            <w:vAlign w:val="center"/>
          </w:tcPr>
          <w:p w14:paraId="41F0821F">
            <w:pPr>
              <w:widowControl w:val="0"/>
              <w:tabs>
                <w:tab w:val="center" w:pos="4153"/>
                <w:tab w:val="right" w:pos="8306"/>
              </w:tabs>
              <w:snapToGrid w:val="0"/>
              <w:spacing w:line="360" w:lineRule="auto"/>
              <w:jc w:val="center"/>
              <w:rPr>
                <w:rFonts w:hint="eastAsia" w:ascii="宋体" w:hAnsi="宋体" w:eastAsia="宋体" w:cs="宋体"/>
                <w:color w:val="auto"/>
                <w:kern w:val="2"/>
                <w:sz w:val="21"/>
                <w:szCs w:val="21"/>
                <w:highlight w:val="none"/>
                <w:lang w:val="en-US" w:eastAsia="zh-CN" w:bidi="ar-SA"/>
              </w:rPr>
            </w:pPr>
          </w:p>
        </w:tc>
        <w:tc>
          <w:tcPr>
            <w:tcW w:w="2200" w:type="dxa"/>
            <w:gridSpan w:val="2"/>
            <w:vMerge w:val="continue"/>
            <w:noWrap w:val="0"/>
            <w:vAlign w:val="center"/>
          </w:tcPr>
          <w:p w14:paraId="222E2755">
            <w:pPr>
              <w:spacing w:line="360" w:lineRule="auto"/>
              <w:jc w:val="center"/>
              <w:rPr>
                <w:rFonts w:hint="eastAsia" w:ascii="宋体" w:hAnsi="宋体" w:eastAsia="宋体" w:cs="宋体"/>
                <w:color w:val="auto"/>
                <w:sz w:val="21"/>
                <w:szCs w:val="21"/>
                <w:highlight w:val="none"/>
              </w:rPr>
            </w:pPr>
          </w:p>
        </w:tc>
        <w:tc>
          <w:tcPr>
            <w:tcW w:w="6294" w:type="dxa"/>
            <w:gridSpan w:val="3"/>
            <w:noWrap w:val="0"/>
            <w:vAlign w:val="center"/>
          </w:tcPr>
          <w:p w14:paraId="07924456">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供应商提供的优惠措施对采购人物有所值的，得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分；优惠措施对采购人</w:t>
            </w:r>
            <w:r>
              <w:rPr>
                <w:rFonts w:hint="eastAsia" w:ascii="宋体" w:hAnsi="宋体" w:eastAsia="宋体" w:cs="宋体"/>
                <w:color w:val="auto"/>
                <w:sz w:val="21"/>
                <w:szCs w:val="21"/>
                <w:highlight w:val="none"/>
                <w:lang w:eastAsia="zh-CN"/>
              </w:rPr>
              <w:t>较为有利</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供应商提供的优惠措施对采购人</w:t>
            </w:r>
            <w:r>
              <w:rPr>
                <w:rFonts w:hint="eastAsia" w:ascii="宋体" w:hAnsi="宋体" w:cs="宋体"/>
                <w:color w:val="auto"/>
                <w:sz w:val="21"/>
                <w:szCs w:val="21"/>
                <w:highlight w:val="none"/>
                <w:lang w:eastAsia="zh-CN"/>
              </w:rPr>
              <w:t>无</w:t>
            </w:r>
            <w:r>
              <w:rPr>
                <w:rFonts w:hint="eastAsia" w:ascii="宋体" w:hAnsi="宋体" w:eastAsia="宋体" w:cs="宋体"/>
                <w:color w:val="auto"/>
                <w:sz w:val="21"/>
                <w:szCs w:val="21"/>
                <w:highlight w:val="none"/>
              </w:rPr>
              <w:t>价值</w:t>
            </w:r>
            <w:r>
              <w:rPr>
                <w:rFonts w:hint="eastAsia" w:ascii="宋体" w:hAnsi="宋体" w:cs="宋体"/>
                <w:color w:val="auto"/>
                <w:sz w:val="21"/>
                <w:szCs w:val="21"/>
                <w:highlight w:val="none"/>
                <w:lang w:eastAsia="zh-CN"/>
              </w:rPr>
              <w:t>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r>
      <w:tr w14:paraId="4AED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0" w:type="dxa"/>
            <w:gridSpan w:val="2"/>
            <w:vMerge w:val="continue"/>
            <w:noWrap w:val="0"/>
            <w:vAlign w:val="center"/>
          </w:tcPr>
          <w:p w14:paraId="454D05AD">
            <w:pPr>
              <w:widowControl w:val="0"/>
              <w:tabs>
                <w:tab w:val="center" w:pos="4153"/>
                <w:tab w:val="right" w:pos="8306"/>
              </w:tabs>
              <w:snapToGrid w:val="0"/>
              <w:spacing w:line="360" w:lineRule="auto"/>
              <w:jc w:val="center"/>
              <w:rPr>
                <w:rFonts w:hint="eastAsia" w:ascii="宋体" w:hAnsi="宋体" w:eastAsia="宋体" w:cs="宋体"/>
                <w:color w:val="auto"/>
                <w:kern w:val="2"/>
                <w:sz w:val="21"/>
                <w:szCs w:val="21"/>
                <w:highlight w:val="none"/>
                <w:lang w:val="en-US" w:eastAsia="zh-CN" w:bidi="ar-SA"/>
              </w:rPr>
            </w:pPr>
          </w:p>
        </w:tc>
        <w:tc>
          <w:tcPr>
            <w:tcW w:w="8494" w:type="dxa"/>
            <w:gridSpan w:val="5"/>
            <w:noWrap w:val="0"/>
            <w:vAlign w:val="center"/>
          </w:tcPr>
          <w:p w14:paraId="39C17228">
            <w:pPr>
              <w:widowControl w:val="0"/>
              <w:spacing w:line="360" w:lineRule="auto"/>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以上各项缺项为0分。</w:t>
            </w:r>
          </w:p>
        </w:tc>
      </w:tr>
    </w:tbl>
    <w:p w14:paraId="3BA21C6D">
      <w:pPr>
        <w:spacing w:line="360" w:lineRule="auto"/>
        <w:ind w:firstLine="420" w:firstLineChars="200"/>
        <w:rPr>
          <w:rFonts w:hint="eastAsia" w:ascii="宋体" w:hAnsi="宋体" w:eastAsia="宋体" w:cs="宋体"/>
          <w:color w:val="auto"/>
          <w:kern w:val="0"/>
          <w:sz w:val="21"/>
          <w:szCs w:val="21"/>
        </w:rPr>
      </w:pPr>
    </w:p>
    <w:p w14:paraId="756045F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kern w:val="0"/>
          <w:szCs w:val="21"/>
        </w:rPr>
        <w:t>一、供应商在响应文件所提供的所有资料必须为真实有效的，采购人有权在任何时间核实其真实性。如提供虚</w:t>
      </w:r>
      <w:r>
        <w:rPr>
          <w:rFonts w:hint="eastAsia" w:ascii="宋体" w:hAnsi="宋体" w:eastAsia="宋体" w:cs="宋体"/>
          <w:color w:val="auto"/>
          <w:szCs w:val="21"/>
        </w:rPr>
        <w:t>假资料，供应商承担由此导致的一切不良后果并承担法律责任。</w:t>
      </w:r>
    </w:p>
    <w:p w14:paraId="4D388BD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二、最终得分的计算</w:t>
      </w:r>
    </w:p>
    <w:p w14:paraId="6B96709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评标委员会成员评分=商务</w:t>
      </w:r>
      <w:r>
        <w:rPr>
          <w:rFonts w:hint="eastAsia" w:ascii="宋体" w:hAnsi="宋体" w:eastAsia="宋体" w:cs="宋体"/>
          <w:color w:val="auto"/>
          <w:szCs w:val="21"/>
          <w:lang w:eastAsia="zh-CN"/>
        </w:rPr>
        <w:t>部分</w:t>
      </w:r>
      <w:r>
        <w:rPr>
          <w:rFonts w:hint="eastAsia" w:ascii="宋体" w:hAnsi="宋体" w:eastAsia="宋体" w:cs="宋体"/>
          <w:color w:val="auto"/>
          <w:szCs w:val="21"/>
          <w:lang w:val="en-US" w:eastAsia="zh-CN"/>
        </w:rPr>
        <w:t>+</w:t>
      </w:r>
      <w:r>
        <w:rPr>
          <w:rFonts w:hint="eastAsia" w:ascii="宋体" w:hAnsi="宋体" w:eastAsia="宋体" w:cs="宋体"/>
          <w:color w:val="auto"/>
          <w:szCs w:val="21"/>
        </w:rPr>
        <w:t>技术</w:t>
      </w:r>
      <w:r>
        <w:rPr>
          <w:rFonts w:hint="eastAsia" w:ascii="宋体" w:hAnsi="宋体" w:eastAsia="宋体" w:cs="宋体"/>
          <w:color w:val="auto"/>
          <w:szCs w:val="21"/>
          <w:lang w:eastAsia="zh-CN"/>
        </w:rPr>
        <w:t>部分</w:t>
      </w:r>
      <w:r>
        <w:rPr>
          <w:rFonts w:hint="eastAsia" w:ascii="宋体" w:hAnsi="宋体" w:eastAsia="宋体" w:cs="宋体"/>
          <w:color w:val="auto"/>
          <w:szCs w:val="21"/>
          <w:lang w:val="en-US" w:eastAsia="zh-CN"/>
        </w:rPr>
        <w:t>+综合部分</w:t>
      </w:r>
      <w:r>
        <w:rPr>
          <w:rFonts w:hint="eastAsia" w:ascii="宋体" w:hAnsi="宋体" w:eastAsia="宋体" w:cs="宋体"/>
          <w:color w:val="auto"/>
          <w:szCs w:val="21"/>
        </w:rPr>
        <w:t>。</w:t>
      </w:r>
    </w:p>
    <w:p w14:paraId="380A504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评标总得分=所有评标委员合计评分的算术平均值</w:t>
      </w:r>
    </w:p>
    <w:p w14:paraId="3A838906">
      <w:pPr>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szCs w:val="21"/>
        </w:rPr>
        <w:t>评标委员会按照经评审</w:t>
      </w:r>
      <w:r>
        <w:rPr>
          <w:rFonts w:hint="eastAsia" w:ascii="宋体" w:hAnsi="宋体" w:eastAsia="宋体" w:cs="宋体"/>
          <w:color w:val="auto"/>
          <w:kern w:val="0"/>
          <w:szCs w:val="21"/>
        </w:rPr>
        <w:t>的得分由高到低顺序推荐 1-3 名成交候选人，并标明推荐顺序。</w:t>
      </w:r>
    </w:p>
    <w:p w14:paraId="6DC4F7A1">
      <w:pPr>
        <w:spacing w:line="360" w:lineRule="auto"/>
        <w:jc w:val="center"/>
        <w:rPr>
          <w:rFonts w:ascii="宋体" w:hAnsi="宋体" w:eastAsia="宋体" w:cs="宋体"/>
          <w:b/>
          <w:bCs/>
          <w:color w:val="auto"/>
          <w:kern w:val="0"/>
          <w:sz w:val="32"/>
          <w:szCs w:val="32"/>
        </w:rPr>
      </w:pPr>
      <w:r>
        <w:rPr>
          <w:rFonts w:ascii="宋体" w:hAnsi="宋体" w:eastAsia="宋体" w:cs="宋体"/>
          <w:b/>
          <w:bCs/>
          <w:color w:val="auto"/>
          <w:kern w:val="0"/>
          <w:sz w:val="30"/>
          <w:szCs w:val="30"/>
        </w:rPr>
        <w:br w:type="page"/>
      </w:r>
      <w:bookmarkStart w:id="58" w:name="_Toc8184"/>
      <w:bookmarkEnd w:id="58"/>
      <w:bookmarkStart w:id="59" w:name="_Toc3890"/>
      <w:bookmarkStart w:id="60" w:name="_Toc113437300"/>
      <w:r>
        <w:rPr>
          <w:rFonts w:hint="eastAsia" w:ascii="宋体" w:hAnsi="宋体" w:eastAsia="宋体" w:cs="宋体"/>
          <w:b/>
          <w:bCs/>
          <w:color w:val="auto"/>
          <w:kern w:val="0"/>
          <w:sz w:val="32"/>
          <w:szCs w:val="32"/>
        </w:rPr>
        <w:t>第四章 合同</w:t>
      </w:r>
      <w:bookmarkEnd w:id="59"/>
      <w:r>
        <w:rPr>
          <w:rFonts w:hint="eastAsia" w:ascii="宋体" w:hAnsi="宋体" w:eastAsia="宋体" w:cs="宋体"/>
          <w:b/>
          <w:bCs/>
          <w:color w:val="auto"/>
          <w:kern w:val="0"/>
          <w:sz w:val="32"/>
          <w:szCs w:val="32"/>
        </w:rPr>
        <w:t>条款及格式</w:t>
      </w:r>
      <w:bookmarkEnd w:id="60"/>
    </w:p>
    <w:p w14:paraId="670E8E14">
      <w:pPr>
        <w:spacing w:line="360" w:lineRule="auto"/>
        <w:jc w:val="center"/>
        <w:rPr>
          <w:rFonts w:ascii="宋体" w:hAnsi="宋体" w:eastAsia="宋体" w:cs="宋体"/>
          <w:color w:val="auto"/>
          <w:szCs w:val="21"/>
        </w:rPr>
      </w:pPr>
    </w:p>
    <w:p w14:paraId="3C235069">
      <w:pPr>
        <w:widowControl/>
        <w:wordWrap w:val="0"/>
        <w:snapToGrid w:val="0"/>
        <w:spacing w:line="360" w:lineRule="auto"/>
        <w:ind w:firstLine="422" w:firstLineChars="200"/>
        <w:jc w:val="center"/>
        <w:rPr>
          <w:rFonts w:hAnsi="宋体"/>
          <w:b/>
          <w:bCs/>
          <w:color w:val="auto"/>
          <w:kern w:val="0"/>
        </w:rPr>
      </w:pPr>
      <w:bookmarkStart w:id="61" w:name="_Toc24351"/>
      <w:bookmarkStart w:id="62" w:name="_Toc113437301"/>
      <w:r>
        <w:rPr>
          <w:rFonts w:hint="eastAsia" w:hAnsi="宋体"/>
          <w:b/>
          <w:bCs/>
          <w:color w:val="auto"/>
          <w:kern w:val="0"/>
        </w:rPr>
        <w:t>（</w:t>
      </w:r>
      <w:r>
        <w:rPr>
          <w:rFonts w:hint="eastAsia" w:hAnsi="宋体"/>
          <w:color w:val="auto"/>
          <w:kern w:val="0"/>
        </w:rPr>
        <w:t>采购人可根据采购项目的实际情况增减条款和内容</w:t>
      </w:r>
      <w:r>
        <w:rPr>
          <w:rFonts w:hint="eastAsia" w:hAnsi="宋体"/>
          <w:b/>
          <w:bCs/>
          <w:color w:val="auto"/>
          <w:kern w:val="0"/>
        </w:rPr>
        <w:t>）</w:t>
      </w:r>
    </w:p>
    <w:p w14:paraId="4E6E1F01">
      <w:pPr>
        <w:keepNext w:val="0"/>
        <w:keepLines w:val="0"/>
        <w:pageBreakBefore w:val="0"/>
        <w:widowControl w:val="0"/>
        <w:kinsoku/>
        <w:wordWrap/>
        <w:overflowPunct/>
        <w:topLinePunct w:val="0"/>
        <w:bidi w:val="0"/>
        <w:adjustRightInd/>
        <w:snapToGrid/>
        <w:spacing w:before="0" w:line="694" w:lineRule="exact"/>
        <w:ind w:left="1176" w:right="864" w:firstLine="0"/>
        <w:jc w:val="center"/>
        <w:textAlignment w:val="auto"/>
        <w:rPr>
          <w:rFonts w:hint="eastAsia" w:ascii="方正小标宋简体" w:eastAsia="方正小标宋简体"/>
          <w:color w:val="auto"/>
          <w:sz w:val="40"/>
          <w:highlight w:val="none"/>
        </w:rPr>
      </w:pPr>
      <w:r>
        <w:rPr>
          <w:rFonts w:hint="eastAsia" w:ascii="方正小标宋简体" w:eastAsia="方正小标宋简体"/>
          <w:color w:val="auto"/>
          <w:sz w:val="40"/>
          <w:highlight w:val="none"/>
        </w:rPr>
        <w:t>合同主要条款</w:t>
      </w:r>
    </w:p>
    <w:p w14:paraId="01320103">
      <w:pPr>
        <w:pStyle w:val="5"/>
        <w:keepNext w:val="0"/>
        <w:keepLines w:val="0"/>
        <w:pageBreakBefore w:val="0"/>
        <w:widowControl w:val="0"/>
        <w:kinsoku/>
        <w:wordWrap/>
        <w:overflowPunct/>
        <w:topLinePunct w:val="0"/>
        <w:bidi w:val="0"/>
        <w:adjustRightInd/>
        <w:snapToGrid/>
        <w:spacing w:before="10"/>
        <w:jc w:val="both"/>
        <w:textAlignment w:val="auto"/>
        <w:rPr>
          <w:rFonts w:ascii="方正小标宋简体"/>
          <w:color w:val="auto"/>
          <w:sz w:val="34"/>
          <w:highlight w:val="none"/>
        </w:rPr>
      </w:pPr>
    </w:p>
    <w:p w14:paraId="239D07CF">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left="779"/>
        <w:jc w:val="both"/>
        <w:textAlignment w:val="auto"/>
        <w:rPr>
          <w:rFonts w:hint="eastAsia" w:ascii="宋体" w:hAnsi="宋体" w:eastAsia="宋体" w:cs="宋体"/>
          <w:color w:val="auto"/>
          <w:sz w:val="21"/>
          <w:szCs w:val="21"/>
          <w:highlight w:val="none"/>
        </w:rPr>
      </w:pPr>
      <w:bookmarkStart w:id="63" w:name="甲方：平顶山市生态环境局"/>
      <w:bookmarkEnd w:id="63"/>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lang w:val="en-US" w:eastAsia="zh-CN"/>
        </w:rPr>
        <w:t xml:space="preserve">                   </w:t>
      </w:r>
    </w:p>
    <w:p w14:paraId="3C037E32">
      <w:pPr>
        <w:pStyle w:val="5"/>
        <w:keepNext w:val="0"/>
        <w:keepLines w:val="0"/>
        <w:pageBreakBefore w:val="0"/>
        <w:widowControl w:val="0"/>
        <w:kinsoku w:val="0"/>
        <w:wordWrap/>
        <w:overflowPunct w:val="0"/>
        <w:topLinePunct w:val="0"/>
        <w:autoSpaceDE w:val="0"/>
        <w:autoSpaceDN w:val="0"/>
        <w:bidi w:val="0"/>
        <w:adjustRightInd w:val="0"/>
        <w:snapToGrid w:val="0"/>
        <w:spacing w:before="200" w:line="360" w:lineRule="auto"/>
        <w:ind w:left="779"/>
        <w:jc w:val="both"/>
        <w:textAlignment w:val="auto"/>
        <w:rPr>
          <w:rFonts w:hint="eastAsia" w:ascii="宋体" w:hAnsi="宋体" w:eastAsia="宋体" w:cs="宋体"/>
          <w:color w:val="auto"/>
          <w:sz w:val="21"/>
          <w:szCs w:val="21"/>
          <w:highlight w:val="none"/>
          <w:lang w:val="en-US" w:eastAsia="zh-CN"/>
        </w:rPr>
      </w:pPr>
      <w:bookmarkStart w:id="64" w:name="乙方：铁塔智联技术有限公司河南省分公司 "/>
      <w:bookmarkEnd w:id="64"/>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2864B3E4">
      <w:pPr>
        <w:pStyle w:val="5"/>
        <w:keepNext w:val="0"/>
        <w:keepLines w:val="0"/>
        <w:pageBreakBefore w:val="0"/>
        <w:widowControl w:val="0"/>
        <w:kinsoku w:val="0"/>
        <w:wordWrap/>
        <w:overflowPunct w:val="0"/>
        <w:topLinePunct w:val="0"/>
        <w:autoSpaceDE w:val="0"/>
        <w:autoSpaceDN w:val="0"/>
        <w:bidi w:val="0"/>
        <w:adjustRightInd w:val="0"/>
        <w:snapToGrid w:val="0"/>
        <w:spacing w:before="201" w:line="360" w:lineRule="auto"/>
        <w:ind w:right="397" w:firstLine="396"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6"/>
          <w:sz w:val="21"/>
          <w:szCs w:val="21"/>
          <w:highlight w:val="none"/>
          <w:u w:val="single"/>
        </w:rPr>
        <w:t xml:space="preserve">平顶山市生态环境局 </w:t>
      </w:r>
      <w:r>
        <w:rPr>
          <w:rFonts w:hint="eastAsia" w:ascii="宋体" w:hAnsi="宋体" w:eastAsia="宋体" w:cs="宋体"/>
          <w:b w:val="0"/>
          <w:bCs w:val="0"/>
          <w:color w:val="auto"/>
          <w:sz w:val="21"/>
          <w:szCs w:val="21"/>
          <w:highlight w:val="none"/>
          <w:u w:val="single"/>
        </w:rPr>
        <w:t>202</w:t>
      </w:r>
      <w:r>
        <w:rPr>
          <w:rFonts w:hint="eastAsia" w:ascii="宋体" w:hAnsi="宋体" w:eastAsia="宋体" w:cs="宋体"/>
          <w:b w:val="0"/>
          <w:bCs w:val="0"/>
          <w:color w:val="auto"/>
          <w:sz w:val="21"/>
          <w:szCs w:val="21"/>
          <w:highlight w:val="none"/>
          <w:u w:val="single"/>
          <w:lang w:val="en-US" w:eastAsia="zh-CN"/>
        </w:rPr>
        <w:t>5</w:t>
      </w:r>
      <w:r>
        <w:rPr>
          <w:rFonts w:hint="eastAsia" w:ascii="宋体" w:hAnsi="宋体" w:eastAsia="宋体" w:cs="宋体"/>
          <w:b w:val="0"/>
          <w:bCs w:val="0"/>
          <w:color w:val="auto"/>
          <w:sz w:val="21"/>
          <w:szCs w:val="21"/>
          <w:highlight w:val="none"/>
          <w:u w:val="single"/>
        </w:rPr>
        <w:t>年颗粒物组分站（合建交通站）和挥发性有机物站（合建交通站）</w:t>
      </w:r>
      <w:r>
        <w:rPr>
          <w:rFonts w:hint="eastAsia" w:ascii="宋体" w:hAnsi="宋体" w:eastAsia="宋体" w:cs="宋体"/>
          <w:b w:val="0"/>
          <w:bCs w:val="0"/>
          <w:color w:val="auto"/>
          <w:spacing w:val="2"/>
          <w:sz w:val="21"/>
          <w:szCs w:val="21"/>
          <w:highlight w:val="none"/>
          <w:u w:val="single"/>
        </w:rPr>
        <w:t xml:space="preserve">运维及站点保障项目 </w:t>
      </w:r>
      <w:r>
        <w:rPr>
          <w:rFonts w:hint="eastAsia" w:ascii="宋体" w:hAnsi="宋体" w:eastAsia="宋体" w:cs="宋体"/>
          <w:b w:val="0"/>
          <w:bCs w:val="0"/>
          <w:color w:val="auto"/>
          <w:sz w:val="21"/>
          <w:szCs w:val="21"/>
          <w:highlight w:val="none"/>
        </w:rPr>
        <w:t>按照政府采购相</w:t>
      </w:r>
      <w:r>
        <w:rPr>
          <w:rFonts w:hint="eastAsia" w:ascii="宋体" w:hAnsi="宋体" w:eastAsia="宋体" w:cs="宋体"/>
          <w:b w:val="0"/>
          <w:bCs w:val="0"/>
          <w:color w:val="auto"/>
          <w:spacing w:val="-8"/>
          <w:sz w:val="21"/>
          <w:szCs w:val="21"/>
          <w:highlight w:val="none"/>
        </w:rPr>
        <w:t xml:space="preserve">关程序，确定 </w:t>
      </w:r>
      <w:r>
        <w:rPr>
          <w:rFonts w:hint="eastAsia" w:ascii="宋体" w:hAnsi="宋体" w:eastAsia="宋体" w:cs="宋体"/>
          <w:b w:val="0"/>
          <w:bCs w:val="0"/>
          <w:color w:val="auto"/>
          <w:spacing w:val="-3"/>
          <w:sz w:val="21"/>
          <w:szCs w:val="21"/>
          <w:highlight w:val="none"/>
          <w:u w:val="single"/>
          <w:lang w:val="en-US" w:eastAsia="zh-CN"/>
        </w:rPr>
        <w:t xml:space="preserve">                 </w:t>
      </w:r>
      <w:r>
        <w:rPr>
          <w:rFonts w:hint="eastAsia" w:ascii="宋体" w:hAnsi="宋体" w:eastAsia="宋体" w:cs="宋体"/>
          <w:b w:val="0"/>
          <w:bCs w:val="0"/>
          <w:color w:val="auto"/>
          <w:spacing w:val="-7"/>
          <w:sz w:val="21"/>
          <w:szCs w:val="21"/>
          <w:highlight w:val="none"/>
        </w:rPr>
        <w:t xml:space="preserve"> 为中标单位。按</w:t>
      </w:r>
      <w:r>
        <w:rPr>
          <w:rFonts w:hint="eastAsia" w:ascii="宋体" w:hAnsi="宋体" w:eastAsia="宋体" w:cs="宋体"/>
          <w:b w:val="0"/>
          <w:bCs w:val="0"/>
          <w:color w:val="auto"/>
          <w:spacing w:val="-16"/>
          <w:sz w:val="21"/>
          <w:szCs w:val="21"/>
          <w:highlight w:val="none"/>
        </w:rPr>
        <w:t>照</w:t>
      </w:r>
      <w:r>
        <w:rPr>
          <w:rFonts w:hint="eastAsia" w:ascii="宋体" w:hAnsi="宋体" w:eastAsia="宋体" w:cs="宋体"/>
          <w:b w:val="0"/>
          <w:bCs w:val="0"/>
          <w:color w:val="auto"/>
          <w:spacing w:val="-17"/>
          <w:sz w:val="21"/>
          <w:szCs w:val="21"/>
          <w:highlight w:val="none"/>
        </w:rPr>
        <w:t>《中华人民共和国民法典》</w:t>
      </w:r>
      <w:r>
        <w:rPr>
          <w:rFonts w:hint="eastAsia" w:ascii="宋体" w:hAnsi="宋体" w:eastAsia="宋体" w:cs="宋体"/>
          <w:b w:val="0"/>
          <w:bCs w:val="0"/>
          <w:color w:val="auto"/>
          <w:spacing w:val="-17"/>
          <w:sz w:val="21"/>
          <w:szCs w:val="21"/>
          <w:highlight w:val="none"/>
          <w:lang w:eastAsia="zh-CN"/>
        </w:rPr>
        <w:t>、</w:t>
      </w:r>
      <w:r>
        <w:rPr>
          <w:rFonts w:hint="eastAsia" w:ascii="宋体" w:hAnsi="宋体" w:eastAsia="宋体" w:cs="宋体"/>
          <w:b w:val="0"/>
          <w:bCs w:val="0"/>
          <w:color w:val="auto"/>
          <w:spacing w:val="-16"/>
          <w:sz w:val="21"/>
          <w:szCs w:val="21"/>
          <w:highlight w:val="none"/>
        </w:rPr>
        <w:t>《中华人民共和国政府采购法》</w:t>
      </w:r>
      <w:r>
        <w:rPr>
          <w:rFonts w:hint="eastAsia" w:ascii="宋体" w:hAnsi="宋体" w:eastAsia="宋体" w:cs="宋体"/>
          <w:b w:val="0"/>
          <w:bCs w:val="0"/>
          <w:color w:val="auto"/>
          <w:spacing w:val="-17"/>
          <w:sz w:val="21"/>
          <w:szCs w:val="21"/>
          <w:highlight w:val="none"/>
        </w:rPr>
        <w:t>等有关</w:t>
      </w:r>
      <w:r>
        <w:rPr>
          <w:rFonts w:hint="eastAsia" w:ascii="宋体" w:hAnsi="宋体" w:eastAsia="宋体" w:cs="宋体"/>
          <w:b w:val="0"/>
          <w:bCs w:val="0"/>
          <w:color w:val="auto"/>
          <w:spacing w:val="-5"/>
          <w:sz w:val="21"/>
          <w:szCs w:val="21"/>
          <w:highlight w:val="none"/>
        </w:rPr>
        <w:t>法律、法规，甲乙双方经协商一致，</w:t>
      </w:r>
      <w:r>
        <w:rPr>
          <w:rFonts w:hint="eastAsia" w:ascii="宋体" w:hAnsi="宋体" w:eastAsia="宋体" w:cs="宋体"/>
          <w:b w:val="0"/>
          <w:bCs w:val="0"/>
          <w:color w:val="auto"/>
          <w:sz w:val="21"/>
          <w:szCs w:val="21"/>
          <w:highlight w:val="none"/>
        </w:rPr>
        <w:t>达成以下合同条款。</w:t>
      </w:r>
    </w:p>
    <w:p w14:paraId="37399848">
      <w:pPr>
        <w:pStyle w:val="5"/>
        <w:keepNext w:val="0"/>
        <w:keepLines w:val="0"/>
        <w:pageBreakBefore w:val="0"/>
        <w:widowControl w:val="0"/>
        <w:numPr>
          <w:ilvl w:val="0"/>
          <w:numId w:val="2"/>
        </w:numPr>
        <w:kinsoku w:val="0"/>
        <w:wordWrap/>
        <w:overflowPunct w:val="0"/>
        <w:topLinePunct w:val="0"/>
        <w:autoSpaceDE w:val="0"/>
        <w:autoSpaceDN w:val="0"/>
        <w:bidi w:val="0"/>
        <w:adjustRightInd w:val="0"/>
        <w:snapToGrid w:val="0"/>
        <w:spacing w:before="2"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p w14:paraId="338C52A8">
      <w:pPr>
        <w:pStyle w:val="5"/>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before="2" w:line="360" w:lineRule="auto"/>
        <w:ind w:right="0" w:rightChars="0" w:firstLine="420" w:firstLineChars="200"/>
        <w:jc w:val="both"/>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rPr>
        <w:t>平顶山市生态环境局 2025 年平顶山市生态环境局颗粒物组分站（合建交通站）和挥发性有机物站（合建交通站）运维及站点保障项目</w:t>
      </w:r>
      <w:r>
        <w:rPr>
          <w:rFonts w:hint="eastAsia" w:ascii="宋体" w:hAnsi="宋体" w:eastAsia="宋体" w:cs="宋体"/>
          <w:color w:val="auto"/>
          <w:sz w:val="21"/>
          <w:szCs w:val="21"/>
          <w:highlight w:val="none"/>
          <w:u w:val="single"/>
          <w:lang w:eastAsia="zh-CN"/>
        </w:rPr>
        <w:t>。</w:t>
      </w:r>
    </w:p>
    <w:p w14:paraId="6E36C839">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bookmarkStart w:id="65" w:name="二、合同总价："/>
      <w:bookmarkEnd w:id="65"/>
      <w:r>
        <w:rPr>
          <w:rFonts w:hint="eastAsia" w:ascii="宋体" w:hAnsi="宋体" w:eastAsia="宋体" w:cs="宋体"/>
          <w:color w:val="auto"/>
          <w:sz w:val="21"/>
          <w:szCs w:val="21"/>
          <w:highlight w:val="none"/>
        </w:rPr>
        <w:t>二、合同总价：</w:t>
      </w:r>
    </w:p>
    <w:p w14:paraId="7FCA9AD0">
      <w:pPr>
        <w:pStyle w:val="5"/>
        <w:keepNext w:val="0"/>
        <w:keepLines w:val="0"/>
        <w:pageBreakBefore w:val="0"/>
        <w:widowControl w:val="0"/>
        <w:kinsoku w:val="0"/>
        <w:wordWrap/>
        <w:overflowPunct w:val="0"/>
        <w:topLinePunct w:val="0"/>
        <w:autoSpaceDE w:val="0"/>
        <w:autoSpaceDN w:val="0"/>
        <w:bidi w:val="0"/>
        <w:adjustRightInd w:val="0"/>
        <w:snapToGrid w:val="0"/>
        <w:spacing w:before="203" w:line="360" w:lineRule="auto"/>
        <w:ind w:right="116" w:firstLine="408" w:firstLineChars="200"/>
        <w:jc w:val="both"/>
        <w:textAlignment w:val="auto"/>
        <w:rPr>
          <w:rFonts w:hint="eastAsia" w:ascii="宋体" w:hAnsi="宋体" w:eastAsia="宋体" w:cs="宋体"/>
          <w:b/>
          <w:bCs/>
          <w:color w:val="auto"/>
          <w:sz w:val="21"/>
          <w:szCs w:val="21"/>
          <w:highlight w:val="none"/>
          <w:lang w:eastAsia="zh-CN"/>
        </w:rPr>
      </w:pPr>
      <w:bookmarkStart w:id="66" w:name="合同含税金额￥ 735000.00 元（含税大写人民币： 柒拾叁万伍仟元整 ），"/>
      <w:bookmarkEnd w:id="66"/>
      <w:r>
        <w:rPr>
          <w:rFonts w:hint="eastAsia" w:ascii="宋体" w:hAnsi="宋体" w:eastAsia="宋体" w:cs="宋体"/>
          <w:color w:val="auto"/>
          <w:spacing w:val="-3"/>
          <w:sz w:val="21"/>
          <w:szCs w:val="21"/>
          <w:highlight w:val="none"/>
        </w:rPr>
        <w:t>合同含税金额</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pacing w:val="-13"/>
          <w:sz w:val="21"/>
          <w:szCs w:val="21"/>
          <w:highlight w:val="none"/>
        </w:rPr>
        <w:t>元</w:t>
      </w:r>
      <w:r>
        <w:rPr>
          <w:rFonts w:hint="eastAsia" w:ascii="宋体" w:hAnsi="宋体" w:eastAsia="宋体" w:cs="宋体"/>
          <w:color w:val="auto"/>
          <w:sz w:val="21"/>
          <w:szCs w:val="21"/>
          <w:highlight w:val="none"/>
        </w:rPr>
        <w:t>（</w:t>
      </w:r>
      <w:r>
        <w:rPr>
          <w:rFonts w:hint="eastAsia" w:ascii="宋体" w:hAnsi="宋体" w:eastAsia="宋体" w:cs="宋体"/>
          <w:color w:val="auto"/>
          <w:spacing w:val="-5"/>
          <w:sz w:val="21"/>
          <w:szCs w:val="21"/>
          <w:highlight w:val="none"/>
        </w:rPr>
        <w:t>含税大写人民币：</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u w:val="single"/>
          <w:lang w:val="en-US" w:eastAsia="zh-CN"/>
        </w:rPr>
        <w:t xml:space="preserve">          </w:t>
      </w:r>
      <w:r>
        <w:rPr>
          <w:rFonts w:hint="eastAsia" w:ascii="宋体" w:hAnsi="宋体" w:eastAsia="宋体" w:cs="宋体"/>
          <w:color w:val="auto"/>
          <w:spacing w:val="-1"/>
          <w:w w:val="100"/>
          <w:sz w:val="21"/>
          <w:szCs w:val="21"/>
          <w:highlight w:val="none"/>
          <w:u w:val="single"/>
        </w:rPr>
        <w:t>整</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42"/>
          <w:w w:val="100"/>
          <w:sz w:val="21"/>
          <w:szCs w:val="21"/>
          <w:highlight w:val="none"/>
        </w:rPr>
        <w:t>）</w:t>
      </w:r>
      <w:r>
        <w:rPr>
          <w:rFonts w:hint="eastAsia" w:ascii="宋体" w:hAnsi="宋体" w:eastAsia="宋体" w:cs="宋体"/>
          <w:color w:val="auto"/>
          <w:spacing w:val="-1"/>
          <w:w w:val="100"/>
          <w:sz w:val="21"/>
          <w:szCs w:val="21"/>
          <w:highlight w:val="none"/>
        </w:rPr>
        <w:t>，合同总价中包含：乙方及与之相关的人员、耗</w:t>
      </w:r>
      <w:r>
        <w:rPr>
          <w:rFonts w:hint="eastAsia" w:ascii="宋体" w:hAnsi="宋体" w:eastAsia="宋体" w:cs="宋体"/>
          <w:color w:val="auto"/>
          <w:sz w:val="21"/>
          <w:szCs w:val="21"/>
          <w:highlight w:val="none"/>
        </w:rPr>
        <w:t>材</w:t>
      </w:r>
      <w:r>
        <w:rPr>
          <w:rFonts w:hint="eastAsia" w:ascii="宋体" w:hAnsi="宋体" w:eastAsia="宋体" w:cs="宋体"/>
          <w:color w:val="auto"/>
          <w:spacing w:val="-3"/>
          <w:sz w:val="21"/>
          <w:szCs w:val="21"/>
          <w:highlight w:val="none"/>
        </w:rPr>
        <w:t>、配件、调试、质量检验、各项税费、保险费、意外事故、验收、技</w:t>
      </w:r>
      <w:r>
        <w:rPr>
          <w:rFonts w:hint="eastAsia" w:ascii="宋体" w:hAnsi="宋体" w:eastAsia="宋体" w:cs="宋体"/>
          <w:color w:val="auto"/>
          <w:spacing w:val="-12"/>
          <w:sz w:val="21"/>
          <w:szCs w:val="21"/>
          <w:highlight w:val="none"/>
        </w:rPr>
        <w:t>术资料费等全部费用，以及合同实施过程中不可预见的各项费用等</w:t>
      </w:r>
      <w:r>
        <w:rPr>
          <w:rFonts w:hint="eastAsia" w:ascii="宋体" w:hAnsi="宋体" w:eastAsia="宋体" w:cs="宋体"/>
          <w:color w:val="auto"/>
          <w:spacing w:val="-12"/>
          <w:sz w:val="21"/>
          <w:szCs w:val="21"/>
          <w:highlight w:val="none"/>
          <w:lang w:eastAsia="zh-CN"/>
        </w:rPr>
        <w:t>。</w:t>
      </w:r>
    </w:p>
    <w:p w14:paraId="54A53F5B">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三、服务范围</w:t>
      </w:r>
    </w:p>
    <w:p w14:paraId="59FB0388">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服务范围与内容：派驻有资质运维人员对挥发性有机物（VOCs）自动监测站（合建交通站）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颗粒物组分自动监测站（合建交通站）设备稳定运行进行日常检修、耗材更换、例行检查、质控与维护、数据审核与上传；对软件平台运行情况定期跟踪检查，及时解决软件日常运行中存在的问题，及时优化并处理中间件故障，及时处理数据库故障，按需开展应用软件技术升级改造与服务，满足数据采集查询需求；负责站房安全保障（包含空调、电力、防水、防雷、消防</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及配套设施的维修保养，能耗与动力费用；完善运维工作规范与质量管理体系，将运维过程和运维事件进行记录并归档；做好与各级相关部门工作对接，按照要求及时出具但不限于以下报告，如：周报、月报、季报、年报、质控报告、专项分析报告，突发事故应急报告、半年和年度工作总结等。定期按照监测规范和规程对仪器设备进行校准，确保上传的数据准确有效，接受质控检查和考核，保证数据</w:t>
      </w:r>
      <w:r>
        <w:rPr>
          <w:rFonts w:hint="eastAsia" w:ascii="宋体" w:hAnsi="宋体" w:eastAsia="宋体" w:cs="宋体"/>
          <w:color w:val="auto"/>
          <w:sz w:val="21"/>
          <w:szCs w:val="21"/>
          <w:highlight w:val="none"/>
          <w:lang w:eastAsia="zh-CN"/>
        </w:rPr>
        <w:t>总上传</w:t>
      </w:r>
      <w:r>
        <w:rPr>
          <w:rFonts w:hint="eastAsia" w:ascii="宋体" w:hAnsi="宋体" w:eastAsia="宋体" w:cs="宋体"/>
          <w:b w:val="0"/>
          <w:bCs w:val="0"/>
          <w:color w:val="auto"/>
          <w:sz w:val="21"/>
          <w:szCs w:val="21"/>
          <w:highlight w:val="none"/>
          <w:lang w:eastAsia="zh-CN"/>
        </w:rPr>
        <w:t>率</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上传</w:t>
      </w:r>
      <w:r>
        <w:rPr>
          <w:rFonts w:hint="eastAsia" w:ascii="宋体" w:hAnsi="宋体" w:eastAsia="宋体" w:cs="宋体"/>
          <w:b w:val="0"/>
          <w:bCs w:val="0"/>
          <w:color w:val="auto"/>
          <w:sz w:val="21"/>
          <w:szCs w:val="21"/>
          <w:highlight w:val="none"/>
          <w:lang w:eastAsia="zh-CN"/>
        </w:rPr>
        <w:t>率指监测项目数据采集率和数据有效率算数平均值，</w:t>
      </w:r>
      <w:r>
        <w:rPr>
          <w:rFonts w:hint="eastAsia" w:ascii="宋体" w:hAnsi="宋体" w:eastAsia="宋体" w:cs="宋体"/>
          <w:color w:val="auto"/>
          <w:sz w:val="21"/>
          <w:szCs w:val="21"/>
          <w:highlight w:val="none"/>
        </w:rPr>
        <w:t>以省平台或国家平台统计为准，下同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rPr>
        <w:t>数据</w:t>
      </w:r>
      <w:r>
        <w:rPr>
          <w:rFonts w:hint="eastAsia" w:ascii="宋体" w:hAnsi="宋体" w:eastAsia="宋体" w:cs="宋体"/>
          <w:color w:val="auto"/>
          <w:sz w:val="21"/>
          <w:szCs w:val="21"/>
          <w:highlight w:val="none"/>
          <w:u w:val="none"/>
          <w:lang w:eastAsia="zh-CN"/>
        </w:rPr>
        <w:t>总</w:t>
      </w:r>
      <w:r>
        <w:rPr>
          <w:rFonts w:hint="eastAsia" w:ascii="宋体" w:hAnsi="宋体" w:eastAsia="宋体" w:cs="宋体"/>
          <w:b w:val="0"/>
          <w:bCs w:val="0"/>
          <w:color w:val="auto"/>
          <w:sz w:val="21"/>
          <w:szCs w:val="21"/>
          <w:highlight w:val="none"/>
          <w:u w:val="none"/>
          <w:lang w:eastAsia="zh-CN"/>
        </w:rPr>
        <w:t>上传率为</w:t>
      </w:r>
      <w:r>
        <w:rPr>
          <w:rFonts w:hint="eastAsia" w:ascii="宋体" w:hAnsi="宋体" w:eastAsia="宋体" w:cs="宋体"/>
          <w:color w:val="auto"/>
          <w:sz w:val="21"/>
          <w:szCs w:val="21"/>
          <w:highlight w:val="none"/>
          <w:u w:val="none"/>
        </w:rPr>
        <w:t>颗粒物组分站</w:t>
      </w:r>
      <w:r>
        <w:rPr>
          <w:rFonts w:hint="eastAsia" w:ascii="宋体" w:hAnsi="宋体" w:eastAsia="宋体" w:cs="宋体"/>
          <w:color w:val="auto"/>
          <w:sz w:val="21"/>
          <w:szCs w:val="21"/>
          <w:highlight w:val="none"/>
          <w:u w:val="none"/>
          <w:lang w:val="en-US" w:eastAsia="zh-CN"/>
        </w:rPr>
        <w:t>各监测项目数据上传率的算数平均值</w:t>
      </w:r>
      <w:r>
        <w:rPr>
          <w:rFonts w:hint="eastAsia" w:ascii="宋体" w:hAnsi="宋体" w:eastAsia="宋体" w:cs="宋体"/>
          <w:color w:val="auto"/>
          <w:sz w:val="21"/>
          <w:szCs w:val="21"/>
          <w:highlight w:val="none"/>
          <w:u w:val="none"/>
          <w:lang w:eastAsia="zh-CN"/>
        </w:rPr>
        <w:t>加</w:t>
      </w:r>
      <w:r>
        <w:rPr>
          <w:rFonts w:hint="eastAsia" w:ascii="宋体" w:hAnsi="宋体" w:eastAsia="宋体" w:cs="宋体"/>
          <w:color w:val="auto"/>
          <w:sz w:val="21"/>
          <w:szCs w:val="21"/>
          <w:highlight w:val="none"/>
          <w:u w:val="none"/>
        </w:rPr>
        <w:t>挥发性有机物站</w:t>
      </w:r>
      <w:r>
        <w:rPr>
          <w:rFonts w:hint="eastAsia" w:ascii="宋体" w:hAnsi="宋体" w:eastAsia="宋体" w:cs="宋体"/>
          <w:color w:val="auto"/>
          <w:sz w:val="21"/>
          <w:szCs w:val="21"/>
          <w:highlight w:val="none"/>
          <w:u w:val="none"/>
          <w:lang w:val="en-US" w:eastAsia="zh-CN"/>
        </w:rPr>
        <w:t>各监测项目数据上传率的算数平均值除以2</w:t>
      </w:r>
      <w:r>
        <w:rPr>
          <w:rFonts w:hint="eastAsia" w:ascii="宋体" w:hAnsi="宋体" w:eastAsia="宋体" w:cs="宋体"/>
          <w:color w:val="auto"/>
          <w:sz w:val="21"/>
          <w:szCs w:val="21"/>
          <w:highlight w:val="none"/>
        </w:rPr>
        <w:t xml:space="preserve">）达到 </w:t>
      </w:r>
      <w:r>
        <w:rPr>
          <w:rFonts w:hint="eastAsia" w:ascii="宋体" w:hAnsi="宋体" w:eastAsia="宋体" w:cs="宋体"/>
          <w:b w:val="0"/>
          <w:bCs w:val="0"/>
          <w:color w:val="auto"/>
          <w:sz w:val="21"/>
          <w:szCs w:val="21"/>
          <w:highlight w:val="none"/>
        </w:rPr>
        <w:t>8</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%（含8</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rPr>
        <w:t>以上</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rPr>
        <w:t>保证故障响应及时处理，每日18时至次日8时出现故障时，应在次日 9 时前响应，响应后2小时内到达现场排除故障;每日8时至18时出现故障时，应在故障1小时之内响应，响应后2小时内到达现场排除故障，应做到异常情况及时响应解决。对目前两站房内现有仪器进行运维，清单如下：</w:t>
      </w:r>
    </w:p>
    <w:p w14:paraId="66C35035">
      <w:pPr>
        <w:keepNext w:val="0"/>
        <w:keepLines w:val="0"/>
        <w:pageBreakBefore w:val="0"/>
        <w:widowControl w:val="0"/>
        <w:kinsoku w:val="0"/>
        <w:wordWrap/>
        <w:overflowPunct w:val="0"/>
        <w:topLinePunct w:val="0"/>
        <w:autoSpaceDE w:val="0"/>
        <w:autoSpaceDN w:val="0"/>
        <w:bidi w:val="0"/>
        <w:adjustRightInd w:val="0"/>
        <w:snapToGrid w:val="0"/>
        <w:spacing w:before="242" w:after="44" w:line="360" w:lineRule="auto"/>
        <w:ind w:right="1353"/>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表</w:t>
      </w:r>
      <w:r>
        <w:rPr>
          <w:rFonts w:hint="eastAsia" w:ascii="宋体" w:hAnsi="宋体" w:eastAsia="宋体" w:cs="宋体"/>
          <w:color w:val="auto"/>
          <w:sz w:val="21"/>
          <w:szCs w:val="21"/>
          <w:highlight w:val="none"/>
        </w:rPr>
        <w:t>1.颗粒物组分自动监测站（合建交通站）清单</w:t>
      </w:r>
    </w:p>
    <w:tbl>
      <w:tblPr>
        <w:tblStyle w:val="16"/>
        <w:tblW w:w="97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10"/>
        <w:gridCol w:w="4546"/>
        <w:gridCol w:w="1983"/>
      </w:tblGrid>
      <w:tr w14:paraId="328B8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210" w:type="dxa"/>
            <w:noWrap w:val="0"/>
            <w:vAlign w:val="center"/>
          </w:tcPr>
          <w:p w14:paraId="057B26FB">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ind w:right="124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p>
        </w:tc>
        <w:tc>
          <w:tcPr>
            <w:tcW w:w="4546" w:type="dxa"/>
            <w:noWrap w:val="0"/>
            <w:vAlign w:val="center"/>
          </w:tcPr>
          <w:p w14:paraId="0BBF7981">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ind w:right="1161"/>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厂 家</w:t>
            </w:r>
          </w:p>
        </w:tc>
        <w:tc>
          <w:tcPr>
            <w:tcW w:w="1983" w:type="dxa"/>
            <w:noWrap w:val="0"/>
            <w:vAlign w:val="center"/>
          </w:tcPr>
          <w:p w14:paraId="0C69530F">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ind w:right="94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 号</w:t>
            </w:r>
          </w:p>
        </w:tc>
      </w:tr>
      <w:tr w14:paraId="00DC6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3210" w:type="dxa"/>
            <w:noWrap w:val="0"/>
            <w:vAlign w:val="center"/>
          </w:tcPr>
          <w:p w14:paraId="10A0BD17">
            <w:pPr>
              <w:pStyle w:val="20"/>
              <w:keepNext w:val="0"/>
              <w:keepLines w:val="0"/>
              <w:pageBreakBefore w:val="0"/>
              <w:widowControl w:val="0"/>
              <w:kinsoku w:val="0"/>
              <w:wordWrap/>
              <w:overflowPunct w:val="0"/>
              <w:topLinePunct w:val="0"/>
              <w:autoSpaceDE w:val="0"/>
              <w:autoSpaceDN w:val="0"/>
              <w:bidi w:val="0"/>
              <w:adjustRightInd w:val="0"/>
              <w:snapToGrid w:val="0"/>
              <w:spacing w:before="14" w:line="360" w:lineRule="auto"/>
              <w:ind w:right="9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大气颗粒物在线无机元素分析仪</w:t>
            </w:r>
          </w:p>
        </w:tc>
        <w:tc>
          <w:tcPr>
            <w:tcW w:w="4546" w:type="dxa"/>
            <w:noWrap w:val="0"/>
            <w:vAlign w:val="center"/>
          </w:tcPr>
          <w:p w14:paraId="3A7AA675">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杭州谱育科技发展有限公司</w:t>
            </w:r>
          </w:p>
        </w:tc>
        <w:tc>
          <w:tcPr>
            <w:tcW w:w="1983" w:type="dxa"/>
            <w:noWrap w:val="0"/>
            <w:vAlign w:val="center"/>
          </w:tcPr>
          <w:p w14:paraId="23CDBE7B">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SUPEC 7030</w:t>
            </w:r>
          </w:p>
        </w:tc>
      </w:tr>
      <w:tr w14:paraId="07CE4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3210" w:type="dxa"/>
            <w:noWrap w:val="0"/>
            <w:vAlign w:val="center"/>
          </w:tcPr>
          <w:p w14:paraId="2B31257F">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水溶性离子分析仪</w:t>
            </w:r>
          </w:p>
        </w:tc>
        <w:tc>
          <w:tcPr>
            <w:tcW w:w="4546" w:type="dxa"/>
            <w:noWrap w:val="0"/>
            <w:vAlign w:val="center"/>
          </w:tcPr>
          <w:p w14:paraId="031B2F94">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杭州谱育科技发展有限公司</w:t>
            </w:r>
          </w:p>
        </w:tc>
        <w:tc>
          <w:tcPr>
            <w:tcW w:w="1983" w:type="dxa"/>
            <w:noWrap w:val="0"/>
            <w:vAlign w:val="center"/>
          </w:tcPr>
          <w:p w14:paraId="4978BCEC">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WAGA-700</w:t>
            </w:r>
          </w:p>
        </w:tc>
      </w:tr>
      <w:tr w14:paraId="72BC7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3210" w:type="dxa"/>
            <w:noWrap w:val="0"/>
            <w:vAlign w:val="center"/>
          </w:tcPr>
          <w:p w14:paraId="0975535C">
            <w:pPr>
              <w:pStyle w:val="20"/>
              <w:keepNext w:val="0"/>
              <w:keepLines w:val="0"/>
              <w:pageBreakBefore w:val="0"/>
              <w:widowControl w:val="0"/>
              <w:kinsoku w:val="0"/>
              <w:wordWrap/>
              <w:overflowPunct w:val="0"/>
              <w:topLinePunct w:val="0"/>
              <w:autoSpaceDE w:val="0"/>
              <w:autoSpaceDN w:val="0"/>
              <w:bidi w:val="0"/>
              <w:adjustRightInd w:val="0"/>
              <w:snapToGrid w:val="0"/>
              <w:spacing w:before="211"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OCEC 分析仪</w:t>
            </w:r>
          </w:p>
        </w:tc>
        <w:tc>
          <w:tcPr>
            <w:tcW w:w="4546" w:type="dxa"/>
            <w:noWrap w:val="0"/>
            <w:vAlign w:val="center"/>
          </w:tcPr>
          <w:p w14:paraId="1253BBD5">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杭州谱育科技发展有限公司</w:t>
            </w:r>
          </w:p>
        </w:tc>
        <w:tc>
          <w:tcPr>
            <w:tcW w:w="1983" w:type="dxa"/>
            <w:noWrap w:val="0"/>
            <w:vAlign w:val="center"/>
          </w:tcPr>
          <w:p w14:paraId="5DF09798">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OCEC-700</w:t>
            </w:r>
          </w:p>
        </w:tc>
      </w:tr>
      <w:tr w14:paraId="7E93B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210" w:type="dxa"/>
            <w:noWrap w:val="0"/>
            <w:vAlign w:val="center"/>
          </w:tcPr>
          <w:p w14:paraId="4EBF7228">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数据采集工控机</w:t>
            </w:r>
          </w:p>
        </w:tc>
        <w:tc>
          <w:tcPr>
            <w:tcW w:w="4546" w:type="dxa"/>
            <w:noWrap w:val="0"/>
            <w:vAlign w:val="center"/>
          </w:tcPr>
          <w:p w14:paraId="61F4ED4B">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研祥</w:t>
            </w:r>
          </w:p>
        </w:tc>
        <w:tc>
          <w:tcPr>
            <w:tcW w:w="1983" w:type="dxa"/>
            <w:noWrap w:val="0"/>
            <w:vAlign w:val="center"/>
          </w:tcPr>
          <w:p w14:paraId="6D6FA85C">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Ipc910B</w:t>
            </w:r>
          </w:p>
        </w:tc>
      </w:tr>
      <w:tr w14:paraId="204A6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210" w:type="dxa"/>
            <w:noWrap w:val="0"/>
            <w:vAlign w:val="center"/>
          </w:tcPr>
          <w:p w14:paraId="042E9E15">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数据采集与传输软件</w:t>
            </w:r>
          </w:p>
        </w:tc>
        <w:tc>
          <w:tcPr>
            <w:tcW w:w="4546" w:type="dxa"/>
            <w:noWrap w:val="0"/>
            <w:vAlign w:val="center"/>
          </w:tcPr>
          <w:p w14:paraId="1A519D44">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杭州谱育科技发展有限公司</w:t>
            </w:r>
          </w:p>
        </w:tc>
        <w:tc>
          <w:tcPr>
            <w:tcW w:w="1983" w:type="dxa"/>
            <w:noWrap w:val="0"/>
            <w:vAlign w:val="center"/>
          </w:tcPr>
          <w:p w14:paraId="71CBDFE4">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Datana2.0</w:t>
            </w:r>
          </w:p>
        </w:tc>
      </w:tr>
      <w:tr w14:paraId="5A541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210" w:type="dxa"/>
            <w:shd w:val="clear" w:color="auto" w:fill="auto"/>
            <w:noWrap w:val="0"/>
            <w:vAlign w:val="center"/>
          </w:tcPr>
          <w:p w14:paraId="3BC30C3D">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甲烷非甲烷总烃分析仪</w:t>
            </w:r>
          </w:p>
        </w:tc>
        <w:tc>
          <w:tcPr>
            <w:tcW w:w="4546" w:type="dxa"/>
            <w:shd w:val="clear" w:color="auto" w:fill="auto"/>
            <w:noWrap w:val="0"/>
            <w:vAlign w:val="center"/>
          </w:tcPr>
          <w:p w14:paraId="69391AC3">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杭州谱育科技发展有限公司</w:t>
            </w:r>
          </w:p>
        </w:tc>
        <w:tc>
          <w:tcPr>
            <w:tcW w:w="1983" w:type="dxa"/>
            <w:shd w:val="clear" w:color="auto" w:fill="auto"/>
            <w:noWrap w:val="0"/>
            <w:vAlign w:val="center"/>
          </w:tcPr>
          <w:p w14:paraId="4D61ABB1">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EXPEC 2000-710F</w:t>
            </w:r>
          </w:p>
        </w:tc>
      </w:tr>
      <w:tr w14:paraId="218A1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210" w:type="dxa"/>
            <w:shd w:val="clear" w:color="auto" w:fill="auto"/>
            <w:noWrap w:val="0"/>
            <w:vAlign w:val="center"/>
          </w:tcPr>
          <w:p w14:paraId="256D99ED">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有机动态校准仪</w:t>
            </w:r>
          </w:p>
        </w:tc>
        <w:tc>
          <w:tcPr>
            <w:tcW w:w="4546" w:type="dxa"/>
            <w:shd w:val="clear" w:color="auto" w:fill="auto"/>
            <w:noWrap w:val="0"/>
            <w:vAlign w:val="center"/>
          </w:tcPr>
          <w:p w14:paraId="5AD92EA6">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杭州谱育科技发展有限公司</w:t>
            </w:r>
          </w:p>
        </w:tc>
        <w:tc>
          <w:tcPr>
            <w:tcW w:w="1983" w:type="dxa"/>
            <w:shd w:val="clear" w:color="auto" w:fill="auto"/>
            <w:noWrap w:val="0"/>
            <w:vAlign w:val="center"/>
          </w:tcPr>
          <w:p w14:paraId="63A4C91A">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D 3000</w:t>
            </w:r>
          </w:p>
        </w:tc>
      </w:tr>
      <w:tr w14:paraId="7BE60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210" w:type="dxa"/>
            <w:shd w:val="clear" w:color="auto" w:fill="auto"/>
            <w:noWrap w:val="0"/>
            <w:vAlign w:val="center"/>
          </w:tcPr>
          <w:p w14:paraId="0B9F04F3">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氮氧化物分析仪</w:t>
            </w:r>
          </w:p>
        </w:tc>
        <w:tc>
          <w:tcPr>
            <w:tcW w:w="4546" w:type="dxa"/>
            <w:shd w:val="clear" w:color="auto" w:fill="auto"/>
            <w:noWrap w:val="0"/>
            <w:vAlign w:val="center"/>
          </w:tcPr>
          <w:p w14:paraId="0ACA73C2">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聚光科技</w:t>
            </w:r>
          </w:p>
        </w:tc>
        <w:tc>
          <w:tcPr>
            <w:tcW w:w="1983" w:type="dxa"/>
            <w:shd w:val="clear" w:color="auto" w:fill="auto"/>
            <w:noWrap w:val="0"/>
            <w:vAlign w:val="center"/>
          </w:tcPr>
          <w:p w14:paraId="7BE3A8C2">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AQMS-600</w:t>
            </w:r>
          </w:p>
        </w:tc>
      </w:tr>
      <w:tr w14:paraId="27DEC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210" w:type="dxa"/>
            <w:shd w:val="clear" w:color="auto" w:fill="auto"/>
            <w:noWrap w:val="0"/>
            <w:vAlign w:val="center"/>
          </w:tcPr>
          <w:p w14:paraId="4BA68CB3">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一氧化碳分析仪</w:t>
            </w:r>
          </w:p>
        </w:tc>
        <w:tc>
          <w:tcPr>
            <w:tcW w:w="4546" w:type="dxa"/>
            <w:shd w:val="clear" w:color="auto" w:fill="auto"/>
            <w:noWrap w:val="0"/>
            <w:vAlign w:val="center"/>
          </w:tcPr>
          <w:p w14:paraId="049FC933">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聚光科技</w:t>
            </w:r>
          </w:p>
        </w:tc>
        <w:tc>
          <w:tcPr>
            <w:tcW w:w="1983" w:type="dxa"/>
            <w:shd w:val="clear" w:color="auto" w:fill="auto"/>
            <w:noWrap w:val="0"/>
            <w:vAlign w:val="center"/>
          </w:tcPr>
          <w:p w14:paraId="70951727">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AQMS-400</w:t>
            </w:r>
          </w:p>
        </w:tc>
      </w:tr>
      <w:tr w14:paraId="6D14C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210" w:type="dxa"/>
            <w:shd w:val="clear" w:color="auto" w:fill="auto"/>
            <w:noWrap w:val="0"/>
            <w:vAlign w:val="center"/>
          </w:tcPr>
          <w:p w14:paraId="2C0581AD">
            <w:pPr>
              <w:pStyle w:val="20"/>
              <w:keepNext w:val="0"/>
              <w:keepLines w:val="0"/>
              <w:pageBreakBefore w:val="0"/>
              <w:widowControl w:val="0"/>
              <w:kinsoku w:val="0"/>
              <w:wordWrap/>
              <w:overflowPunct w:val="0"/>
              <w:topLinePunct w:val="0"/>
              <w:autoSpaceDE w:val="0"/>
              <w:autoSpaceDN w:val="0"/>
              <w:bidi w:val="0"/>
              <w:adjustRightInd w:val="0"/>
              <w:snapToGrid w:val="0"/>
              <w:spacing w:before="209"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position w:val="2"/>
                <w:sz w:val="21"/>
                <w:szCs w:val="21"/>
                <w:highlight w:val="none"/>
              </w:rPr>
              <w:t>PM</w:t>
            </w:r>
            <w:r>
              <w:rPr>
                <w:rFonts w:hint="eastAsia" w:ascii="宋体" w:hAnsi="宋体" w:eastAsia="宋体" w:cs="宋体"/>
                <w:color w:val="auto"/>
                <w:position w:val="2"/>
                <w:sz w:val="21"/>
                <w:szCs w:val="21"/>
                <w:highlight w:val="none"/>
                <w:vertAlign w:val="subscript"/>
              </w:rPr>
              <w:t>2.5</w:t>
            </w:r>
            <w:r>
              <w:rPr>
                <w:rFonts w:hint="eastAsia" w:ascii="宋体" w:hAnsi="宋体" w:eastAsia="宋体" w:cs="宋体"/>
                <w:color w:val="auto"/>
                <w:position w:val="2"/>
                <w:sz w:val="21"/>
                <w:szCs w:val="21"/>
                <w:highlight w:val="none"/>
                <w:vertAlign w:val="baseline"/>
              </w:rPr>
              <w:t xml:space="preserve"> 颗粒物分析仪</w:t>
            </w:r>
          </w:p>
        </w:tc>
        <w:tc>
          <w:tcPr>
            <w:tcW w:w="4546" w:type="dxa"/>
            <w:shd w:val="clear" w:color="auto" w:fill="auto"/>
            <w:noWrap w:val="0"/>
            <w:vAlign w:val="center"/>
          </w:tcPr>
          <w:p w14:paraId="3A36FB8B">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聚光科技</w:t>
            </w:r>
          </w:p>
        </w:tc>
        <w:tc>
          <w:tcPr>
            <w:tcW w:w="1983" w:type="dxa"/>
            <w:shd w:val="clear" w:color="auto" w:fill="auto"/>
            <w:noWrap w:val="0"/>
            <w:vAlign w:val="center"/>
          </w:tcPr>
          <w:p w14:paraId="3FC02081">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BPM-200</w:t>
            </w:r>
          </w:p>
        </w:tc>
      </w:tr>
      <w:tr w14:paraId="46660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3210" w:type="dxa"/>
            <w:shd w:val="clear" w:color="auto" w:fill="auto"/>
            <w:noWrap w:val="0"/>
            <w:vAlign w:val="center"/>
          </w:tcPr>
          <w:p w14:paraId="583A462E">
            <w:pPr>
              <w:pStyle w:val="20"/>
              <w:keepNext w:val="0"/>
              <w:keepLines w:val="0"/>
              <w:pageBreakBefore w:val="0"/>
              <w:widowControl w:val="0"/>
              <w:kinsoku w:val="0"/>
              <w:wordWrap/>
              <w:overflowPunct w:val="0"/>
              <w:topLinePunct w:val="0"/>
              <w:autoSpaceDE w:val="0"/>
              <w:autoSpaceDN w:val="0"/>
              <w:bidi w:val="0"/>
              <w:adjustRightInd w:val="0"/>
              <w:snapToGrid w:val="0"/>
              <w:spacing w:before="208"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position w:val="2"/>
                <w:sz w:val="21"/>
                <w:szCs w:val="21"/>
                <w:highlight w:val="none"/>
              </w:rPr>
              <w:t>PM</w:t>
            </w:r>
            <w:r>
              <w:rPr>
                <w:rFonts w:hint="eastAsia" w:ascii="宋体" w:hAnsi="宋体" w:eastAsia="宋体" w:cs="宋体"/>
                <w:color w:val="auto"/>
                <w:position w:val="2"/>
                <w:sz w:val="21"/>
                <w:szCs w:val="21"/>
                <w:highlight w:val="none"/>
                <w:vertAlign w:val="subscript"/>
              </w:rPr>
              <w:t>10</w:t>
            </w:r>
            <w:r>
              <w:rPr>
                <w:rFonts w:hint="eastAsia" w:ascii="宋体" w:hAnsi="宋体" w:eastAsia="宋体" w:cs="宋体"/>
                <w:color w:val="auto"/>
                <w:position w:val="2"/>
                <w:sz w:val="21"/>
                <w:szCs w:val="21"/>
                <w:highlight w:val="none"/>
                <w:vertAlign w:val="baseline"/>
              </w:rPr>
              <w:t xml:space="preserve"> 颗粒物分析仪</w:t>
            </w:r>
          </w:p>
        </w:tc>
        <w:tc>
          <w:tcPr>
            <w:tcW w:w="4546" w:type="dxa"/>
            <w:shd w:val="clear" w:color="auto" w:fill="auto"/>
            <w:noWrap w:val="0"/>
            <w:vAlign w:val="center"/>
          </w:tcPr>
          <w:p w14:paraId="5888DA01">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聚光科技</w:t>
            </w:r>
          </w:p>
        </w:tc>
        <w:tc>
          <w:tcPr>
            <w:tcW w:w="1983" w:type="dxa"/>
            <w:shd w:val="clear" w:color="auto" w:fill="auto"/>
            <w:noWrap w:val="0"/>
            <w:vAlign w:val="center"/>
          </w:tcPr>
          <w:p w14:paraId="01B737CE">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BPM-200</w:t>
            </w:r>
          </w:p>
        </w:tc>
      </w:tr>
      <w:tr w14:paraId="5F215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210" w:type="dxa"/>
            <w:shd w:val="clear" w:color="auto" w:fill="auto"/>
            <w:noWrap w:val="0"/>
            <w:vAlign w:val="center"/>
          </w:tcPr>
          <w:p w14:paraId="5729AB08">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氢气发生器</w:t>
            </w:r>
          </w:p>
        </w:tc>
        <w:tc>
          <w:tcPr>
            <w:tcW w:w="4546" w:type="dxa"/>
            <w:shd w:val="clear" w:color="auto" w:fill="auto"/>
            <w:noWrap w:val="0"/>
            <w:vAlign w:val="center"/>
          </w:tcPr>
          <w:p w14:paraId="187D6A7A">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杭州谱育科技发展有限公司</w:t>
            </w:r>
          </w:p>
        </w:tc>
        <w:tc>
          <w:tcPr>
            <w:tcW w:w="1983" w:type="dxa"/>
            <w:shd w:val="clear" w:color="auto" w:fill="auto"/>
            <w:noWrap w:val="0"/>
            <w:vAlign w:val="center"/>
          </w:tcPr>
          <w:p w14:paraId="392BED98">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EXPEC 300</w:t>
            </w:r>
          </w:p>
        </w:tc>
      </w:tr>
      <w:tr w14:paraId="64823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210" w:type="dxa"/>
            <w:shd w:val="clear" w:color="auto" w:fill="auto"/>
            <w:noWrap w:val="0"/>
            <w:vAlign w:val="center"/>
          </w:tcPr>
          <w:p w14:paraId="58A6D126">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零气发生器</w:t>
            </w:r>
          </w:p>
        </w:tc>
        <w:tc>
          <w:tcPr>
            <w:tcW w:w="4546" w:type="dxa"/>
            <w:shd w:val="clear" w:color="auto" w:fill="auto"/>
            <w:noWrap w:val="0"/>
            <w:vAlign w:val="center"/>
          </w:tcPr>
          <w:p w14:paraId="1B11A9A2">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杭州谱育科技发展有限公司</w:t>
            </w:r>
          </w:p>
        </w:tc>
        <w:tc>
          <w:tcPr>
            <w:tcW w:w="1983" w:type="dxa"/>
            <w:shd w:val="clear" w:color="auto" w:fill="auto"/>
            <w:noWrap w:val="0"/>
            <w:vAlign w:val="center"/>
          </w:tcPr>
          <w:p w14:paraId="0F2B1B39">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EXPEC 360</w:t>
            </w:r>
          </w:p>
        </w:tc>
      </w:tr>
      <w:tr w14:paraId="67ACD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210" w:type="dxa"/>
            <w:shd w:val="clear" w:color="auto" w:fill="auto"/>
            <w:noWrap w:val="0"/>
            <w:vAlign w:val="center"/>
          </w:tcPr>
          <w:p w14:paraId="6B23E2EF">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无机动态校准仪</w:t>
            </w:r>
          </w:p>
        </w:tc>
        <w:tc>
          <w:tcPr>
            <w:tcW w:w="4546" w:type="dxa"/>
            <w:shd w:val="clear" w:color="auto" w:fill="auto"/>
            <w:noWrap w:val="0"/>
            <w:vAlign w:val="center"/>
          </w:tcPr>
          <w:p w14:paraId="08BA911F">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聚光科技</w:t>
            </w:r>
          </w:p>
        </w:tc>
        <w:tc>
          <w:tcPr>
            <w:tcW w:w="1983" w:type="dxa"/>
            <w:shd w:val="clear" w:color="auto" w:fill="auto"/>
            <w:noWrap w:val="0"/>
            <w:vAlign w:val="center"/>
          </w:tcPr>
          <w:p w14:paraId="493A43F7">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AQMS-200</w:t>
            </w:r>
          </w:p>
        </w:tc>
      </w:tr>
      <w:tr w14:paraId="4C8F2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3210" w:type="dxa"/>
            <w:shd w:val="clear" w:color="auto" w:fill="auto"/>
            <w:noWrap w:val="0"/>
            <w:vAlign w:val="center"/>
          </w:tcPr>
          <w:p w14:paraId="0009C6E3">
            <w:pPr>
              <w:pStyle w:val="20"/>
              <w:keepNext w:val="0"/>
              <w:keepLines w:val="0"/>
              <w:pageBreakBefore w:val="0"/>
              <w:widowControl w:val="0"/>
              <w:kinsoku w:val="0"/>
              <w:wordWrap/>
              <w:overflowPunct w:val="0"/>
              <w:topLinePunct w:val="0"/>
              <w:autoSpaceDE w:val="0"/>
              <w:autoSpaceDN w:val="0"/>
              <w:bidi w:val="0"/>
              <w:adjustRightInd w:val="0"/>
              <w:snapToGrid w:val="0"/>
              <w:spacing w:before="1"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气象五参数</w:t>
            </w:r>
          </w:p>
        </w:tc>
        <w:tc>
          <w:tcPr>
            <w:tcW w:w="4546" w:type="dxa"/>
            <w:shd w:val="clear" w:color="auto" w:fill="auto"/>
            <w:noWrap w:val="0"/>
            <w:vAlign w:val="center"/>
          </w:tcPr>
          <w:p w14:paraId="0012A171">
            <w:pPr>
              <w:pStyle w:val="20"/>
              <w:keepNext w:val="0"/>
              <w:keepLines w:val="0"/>
              <w:pageBreakBefore w:val="0"/>
              <w:widowControl w:val="0"/>
              <w:kinsoku w:val="0"/>
              <w:wordWrap/>
              <w:overflowPunct w:val="0"/>
              <w:topLinePunct w:val="0"/>
              <w:autoSpaceDE w:val="0"/>
              <w:autoSpaceDN w:val="0"/>
              <w:bidi w:val="0"/>
              <w:adjustRightInd w:val="0"/>
              <w:snapToGrid w:val="0"/>
              <w:spacing w:before="1"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深圳智翔宇</w:t>
            </w:r>
          </w:p>
        </w:tc>
        <w:tc>
          <w:tcPr>
            <w:tcW w:w="1983" w:type="dxa"/>
            <w:shd w:val="clear" w:color="auto" w:fill="auto"/>
            <w:noWrap w:val="0"/>
            <w:vAlign w:val="center"/>
          </w:tcPr>
          <w:p w14:paraId="0F235E3A">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MULTI-5P</w:t>
            </w:r>
          </w:p>
        </w:tc>
      </w:tr>
      <w:tr w14:paraId="18976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3210" w:type="dxa"/>
            <w:shd w:val="clear" w:color="auto" w:fill="auto"/>
            <w:noWrap w:val="0"/>
            <w:vAlign w:val="center"/>
          </w:tcPr>
          <w:p w14:paraId="0A1F4A60">
            <w:pPr>
              <w:pStyle w:val="20"/>
              <w:keepNext w:val="0"/>
              <w:keepLines w:val="0"/>
              <w:pageBreakBefore w:val="0"/>
              <w:widowControl w:val="0"/>
              <w:kinsoku w:val="0"/>
              <w:wordWrap/>
              <w:overflowPunct w:val="0"/>
              <w:topLinePunct w:val="0"/>
              <w:autoSpaceDE w:val="0"/>
              <w:autoSpaceDN w:val="0"/>
              <w:bidi w:val="0"/>
              <w:adjustRightInd w:val="0"/>
              <w:snapToGrid w:val="0"/>
              <w:spacing w:before="212"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UPS 电源</w:t>
            </w:r>
          </w:p>
        </w:tc>
        <w:tc>
          <w:tcPr>
            <w:tcW w:w="4546" w:type="dxa"/>
            <w:shd w:val="clear" w:color="auto" w:fill="auto"/>
            <w:noWrap w:val="0"/>
            <w:vAlign w:val="center"/>
          </w:tcPr>
          <w:p w14:paraId="039D5490">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易事特</w:t>
            </w:r>
          </w:p>
        </w:tc>
        <w:tc>
          <w:tcPr>
            <w:tcW w:w="1983" w:type="dxa"/>
            <w:shd w:val="clear" w:color="auto" w:fill="auto"/>
            <w:noWrap w:val="0"/>
            <w:vAlign w:val="center"/>
          </w:tcPr>
          <w:p w14:paraId="0FE2A645">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ZTY10KVA</w:t>
            </w:r>
          </w:p>
        </w:tc>
      </w:tr>
      <w:tr w14:paraId="0951D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210" w:type="dxa"/>
            <w:shd w:val="clear" w:color="auto" w:fill="auto"/>
            <w:noWrap w:val="0"/>
            <w:vAlign w:val="center"/>
          </w:tcPr>
          <w:p w14:paraId="299E5A41">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空气压缩机</w:t>
            </w:r>
          </w:p>
        </w:tc>
        <w:tc>
          <w:tcPr>
            <w:tcW w:w="4546" w:type="dxa"/>
            <w:shd w:val="clear" w:color="auto" w:fill="auto"/>
            <w:noWrap w:val="0"/>
            <w:vAlign w:val="center"/>
          </w:tcPr>
          <w:p w14:paraId="7A9D5D71">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岱洛</w:t>
            </w:r>
          </w:p>
        </w:tc>
        <w:tc>
          <w:tcPr>
            <w:tcW w:w="1983" w:type="dxa"/>
            <w:shd w:val="clear" w:color="auto" w:fill="auto"/>
            <w:noWrap w:val="0"/>
            <w:vAlign w:val="center"/>
          </w:tcPr>
          <w:p w14:paraId="7A7BF6B4">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DA5001/9</w:t>
            </w:r>
          </w:p>
        </w:tc>
      </w:tr>
      <w:tr w14:paraId="4E87C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3210" w:type="dxa"/>
            <w:shd w:val="clear" w:color="auto" w:fill="auto"/>
            <w:noWrap w:val="0"/>
            <w:vAlign w:val="center"/>
          </w:tcPr>
          <w:p w14:paraId="335A174A">
            <w:pPr>
              <w:pStyle w:val="20"/>
              <w:keepNext w:val="0"/>
              <w:keepLines w:val="0"/>
              <w:pageBreakBefore w:val="0"/>
              <w:widowControl w:val="0"/>
              <w:kinsoku w:val="0"/>
              <w:wordWrap/>
              <w:overflowPunct w:val="0"/>
              <w:topLinePunct w:val="0"/>
              <w:autoSpaceDE w:val="0"/>
              <w:autoSpaceDN w:val="0"/>
              <w:bidi w:val="0"/>
              <w:adjustRightInd w:val="0"/>
              <w:snapToGrid w:val="0"/>
              <w:spacing w:before="1"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采样系统</w:t>
            </w:r>
          </w:p>
        </w:tc>
        <w:tc>
          <w:tcPr>
            <w:tcW w:w="4546" w:type="dxa"/>
            <w:shd w:val="clear" w:color="auto" w:fill="auto"/>
            <w:noWrap w:val="0"/>
            <w:vAlign w:val="center"/>
          </w:tcPr>
          <w:p w14:paraId="524FC986">
            <w:pPr>
              <w:pStyle w:val="20"/>
              <w:keepNext w:val="0"/>
              <w:keepLines w:val="0"/>
              <w:pageBreakBefore w:val="0"/>
              <w:widowControl w:val="0"/>
              <w:kinsoku w:val="0"/>
              <w:wordWrap/>
              <w:overflowPunct w:val="0"/>
              <w:topLinePunct w:val="0"/>
              <w:autoSpaceDE w:val="0"/>
              <w:autoSpaceDN w:val="0"/>
              <w:bidi w:val="0"/>
              <w:adjustRightInd w:val="0"/>
              <w:snapToGrid w:val="0"/>
              <w:spacing w:before="1"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杭州谱育科技发展有限公司</w:t>
            </w:r>
          </w:p>
        </w:tc>
        <w:tc>
          <w:tcPr>
            <w:tcW w:w="1983" w:type="dxa"/>
            <w:shd w:val="clear" w:color="auto" w:fill="auto"/>
            <w:noWrap w:val="0"/>
            <w:vAlign w:val="center"/>
          </w:tcPr>
          <w:p w14:paraId="47943840">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SPA-1000</w:t>
            </w:r>
          </w:p>
        </w:tc>
      </w:tr>
      <w:tr w14:paraId="78C4A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210" w:type="dxa"/>
            <w:shd w:val="clear" w:color="auto" w:fill="auto"/>
            <w:noWrap w:val="0"/>
            <w:vAlign w:val="center"/>
          </w:tcPr>
          <w:p w14:paraId="36492B44">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标气和辅助气减压阀</w:t>
            </w:r>
          </w:p>
        </w:tc>
        <w:tc>
          <w:tcPr>
            <w:tcW w:w="4546" w:type="dxa"/>
            <w:shd w:val="clear" w:color="auto" w:fill="auto"/>
            <w:noWrap w:val="0"/>
            <w:vAlign w:val="center"/>
          </w:tcPr>
          <w:p w14:paraId="15457A21">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杭州谱育科技发展有限公司</w:t>
            </w:r>
          </w:p>
        </w:tc>
        <w:tc>
          <w:tcPr>
            <w:tcW w:w="1983" w:type="dxa"/>
            <w:shd w:val="clear" w:color="auto" w:fill="auto"/>
            <w:noWrap w:val="0"/>
            <w:vAlign w:val="center"/>
          </w:tcPr>
          <w:p w14:paraId="6465080E">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定制</w:t>
            </w:r>
          </w:p>
        </w:tc>
      </w:tr>
      <w:tr w14:paraId="32C19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210" w:type="dxa"/>
            <w:shd w:val="clear" w:color="auto" w:fill="auto"/>
            <w:noWrap w:val="0"/>
            <w:vAlign w:val="center"/>
          </w:tcPr>
          <w:p w14:paraId="77406B2F">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能耗与动力费用</w:t>
            </w:r>
          </w:p>
        </w:tc>
        <w:tc>
          <w:tcPr>
            <w:tcW w:w="6529" w:type="dxa"/>
            <w:gridSpan w:val="2"/>
            <w:shd w:val="clear" w:color="auto" w:fill="auto"/>
            <w:noWrap w:val="0"/>
            <w:vAlign w:val="center"/>
          </w:tcPr>
          <w:p w14:paraId="57009AF3">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网络、电力等费用</w:t>
            </w:r>
          </w:p>
        </w:tc>
      </w:tr>
      <w:tr w14:paraId="70B0C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3210" w:type="dxa"/>
            <w:shd w:val="clear" w:color="auto" w:fill="auto"/>
            <w:noWrap w:val="0"/>
            <w:vAlign w:val="center"/>
          </w:tcPr>
          <w:p w14:paraId="4ED9F7E6">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站房配套设施</w:t>
            </w:r>
          </w:p>
        </w:tc>
        <w:tc>
          <w:tcPr>
            <w:tcW w:w="6529" w:type="dxa"/>
            <w:gridSpan w:val="2"/>
            <w:shd w:val="clear" w:color="auto" w:fill="auto"/>
            <w:noWrap w:val="0"/>
            <w:vAlign w:val="center"/>
          </w:tcPr>
          <w:p w14:paraId="60AC15BA">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包含空调、电力、防水、防雷、消防等设施的维修保养</w:t>
            </w:r>
          </w:p>
        </w:tc>
      </w:tr>
    </w:tbl>
    <w:p w14:paraId="4DE3613B">
      <w:pPr>
        <w:keepNext w:val="0"/>
        <w:keepLines w:val="0"/>
        <w:pageBreakBefore w:val="0"/>
        <w:widowControl w:val="0"/>
        <w:kinsoku w:val="0"/>
        <w:wordWrap/>
        <w:overflowPunct w:val="0"/>
        <w:topLinePunct w:val="0"/>
        <w:autoSpaceDE w:val="0"/>
        <w:autoSpaceDN w:val="0"/>
        <w:bidi w:val="0"/>
        <w:adjustRightInd w:val="0"/>
        <w:snapToGrid w:val="0"/>
        <w:spacing w:after="0" w:line="360" w:lineRule="auto"/>
        <w:jc w:val="both"/>
        <w:textAlignment w:val="auto"/>
        <w:rPr>
          <w:rFonts w:hint="eastAsia" w:ascii="宋体" w:hAnsi="宋体" w:eastAsia="宋体" w:cs="宋体"/>
          <w:color w:val="auto"/>
          <w:sz w:val="21"/>
          <w:szCs w:val="21"/>
          <w:highlight w:val="none"/>
        </w:rPr>
        <w:sectPr>
          <w:footerReference r:id="rId5" w:type="default"/>
          <w:pgSz w:w="11910" w:h="16840"/>
          <w:pgMar w:top="1440" w:right="1080" w:bottom="1440" w:left="1080" w:header="891" w:footer="974" w:gutter="0"/>
          <w:pgNumType w:fmt="decimal" w:start="1"/>
          <w:cols w:space="720" w:num="1"/>
        </w:sectPr>
      </w:pPr>
    </w:p>
    <w:p w14:paraId="397823C9">
      <w:pPr>
        <w:keepNext w:val="0"/>
        <w:keepLines w:val="0"/>
        <w:pageBreakBefore w:val="0"/>
        <w:widowControl w:val="0"/>
        <w:kinsoku w:val="0"/>
        <w:wordWrap/>
        <w:overflowPunct w:val="0"/>
        <w:topLinePunct w:val="0"/>
        <w:autoSpaceDE w:val="0"/>
        <w:autoSpaceDN w:val="0"/>
        <w:bidi w:val="0"/>
        <w:adjustRightInd w:val="0"/>
        <w:snapToGrid w:val="0"/>
        <w:spacing w:before="66" w:after="45" w:line="360" w:lineRule="auto"/>
        <w:ind w:left="1176" w:right="1353" w:firstLine="840" w:firstLineChars="4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表2.挥发性有机物（VOCs）自动监测站（合建交通站）清单</w:t>
      </w:r>
    </w:p>
    <w:p w14:paraId="71BC6AE2">
      <w:pPr>
        <w:keepNext w:val="0"/>
        <w:keepLines w:val="0"/>
        <w:pageBreakBefore w:val="0"/>
        <w:widowControl w:val="0"/>
        <w:kinsoku w:val="0"/>
        <w:wordWrap/>
        <w:overflowPunct w:val="0"/>
        <w:topLinePunct w:val="0"/>
        <w:autoSpaceDE w:val="0"/>
        <w:autoSpaceDN w:val="0"/>
        <w:bidi w:val="0"/>
        <w:adjustRightInd w:val="0"/>
        <w:snapToGrid w:val="0"/>
        <w:spacing w:before="66" w:after="45" w:line="360" w:lineRule="auto"/>
        <w:ind w:left="1176" w:right="1353" w:firstLine="840" w:firstLineChars="400"/>
        <w:jc w:val="both"/>
        <w:textAlignment w:val="auto"/>
        <w:rPr>
          <w:rFonts w:hint="eastAsia" w:ascii="宋体" w:hAnsi="宋体" w:eastAsia="宋体" w:cs="宋体"/>
          <w:color w:val="auto"/>
          <w:sz w:val="21"/>
          <w:szCs w:val="21"/>
          <w:highlight w:val="none"/>
        </w:rPr>
      </w:pPr>
    </w:p>
    <w:tbl>
      <w:tblPr>
        <w:tblStyle w:val="16"/>
        <w:tblW w:w="9639"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44"/>
        <w:gridCol w:w="4131"/>
        <w:gridCol w:w="2164"/>
      </w:tblGrid>
      <w:tr w14:paraId="09FB5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3344" w:type="dxa"/>
            <w:noWrap w:val="0"/>
            <w:vAlign w:val="center"/>
          </w:tcPr>
          <w:p w14:paraId="5F2C735C">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ind w:right="8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名 称</w:t>
            </w:r>
          </w:p>
        </w:tc>
        <w:tc>
          <w:tcPr>
            <w:tcW w:w="4131" w:type="dxa"/>
            <w:noWrap w:val="0"/>
            <w:vAlign w:val="center"/>
          </w:tcPr>
          <w:p w14:paraId="609EA447">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ind w:right="1519"/>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厂 家</w:t>
            </w:r>
          </w:p>
        </w:tc>
        <w:tc>
          <w:tcPr>
            <w:tcW w:w="2164" w:type="dxa"/>
            <w:noWrap w:val="0"/>
            <w:vAlign w:val="center"/>
          </w:tcPr>
          <w:p w14:paraId="54553711">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ind w:right="651"/>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型 号</w:t>
            </w:r>
          </w:p>
        </w:tc>
      </w:tr>
      <w:tr w14:paraId="46195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3344" w:type="dxa"/>
            <w:noWrap w:val="0"/>
            <w:vAlign w:val="center"/>
          </w:tcPr>
          <w:p w14:paraId="5E0C7911">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ind w:right="176"/>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挥发性有机物在线监测系统</w:t>
            </w:r>
          </w:p>
        </w:tc>
        <w:tc>
          <w:tcPr>
            <w:tcW w:w="4131" w:type="dxa"/>
            <w:noWrap w:val="0"/>
            <w:vAlign w:val="center"/>
          </w:tcPr>
          <w:p w14:paraId="6942279C">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杭州谱育科技发展有限公司</w:t>
            </w:r>
          </w:p>
        </w:tc>
        <w:tc>
          <w:tcPr>
            <w:tcW w:w="2164" w:type="dxa"/>
            <w:noWrap w:val="0"/>
            <w:vAlign w:val="center"/>
          </w:tcPr>
          <w:p w14:paraId="27FF8EB4">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EXPEC 2000-MS</w:t>
            </w:r>
          </w:p>
        </w:tc>
      </w:tr>
      <w:tr w14:paraId="039C9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344" w:type="dxa"/>
            <w:shd w:val="clear" w:color="auto" w:fill="auto"/>
            <w:noWrap w:val="0"/>
            <w:vAlign w:val="center"/>
          </w:tcPr>
          <w:p w14:paraId="0D00CA98">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甲烷非甲烷总烃分析仪</w:t>
            </w:r>
          </w:p>
        </w:tc>
        <w:tc>
          <w:tcPr>
            <w:tcW w:w="4131" w:type="dxa"/>
            <w:shd w:val="clear" w:color="auto" w:fill="auto"/>
            <w:noWrap w:val="0"/>
            <w:vAlign w:val="center"/>
          </w:tcPr>
          <w:p w14:paraId="192F3AB0">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杭州谱育科技发展有限公司</w:t>
            </w:r>
          </w:p>
        </w:tc>
        <w:tc>
          <w:tcPr>
            <w:tcW w:w="2164" w:type="dxa"/>
            <w:shd w:val="clear" w:color="auto" w:fill="auto"/>
            <w:noWrap w:val="0"/>
            <w:vAlign w:val="center"/>
          </w:tcPr>
          <w:p w14:paraId="1F414F7A">
            <w:pPr>
              <w:pStyle w:val="5"/>
              <w:bidi w:val="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rPr>
              <w:t>EXPEC</w:t>
            </w: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2000-710F</w:t>
            </w:r>
          </w:p>
        </w:tc>
      </w:tr>
      <w:tr w14:paraId="3E381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344" w:type="dxa"/>
            <w:shd w:val="clear" w:color="auto" w:fill="auto"/>
            <w:noWrap w:val="0"/>
            <w:vAlign w:val="center"/>
          </w:tcPr>
          <w:p w14:paraId="668AECD0">
            <w:pPr>
              <w:pStyle w:val="20"/>
              <w:keepNext w:val="0"/>
              <w:keepLines w:val="0"/>
              <w:pageBreakBefore w:val="0"/>
              <w:widowControl w:val="0"/>
              <w:kinsoku w:val="0"/>
              <w:wordWrap/>
              <w:overflowPunct w:val="0"/>
              <w:topLinePunct w:val="0"/>
              <w:autoSpaceDE w:val="0"/>
              <w:autoSpaceDN w:val="0"/>
              <w:bidi w:val="0"/>
              <w:adjustRightInd w:val="0"/>
              <w:snapToGrid w:val="0"/>
              <w:spacing w:before="212"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NOX 分析仪</w:t>
            </w:r>
          </w:p>
        </w:tc>
        <w:tc>
          <w:tcPr>
            <w:tcW w:w="4131" w:type="dxa"/>
            <w:shd w:val="clear" w:color="auto" w:fill="auto"/>
            <w:noWrap w:val="0"/>
            <w:vAlign w:val="center"/>
          </w:tcPr>
          <w:p w14:paraId="5E3F16EC">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赛默飞世尔科技（中国）有限公司</w:t>
            </w:r>
          </w:p>
        </w:tc>
        <w:tc>
          <w:tcPr>
            <w:tcW w:w="2164" w:type="dxa"/>
            <w:shd w:val="clear" w:color="auto" w:fill="auto"/>
            <w:noWrap w:val="0"/>
            <w:vAlign w:val="center"/>
          </w:tcPr>
          <w:p w14:paraId="5E1632F4">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42i</w:t>
            </w:r>
          </w:p>
        </w:tc>
      </w:tr>
      <w:tr w14:paraId="45A6F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344" w:type="dxa"/>
            <w:shd w:val="clear" w:color="auto" w:fill="auto"/>
            <w:noWrap w:val="0"/>
            <w:vAlign w:val="center"/>
          </w:tcPr>
          <w:p w14:paraId="11BD579F">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一氧化碳分析仪</w:t>
            </w:r>
          </w:p>
        </w:tc>
        <w:tc>
          <w:tcPr>
            <w:tcW w:w="4131" w:type="dxa"/>
            <w:shd w:val="clear" w:color="auto" w:fill="auto"/>
            <w:noWrap w:val="0"/>
            <w:vAlign w:val="center"/>
          </w:tcPr>
          <w:p w14:paraId="7EB70450">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赛默飞世尔科技（中国）有限公司</w:t>
            </w:r>
          </w:p>
        </w:tc>
        <w:tc>
          <w:tcPr>
            <w:tcW w:w="2164" w:type="dxa"/>
            <w:shd w:val="clear" w:color="auto" w:fill="auto"/>
            <w:noWrap w:val="0"/>
            <w:vAlign w:val="center"/>
          </w:tcPr>
          <w:p w14:paraId="5D79F40D">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48i</w:t>
            </w:r>
          </w:p>
        </w:tc>
      </w:tr>
      <w:tr w14:paraId="7364E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344" w:type="dxa"/>
            <w:shd w:val="clear" w:color="auto" w:fill="auto"/>
            <w:noWrap w:val="0"/>
            <w:vAlign w:val="center"/>
          </w:tcPr>
          <w:p w14:paraId="01874699">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position w:val="2"/>
                <w:sz w:val="21"/>
                <w:szCs w:val="21"/>
                <w:highlight w:val="none"/>
              </w:rPr>
              <w:t>PM</w:t>
            </w:r>
            <w:r>
              <w:rPr>
                <w:rFonts w:hint="eastAsia" w:ascii="宋体" w:hAnsi="宋体" w:eastAsia="宋体" w:cs="宋体"/>
                <w:b w:val="0"/>
                <w:bCs w:val="0"/>
                <w:color w:val="auto"/>
                <w:position w:val="2"/>
                <w:sz w:val="21"/>
                <w:szCs w:val="21"/>
                <w:highlight w:val="none"/>
                <w:vertAlign w:val="subscript"/>
              </w:rPr>
              <w:t>2.5</w:t>
            </w:r>
            <w:r>
              <w:rPr>
                <w:rFonts w:hint="eastAsia" w:ascii="宋体" w:hAnsi="宋体" w:eastAsia="宋体" w:cs="宋体"/>
                <w:b w:val="0"/>
                <w:bCs w:val="0"/>
                <w:color w:val="auto"/>
                <w:position w:val="2"/>
                <w:sz w:val="21"/>
                <w:szCs w:val="21"/>
                <w:highlight w:val="none"/>
                <w:vertAlign w:val="baseline"/>
              </w:rPr>
              <w:t xml:space="preserve"> </w:t>
            </w:r>
            <w:r>
              <w:rPr>
                <w:rFonts w:hint="eastAsia" w:ascii="宋体" w:hAnsi="宋体" w:eastAsia="宋体" w:cs="宋体"/>
                <w:b w:val="0"/>
                <w:bCs w:val="0"/>
                <w:color w:val="auto"/>
                <w:position w:val="1"/>
                <w:sz w:val="21"/>
                <w:szCs w:val="21"/>
                <w:highlight w:val="none"/>
                <w:vertAlign w:val="baseline"/>
              </w:rPr>
              <w:t>分析仪</w:t>
            </w:r>
          </w:p>
        </w:tc>
        <w:tc>
          <w:tcPr>
            <w:tcW w:w="4131" w:type="dxa"/>
            <w:shd w:val="clear" w:color="auto" w:fill="auto"/>
            <w:noWrap w:val="0"/>
            <w:vAlign w:val="center"/>
          </w:tcPr>
          <w:p w14:paraId="10C06DE2">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赛默飞世尔科技（中国）有限公司</w:t>
            </w:r>
          </w:p>
        </w:tc>
        <w:tc>
          <w:tcPr>
            <w:tcW w:w="2164" w:type="dxa"/>
            <w:shd w:val="clear" w:color="auto" w:fill="auto"/>
            <w:noWrap w:val="0"/>
            <w:vAlign w:val="center"/>
          </w:tcPr>
          <w:p w14:paraId="4A01E084">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5014i</w:t>
            </w:r>
          </w:p>
        </w:tc>
      </w:tr>
      <w:tr w14:paraId="154CC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344" w:type="dxa"/>
            <w:shd w:val="clear" w:color="auto" w:fill="auto"/>
            <w:noWrap w:val="0"/>
            <w:vAlign w:val="center"/>
          </w:tcPr>
          <w:p w14:paraId="2985DA8C">
            <w:pPr>
              <w:pStyle w:val="20"/>
              <w:keepNext w:val="0"/>
              <w:keepLines w:val="0"/>
              <w:pageBreakBefore w:val="0"/>
              <w:widowControl w:val="0"/>
              <w:kinsoku w:val="0"/>
              <w:wordWrap/>
              <w:overflowPunct w:val="0"/>
              <w:topLinePunct w:val="0"/>
              <w:autoSpaceDE w:val="0"/>
              <w:autoSpaceDN w:val="0"/>
              <w:bidi w:val="0"/>
              <w:adjustRightInd w:val="0"/>
              <w:snapToGrid w:val="0"/>
              <w:spacing w:before="209"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position w:val="2"/>
                <w:sz w:val="21"/>
                <w:szCs w:val="21"/>
                <w:highlight w:val="none"/>
              </w:rPr>
              <w:t>PM</w:t>
            </w:r>
            <w:r>
              <w:rPr>
                <w:rFonts w:hint="eastAsia" w:ascii="宋体" w:hAnsi="宋体" w:eastAsia="宋体" w:cs="宋体"/>
                <w:b w:val="0"/>
                <w:bCs w:val="0"/>
                <w:color w:val="auto"/>
                <w:position w:val="2"/>
                <w:sz w:val="21"/>
                <w:szCs w:val="21"/>
                <w:highlight w:val="none"/>
                <w:vertAlign w:val="subscript"/>
              </w:rPr>
              <w:t>10</w:t>
            </w:r>
            <w:r>
              <w:rPr>
                <w:rFonts w:hint="eastAsia" w:ascii="宋体" w:hAnsi="宋体" w:eastAsia="宋体" w:cs="宋体"/>
                <w:b w:val="0"/>
                <w:bCs w:val="0"/>
                <w:color w:val="auto"/>
                <w:position w:val="2"/>
                <w:sz w:val="21"/>
                <w:szCs w:val="21"/>
                <w:highlight w:val="none"/>
                <w:vertAlign w:val="baseline"/>
              </w:rPr>
              <w:t xml:space="preserve"> 分析仪</w:t>
            </w:r>
          </w:p>
        </w:tc>
        <w:tc>
          <w:tcPr>
            <w:tcW w:w="4131" w:type="dxa"/>
            <w:shd w:val="clear" w:color="auto" w:fill="auto"/>
            <w:noWrap w:val="0"/>
            <w:vAlign w:val="center"/>
          </w:tcPr>
          <w:p w14:paraId="5B101752">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赛默飞世尔科技（中国）有限公司</w:t>
            </w:r>
          </w:p>
        </w:tc>
        <w:tc>
          <w:tcPr>
            <w:tcW w:w="2164" w:type="dxa"/>
            <w:shd w:val="clear" w:color="auto" w:fill="auto"/>
            <w:noWrap w:val="0"/>
            <w:vAlign w:val="center"/>
          </w:tcPr>
          <w:p w14:paraId="0388A4EA">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5014i</w:t>
            </w:r>
          </w:p>
        </w:tc>
      </w:tr>
      <w:tr w14:paraId="1A386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344" w:type="dxa"/>
            <w:shd w:val="clear" w:color="auto" w:fill="auto"/>
            <w:noWrap w:val="0"/>
            <w:vAlign w:val="center"/>
          </w:tcPr>
          <w:p w14:paraId="588E671F">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氢气发生器</w:t>
            </w:r>
          </w:p>
        </w:tc>
        <w:tc>
          <w:tcPr>
            <w:tcW w:w="4131" w:type="dxa"/>
            <w:shd w:val="clear" w:color="auto" w:fill="auto"/>
            <w:noWrap w:val="0"/>
            <w:vAlign w:val="center"/>
          </w:tcPr>
          <w:p w14:paraId="433203F0">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杭州谱育科技发展有限公司</w:t>
            </w:r>
          </w:p>
        </w:tc>
        <w:tc>
          <w:tcPr>
            <w:tcW w:w="2164" w:type="dxa"/>
            <w:shd w:val="clear" w:color="auto" w:fill="auto"/>
            <w:noWrap w:val="0"/>
            <w:vAlign w:val="center"/>
          </w:tcPr>
          <w:p w14:paraId="7CF9A51D">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EXPEC 300</w:t>
            </w:r>
          </w:p>
        </w:tc>
      </w:tr>
      <w:tr w14:paraId="01100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344" w:type="dxa"/>
            <w:shd w:val="clear" w:color="auto" w:fill="auto"/>
            <w:noWrap w:val="0"/>
            <w:vAlign w:val="center"/>
          </w:tcPr>
          <w:p w14:paraId="2A953305">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无机零气发生器</w:t>
            </w:r>
          </w:p>
        </w:tc>
        <w:tc>
          <w:tcPr>
            <w:tcW w:w="4131" w:type="dxa"/>
            <w:shd w:val="clear" w:color="auto" w:fill="auto"/>
            <w:noWrap w:val="0"/>
            <w:vAlign w:val="center"/>
          </w:tcPr>
          <w:p w14:paraId="4EACDCDF">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杭州谱育科技发展有限公司</w:t>
            </w:r>
          </w:p>
        </w:tc>
        <w:tc>
          <w:tcPr>
            <w:tcW w:w="2164" w:type="dxa"/>
            <w:shd w:val="clear" w:color="auto" w:fill="auto"/>
            <w:noWrap w:val="0"/>
            <w:vAlign w:val="center"/>
          </w:tcPr>
          <w:p w14:paraId="00C7F4EF">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EXPEC A710</w:t>
            </w:r>
          </w:p>
        </w:tc>
      </w:tr>
      <w:tr w14:paraId="32D2B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344" w:type="dxa"/>
            <w:shd w:val="clear" w:color="auto" w:fill="auto"/>
            <w:noWrap w:val="0"/>
            <w:vAlign w:val="center"/>
          </w:tcPr>
          <w:p w14:paraId="4A44CE3F">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有机零气发生器</w:t>
            </w:r>
          </w:p>
        </w:tc>
        <w:tc>
          <w:tcPr>
            <w:tcW w:w="4131" w:type="dxa"/>
            <w:shd w:val="clear" w:color="auto" w:fill="auto"/>
            <w:noWrap w:val="0"/>
            <w:vAlign w:val="center"/>
          </w:tcPr>
          <w:p w14:paraId="4BDF5312">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杭州谱育科技发展有限公司</w:t>
            </w:r>
          </w:p>
        </w:tc>
        <w:tc>
          <w:tcPr>
            <w:tcW w:w="2164" w:type="dxa"/>
            <w:shd w:val="clear" w:color="auto" w:fill="auto"/>
            <w:noWrap w:val="0"/>
            <w:vAlign w:val="center"/>
          </w:tcPr>
          <w:p w14:paraId="211FB3B0">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EXPEC 360</w:t>
            </w:r>
          </w:p>
        </w:tc>
      </w:tr>
      <w:tr w14:paraId="2B70F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344" w:type="dxa"/>
            <w:shd w:val="clear" w:color="auto" w:fill="auto"/>
            <w:noWrap w:val="0"/>
            <w:vAlign w:val="center"/>
          </w:tcPr>
          <w:p w14:paraId="160F1E6D">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无机动态校准仪</w:t>
            </w:r>
          </w:p>
        </w:tc>
        <w:tc>
          <w:tcPr>
            <w:tcW w:w="4131" w:type="dxa"/>
            <w:shd w:val="clear" w:color="auto" w:fill="auto"/>
            <w:noWrap w:val="0"/>
            <w:vAlign w:val="center"/>
          </w:tcPr>
          <w:p w14:paraId="19AA6CDC">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杭州谱育科技发展有限公司</w:t>
            </w:r>
          </w:p>
        </w:tc>
        <w:tc>
          <w:tcPr>
            <w:tcW w:w="2164" w:type="dxa"/>
            <w:shd w:val="clear" w:color="auto" w:fill="auto"/>
            <w:noWrap w:val="0"/>
            <w:vAlign w:val="center"/>
          </w:tcPr>
          <w:p w14:paraId="7BF9549D">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EXPEC A720</w:t>
            </w:r>
          </w:p>
        </w:tc>
      </w:tr>
      <w:tr w14:paraId="57A2D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344" w:type="dxa"/>
            <w:shd w:val="clear" w:color="auto" w:fill="auto"/>
            <w:noWrap w:val="0"/>
            <w:vAlign w:val="center"/>
          </w:tcPr>
          <w:p w14:paraId="74516B21">
            <w:pPr>
              <w:pStyle w:val="20"/>
              <w:keepNext w:val="0"/>
              <w:keepLines w:val="0"/>
              <w:pageBreakBefore w:val="0"/>
              <w:widowControl w:val="0"/>
              <w:kinsoku w:val="0"/>
              <w:wordWrap/>
              <w:overflowPunct w:val="0"/>
              <w:topLinePunct w:val="0"/>
              <w:autoSpaceDE w:val="0"/>
              <w:autoSpaceDN w:val="0"/>
              <w:bidi w:val="0"/>
              <w:adjustRightInd w:val="0"/>
              <w:snapToGrid w:val="0"/>
              <w:spacing w:before="1"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全惰性化精密动态校准仪</w:t>
            </w:r>
          </w:p>
        </w:tc>
        <w:tc>
          <w:tcPr>
            <w:tcW w:w="4131" w:type="dxa"/>
            <w:shd w:val="clear" w:color="auto" w:fill="auto"/>
            <w:noWrap w:val="0"/>
            <w:vAlign w:val="center"/>
          </w:tcPr>
          <w:p w14:paraId="46B1157B">
            <w:pPr>
              <w:pStyle w:val="20"/>
              <w:keepNext w:val="0"/>
              <w:keepLines w:val="0"/>
              <w:pageBreakBefore w:val="0"/>
              <w:widowControl w:val="0"/>
              <w:kinsoku w:val="0"/>
              <w:wordWrap/>
              <w:overflowPunct w:val="0"/>
              <w:topLinePunct w:val="0"/>
              <w:autoSpaceDE w:val="0"/>
              <w:autoSpaceDN w:val="0"/>
              <w:bidi w:val="0"/>
              <w:adjustRightInd w:val="0"/>
              <w:snapToGrid w:val="0"/>
              <w:spacing w:before="1"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杭州谱育科技发展有限公司</w:t>
            </w:r>
          </w:p>
        </w:tc>
        <w:tc>
          <w:tcPr>
            <w:tcW w:w="2164" w:type="dxa"/>
            <w:shd w:val="clear" w:color="auto" w:fill="auto"/>
            <w:noWrap w:val="0"/>
            <w:vAlign w:val="center"/>
          </w:tcPr>
          <w:p w14:paraId="59289A23">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D3000</w:t>
            </w:r>
          </w:p>
        </w:tc>
      </w:tr>
      <w:tr w14:paraId="11A50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344" w:type="dxa"/>
            <w:shd w:val="clear" w:color="auto" w:fill="auto"/>
            <w:noWrap w:val="0"/>
            <w:vAlign w:val="center"/>
          </w:tcPr>
          <w:p w14:paraId="3E2A56F9">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气象五参数</w:t>
            </w:r>
          </w:p>
        </w:tc>
        <w:tc>
          <w:tcPr>
            <w:tcW w:w="4131" w:type="dxa"/>
            <w:shd w:val="clear" w:color="auto" w:fill="auto"/>
            <w:noWrap w:val="0"/>
            <w:vAlign w:val="center"/>
          </w:tcPr>
          <w:p w14:paraId="4B49E103">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深圳市智翔宇仪器设备有限公司</w:t>
            </w:r>
          </w:p>
        </w:tc>
        <w:tc>
          <w:tcPr>
            <w:tcW w:w="2164" w:type="dxa"/>
            <w:shd w:val="clear" w:color="auto" w:fill="auto"/>
            <w:noWrap w:val="0"/>
            <w:vAlign w:val="center"/>
          </w:tcPr>
          <w:p w14:paraId="61B787B4">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MULTI-5P</w:t>
            </w:r>
          </w:p>
        </w:tc>
      </w:tr>
      <w:tr w14:paraId="5401B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344" w:type="dxa"/>
            <w:shd w:val="clear" w:color="auto" w:fill="auto"/>
            <w:noWrap w:val="0"/>
            <w:vAlign w:val="center"/>
          </w:tcPr>
          <w:p w14:paraId="106F53A5">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采样系统</w:t>
            </w:r>
          </w:p>
        </w:tc>
        <w:tc>
          <w:tcPr>
            <w:tcW w:w="4131" w:type="dxa"/>
            <w:shd w:val="clear" w:color="auto" w:fill="auto"/>
            <w:noWrap w:val="0"/>
            <w:vAlign w:val="center"/>
          </w:tcPr>
          <w:p w14:paraId="13CC0402">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杭州谱育科技发展有限公司</w:t>
            </w:r>
          </w:p>
        </w:tc>
        <w:tc>
          <w:tcPr>
            <w:tcW w:w="2164" w:type="dxa"/>
            <w:shd w:val="clear" w:color="auto" w:fill="auto"/>
            <w:noWrap w:val="0"/>
            <w:vAlign w:val="center"/>
          </w:tcPr>
          <w:p w14:paraId="02CAFAA1">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SPA-1000</w:t>
            </w:r>
          </w:p>
        </w:tc>
      </w:tr>
      <w:tr w14:paraId="4EC47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344" w:type="dxa"/>
            <w:shd w:val="clear" w:color="auto" w:fill="auto"/>
            <w:noWrap w:val="0"/>
            <w:vAlign w:val="center"/>
          </w:tcPr>
          <w:p w14:paraId="2A2D2A2D">
            <w:pPr>
              <w:pStyle w:val="20"/>
              <w:keepNext w:val="0"/>
              <w:keepLines w:val="0"/>
              <w:pageBreakBefore w:val="0"/>
              <w:widowControl w:val="0"/>
              <w:kinsoku w:val="0"/>
              <w:wordWrap/>
              <w:overflowPunct w:val="0"/>
              <w:topLinePunct w:val="0"/>
              <w:autoSpaceDE w:val="0"/>
              <w:autoSpaceDN w:val="0"/>
              <w:bidi w:val="0"/>
              <w:adjustRightInd w:val="0"/>
              <w:snapToGrid w:val="0"/>
              <w:spacing w:before="1"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数据采集与传输</w:t>
            </w:r>
          </w:p>
        </w:tc>
        <w:tc>
          <w:tcPr>
            <w:tcW w:w="4131" w:type="dxa"/>
            <w:shd w:val="clear" w:color="auto" w:fill="auto"/>
            <w:noWrap w:val="0"/>
            <w:vAlign w:val="center"/>
          </w:tcPr>
          <w:p w14:paraId="1064365A">
            <w:pPr>
              <w:pStyle w:val="20"/>
              <w:keepNext w:val="0"/>
              <w:keepLines w:val="0"/>
              <w:pageBreakBefore w:val="0"/>
              <w:widowControl w:val="0"/>
              <w:kinsoku w:val="0"/>
              <w:wordWrap/>
              <w:overflowPunct w:val="0"/>
              <w:topLinePunct w:val="0"/>
              <w:autoSpaceDE w:val="0"/>
              <w:autoSpaceDN w:val="0"/>
              <w:bidi w:val="0"/>
              <w:adjustRightInd w:val="0"/>
              <w:snapToGrid w:val="0"/>
              <w:spacing w:before="1"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河南普惠环保科技有限公司</w:t>
            </w:r>
          </w:p>
        </w:tc>
        <w:tc>
          <w:tcPr>
            <w:tcW w:w="2164" w:type="dxa"/>
            <w:shd w:val="clear" w:color="auto" w:fill="auto"/>
            <w:noWrap w:val="0"/>
            <w:vAlign w:val="center"/>
          </w:tcPr>
          <w:p w14:paraId="63FE67D8">
            <w:pPr>
              <w:pStyle w:val="20"/>
              <w:keepNext w:val="0"/>
              <w:keepLines w:val="0"/>
              <w:pageBreakBefore w:val="0"/>
              <w:widowControl w:val="0"/>
              <w:kinsoku w:val="0"/>
              <w:wordWrap/>
              <w:overflowPunct w:val="0"/>
              <w:topLinePunct w:val="0"/>
              <w:autoSpaceDE w:val="0"/>
              <w:autoSpaceDN w:val="0"/>
              <w:bidi w:val="0"/>
              <w:adjustRightInd w:val="0"/>
              <w:snapToGrid w:val="0"/>
              <w:spacing w:before="1"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定制</w:t>
            </w:r>
          </w:p>
        </w:tc>
      </w:tr>
      <w:tr w14:paraId="51002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344" w:type="dxa"/>
            <w:shd w:val="clear" w:color="auto" w:fill="auto"/>
            <w:noWrap w:val="0"/>
            <w:vAlign w:val="center"/>
          </w:tcPr>
          <w:p w14:paraId="56C9307C">
            <w:pPr>
              <w:pStyle w:val="20"/>
              <w:keepNext w:val="0"/>
              <w:keepLines w:val="0"/>
              <w:pageBreakBefore w:val="0"/>
              <w:widowControl w:val="0"/>
              <w:kinsoku w:val="0"/>
              <w:wordWrap/>
              <w:overflowPunct w:val="0"/>
              <w:topLinePunct w:val="0"/>
              <w:autoSpaceDE w:val="0"/>
              <w:autoSpaceDN w:val="0"/>
              <w:bidi w:val="0"/>
              <w:adjustRightInd w:val="0"/>
              <w:snapToGrid w:val="0"/>
              <w:spacing w:before="212"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光纤+VPN</w:t>
            </w:r>
          </w:p>
        </w:tc>
        <w:tc>
          <w:tcPr>
            <w:tcW w:w="4131" w:type="dxa"/>
            <w:shd w:val="clear" w:color="auto" w:fill="auto"/>
            <w:noWrap w:val="0"/>
            <w:vAlign w:val="center"/>
          </w:tcPr>
          <w:p w14:paraId="7BF662D3">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河南普惠环保科技有限公司</w:t>
            </w:r>
          </w:p>
        </w:tc>
        <w:tc>
          <w:tcPr>
            <w:tcW w:w="2164" w:type="dxa"/>
            <w:shd w:val="clear" w:color="auto" w:fill="auto"/>
            <w:noWrap w:val="0"/>
            <w:vAlign w:val="center"/>
          </w:tcPr>
          <w:p w14:paraId="6C2B4C02">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定制</w:t>
            </w:r>
          </w:p>
        </w:tc>
      </w:tr>
      <w:tr w14:paraId="19487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344" w:type="dxa"/>
            <w:shd w:val="clear" w:color="auto" w:fill="auto"/>
            <w:noWrap w:val="0"/>
            <w:vAlign w:val="center"/>
          </w:tcPr>
          <w:p w14:paraId="43EC0E9B">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能耗与动力费用</w:t>
            </w:r>
          </w:p>
        </w:tc>
        <w:tc>
          <w:tcPr>
            <w:tcW w:w="6295" w:type="dxa"/>
            <w:gridSpan w:val="2"/>
            <w:noWrap w:val="0"/>
            <w:vAlign w:val="center"/>
          </w:tcPr>
          <w:p w14:paraId="323D0368">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网络、电力等费用</w:t>
            </w:r>
          </w:p>
        </w:tc>
      </w:tr>
      <w:tr w14:paraId="797F8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344" w:type="dxa"/>
            <w:noWrap w:val="0"/>
            <w:vAlign w:val="center"/>
          </w:tcPr>
          <w:p w14:paraId="126820B3">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ind w:right="176"/>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站房配套设施</w:t>
            </w:r>
          </w:p>
        </w:tc>
        <w:tc>
          <w:tcPr>
            <w:tcW w:w="6295" w:type="dxa"/>
            <w:gridSpan w:val="2"/>
            <w:noWrap w:val="0"/>
            <w:vAlign w:val="center"/>
          </w:tcPr>
          <w:p w14:paraId="6EDBF94A">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包含空调、电力、防水、防雷、消防等设施的维修保养</w:t>
            </w:r>
          </w:p>
        </w:tc>
      </w:tr>
    </w:tbl>
    <w:p w14:paraId="7B02E4A4">
      <w:pPr>
        <w:keepNext w:val="0"/>
        <w:keepLines w:val="0"/>
        <w:pageBreakBefore w:val="0"/>
        <w:widowControl w:val="0"/>
        <w:kinsoku w:val="0"/>
        <w:wordWrap/>
        <w:overflowPunct w:val="0"/>
        <w:topLinePunct w:val="0"/>
        <w:autoSpaceDE w:val="0"/>
        <w:autoSpaceDN w:val="0"/>
        <w:bidi w:val="0"/>
        <w:adjustRightInd w:val="0"/>
        <w:snapToGrid w:val="0"/>
        <w:spacing w:after="0" w:line="240" w:lineRule="auto"/>
        <w:jc w:val="both"/>
        <w:textAlignment w:val="auto"/>
        <w:rPr>
          <w:rFonts w:hint="eastAsia" w:ascii="宋体" w:hAnsi="宋体" w:eastAsia="宋体" w:cs="宋体"/>
          <w:color w:val="auto"/>
          <w:sz w:val="21"/>
          <w:szCs w:val="21"/>
          <w:highlight w:val="none"/>
        </w:rPr>
        <w:sectPr>
          <w:pgSz w:w="11910" w:h="16840"/>
          <w:pgMar w:top="1440" w:right="1080" w:bottom="1440" w:left="1080" w:header="891" w:footer="974" w:gutter="0"/>
          <w:pgNumType w:fmt="decimal"/>
          <w:cols w:space="720" w:num="1"/>
        </w:sectPr>
      </w:pPr>
    </w:p>
    <w:p w14:paraId="147285F0">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四、质量要求、技术标准</w:t>
      </w:r>
    </w:p>
    <w:p w14:paraId="55746814">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（一）运维工作目标</w:t>
      </w:r>
    </w:p>
    <w:p w14:paraId="0268F512">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乙方须建立完善的运行维护工作规范，确保提供及时、准确、有效的监测数据，并接受甲方或相关方的质控检查和考核，确保此监测系统全周期连续运行，确保监测数据准确有效。</w:t>
      </w:r>
    </w:p>
    <w:p w14:paraId="22305495">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系统运营维护总体目标：除校准、停电、维护保养等工作外，最大限度保证系统连续运行，每月数据</w:t>
      </w:r>
      <w:r>
        <w:rPr>
          <w:rFonts w:hint="eastAsia" w:ascii="宋体" w:hAnsi="宋体" w:eastAsia="宋体" w:cs="宋体"/>
          <w:color w:val="auto"/>
          <w:sz w:val="21"/>
          <w:szCs w:val="21"/>
          <w:highlight w:val="none"/>
          <w:lang w:eastAsia="zh-CN"/>
        </w:rPr>
        <w:t>总上传率</w:t>
      </w:r>
      <w:r>
        <w:rPr>
          <w:rFonts w:hint="eastAsia" w:ascii="宋体" w:hAnsi="宋体" w:eastAsia="宋体" w:cs="宋体"/>
          <w:color w:val="auto"/>
          <w:sz w:val="21"/>
          <w:szCs w:val="21"/>
          <w:highlight w:val="none"/>
        </w:rPr>
        <w:t>达到8</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%以上；定期按照监测规范和规程对仪器设备进行校准，确保上传的数据准确有效，保证异常情况及时响应。</w:t>
      </w:r>
    </w:p>
    <w:p w14:paraId="102F1FA1">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乙方须遵守国家法律、法规以及关于空气自动监测站运行管理的各项规定，如运维期间生态环境部、中国环境监测总站、河南省和平顶山市等出台新的自动站运行管理规定，则运维工作要求随之执行最新规定。</w:t>
      </w:r>
    </w:p>
    <w:p w14:paraId="45BADB5E">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乙方在合同</w:t>
      </w:r>
      <w:r>
        <w:rPr>
          <w:rFonts w:hint="eastAsia" w:ascii="宋体" w:hAnsi="宋体" w:eastAsia="宋体" w:cs="宋体"/>
          <w:color w:val="auto"/>
          <w:sz w:val="21"/>
          <w:szCs w:val="21"/>
          <w:highlight w:val="none"/>
          <w:lang w:eastAsia="zh-CN"/>
        </w:rPr>
        <w:t>签订</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应立即对挥发性有机物站（合建交通站）进行搬迁或重建，并在</w:t>
      </w:r>
      <w:r>
        <w:rPr>
          <w:rFonts w:hint="eastAsia" w:ascii="宋体" w:hAnsi="宋体" w:eastAsia="宋体" w:cs="宋体"/>
          <w:color w:val="auto"/>
          <w:sz w:val="21"/>
          <w:szCs w:val="21"/>
          <w:highlight w:val="none"/>
        </w:rPr>
        <w:t>半年内对两站点站房</w:t>
      </w:r>
      <w:r>
        <w:rPr>
          <w:rFonts w:hint="eastAsia" w:ascii="宋体" w:hAnsi="宋体" w:eastAsia="宋体" w:cs="宋体"/>
          <w:color w:val="auto"/>
          <w:sz w:val="21"/>
          <w:szCs w:val="21"/>
          <w:highlight w:val="none"/>
          <w:lang w:eastAsia="zh-CN"/>
        </w:rPr>
        <w:t>开展一次安全排查，</w:t>
      </w:r>
      <w:r>
        <w:rPr>
          <w:rFonts w:hint="eastAsia" w:ascii="宋体" w:hAnsi="宋体" w:eastAsia="宋体" w:cs="宋体"/>
          <w:color w:val="auto"/>
          <w:sz w:val="21"/>
          <w:szCs w:val="21"/>
          <w:highlight w:val="none"/>
        </w:rPr>
        <w:t>对存在安全隐患的站房结合实际进行除险加固</w:t>
      </w:r>
      <w:r>
        <w:rPr>
          <w:rFonts w:hint="eastAsia" w:ascii="宋体" w:hAnsi="宋体" w:eastAsia="宋体" w:cs="宋体"/>
          <w:color w:val="auto"/>
          <w:sz w:val="21"/>
          <w:szCs w:val="21"/>
          <w:highlight w:val="none"/>
          <w:lang w:eastAsia="zh-CN"/>
        </w:rPr>
        <w:t>、搬迁或</w:t>
      </w:r>
      <w:r>
        <w:rPr>
          <w:rFonts w:hint="eastAsia" w:ascii="宋体" w:hAnsi="宋体" w:eastAsia="宋体" w:cs="宋体"/>
          <w:color w:val="auto"/>
          <w:sz w:val="21"/>
          <w:szCs w:val="21"/>
          <w:highlight w:val="none"/>
        </w:rPr>
        <w:t>重建</w:t>
      </w:r>
      <w:r>
        <w:rPr>
          <w:rFonts w:hint="eastAsia" w:ascii="宋体" w:hAnsi="宋体" w:eastAsia="宋体" w:cs="宋体"/>
          <w:color w:val="auto"/>
          <w:sz w:val="21"/>
          <w:szCs w:val="21"/>
          <w:highlight w:val="none"/>
          <w:lang w:eastAsia="zh-CN"/>
        </w:rPr>
        <w:t>至合格标准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以上</w:t>
      </w:r>
      <w:r>
        <w:rPr>
          <w:rFonts w:hint="eastAsia" w:ascii="宋体" w:hAnsi="宋体" w:eastAsia="宋体" w:cs="宋体"/>
          <w:color w:val="auto"/>
          <w:sz w:val="21"/>
          <w:szCs w:val="21"/>
          <w:highlight w:val="none"/>
        </w:rPr>
        <w:t>费用由乙方承担。</w:t>
      </w:r>
    </w:p>
    <w:p w14:paraId="5668F57C">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（二）技术标准</w:t>
      </w:r>
    </w:p>
    <w:p w14:paraId="483C58FF">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行维护主要依据：《环境空气质量监测规范》、《环境空气质量自动监测技术规范》、《环境空气挥发性有机物连续自动监测质量控制技术规定（试行）》、《大气颗粒物组分自动监测质量保证与质量控制技术规定（第一版）》及仪器使用说明材料等相关技术标准。乙方根据相关规范、规定要求进行空气质量监测站在线监测系统的管理及站点仪器运维服务工作。</w:t>
      </w:r>
    </w:p>
    <w:p w14:paraId="728DFC92">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bookmarkStart w:id="67" w:name="五、服务期限（项目完成期限） "/>
      <w:bookmarkEnd w:id="67"/>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服务期限</w:t>
      </w:r>
    </w:p>
    <w:p w14:paraId="735B51A3">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鉴于本项目二次招标废标的实际情况，甲乙双方商定：</w:t>
      </w:r>
    </w:p>
    <w:p w14:paraId="0939FF94">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本合同服务期限自本合同签订之日起一年，合同签订之日乙方即开始提供运维服务。</w:t>
      </w:r>
    </w:p>
    <w:p w14:paraId="238349A2">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六、考核方式</w:t>
      </w:r>
    </w:p>
    <w:p w14:paraId="7210AD2B">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甲方对运维单位考核包括站点数据</w:t>
      </w:r>
      <w:r>
        <w:rPr>
          <w:rFonts w:hint="eastAsia" w:ascii="宋体" w:hAnsi="宋体" w:eastAsia="宋体" w:cs="宋体"/>
          <w:b w:val="0"/>
          <w:bCs w:val="0"/>
          <w:snapToGrid w:val="0"/>
          <w:color w:val="auto"/>
          <w:kern w:val="0"/>
          <w:sz w:val="21"/>
          <w:szCs w:val="21"/>
          <w:highlight w:val="none"/>
          <w:lang w:eastAsia="zh-CN"/>
        </w:rPr>
        <w:t>总上传率</w:t>
      </w:r>
      <w:r>
        <w:rPr>
          <w:rFonts w:hint="eastAsia" w:ascii="宋体" w:hAnsi="宋体" w:eastAsia="宋体" w:cs="宋体"/>
          <w:color w:val="auto"/>
          <w:sz w:val="21"/>
          <w:szCs w:val="21"/>
          <w:highlight w:val="none"/>
        </w:rPr>
        <w:t>考核、运行维护期间各类技术报告等材料提交的时效性和完整情况考核及异常情况响应解决及时性考核。</w:t>
      </w:r>
    </w:p>
    <w:p w14:paraId="4A61A718">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合同期分2个考核周期，自</w:t>
      </w:r>
      <w:r>
        <w:rPr>
          <w:rFonts w:hint="eastAsia" w:ascii="宋体" w:hAnsi="宋体" w:eastAsia="宋体" w:cs="宋体"/>
          <w:color w:val="auto"/>
          <w:sz w:val="21"/>
          <w:szCs w:val="21"/>
          <w:highlight w:val="none"/>
          <w:lang w:eastAsia="zh-CN"/>
        </w:rPr>
        <w:t>合同签订之日起</w:t>
      </w:r>
      <w:r>
        <w:rPr>
          <w:rFonts w:hint="eastAsia" w:ascii="宋体" w:hAnsi="宋体" w:eastAsia="宋体" w:cs="宋体"/>
          <w:color w:val="auto"/>
          <w:sz w:val="21"/>
          <w:szCs w:val="21"/>
          <w:highlight w:val="none"/>
        </w:rPr>
        <w:t>满半年为第一考核周期，服务期限截止为第二考核周期。甲方也可结合实际开展不定期抽查和考核。</w:t>
      </w:r>
    </w:p>
    <w:p w14:paraId="0BAB504E">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考核周期内，乙方当月监测数据</w:t>
      </w:r>
      <w:r>
        <w:rPr>
          <w:rFonts w:hint="eastAsia" w:ascii="宋体" w:hAnsi="宋体" w:eastAsia="宋体" w:cs="宋体"/>
          <w:color w:val="auto"/>
          <w:sz w:val="21"/>
          <w:szCs w:val="21"/>
          <w:highlight w:val="none"/>
          <w:lang w:eastAsia="zh-CN"/>
        </w:rPr>
        <w:t>总上传率</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 xml:space="preserve">%（含 </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%）以上，甲方全额支付当期运维费（即合同价款，下同）；月数据</w:t>
      </w:r>
      <w:r>
        <w:rPr>
          <w:rFonts w:hint="eastAsia" w:ascii="宋体" w:hAnsi="宋体" w:eastAsia="宋体" w:cs="宋体"/>
          <w:color w:val="auto"/>
          <w:sz w:val="21"/>
          <w:szCs w:val="21"/>
          <w:highlight w:val="none"/>
          <w:lang w:eastAsia="zh-CN"/>
        </w:rPr>
        <w:t>总上传率</w:t>
      </w:r>
      <w:r>
        <w:rPr>
          <w:rFonts w:hint="eastAsia" w:ascii="宋体" w:hAnsi="宋体" w:eastAsia="宋体" w:cs="宋体"/>
          <w:color w:val="auto"/>
          <w:sz w:val="21"/>
          <w:szCs w:val="21"/>
          <w:highlight w:val="none"/>
        </w:rPr>
        <w:t>在 8</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%（含</w:t>
      </w:r>
      <w:r>
        <w:rPr>
          <w:rFonts w:hint="eastAsia" w:ascii="宋体" w:hAnsi="宋体" w:eastAsia="宋体" w:cs="宋体"/>
          <w:color w:val="auto"/>
          <w:sz w:val="21"/>
          <w:szCs w:val="21"/>
          <w:highlight w:val="none"/>
          <w:lang w:val="en-US" w:eastAsia="zh-CN"/>
        </w:rPr>
        <w:t>85</w:t>
      </w:r>
      <w:r>
        <w:rPr>
          <w:rFonts w:hint="eastAsia" w:ascii="宋体" w:hAnsi="宋体" w:eastAsia="宋体" w:cs="宋体"/>
          <w:color w:val="auto"/>
          <w:sz w:val="21"/>
          <w:szCs w:val="21"/>
          <w:highlight w:val="none"/>
        </w:rPr>
        <w:t>%）之间，每低于</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%一个百分点，按合同总额的千分之五扣减当月运维费；月数据</w:t>
      </w:r>
      <w:r>
        <w:rPr>
          <w:rFonts w:hint="eastAsia" w:ascii="宋体" w:hAnsi="宋体" w:eastAsia="宋体" w:cs="宋体"/>
          <w:color w:val="auto"/>
          <w:sz w:val="21"/>
          <w:szCs w:val="21"/>
          <w:highlight w:val="none"/>
          <w:lang w:eastAsia="zh-CN"/>
        </w:rPr>
        <w:t>总上传率</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85</w:t>
      </w:r>
      <w:r>
        <w:rPr>
          <w:rFonts w:hint="eastAsia" w:ascii="宋体" w:hAnsi="宋体" w:eastAsia="宋体" w:cs="宋体"/>
          <w:color w:val="auto"/>
          <w:sz w:val="21"/>
          <w:szCs w:val="21"/>
          <w:highlight w:val="none"/>
        </w:rPr>
        <w:t>%以下不予支付当月运维费（合同总价的十二分之一）。连续两个月低于</w:t>
      </w:r>
      <w:r>
        <w:rPr>
          <w:rFonts w:hint="eastAsia" w:ascii="宋体" w:hAnsi="宋体" w:eastAsia="宋体" w:cs="宋体"/>
          <w:color w:val="auto"/>
          <w:sz w:val="21"/>
          <w:szCs w:val="21"/>
          <w:highlight w:val="none"/>
          <w:lang w:val="en-US" w:eastAsia="zh-CN"/>
        </w:rPr>
        <w:t>85</w:t>
      </w:r>
      <w:r>
        <w:rPr>
          <w:rFonts w:hint="eastAsia" w:ascii="宋体" w:hAnsi="宋体" w:eastAsia="宋体" w:cs="宋体"/>
          <w:color w:val="auto"/>
          <w:sz w:val="21"/>
          <w:szCs w:val="21"/>
          <w:highlight w:val="none"/>
        </w:rPr>
        <w:t>%以下，甲方有权解除合同。如</w:t>
      </w:r>
      <w:r>
        <w:rPr>
          <w:rFonts w:hint="eastAsia" w:ascii="宋体" w:hAnsi="宋体" w:eastAsia="宋体" w:cs="宋体"/>
          <w:color w:val="auto"/>
          <w:sz w:val="21"/>
          <w:szCs w:val="21"/>
          <w:highlight w:val="none"/>
          <w:lang w:eastAsia="zh-CN"/>
        </w:rPr>
        <w:t>站房需重建或搬迁导致</w:t>
      </w:r>
      <w:r>
        <w:rPr>
          <w:rFonts w:hint="eastAsia" w:ascii="宋体" w:hAnsi="宋体" w:eastAsia="宋体" w:cs="宋体"/>
          <w:color w:val="auto"/>
          <w:sz w:val="21"/>
          <w:szCs w:val="21"/>
          <w:highlight w:val="none"/>
        </w:rPr>
        <w:t>站点</w:t>
      </w:r>
      <w:r>
        <w:rPr>
          <w:rFonts w:hint="eastAsia" w:ascii="宋体" w:hAnsi="宋体" w:eastAsia="宋体" w:cs="宋体"/>
          <w:color w:val="auto"/>
          <w:sz w:val="21"/>
          <w:szCs w:val="21"/>
          <w:highlight w:val="none"/>
          <w:lang w:eastAsia="zh-CN"/>
        </w:rPr>
        <w:t>停运</w:t>
      </w:r>
      <w:r>
        <w:rPr>
          <w:rFonts w:hint="eastAsia" w:ascii="宋体" w:hAnsi="宋体" w:eastAsia="宋体" w:cs="宋体"/>
          <w:color w:val="auto"/>
          <w:sz w:val="21"/>
          <w:szCs w:val="21"/>
          <w:highlight w:val="none"/>
        </w:rPr>
        <w:t>的，停运期间站点按照满足数据上传率</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%开展考核。</w:t>
      </w:r>
    </w:p>
    <w:p w14:paraId="31043D8F">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每月10日前向甲方提交上一月技术报告等材料，乙方未按时提交本合同约定的技术文件，应按合同总价每日千分之一的标准向甲方支付违约金，该违约金直接从运维费中扣除，累计不超过合同总额的10%，乙方未按时提交本合同约定的技术文件超过30日或者累计3次未按时提交的，甲方有权解除合同。</w:t>
      </w:r>
    </w:p>
    <w:p w14:paraId="021AB04B">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异常情况响应解决超出合同规定时间的，每次每超1小时（不足一小时的按一小时计）按合同总价千分之一的标准从运维费中扣除，累计不超过合同总额的10%。乙方未按本合同约定对异常情况及时响应累计 5次的，甲方有权解除合同。（考核内容要求详见附表）</w:t>
      </w:r>
    </w:p>
    <w:p w14:paraId="6B0D10CA">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七、付款方式</w:t>
      </w:r>
    </w:p>
    <w:p w14:paraId="1A785B6D">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1.第一考核周期结束，支付当期运维费应为合同总金额</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（含过渡期间运维费）</w:t>
      </w:r>
      <w:r>
        <w:rPr>
          <w:rFonts w:hint="eastAsia" w:ascii="宋体" w:hAnsi="宋体" w:eastAsia="宋体" w:cs="宋体"/>
          <w:color w:val="auto"/>
          <w:sz w:val="21"/>
          <w:szCs w:val="21"/>
          <w:highlight w:val="none"/>
        </w:rPr>
        <w:t xml:space="preserve">，即￥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元整），如考核需扣除运维费，则结合考核结果实际支付；</w:t>
      </w:r>
    </w:p>
    <w:p w14:paraId="50EC0198">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第二考核周期结束，支付当期运维费应为合同总金额的</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元，（大写人民币: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元整），如考核需扣除运维费，则结合考核结果实际支付；</w:t>
      </w:r>
    </w:p>
    <w:p w14:paraId="676D4A3F">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个运维考核周期结束之日起15日内，甲方对乙方运维工作进行考核，考核周期结束后，甲方将考核结果通知乙方，乙方根据考核确定的应支付当期运维费的金额向甲方开具增值税普通发票，甲方在收到乙方开具的增值税普通发票之日起15个工作日内向乙方付款。</w:t>
      </w:r>
    </w:p>
    <w:p w14:paraId="250EB50E">
      <w:pPr>
        <w:pStyle w:val="5"/>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360" w:lineRule="auto"/>
        <w:ind w:leftChars="200" w:right="0" w:righ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付款方式：银行转账。</w:t>
      </w:r>
    </w:p>
    <w:p w14:paraId="75D5EB85">
      <w:pPr>
        <w:pStyle w:val="5"/>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360" w:lineRule="auto"/>
        <w:ind w:leftChars="200" w:right="0" w:righ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乙方指定的收款账户信息如下：</w:t>
      </w:r>
    </w:p>
    <w:p w14:paraId="69215F98">
      <w:pPr>
        <w:pStyle w:val="5"/>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360" w:lineRule="auto"/>
        <w:ind w:leftChars="200" w:right="0" w:righ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名：</w:t>
      </w:r>
    </w:p>
    <w:p w14:paraId="10C6E4BE">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14:paraId="6D9CB7F6">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w:t>
      </w:r>
    </w:p>
    <w:p w14:paraId="0F25C12D">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号：</w:t>
      </w:r>
    </w:p>
    <w:p w14:paraId="54B0031A">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八、空气站内容交接</w:t>
      </w:r>
    </w:p>
    <w:p w14:paraId="42C69138">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（一）进驻站点前，与站点原运维单位进行积极协调，全面妥善书面交接站点所有事宜。</w:t>
      </w:r>
    </w:p>
    <w:p w14:paraId="5E921122">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（二）运维服务期满，乙方应无条件配合甲方进行站点移交。</w:t>
      </w:r>
    </w:p>
    <w:p w14:paraId="677C5BFD">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（三）乙方应保证站点设施完好，仪器设备正常运行，档案资料齐全。</w:t>
      </w:r>
    </w:p>
    <w:p w14:paraId="706B70D5">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运维期间，若出现站房设施或仪器设备损坏或缺失，乙方应无条件进行修复。若乙方未按照甲方要求进行修复，甲方有权委托第三方进行维修，维修费用从乙方运维费用中扣除，不足部分，可另行向乙方主张。</w:t>
      </w:r>
    </w:p>
    <w:p w14:paraId="11AE2CE9">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九、保密约定</w:t>
      </w:r>
    </w:p>
    <w:p w14:paraId="151E298F">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保证对从另一方取得且无法自公开渠道获得的商业秘密或资料信息（技术信息、经营信息、服务数据及其他商业秘密）予以保密。未经原提供方同意，一方不得向任何第三方泄露该商业秘密或资料信息的全部或部分内容。但法律、法规另有规定或双方另有约定的除外。</w:t>
      </w:r>
    </w:p>
    <w:p w14:paraId="2D685CE9">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一方违反上述保密义务的，应承担相应的违约责任并赔偿由此造成的损失。</w:t>
      </w:r>
    </w:p>
    <w:p w14:paraId="38F78084">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十、违约责任与赔偿损失</w:t>
      </w:r>
    </w:p>
    <w:p w14:paraId="7177C90F">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（一）运维单位应承担监测数据的保密责任,不得利用本项目的数据、档案或有关资料对外开展技术交流、业务联系、数据交换等。否则甲方有权解除合同，并要求乙方承担违约责任</w:t>
      </w:r>
      <w:r>
        <w:rPr>
          <w:rFonts w:hint="eastAsia" w:ascii="宋体" w:hAnsi="宋体" w:eastAsia="宋体" w:cs="宋体"/>
          <w:color w:val="auto"/>
          <w:sz w:val="21"/>
          <w:szCs w:val="21"/>
          <w:highlight w:val="none"/>
          <w:lang w:eastAsia="zh-CN"/>
        </w:rPr>
        <w:t>。乙方按本合同总价</w:t>
      </w:r>
      <w:r>
        <w:rPr>
          <w:rFonts w:hint="eastAsia" w:ascii="宋体" w:hAnsi="宋体" w:eastAsia="宋体" w:cs="宋体"/>
          <w:color w:val="auto"/>
          <w:sz w:val="21"/>
          <w:szCs w:val="21"/>
          <w:highlight w:val="none"/>
          <w:lang w:val="en-US" w:eastAsia="zh-CN"/>
        </w:rPr>
        <w:t>5%的标准支付违约金，并赔偿给甲方造成的全部经济损失。</w:t>
      </w:r>
    </w:p>
    <w:p w14:paraId="182F2190">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（二）运维期间禁止出现调整数据、修改参数、改动设备、弄虚作假等违法、违规行为，如出现，甲方有权解除运维合同，并追究乙方责任。</w:t>
      </w:r>
      <w:r>
        <w:rPr>
          <w:rFonts w:hint="eastAsia" w:ascii="宋体" w:hAnsi="宋体" w:eastAsia="宋体" w:cs="宋体"/>
          <w:color w:val="auto"/>
          <w:sz w:val="21"/>
          <w:szCs w:val="21"/>
          <w:highlight w:val="none"/>
          <w:lang w:eastAsia="zh-CN"/>
        </w:rPr>
        <w:t>乙方按本合同总价</w:t>
      </w:r>
      <w:r>
        <w:rPr>
          <w:rFonts w:hint="eastAsia" w:ascii="宋体" w:hAnsi="宋体" w:eastAsia="宋体" w:cs="宋体"/>
          <w:color w:val="auto"/>
          <w:sz w:val="21"/>
          <w:szCs w:val="21"/>
          <w:highlight w:val="none"/>
          <w:lang w:val="en-US" w:eastAsia="zh-CN"/>
        </w:rPr>
        <w:t>5%的标准支付违约金，并赔偿给甲方造成的全部经济损失。</w:t>
      </w:r>
    </w:p>
    <w:p w14:paraId="7A1AD62B">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（三）运维期间，乙方应按安全生产有关规定，建立安全生产制度，切实消除安全隐患，否则，由此产生的安全问题的</w:t>
      </w:r>
      <w:r>
        <w:rPr>
          <w:rFonts w:hint="eastAsia" w:ascii="宋体" w:hAnsi="宋体" w:eastAsia="宋体" w:cs="宋体"/>
          <w:color w:val="auto"/>
          <w:sz w:val="21"/>
          <w:szCs w:val="21"/>
          <w:highlight w:val="none"/>
          <w:lang w:eastAsia="zh-CN"/>
        </w:rPr>
        <w:t>民事、行政、刑事等</w:t>
      </w:r>
      <w:r>
        <w:rPr>
          <w:rFonts w:hint="eastAsia" w:ascii="宋体" w:hAnsi="宋体" w:eastAsia="宋体" w:cs="宋体"/>
          <w:color w:val="auto"/>
          <w:sz w:val="21"/>
          <w:szCs w:val="21"/>
          <w:highlight w:val="none"/>
        </w:rPr>
        <w:t>法律责任和费用全部由乙方承担。</w:t>
      </w:r>
    </w:p>
    <w:p w14:paraId="26144D98">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（四）乙方提供的服务不符合采购文件、报价文件或本合同规定的，甲方有权解除合同，同时乙方按本合同总价5%的标准支付违约金，并赔偿给甲方造成的全部经济损失。</w:t>
      </w:r>
    </w:p>
    <w:p w14:paraId="1A1C390A">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（五）乙方违反本合同约定拒不整改的，甲方有权解除合同。</w:t>
      </w:r>
      <w:r>
        <w:rPr>
          <w:rFonts w:hint="eastAsia" w:ascii="宋体" w:hAnsi="宋体" w:eastAsia="宋体" w:cs="宋体"/>
          <w:color w:val="auto"/>
          <w:sz w:val="21"/>
          <w:szCs w:val="21"/>
          <w:highlight w:val="none"/>
          <w:lang w:eastAsia="zh-CN"/>
        </w:rPr>
        <w:t>乙方按本合同总价</w:t>
      </w:r>
      <w:r>
        <w:rPr>
          <w:rFonts w:hint="eastAsia" w:ascii="宋体" w:hAnsi="宋体" w:eastAsia="宋体" w:cs="宋体"/>
          <w:color w:val="auto"/>
          <w:sz w:val="21"/>
          <w:szCs w:val="21"/>
          <w:highlight w:val="none"/>
          <w:lang w:val="en-US" w:eastAsia="zh-CN"/>
        </w:rPr>
        <w:t>5%的标准支付违约金，并赔偿给甲方造成的全部经济损失。</w:t>
      </w:r>
    </w:p>
    <w:p w14:paraId="41B63D81">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（六）乙方未按合同要求支付过渡期间运维费用的，应</w:t>
      </w:r>
      <w:r>
        <w:rPr>
          <w:rFonts w:hint="eastAsia" w:ascii="宋体" w:hAnsi="宋体" w:eastAsia="宋体" w:cs="宋体"/>
          <w:color w:val="auto"/>
          <w:sz w:val="21"/>
          <w:szCs w:val="21"/>
          <w:highlight w:val="none"/>
          <w:lang w:eastAsia="zh-CN"/>
        </w:rPr>
        <w:t>按本合同总价</w:t>
      </w:r>
      <w:r>
        <w:rPr>
          <w:rFonts w:hint="eastAsia" w:ascii="宋体" w:hAnsi="宋体" w:eastAsia="宋体" w:cs="宋体"/>
          <w:color w:val="auto"/>
          <w:sz w:val="21"/>
          <w:szCs w:val="21"/>
          <w:highlight w:val="none"/>
          <w:lang w:val="en-US" w:eastAsia="zh-CN"/>
        </w:rPr>
        <w:t>5%的标准支付违约金，并继续承担相应付款责任。</w:t>
      </w:r>
    </w:p>
    <w:p w14:paraId="2F1B09B4">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七</w:t>
      </w:r>
      <w:r>
        <w:rPr>
          <w:rFonts w:hint="eastAsia" w:ascii="宋体" w:hAnsi="宋体" w:eastAsia="宋体" w:cs="宋体"/>
          <w:color w:val="auto"/>
          <w:sz w:val="21"/>
          <w:szCs w:val="21"/>
          <w:highlight w:val="none"/>
        </w:rPr>
        <w:t>）其它违约责任按《中华人民共和国民法典》处理。</w:t>
      </w:r>
    </w:p>
    <w:p w14:paraId="19E96832">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十一</w:t>
      </w:r>
      <w:r>
        <w:rPr>
          <w:rFonts w:hint="eastAsia" w:ascii="宋体" w:hAnsi="宋体" w:eastAsia="宋体" w:cs="宋体"/>
          <w:color w:val="auto"/>
          <w:sz w:val="21"/>
          <w:szCs w:val="21"/>
          <w:highlight w:val="none"/>
        </w:rPr>
        <w:t>、争端的解决</w:t>
      </w:r>
    </w:p>
    <w:p w14:paraId="79364034">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合同执行过程中发生的任何争议，若双方不能通过友好协商解决， 双方均可向甲方所在地有管辖权的人民法院起诉。</w:t>
      </w:r>
    </w:p>
    <w:p w14:paraId="7CD47662">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十二、不可抗力</w:t>
      </w:r>
    </w:p>
    <w:p w14:paraId="12395FC3">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由于不可抗力原因不能履行合同或未达到工作目标时，应在不可抗力事件发生后10日内向对方通报，以减轻可能给对方造成的损失，在取得有关机构的不可抗力证明或双方谅解确认后，允许延期履行或修订合同，并根据情况可部分或全部免于承担违约责任。</w:t>
      </w:r>
    </w:p>
    <w:p w14:paraId="014C52CD">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十三、税费</w:t>
      </w:r>
    </w:p>
    <w:p w14:paraId="7B8C0BE0">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在中国境内、外发生的与本合同执行有关的一切税费均由乙方负担。</w:t>
      </w:r>
    </w:p>
    <w:p w14:paraId="6F70184A">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十四、其它</w:t>
      </w:r>
    </w:p>
    <w:p w14:paraId="67D95FD6">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（一）本合同所有附件、采购文件、响应文件、中标通知书均为合同的有效组成部分，与本合同具有同等法律效力。</w:t>
      </w:r>
    </w:p>
    <w:p w14:paraId="0F8A44C6">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（二）在执行本合同的过程中，所有经双方签署确认的文件（包括会议纪要、补充协议、往来信函）即成为本合同的有效组成部分。</w:t>
      </w:r>
    </w:p>
    <w:p w14:paraId="6578D35D">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（三）双方因履行本合同而相互发出或者提供的所有通知、文件、资料，均以合同中所列明的地址、电话送达；如一方地址、电话有变更，应在变更当日内书面通知对方，否则，对对方不发生法律效力。</w:t>
      </w:r>
    </w:p>
    <w:p w14:paraId="14C4ABE9">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（四）除甲方事先书面同意外，乙方不得转让其应履行的合同项下的义务。</w:t>
      </w:r>
    </w:p>
    <w:p w14:paraId="3DF0BFC7">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十五、合同生效</w:t>
      </w:r>
    </w:p>
    <w:p w14:paraId="4A896A58">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（一）本合同在甲乙双方法人代表或委托代理人签字并盖章后生效。</w:t>
      </w:r>
    </w:p>
    <w:p w14:paraId="5B90204D">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（二）本合同一式八份，甲乙双方各执四份。以下无正文</w:t>
      </w:r>
    </w:p>
    <w:p w14:paraId="54A20C0B">
      <w:pPr>
        <w:keepNext w:val="0"/>
        <w:keepLines w:val="0"/>
        <w:pageBreakBefore w:val="0"/>
        <w:widowControl w:val="0"/>
        <w:tabs>
          <w:tab w:val="left" w:pos="4575"/>
        </w:tabs>
        <w:kinsoku w:val="0"/>
        <w:wordWrap/>
        <w:overflowPunct w:val="0"/>
        <w:topLinePunct w:val="0"/>
        <w:autoSpaceDE w:val="0"/>
        <w:autoSpaceDN w:val="0"/>
        <w:bidi w:val="0"/>
        <w:adjustRightInd w:val="0"/>
        <w:snapToGrid w:val="0"/>
        <w:spacing w:before="202" w:line="360" w:lineRule="auto"/>
        <w:ind w:left="220" w:right="0" w:firstLine="422" w:firstLineChars="200"/>
        <w:jc w:val="both"/>
        <w:textAlignment w:val="auto"/>
        <w:rPr>
          <w:rFonts w:hint="eastAsia" w:ascii="宋体" w:hAnsi="宋体" w:eastAsia="宋体" w:cs="宋体"/>
          <w:b/>
          <w:color w:val="auto"/>
          <w:sz w:val="21"/>
          <w:szCs w:val="21"/>
          <w:highlight w:val="none"/>
        </w:rPr>
      </w:pPr>
      <w:bookmarkStart w:id="68" w:name="甲方：                         乙方："/>
      <w:bookmarkEnd w:id="68"/>
    </w:p>
    <w:p w14:paraId="20656180">
      <w:pPr>
        <w:keepNext w:val="0"/>
        <w:keepLines w:val="0"/>
        <w:pageBreakBefore w:val="0"/>
        <w:widowControl w:val="0"/>
        <w:tabs>
          <w:tab w:val="left" w:pos="4575"/>
        </w:tabs>
        <w:kinsoku w:val="0"/>
        <w:wordWrap/>
        <w:overflowPunct w:val="0"/>
        <w:topLinePunct w:val="0"/>
        <w:autoSpaceDE w:val="0"/>
        <w:autoSpaceDN w:val="0"/>
        <w:bidi w:val="0"/>
        <w:adjustRightInd w:val="0"/>
        <w:snapToGrid w:val="0"/>
        <w:spacing w:before="202" w:line="360" w:lineRule="auto"/>
        <w:ind w:left="220" w:right="0"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甲方：</w:t>
      </w:r>
      <w:r>
        <w:rPr>
          <w:rFonts w:hint="eastAsia" w:ascii="宋体" w:hAnsi="宋体" w:eastAsia="宋体" w:cs="宋体"/>
          <w:b/>
          <w:color w:val="auto"/>
          <w:sz w:val="21"/>
          <w:szCs w:val="21"/>
          <w:highlight w:val="none"/>
        </w:rPr>
        <w:tab/>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乙方：</w:t>
      </w:r>
    </w:p>
    <w:p w14:paraId="723C944E">
      <w:pPr>
        <w:keepNext w:val="0"/>
        <w:keepLines w:val="0"/>
        <w:pageBreakBefore w:val="0"/>
        <w:widowControl w:val="0"/>
        <w:tabs>
          <w:tab w:val="left" w:pos="4575"/>
        </w:tabs>
        <w:kinsoku w:val="0"/>
        <w:wordWrap/>
        <w:overflowPunct w:val="0"/>
        <w:topLinePunct w:val="0"/>
        <w:autoSpaceDE w:val="0"/>
        <w:autoSpaceDN w:val="0"/>
        <w:bidi w:val="0"/>
        <w:adjustRightInd w:val="0"/>
        <w:snapToGrid w:val="0"/>
        <w:spacing w:before="200" w:line="360" w:lineRule="auto"/>
        <w:ind w:left="220" w:right="0" w:firstLine="422" w:firstLineChars="200"/>
        <w:jc w:val="both"/>
        <w:textAlignment w:val="auto"/>
        <w:rPr>
          <w:rFonts w:hint="eastAsia" w:ascii="宋体" w:hAnsi="宋体" w:eastAsia="宋体" w:cs="宋体"/>
          <w:b/>
          <w:color w:val="auto"/>
          <w:sz w:val="21"/>
          <w:szCs w:val="21"/>
          <w:highlight w:val="none"/>
        </w:rPr>
      </w:pPr>
      <w:bookmarkStart w:id="69" w:name="法定代表人                     法定代表人"/>
      <w:bookmarkEnd w:id="69"/>
      <w:r>
        <w:rPr>
          <w:rFonts w:hint="eastAsia" w:ascii="宋体" w:hAnsi="宋体" w:eastAsia="宋体" w:cs="宋体"/>
          <w:b/>
          <w:color w:val="auto"/>
          <w:sz w:val="21"/>
          <w:szCs w:val="21"/>
          <w:highlight w:val="none"/>
        </w:rPr>
        <w:t>法定代表人</w:t>
      </w:r>
      <w:r>
        <w:rPr>
          <w:rFonts w:hint="eastAsia" w:ascii="宋体" w:hAnsi="宋体" w:eastAsia="宋体" w:cs="宋体"/>
          <w:b/>
          <w:color w:val="auto"/>
          <w:sz w:val="21"/>
          <w:szCs w:val="21"/>
          <w:highlight w:val="none"/>
        </w:rPr>
        <w:tab/>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法定代表人</w:t>
      </w:r>
    </w:p>
    <w:p w14:paraId="454099E1">
      <w:pPr>
        <w:keepNext w:val="0"/>
        <w:keepLines w:val="0"/>
        <w:pageBreakBefore w:val="0"/>
        <w:widowControl w:val="0"/>
        <w:tabs>
          <w:tab w:val="left" w:pos="4575"/>
        </w:tabs>
        <w:kinsoku w:val="0"/>
        <w:wordWrap/>
        <w:overflowPunct w:val="0"/>
        <w:topLinePunct w:val="0"/>
        <w:autoSpaceDE w:val="0"/>
        <w:autoSpaceDN w:val="0"/>
        <w:bidi w:val="0"/>
        <w:adjustRightInd w:val="0"/>
        <w:snapToGrid w:val="0"/>
        <w:spacing w:before="201" w:line="360" w:lineRule="auto"/>
        <w:ind w:left="220" w:right="0" w:firstLine="422" w:firstLineChars="200"/>
        <w:jc w:val="both"/>
        <w:textAlignment w:val="auto"/>
        <w:rPr>
          <w:rFonts w:hint="eastAsia" w:ascii="宋体" w:hAnsi="宋体" w:eastAsia="宋体" w:cs="宋体"/>
          <w:b/>
          <w:color w:val="auto"/>
          <w:sz w:val="21"/>
          <w:szCs w:val="21"/>
          <w:highlight w:val="none"/>
        </w:rPr>
      </w:pPr>
      <w:bookmarkStart w:id="70" w:name="或委托代理人：                 或委托代理人："/>
      <w:bookmarkEnd w:id="70"/>
      <w:r>
        <w:rPr>
          <w:rFonts w:hint="eastAsia" w:ascii="宋体" w:hAnsi="宋体" w:eastAsia="宋体" w:cs="宋体"/>
          <w:b/>
          <w:color w:val="auto"/>
          <w:sz w:val="21"/>
          <w:szCs w:val="21"/>
          <w:highlight w:val="none"/>
        </w:rPr>
        <w:t>或委托代理人：</w:t>
      </w:r>
      <w:r>
        <w:rPr>
          <w:rFonts w:hint="eastAsia" w:ascii="宋体" w:hAnsi="宋体" w:eastAsia="宋体" w:cs="宋体"/>
          <w:b/>
          <w:color w:val="auto"/>
          <w:sz w:val="21"/>
          <w:szCs w:val="21"/>
          <w:highlight w:val="none"/>
        </w:rPr>
        <w:tab/>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或委托代理人：</w:t>
      </w:r>
    </w:p>
    <w:p w14:paraId="62B1DFC3">
      <w:pPr>
        <w:keepNext w:val="0"/>
        <w:keepLines w:val="0"/>
        <w:pageBreakBefore w:val="0"/>
        <w:widowControl w:val="0"/>
        <w:tabs>
          <w:tab w:val="left" w:pos="4575"/>
        </w:tabs>
        <w:kinsoku w:val="0"/>
        <w:wordWrap/>
        <w:overflowPunct w:val="0"/>
        <w:topLinePunct w:val="0"/>
        <w:autoSpaceDE w:val="0"/>
        <w:autoSpaceDN w:val="0"/>
        <w:bidi w:val="0"/>
        <w:adjustRightInd w:val="0"/>
        <w:snapToGrid w:val="0"/>
        <w:spacing w:before="203" w:line="360" w:lineRule="auto"/>
        <w:ind w:left="220" w:right="0" w:firstLine="422" w:firstLineChars="200"/>
        <w:jc w:val="both"/>
        <w:textAlignment w:val="auto"/>
        <w:rPr>
          <w:rFonts w:hint="eastAsia" w:ascii="宋体" w:hAnsi="宋体" w:eastAsia="宋体" w:cs="宋体"/>
          <w:b/>
          <w:color w:val="auto"/>
          <w:sz w:val="21"/>
          <w:szCs w:val="21"/>
          <w:highlight w:val="none"/>
        </w:rPr>
      </w:pPr>
      <w:bookmarkStart w:id="71" w:name="电 话：                        电 话："/>
      <w:bookmarkEnd w:id="71"/>
      <w:r>
        <w:rPr>
          <w:rFonts w:hint="eastAsia" w:ascii="宋体" w:hAnsi="宋体" w:eastAsia="宋体" w:cs="宋体"/>
          <w:b/>
          <w:color w:val="auto"/>
          <w:sz w:val="21"/>
          <w:szCs w:val="21"/>
          <w:highlight w:val="none"/>
        </w:rPr>
        <w:t>电</w:t>
      </w:r>
      <w:r>
        <w:rPr>
          <w:rFonts w:hint="eastAsia" w:ascii="宋体" w:hAnsi="宋体" w:eastAsia="宋体" w:cs="宋体"/>
          <w:b/>
          <w:color w:val="auto"/>
          <w:spacing w:val="-4"/>
          <w:sz w:val="21"/>
          <w:szCs w:val="21"/>
          <w:highlight w:val="none"/>
        </w:rPr>
        <w:t xml:space="preserve"> </w:t>
      </w:r>
      <w:r>
        <w:rPr>
          <w:rFonts w:hint="eastAsia" w:ascii="宋体" w:hAnsi="宋体" w:eastAsia="宋体" w:cs="宋体"/>
          <w:b/>
          <w:color w:val="auto"/>
          <w:sz w:val="21"/>
          <w:szCs w:val="21"/>
          <w:highlight w:val="none"/>
        </w:rPr>
        <w:t>话：</w:t>
      </w:r>
      <w:r>
        <w:rPr>
          <w:rFonts w:hint="eastAsia" w:ascii="宋体" w:hAnsi="宋体" w:eastAsia="宋体" w:cs="宋体"/>
          <w:b/>
          <w:color w:val="auto"/>
          <w:sz w:val="21"/>
          <w:szCs w:val="21"/>
          <w:highlight w:val="none"/>
        </w:rPr>
        <w:tab/>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电</w:t>
      </w:r>
      <w:r>
        <w:rPr>
          <w:rFonts w:hint="eastAsia" w:ascii="宋体" w:hAnsi="宋体" w:eastAsia="宋体" w:cs="宋体"/>
          <w:b/>
          <w:color w:val="auto"/>
          <w:spacing w:val="-1"/>
          <w:sz w:val="21"/>
          <w:szCs w:val="21"/>
          <w:highlight w:val="none"/>
        </w:rPr>
        <w:t xml:space="preserve"> </w:t>
      </w:r>
      <w:r>
        <w:rPr>
          <w:rFonts w:hint="eastAsia" w:ascii="宋体" w:hAnsi="宋体" w:eastAsia="宋体" w:cs="宋体"/>
          <w:b/>
          <w:color w:val="auto"/>
          <w:sz w:val="21"/>
          <w:szCs w:val="21"/>
          <w:highlight w:val="none"/>
        </w:rPr>
        <w:t>话：</w:t>
      </w:r>
    </w:p>
    <w:p w14:paraId="1D65A67E">
      <w:pPr>
        <w:keepNext w:val="0"/>
        <w:keepLines w:val="0"/>
        <w:pageBreakBefore w:val="0"/>
        <w:widowControl w:val="0"/>
        <w:tabs>
          <w:tab w:val="left" w:pos="4575"/>
        </w:tabs>
        <w:kinsoku w:val="0"/>
        <w:wordWrap/>
        <w:overflowPunct w:val="0"/>
        <w:topLinePunct w:val="0"/>
        <w:autoSpaceDE w:val="0"/>
        <w:autoSpaceDN w:val="0"/>
        <w:bidi w:val="0"/>
        <w:adjustRightInd w:val="0"/>
        <w:snapToGrid w:val="0"/>
        <w:spacing w:before="200" w:line="360" w:lineRule="auto"/>
        <w:ind w:left="220" w:right="0"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地</w:t>
      </w:r>
      <w:r>
        <w:rPr>
          <w:rFonts w:hint="eastAsia" w:ascii="宋体" w:hAnsi="宋体" w:eastAsia="宋体" w:cs="宋体"/>
          <w:b/>
          <w:color w:val="auto"/>
          <w:spacing w:val="-4"/>
          <w:sz w:val="21"/>
          <w:szCs w:val="21"/>
          <w:highlight w:val="none"/>
        </w:rPr>
        <w:t xml:space="preserve"> </w:t>
      </w:r>
      <w:r>
        <w:rPr>
          <w:rFonts w:hint="eastAsia" w:ascii="宋体" w:hAnsi="宋体" w:eastAsia="宋体" w:cs="宋体"/>
          <w:b/>
          <w:color w:val="auto"/>
          <w:sz w:val="21"/>
          <w:szCs w:val="21"/>
          <w:highlight w:val="none"/>
        </w:rPr>
        <w:t>址：</w:t>
      </w:r>
      <w:r>
        <w:rPr>
          <w:rFonts w:hint="eastAsia" w:ascii="宋体" w:hAnsi="宋体" w:eastAsia="宋体" w:cs="宋体"/>
          <w:b/>
          <w:color w:val="auto"/>
          <w:sz w:val="21"/>
          <w:szCs w:val="21"/>
          <w:highlight w:val="none"/>
        </w:rPr>
        <w:tab/>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地</w:t>
      </w:r>
      <w:r>
        <w:rPr>
          <w:rFonts w:hint="eastAsia" w:ascii="宋体" w:hAnsi="宋体" w:eastAsia="宋体" w:cs="宋体"/>
          <w:b/>
          <w:color w:val="auto"/>
          <w:spacing w:val="-1"/>
          <w:sz w:val="21"/>
          <w:szCs w:val="21"/>
          <w:highlight w:val="none"/>
        </w:rPr>
        <w:t xml:space="preserve"> </w:t>
      </w:r>
      <w:r>
        <w:rPr>
          <w:rFonts w:hint="eastAsia" w:ascii="宋体" w:hAnsi="宋体" w:eastAsia="宋体" w:cs="宋体"/>
          <w:b/>
          <w:color w:val="auto"/>
          <w:sz w:val="21"/>
          <w:szCs w:val="21"/>
          <w:highlight w:val="none"/>
        </w:rPr>
        <w:t>址：</w:t>
      </w:r>
    </w:p>
    <w:p w14:paraId="29F04B30">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both"/>
        <w:textAlignment w:val="auto"/>
        <w:rPr>
          <w:rFonts w:hint="eastAsia" w:ascii="宋体" w:hAnsi="宋体" w:eastAsia="宋体" w:cs="宋体"/>
          <w:b/>
          <w:color w:val="auto"/>
          <w:sz w:val="21"/>
          <w:szCs w:val="21"/>
          <w:highlight w:val="none"/>
        </w:rPr>
      </w:pPr>
    </w:p>
    <w:p w14:paraId="50AC8014">
      <w:pPr>
        <w:keepNext w:val="0"/>
        <w:keepLines w:val="0"/>
        <w:pageBreakBefore w:val="0"/>
        <w:widowControl w:val="0"/>
        <w:tabs>
          <w:tab w:val="left" w:pos="4575"/>
        </w:tabs>
        <w:kinsoku w:val="0"/>
        <w:wordWrap/>
        <w:overflowPunct w:val="0"/>
        <w:topLinePunct w:val="0"/>
        <w:autoSpaceDE w:val="0"/>
        <w:autoSpaceDN w:val="0"/>
        <w:bidi w:val="0"/>
        <w:adjustRightInd w:val="0"/>
        <w:snapToGrid w:val="0"/>
        <w:spacing w:before="0" w:line="360" w:lineRule="auto"/>
        <w:ind w:left="220" w:right="0"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日</w:t>
      </w:r>
      <w:r>
        <w:rPr>
          <w:rFonts w:hint="eastAsia" w:ascii="宋体" w:hAnsi="宋体" w:eastAsia="宋体" w:cs="宋体"/>
          <w:b/>
          <w:color w:val="auto"/>
          <w:spacing w:val="-4"/>
          <w:sz w:val="21"/>
          <w:szCs w:val="21"/>
          <w:highlight w:val="none"/>
        </w:rPr>
        <w:t xml:space="preserve"> </w:t>
      </w:r>
      <w:r>
        <w:rPr>
          <w:rFonts w:hint="eastAsia" w:ascii="宋体" w:hAnsi="宋体" w:eastAsia="宋体" w:cs="宋体"/>
          <w:b/>
          <w:color w:val="auto"/>
          <w:sz w:val="21"/>
          <w:szCs w:val="21"/>
          <w:highlight w:val="none"/>
        </w:rPr>
        <w:t>期：</w:t>
      </w:r>
      <w:r>
        <w:rPr>
          <w:rFonts w:hint="eastAsia" w:ascii="宋体" w:hAnsi="宋体" w:eastAsia="宋体" w:cs="宋体"/>
          <w:b/>
          <w:color w:val="auto"/>
          <w:sz w:val="21"/>
          <w:szCs w:val="21"/>
          <w:highlight w:val="none"/>
        </w:rPr>
        <w:tab/>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日</w:t>
      </w:r>
      <w:r>
        <w:rPr>
          <w:rFonts w:hint="eastAsia" w:ascii="宋体" w:hAnsi="宋体" w:eastAsia="宋体" w:cs="宋体"/>
          <w:b/>
          <w:color w:val="auto"/>
          <w:spacing w:val="-1"/>
          <w:sz w:val="21"/>
          <w:szCs w:val="21"/>
          <w:highlight w:val="none"/>
        </w:rPr>
        <w:t xml:space="preserve"> </w:t>
      </w:r>
      <w:r>
        <w:rPr>
          <w:rFonts w:hint="eastAsia" w:ascii="宋体" w:hAnsi="宋体" w:eastAsia="宋体" w:cs="宋体"/>
          <w:b/>
          <w:color w:val="auto"/>
          <w:sz w:val="21"/>
          <w:szCs w:val="21"/>
          <w:highlight w:val="none"/>
        </w:rPr>
        <w:t>期：</w:t>
      </w:r>
    </w:p>
    <w:p w14:paraId="27E3E2DA">
      <w:pPr>
        <w:keepNext w:val="0"/>
        <w:keepLines w:val="0"/>
        <w:pageBreakBefore w:val="0"/>
        <w:widowControl w:val="0"/>
        <w:kinsoku w:val="0"/>
        <w:wordWrap/>
        <w:overflowPunct w:val="0"/>
        <w:topLinePunct w:val="0"/>
        <w:autoSpaceDE w:val="0"/>
        <w:autoSpaceDN w:val="0"/>
        <w:bidi w:val="0"/>
        <w:adjustRightInd w:val="0"/>
        <w:snapToGrid w:val="0"/>
        <w:spacing w:after="0" w:line="360" w:lineRule="auto"/>
        <w:jc w:val="both"/>
        <w:textAlignment w:val="auto"/>
        <w:rPr>
          <w:rFonts w:hint="eastAsia" w:ascii="宋体" w:hAnsi="宋体" w:eastAsia="宋体" w:cs="宋体"/>
          <w:color w:val="auto"/>
          <w:sz w:val="21"/>
          <w:szCs w:val="21"/>
          <w:highlight w:val="none"/>
        </w:rPr>
        <w:sectPr>
          <w:headerReference r:id="rId6" w:type="default"/>
          <w:footerReference r:id="rId7" w:type="default"/>
          <w:pgSz w:w="11910" w:h="16840"/>
          <w:pgMar w:top="1440" w:right="1080" w:bottom="1440" w:left="1080" w:header="891" w:footer="974" w:gutter="0"/>
          <w:pgNumType w:fmt="decimal"/>
          <w:cols w:space="720" w:num="1"/>
        </w:sectPr>
      </w:pPr>
    </w:p>
    <w:p w14:paraId="67046D8F">
      <w:pPr>
        <w:keepNext w:val="0"/>
        <w:keepLines w:val="0"/>
        <w:pageBreakBefore w:val="0"/>
        <w:widowControl w:val="0"/>
        <w:tabs>
          <w:tab w:val="left" w:pos="860"/>
        </w:tabs>
        <w:kinsoku/>
        <w:wordWrap/>
        <w:overflowPunct/>
        <w:topLinePunct w:val="0"/>
        <w:bidi w:val="0"/>
        <w:adjustRightInd/>
        <w:snapToGrid/>
        <w:spacing w:before="140"/>
        <w:ind w:left="220" w:right="0" w:firstLine="0"/>
        <w:jc w:val="both"/>
        <w:textAlignment w:val="auto"/>
        <w:rPr>
          <w:rFonts w:hint="eastAsia" w:ascii="黑体" w:eastAsia="黑体"/>
          <w:color w:val="auto"/>
          <w:sz w:val="32"/>
          <w:highlight w:val="none"/>
        </w:rPr>
      </w:pPr>
      <w:r>
        <w:rPr>
          <w:rFonts w:hint="eastAsia" w:ascii="黑体" w:eastAsia="黑体"/>
          <w:color w:val="auto"/>
          <w:sz w:val="32"/>
          <w:highlight w:val="none"/>
        </w:rPr>
        <w:t>附</w:t>
      </w:r>
      <w:r>
        <w:rPr>
          <w:rFonts w:hint="eastAsia" w:ascii="黑体" w:eastAsia="黑体"/>
          <w:color w:val="auto"/>
          <w:sz w:val="32"/>
          <w:highlight w:val="none"/>
        </w:rPr>
        <w:tab/>
      </w:r>
      <w:r>
        <w:rPr>
          <w:rFonts w:hint="eastAsia" w:ascii="黑体" w:eastAsia="黑体"/>
          <w:color w:val="auto"/>
          <w:sz w:val="32"/>
          <w:highlight w:val="none"/>
        </w:rPr>
        <w:t>表</w:t>
      </w:r>
    </w:p>
    <w:p w14:paraId="445D37DB">
      <w:pPr>
        <w:pStyle w:val="5"/>
        <w:keepNext w:val="0"/>
        <w:keepLines w:val="0"/>
        <w:pageBreakBefore w:val="0"/>
        <w:widowControl w:val="0"/>
        <w:kinsoku/>
        <w:wordWrap/>
        <w:overflowPunct/>
        <w:topLinePunct w:val="0"/>
        <w:bidi w:val="0"/>
        <w:adjustRightInd/>
        <w:snapToGrid/>
        <w:ind w:left="220"/>
        <w:jc w:val="both"/>
        <w:textAlignment w:val="auto"/>
        <w:rPr>
          <w:color w:val="auto"/>
          <w:sz w:val="20"/>
          <w:highlight w:val="none"/>
        </w:rPr>
      </w:pPr>
      <w:r>
        <w:rPr>
          <w:color w:val="auto"/>
          <w:highlight w:val="none"/>
        </w:rPr>
        <w:t>考核内容要求：</w:t>
      </w:r>
    </w:p>
    <w:tbl>
      <w:tblPr>
        <w:tblStyle w:val="16"/>
        <w:tblW w:w="9749"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6"/>
        <w:gridCol w:w="4616"/>
        <w:gridCol w:w="4437"/>
      </w:tblGrid>
      <w:tr w14:paraId="33566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96" w:type="dxa"/>
            <w:noWrap w:val="0"/>
            <w:vAlign w:val="center"/>
          </w:tcPr>
          <w:p w14:paraId="0FAEBE4B">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w:t>
            </w:r>
          </w:p>
        </w:tc>
        <w:tc>
          <w:tcPr>
            <w:tcW w:w="4616" w:type="dxa"/>
            <w:noWrap w:val="0"/>
            <w:vAlign w:val="center"/>
          </w:tcPr>
          <w:p w14:paraId="34211D86">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内 容</w:t>
            </w:r>
          </w:p>
        </w:tc>
        <w:tc>
          <w:tcPr>
            <w:tcW w:w="4437" w:type="dxa"/>
            <w:noWrap w:val="0"/>
            <w:vAlign w:val="center"/>
          </w:tcPr>
          <w:p w14:paraId="37165B5B">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要求</w:t>
            </w:r>
          </w:p>
        </w:tc>
      </w:tr>
      <w:tr w14:paraId="1DA17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96" w:type="dxa"/>
            <w:vMerge w:val="restart"/>
            <w:noWrap w:val="0"/>
            <w:vAlign w:val="center"/>
          </w:tcPr>
          <w:p w14:paraId="608F0D99">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数</w:t>
            </w:r>
          </w:p>
          <w:p w14:paraId="14C2D13B">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据</w:t>
            </w:r>
          </w:p>
          <w:p w14:paraId="71657F8D">
            <w:pPr>
              <w:pStyle w:val="5"/>
              <w:bidi w:val="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总</w:t>
            </w:r>
          </w:p>
          <w:p w14:paraId="317571C8">
            <w:pPr>
              <w:pStyle w:val="5"/>
              <w:bidi w:val="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上</w:t>
            </w:r>
          </w:p>
          <w:p w14:paraId="569CC82B">
            <w:pPr>
              <w:pStyle w:val="5"/>
              <w:bidi w:val="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传</w:t>
            </w:r>
          </w:p>
          <w:p w14:paraId="0A00700B">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率</w:t>
            </w:r>
          </w:p>
        </w:tc>
        <w:tc>
          <w:tcPr>
            <w:tcW w:w="4616" w:type="dxa"/>
            <w:noWrap w:val="0"/>
            <w:vAlign w:val="center"/>
          </w:tcPr>
          <w:p w14:paraId="58A27805">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月监测数据</w:t>
            </w:r>
            <w:r>
              <w:rPr>
                <w:rFonts w:hint="eastAsia" w:ascii="宋体" w:hAnsi="宋体" w:eastAsia="宋体" w:cs="宋体"/>
                <w:color w:val="auto"/>
                <w:sz w:val="21"/>
                <w:szCs w:val="21"/>
                <w:lang w:eastAsia="zh-CN"/>
              </w:rPr>
              <w:t>总上传率</w:t>
            </w:r>
            <w:r>
              <w:rPr>
                <w:rFonts w:hint="eastAsia" w:ascii="宋体" w:hAnsi="宋体" w:eastAsia="宋体" w:cs="宋体"/>
                <w:color w:val="auto"/>
                <w:sz w:val="21"/>
                <w:szCs w:val="21"/>
              </w:rPr>
              <w:t xml:space="preserve">在 </w:t>
            </w:r>
            <w:r>
              <w:rPr>
                <w:rFonts w:hint="eastAsia" w:ascii="宋体" w:hAnsi="宋体" w:eastAsia="宋体" w:cs="宋体"/>
                <w:color w:val="auto"/>
                <w:sz w:val="21"/>
                <w:szCs w:val="21"/>
                <w:lang w:val="en-US" w:eastAsia="zh-CN"/>
              </w:rPr>
              <w:t>90</w:t>
            </w:r>
            <w:r>
              <w:rPr>
                <w:rFonts w:hint="eastAsia" w:ascii="宋体" w:hAnsi="宋体" w:eastAsia="宋体" w:cs="宋体"/>
                <w:color w:val="auto"/>
                <w:sz w:val="21"/>
                <w:szCs w:val="21"/>
              </w:rPr>
              <w:t>%以上（含</w:t>
            </w:r>
            <w:r>
              <w:rPr>
                <w:rFonts w:hint="eastAsia" w:ascii="宋体" w:hAnsi="宋体" w:eastAsia="宋体" w:cs="宋体"/>
                <w:color w:val="auto"/>
                <w:sz w:val="21"/>
                <w:szCs w:val="21"/>
                <w:lang w:val="en-US" w:eastAsia="zh-CN"/>
              </w:rPr>
              <w:t>90</w:t>
            </w:r>
            <w:r>
              <w:rPr>
                <w:rFonts w:hint="eastAsia" w:ascii="宋体" w:hAnsi="宋体" w:eastAsia="宋体" w:cs="宋体"/>
                <w:color w:val="auto"/>
                <w:sz w:val="21"/>
                <w:szCs w:val="21"/>
              </w:rPr>
              <w:t>%）</w:t>
            </w:r>
          </w:p>
        </w:tc>
        <w:tc>
          <w:tcPr>
            <w:tcW w:w="4437" w:type="dxa"/>
            <w:noWrap w:val="0"/>
            <w:vAlign w:val="center"/>
          </w:tcPr>
          <w:p w14:paraId="3FE51AA3">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全额支付当月运维费用</w:t>
            </w:r>
          </w:p>
        </w:tc>
      </w:tr>
      <w:tr w14:paraId="1E0A6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696" w:type="dxa"/>
            <w:vMerge w:val="continue"/>
            <w:tcBorders>
              <w:top w:val="nil"/>
            </w:tcBorders>
            <w:noWrap w:val="0"/>
            <w:vAlign w:val="center"/>
          </w:tcPr>
          <w:p w14:paraId="0125E418">
            <w:pPr>
              <w:pStyle w:val="5"/>
              <w:bidi w:val="0"/>
              <w:jc w:val="center"/>
              <w:rPr>
                <w:rFonts w:hint="eastAsia" w:ascii="宋体" w:hAnsi="宋体" w:eastAsia="宋体" w:cs="宋体"/>
                <w:color w:val="auto"/>
                <w:sz w:val="21"/>
                <w:szCs w:val="21"/>
              </w:rPr>
            </w:pPr>
          </w:p>
        </w:tc>
        <w:tc>
          <w:tcPr>
            <w:tcW w:w="4616" w:type="dxa"/>
            <w:noWrap w:val="0"/>
            <w:vAlign w:val="center"/>
          </w:tcPr>
          <w:p w14:paraId="39533A0B">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月监测数据</w:t>
            </w:r>
            <w:r>
              <w:rPr>
                <w:rFonts w:hint="eastAsia" w:ascii="宋体" w:hAnsi="宋体" w:eastAsia="宋体" w:cs="宋体"/>
                <w:color w:val="auto"/>
                <w:sz w:val="21"/>
                <w:szCs w:val="21"/>
                <w:lang w:eastAsia="zh-CN"/>
              </w:rPr>
              <w:t>总上传率</w:t>
            </w:r>
            <w:r>
              <w:rPr>
                <w:rFonts w:hint="eastAsia" w:ascii="宋体" w:hAnsi="宋体" w:eastAsia="宋体" w:cs="宋体"/>
                <w:color w:val="auto"/>
                <w:sz w:val="21"/>
                <w:szCs w:val="21"/>
              </w:rPr>
              <w:t xml:space="preserve"> 8</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90</w:t>
            </w:r>
            <w:r>
              <w:rPr>
                <w:rFonts w:hint="eastAsia" w:ascii="宋体" w:hAnsi="宋体" w:eastAsia="宋体" w:cs="宋体"/>
                <w:color w:val="auto"/>
                <w:sz w:val="21"/>
                <w:szCs w:val="21"/>
              </w:rPr>
              <w:t>%（含</w:t>
            </w:r>
            <w:r>
              <w:rPr>
                <w:rFonts w:hint="eastAsia" w:ascii="宋体" w:hAnsi="宋体" w:eastAsia="宋体" w:cs="宋体"/>
                <w:color w:val="auto"/>
                <w:sz w:val="21"/>
                <w:szCs w:val="21"/>
                <w:lang w:val="en-US" w:eastAsia="zh-CN"/>
              </w:rPr>
              <w:t>89</w:t>
            </w:r>
            <w:r>
              <w:rPr>
                <w:rFonts w:hint="eastAsia" w:ascii="宋体" w:hAnsi="宋体" w:eastAsia="宋体" w:cs="宋体"/>
                <w:color w:val="auto"/>
                <w:sz w:val="21"/>
                <w:szCs w:val="21"/>
              </w:rPr>
              <w:t>%）</w:t>
            </w:r>
          </w:p>
        </w:tc>
        <w:tc>
          <w:tcPr>
            <w:tcW w:w="4437" w:type="dxa"/>
            <w:noWrap w:val="0"/>
            <w:vAlign w:val="center"/>
          </w:tcPr>
          <w:p w14:paraId="2D7D6B5E">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扣减合同总额的千分之五</w:t>
            </w:r>
          </w:p>
        </w:tc>
      </w:tr>
      <w:tr w14:paraId="40889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696" w:type="dxa"/>
            <w:vMerge w:val="continue"/>
            <w:tcBorders>
              <w:top w:val="nil"/>
            </w:tcBorders>
            <w:noWrap w:val="0"/>
            <w:vAlign w:val="center"/>
          </w:tcPr>
          <w:p w14:paraId="522606E4">
            <w:pPr>
              <w:pStyle w:val="5"/>
              <w:bidi w:val="0"/>
              <w:jc w:val="center"/>
              <w:rPr>
                <w:rFonts w:hint="eastAsia" w:ascii="宋体" w:hAnsi="宋体" w:eastAsia="宋体" w:cs="宋体"/>
                <w:color w:val="auto"/>
                <w:sz w:val="21"/>
                <w:szCs w:val="21"/>
              </w:rPr>
            </w:pPr>
          </w:p>
        </w:tc>
        <w:tc>
          <w:tcPr>
            <w:tcW w:w="4616" w:type="dxa"/>
            <w:noWrap w:val="0"/>
            <w:vAlign w:val="center"/>
          </w:tcPr>
          <w:p w14:paraId="082C6F01">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月监测数据</w:t>
            </w:r>
            <w:r>
              <w:rPr>
                <w:rFonts w:hint="eastAsia" w:ascii="宋体" w:hAnsi="宋体" w:eastAsia="宋体" w:cs="宋体"/>
                <w:color w:val="auto"/>
                <w:sz w:val="21"/>
                <w:szCs w:val="21"/>
                <w:lang w:eastAsia="zh-CN"/>
              </w:rPr>
              <w:t>总上传率</w:t>
            </w:r>
            <w:r>
              <w:rPr>
                <w:rFonts w:hint="eastAsia" w:ascii="宋体" w:hAnsi="宋体" w:eastAsia="宋体" w:cs="宋体"/>
                <w:color w:val="auto"/>
                <w:sz w:val="21"/>
                <w:szCs w:val="21"/>
              </w:rPr>
              <w:t xml:space="preserve"> 8</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%-8</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%（含8</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w:t>
            </w:r>
          </w:p>
        </w:tc>
        <w:tc>
          <w:tcPr>
            <w:tcW w:w="4437" w:type="dxa"/>
            <w:noWrap w:val="0"/>
            <w:vAlign w:val="center"/>
          </w:tcPr>
          <w:p w14:paraId="5AD566D0">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扣减合同总额的千分之十</w:t>
            </w:r>
          </w:p>
        </w:tc>
      </w:tr>
      <w:tr w14:paraId="3D79B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96" w:type="dxa"/>
            <w:vMerge w:val="continue"/>
            <w:tcBorders>
              <w:top w:val="nil"/>
            </w:tcBorders>
            <w:noWrap w:val="0"/>
            <w:vAlign w:val="center"/>
          </w:tcPr>
          <w:p w14:paraId="63A50F52">
            <w:pPr>
              <w:pStyle w:val="5"/>
              <w:bidi w:val="0"/>
              <w:jc w:val="center"/>
              <w:rPr>
                <w:rFonts w:hint="eastAsia" w:ascii="宋体" w:hAnsi="宋体" w:eastAsia="宋体" w:cs="宋体"/>
                <w:color w:val="auto"/>
                <w:sz w:val="21"/>
                <w:szCs w:val="21"/>
              </w:rPr>
            </w:pPr>
          </w:p>
        </w:tc>
        <w:tc>
          <w:tcPr>
            <w:tcW w:w="4616" w:type="dxa"/>
            <w:noWrap w:val="0"/>
            <w:vAlign w:val="center"/>
          </w:tcPr>
          <w:p w14:paraId="2E571749">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月监测数据</w:t>
            </w:r>
            <w:r>
              <w:rPr>
                <w:rFonts w:hint="eastAsia" w:ascii="宋体" w:hAnsi="宋体" w:eastAsia="宋体" w:cs="宋体"/>
                <w:color w:val="auto"/>
                <w:sz w:val="21"/>
                <w:szCs w:val="21"/>
                <w:lang w:eastAsia="zh-CN"/>
              </w:rPr>
              <w:t>总上传率</w:t>
            </w:r>
            <w:r>
              <w:rPr>
                <w:rFonts w:hint="eastAsia" w:ascii="宋体" w:hAnsi="宋体" w:eastAsia="宋体" w:cs="宋体"/>
                <w:color w:val="auto"/>
                <w:sz w:val="21"/>
                <w:szCs w:val="21"/>
              </w:rPr>
              <w:t xml:space="preserve"> 8</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%-8</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%（含8</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w:t>
            </w:r>
          </w:p>
        </w:tc>
        <w:tc>
          <w:tcPr>
            <w:tcW w:w="4437" w:type="dxa"/>
            <w:noWrap w:val="0"/>
            <w:vAlign w:val="center"/>
          </w:tcPr>
          <w:p w14:paraId="2F902250">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扣减合同总额的千分之十五</w:t>
            </w:r>
          </w:p>
        </w:tc>
      </w:tr>
      <w:tr w14:paraId="11EE2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696" w:type="dxa"/>
            <w:vMerge w:val="continue"/>
            <w:tcBorders>
              <w:top w:val="nil"/>
            </w:tcBorders>
            <w:noWrap w:val="0"/>
            <w:vAlign w:val="center"/>
          </w:tcPr>
          <w:p w14:paraId="331AD9CA">
            <w:pPr>
              <w:pStyle w:val="5"/>
              <w:bidi w:val="0"/>
              <w:jc w:val="center"/>
              <w:rPr>
                <w:rFonts w:hint="eastAsia" w:ascii="宋体" w:hAnsi="宋体" w:eastAsia="宋体" w:cs="宋体"/>
                <w:color w:val="auto"/>
                <w:sz w:val="21"/>
                <w:szCs w:val="21"/>
              </w:rPr>
            </w:pPr>
          </w:p>
        </w:tc>
        <w:tc>
          <w:tcPr>
            <w:tcW w:w="4616" w:type="dxa"/>
            <w:noWrap w:val="0"/>
            <w:vAlign w:val="center"/>
          </w:tcPr>
          <w:p w14:paraId="24B106FC">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月监测数据</w:t>
            </w:r>
            <w:r>
              <w:rPr>
                <w:rFonts w:hint="eastAsia" w:ascii="宋体" w:hAnsi="宋体" w:eastAsia="宋体" w:cs="宋体"/>
                <w:color w:val="auto"/>
                <w:sz w:val="21"/>
                <w:szCs w:val="21"/>
                <w:lang w:eastAsia="zh-CN"/>
              </w:rPr>
              <w:t>总上传率</w:t>
            </w:r>
            <w:r>
              <w:rPr>
                <w:rFonts w:hint="eastAsia" w:ascii="宋体" w:hAnsi="宋体" w:eastAsia="宋体" w:cs="宋体"/>
                <w:color w:val="auto"/>
                <w:sz w:val="21"/>
                <w:szCs w:val="21"/>
              </w:rPr>
              <w:t xml:space="preserve"> 8</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%-8</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%（含8</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w:t>
            </w:r>
          </w:p>
        </w:tc>
        <w:tc>
          <w:tcPr>
            <w:tcW w:w="4437" w:type="dxa"/>
            <w:noWrap w:val="0"/>
            <w:vAlign w:val="center"/>
          </w:tcPr>
          <w:p w14:paraId="65DD12E3">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扣减合同总额的千分之二十</w:t>
            </w:r>
          </w:p>
        </w:tc>
      </w:tr>
      <w:tr w14:paraId="2544D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96" w:type="dxa"/>
            <w:vMerge w:val="continue"/>
            <w:tcBorders>
              <w:top w:val="nil"/>
            </w:tcBorders>
            <w:noWrap w:val="0"/>
            <w:vAlign w:val="center"/>
          </w:tcPr>
          <w:p w14:paraId="60743561">
            <w:pPr>
              <w:pStyle w:val="5"/>
              <w:bidi w:val="0"/>
              <w:jc w:val="center"/>
              <w:rPr>
                <w:rFonts w:hint="eastAsia" w:ascii="宋体" w:hAnsi="宋体" w:eastAsia="宋体" w:cs="宋体"/>
                <w:color w:val="auto"/>
                <w:sz w:val="21"/>
                <w:szCs w:val="21"/>
              </w:rPr>
            </w:pPr>
          </w:p>
        </w:tc>
        <w:tc>
          <w:tcPr>
            <w:tcW w:w="4616" w:type="dxa"/>
            <w:noWrap w:val="0"/>
            <w:vAlign w:val="center"/>
          </w:tcPr>
          <w:p w14:paraId="4DABEF9D">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月监测数据</w:t>
            </w:r>
            <w:r>
              <w:rPr>
                <w:rFonts w:hint="eastAsia" w:ascii="宋体" w:hAnsi="宋体" w:eastAsia="宋体" w:cs="宋体"/>
                <w:color w:val="auto"/>
                <w:sz w:val="21"/>
                <w:szCs w:val="21"/>
                <w:lang w:eastAsia="zh-CN"/>
              </w:rPr>
              <w:t>总上传率</w:t>
            </w:r>
            <w:r>
              <w:rPr>
                <w:rFonts w:hint="eastAsia" w:ascii="宋体" w:hAnsi="宋体" w:eastAsia="宋体" w:cs="宋体"/>
                <w:color w:val="auto"/>
                <w:sz w:val="21"/>
                <w:szCs w:val="21"/>
              </w:rPr>
              <w:t xml:space="preserve"> 8</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%-8</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%（含8</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p>
        </w:tc>
        <w:tc>
          <w:tcPr>
            <w:tcW w:w="4437" w:type="dxa"/>
            <w:noWrap w:val="0"/>
            <w:vAlign w:val="center"/>
          </w:tcPr>
          <w:p w14:paraId="00B58E3A">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扣减合同总额的千分之二十五</w:t>
            </w:r>
          </w:p>
        </w:tc>
      </w:tr>
      <w:tr w14:paraId="225DE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696" w:type="dxa"/>
            <w:vMerge w:val="continue"/>
            <w:tcBorders>
              <w:top w:val="nil"/>
            </w:tcBorders>
            <w:noWrap w:val="0"/>
            <w:vAlign w:val="center"/>
          </w:tcPr>
          <w:p w14:paraId="437A9FF0">
            <w:pPr>
              <w:pStyle w:val="5"/>
              <w:bidi w:val="0"/>
              <w:jc w:val="center"/>
              <w:rPr>
                <w:rFonts w:hint="eastAsia" w:ascii="宋体" w:hAnsi="宋体" w:eastAsia="宋体" w:cs="宋体"/>
                <w:color w:val="auto"/>
                <w:sz w:val="21"/>
                <w:szCs w:val="21"/>
              </w:rPr>
            </w:pPr>
          </w:p>
        </w:tc>
        <w:tc>
          <w:tcPr>
            <w:tcW w:w="4616" w:type="dxa"/>
            <w:noWrap w:val="0"/>
            <w:vAlign w:val="center"/>
          </w:tcPr>
          <w:p w14:paraId="12698DBC">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月监测数据</w:t>
            </w:r>
            <w:r>
              <w:rPr>
                <w:rFonts w:hint="eastAsia" w:ascii="宋体" w:hAnsi="宋体" w:eastAsia="宋体" w:cs="宋体"/>
                <w:color w:val="auto"/>
                <w:sz w:val="21"/>
                <w:szCs w:val="21"/>
                <w:lang w:eastAsia="zh-CN"/>
              </w:rPr>
              <w:t>总上传率</w:t>
            </w:r>
            <w:r>
              <w:rPr>
                <w:rFonts w:hint="eastAsia" w:ascii="宋体" w:hAnsi="宋体" w:eastAsia="宋体" w:cs="宋体"/>
                <w:color w:val="auto"/>
                <w:sz w:val="21"/>
                <w:szCs w:val="21"/>
              </w:rPr>
              <w:t>低于 8</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p>
        </w:tc>
        <w:tc>
          <w:tcPr>
            <w:tcW w:w="4437" w:type="dxa"/>
            <w:noWrap w:val="0"/>
            <w:vAlign w:val="center"/>
          </w:tcPr>
          <w:p w14:paraId="75F1A65B">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扣减当月运维费用（合同总额的十二分之一）</w:t>
            </w:r>
          </w:p>
        </w:tc>
      </w:tr>
      <w:tr w14:paraId="2F227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696" w:type="dxa"/>
            <w:vMerge w:val="restart"/>
            <w:noWrap w:val="0"/>
            <w:vAlign w:val="center"/>
          </w:tcPr>
          <w:p w14:paraId="1C5DEAEE">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技</w:t>
            </w:r>
          </w:p>
          <w:p w14:paraId="54104E59">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术</w:t>
            </w:r>
          </w:p>
          <w:p w14:paraId="5FC91D2E">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报</w:t>
            </w:r>
          </w:p>
          <w:p w14:paraId="7ADC2F38">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告</w:t>
            </w:r>
          </w:p>
          <w:p w14:paraId="41CE6B6E">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等</w:t>
            </w:r>
          </w:p>
          <w:p w14:paraId="11CE94E7">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资</w:t>
            </w:r>
          </w:p>
          <w:p w14:paraId="68B37DD3">
            <w:pPr>
              <w:pStyle w:val="5"/>
              <w:bidi w:val="0"/>
              <w:ind w:firstLine="210" w:firstLineChars="100"/>
              <w:jc w:val="both"/>
              <w:rPr>
                <w:rFonts w:hint="eastAsia" w:ascii="宋体" w:hAnsi="宋体" w:eastAsia="宋体" w:cs="宋体"/>
                <w:color w:val="auto"/>
                <w:sz w:val="21"/>
                <w:szCs w:val="21"/>
              </w:rPr>
            </w:pPr>
            <w:r>
              <w:rPr>
                <w:rFonts w:hint="eastAsia" w:ascii="宋体" w:hAnsi="宋体" w:eastAsia="宋体" w:cs="宋体"/>
                <w:color w:val="auto"/>
                <w:sz w:val="21"/>
                <w:szCs w:val="21"/>
              </w:rPr>
              <w:t>料</w:t>
            </w:r>
          </w:p>
        </w:tc>
        <w:tc>
          <w:tcPr>
            <w:tcW w:w="4616" w:type="dxa"/>
            <w:noWrap w:val="0"/>
            <w:vAlign w:val="center"/>
          </w:tcPr>
          <w:p w14:paraId="10D8CF39">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周报</w:t>
            </w:r>
          </w:p>
        </w:tc>
        <w:tc>
          <w:tcPr>
            <w:tcW w:w="4437" w:type="dxa"/>
            <w:noWrap w:val="0"/>
            <w:vAlign w:val="center"/>
          </w:tcPr>
          <w:p w14:paraId="3625E870">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每周 1 份</w:t>
            </w:r>
          </w:p>
        </w:tc>
      </w:tr>
      <w:tr w14:paraId="0FB01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696" w:type="dxa"/>
            <w:vMerge w:val="continue"/>
            <w:noWrap w:val="0"/>
            <w:vAlign w:val="center"/>
          </w:tcPr>
          <w:p w14:paraId="124CD678">
            <w:pPr>
              <w:pStyle w:val="5"/>
              <w:bidi w:val="0"/>
              <w:jc w:val="center"/>
              <w:rPr>
                <w:rFonts w:hint="eastAsia" w:ascii="宋体" w:hAnsi="宋体" w:eastAsia="宋体" w:cs="宋体"/>
                <w:color w:val="auto"/>
                <w:sz w:val="21"/>
                <w:szCs w:val="21"/>
              </w:rPr>
            </w:pPr>
          </w:p>
        </w:tc>
        <w:tc>
          <w:tcPr>
            <w:tcW w:w="4616" w:type="dxa"/>
            <w:noWrap w:val="0"/>
            <w:vAlign w:val="center"/>
          </w:tcPr>
          <w:p w14:paraId="1115BA2F">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月报</w:t>
            </w:r>
          </w:p>
        </w:tc>
        <w:tc>
          <w:tcPr>
            <w:tcW w:w="4437" w:type="dxa"/>
            <w:noWrap w:val="0"/>
            <w:vAlign w:val="center"/>
          </w:tcPr>
          <w:p w14:paraId="6D54C907">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每月 1 份</w:t>
            </w:r>
          </w:p>
        </w:tc>
      </w:tr>
      <w:tr w14:paraId="6C8FB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696" w:type="dxa"/>
            <w:vMerge w:val="continue"/>
            <w:noWrap w:val="0"/>
            <w:vAlign w:val="center"/>
          </w:tcPr>
          <w:p w14:paraId="2D57C5B7">
            <w:pPr>
              <w:pStyle w:val="5"/>
              <w:bidi w:val="0"/>
              <w:jc w:val="center"/>
              <w:rPr>
                <w:rFonts w:hint="eastAsia" w:ascii="宋体" w:hAnsi="宋体" w:eastAsia="宋体" w:cs="宋体"/>
                <w:color w:val="auto"/>
                <w:sz w:val="21"/>
                <w:szCs w:val="21"/>
              </w:rPr>
            </w:pPr>
          </w:p>
        </w:tc>
        <w:tc>
          <w:tcPr>
            <w:tcW w:w="4616" w:type="dxa"/>
            <w:noWrap w:val="0"/>
            <w:vAlign w:val="center"/>
          </w:tcPr>
          <w:p w14:paraId="77B0F73D">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季报</w:t>
            </w:r>
          </w:p>
        </w:tc>
        <w:tc>
          <w:tcPr>
            <w:tcW w:w="4437" w:type="dxa"/>
            <w:noWrap w:val="0"/>
            <w:vAlign w:val="center"/>
          </w:tcPr>
          <w:p w14:paraId="090DD9FB">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每季 1 份</w:t>
            </w:r>
          </w:p>
        </w:tc>
      </w:tr>
      <w:tr w14:paraId="1F1D3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96" w:type="dxa"/>
            <w:vMerge w:val="continue"/>
            <w:noWrap w:val="0"/>
            <w:vAlign w:val="center"/>
          </w:tcPr>
          <w:p w14:paraId="65E5A048">
            <w:pPr>
              <w:pStyle w:val="5"/>
              <w:bidi w:val="0"/>
              <w:jc w:val="center"/>
              <w:rPr>
                <w:rFonts w:hint="eastAsia" w:ascii="宋体" w:hAnsi="宋体" w:eastAsia="宋体" w:cs="宋体"/>
                <w:color w:val="auto"/>
                <w:sz w:val="21"/>
                <w:szCs w:val="21"/>
              </w:rPr>
            </w:pPr>
          </w:p>
        </w:tc>
        <w:tc>
          <w:tcPr>
            <w:tcW w:w="4616" w:type="dxa"/>
            <w:noWrap w:val="0"/>
            <w:vAlign w:val="center"/>
          </w:tcPr>
          <w:p w14:paraId="31702120">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年报</w:t>
            </w:r>
          </w:p>
        </w:tc>
        <w:tc>
          <w:tcPr>
            <w:tcW w:w="4437" w:type="dxa"/>
            <w:noWrap w:val="0"/>
            <w:vAlign w:val="center"/>
          </w:tcPr>
          <w:p w14:paraId="5EE4D2AB">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1 份</w:t>
            </w:r>
          </w:p>
        </w:tc>
      </w:tr>
      <w:tr w14:paraId="4629A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96" w:type="dxa"/>
            <w:vMerge w:val="continue"/>
            <w:noWrap w:val="0"/>
            <w:vAlign w:val="center"/>
          </w:tcPr>
          <w:p w14:paraId="13B523C1">
            <w:pPr>
              <w:pStyle w:val="5"/>
              <w:bidi w:val="0"/>
              <w:jc w:val="center"/>
              <w:rPr>
                <w:rFonts w:hint="eastAsia" w:ascii="宋体" w:hAnsi="宋体" w:eastAsia="宋体" w:cs="宋体"/>
                <w:color w:val="auto"/>
                <w:sz w:val="21"/>
                <w:szCs w:val="21"/>
              </w:rPr>
            </w:pPr>
          </w:p>
        </w:tc>
        <w:tc>
          <w:tcPr>
            <w:tcW w:w="4616" w:type="dxa"/>
            <w:noWrap w:val="0"/>
            <w:vAlign w:val="center"/>
          </w:tcPr>
          <w:p w14:paraId="4E07601F">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质控报告</w:t>
            </w:r>
          </w:p>
        </w:tc>
        <w:tc>
          <w:tcPr>
            <w:tcW w:w="4437" w:type="dxa"/>
            <w:noWrap w:val="0"/>
            <w:vAlign w:val="center"/>
          </w:tcPr>
          <w:p w14:paraId="75848178">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根据工作实际开展</w:t>
            </w:r>
          </w:p>
        </w:tc>
      </w:tr>
      <w:tr w14:paraId="1DE3E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96" w:type="dxa"/>
            <w:vMerge w:val="continue"/>
            <w:noWrap w:val="0"/>
            <w:vAlign w:val="center"/>
          </w:tcPr>
          <w:p w14:paraId="05A3DCED">
            <w:pPr>
              <w:pStyle w:val="5"/>
              <w:bidi w:val="0"/>
              <w:jc w:val="center"/>
              <w:rPr>
                <w:rFonts w:hint="eastAsia" w:ascii="宋体" w:hAnsi="宋体" w:eastAsia="宋体" w:cs="宋体"/>
                <w:color w:val="auto"/>
                <w:sz w:val="21"/>
                <w:szCs w:val="21"/>
              </w:rPr>
            </w:pPr>
          </w:p>
        </w:tc>
        <w:tc>
          <w:tcPr>
            <w:tcW w:w="4616" w:type="dxa"/>
            <w:noWrap w:val="0"/>
            <w:vAlign w:val="center"/>
          </w:tcPr>
          <w:p w14:paraId="297FB975">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专项分析报告</w:t>
            </w:r>
          </w:p>
        </w:tc>
        <w:tc>
          <w:tcPr>
            <w:tcW w:w="4437" w:type="dxa"/>
            <w:noWrap w:val="0"/>
            <w:vAlign w:val="center"/>
          </w:tcPr>
          <w:p w14:paraId="3D79A61A">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根据工作实际开展</w:t>
            </w:r>
          </w:p>
        </w:tc>
      </w:tr>
      <w:tr w14:paraId="1BF72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96" w:type="dxa"/>
            <w:vMerge w:val="continue"/>
            <w:noWrap w:val="0"/>
            <w:vAlign w:val="center"/>
          </w:tcPr>
          <w:p w14:paraId="0F8FB36B">
            <w:pPr>
              <w:pStyle w:val="5"/>
              <w:bidi w:val="0"/>
              <w:jc w:val="center"/>
              <w:rPr>
                <w:rFonts w:hint="eastAsia" w:ascii="宋体" w:hAnsi="宋体" w:eastAsia="宋体" w:cs="宋体"/>
                <w:color w:val="auto"/>
                <w:sz w:val="21"/>
                <w:szCs w:val="21"/>
              </w:rPr>
            </w:pPr>
          </w:p>
        </w:tc>
        <w:tc>
          <w:tcPr>
            <w:tcW w:w="4616" w:type="dxa"/>
            <w:noWrap w:val="0"/>
            <w:vAlign w:val="center"/>
          </w:tcPr>
          <w:p w14:paraId="07A50553">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突发事故应急报告</w:t>
            </w:r>
          </w:p>
        </w:tc>
        <w:tc>
          <w:tcPr>
            <w:tcW w:w="4437" w:type="dxa"/>
            <w:noWrap w:val="0"/>
            <w:vAlign w:val="center"/>
          </w:tcPr>
          <w:p w14:paraId="7F41C168">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根据工作实际开展</w:t>
            </w:r>
          </w:p>
        </w:tc>
      </w:tr>
      <w:tr w14:paraId="63F36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96" w:type="dxa"/>
            <w:vMerge w:val="continue"/>
            <w:noWrap w:val="0"/>
            <w:vAlign w:val="center"/>
          </w:tcPr>
          <w:p w14:paraId="6EF9A55F">
            <w:pPr>
              <w:pStyle w:val="5"/>
              <w:bidi w:val="0"/>
              <w:jc w:val="center"/>
              <w:rPr>
                <w:rFonts w:hint="eastAsia" w:ascii="宋体" w:hAnsi="宋体" w:eastAsia="宋体" w:cs="宋体"/>
                <w:color w:val="auto"/>
                <w:sz w:val="21"/>
                <w:szCs w:val="21"/>
              </w:rPr>
            </w:pPr>
          </w:p>
        </w:tc>
        <w:tc>
          <w:tcPr>
            <w:tcW w:w="4616" w:type="dxa"/>
            <w:noWrap w:val="0"/>
            <w:vAlign w:val="center"/>
          </w:tcPr>
          <w:p w14:paraId="78D7EB22">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半年和年度工作总结</w:t>
            </w:r>
          </w:p>
        </w:tc>
        <w:tc>
          <w:tcPr>
            <w:tcW w:w="4437" w:type="dxa"/>
            <w:noWrap w:val="0"/>
            <w:vAlign w:val="center"/>
          </w:tcPr>
          <w:p w14:paraId="14017729">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各 1 篇</w:t>
            </w:r>
          </w:p>
        </w:tc>
      </w:tr>
      <w:tr w14:paraId="3838C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96" w:type="dxa"/>
            <w:vMerge w:val="continue"/>
            <w:noWrap w:val="0"/>
            <w:vAlign w:val="center"/>
          </w:tcPr>
          <w:p w14:paraId="2697AADF">
            <w:pPr>
              <w:pStyle w:val="5"/>
              <w:bidi w:val="0"/>
              <w:jc w:val="center"/>
              <w:rPr>
                <w:rFonts w:hint="eastAsia" w:ascii="宋体" w:hAnsi="宋体" w:eastAsia="宋体" w:cs="宋体"/>
                <w:color w:val="auto"/>
                <w:sz w:val="21"/>
                <w:szCs w:val="21"/>
              </w:rPr>
            </w:pPr>
          </w:p>
        </w:tc>
        <w:tc>
          <w:tcPr>
            <w:tcW w:w="4616" w:type="dxa"/>
            <w:noWrap w:val="0"/>
            <w:vAlign w:val="center"/>
          </w:tcPr>
          <w:p w14:paraId="48EE2675">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其他</w:t>
            </w:r>
          </w:p>
        </w:tc>
        <w:tc>
          <w:tcPr>
            <w:tcW w:w="4437" w:type="dxa"/>
            <w:noWrap w:val="0"/>
            <w:vAlign w:val="center"/>
          </w:tcPr>
          <w:p w14:paraId="45D1755D">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可结合工作实际增加</w:t>
            </w:r>
          </w:p>
        </w:tc>
      </w:tr>
      <w:tr w14:paraId="3E04D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9" w:hRule="atLeast"/>
        </w:trPr>
        <w:tc>
          <w:tcPr>
            <w:tcW w:w="696" w:type="dxa"/>
            <w:vMerge w:val="restart"/>
            <w:noWrap w:val="0"/>
            <w:vAlign w:val="center"/>
          </w:tcPr>
          <w:p w14:paraId="1EF58543">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故</w:t>
            </w:r>
          </w:p>
          <w:p w14:paraId="08B7FC56">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障</w:t>
            </w:r>
          </w:p>
          <w:p w14:paraId="4A793C4F">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响</w:t>
            </w:r>
          </w:p>
          <w:p w14:paraId="453A2EF5">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应</w:t>
            </w:r>
          </w:p>
          <w:p w14:paraId="0A95E115">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及</w:t>
            </w:r>
          </w:p>
          <w:p w14:paraId="741A7E4B">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处</w:t>
            </w:r>
          </w:p>
          <w:p w14:paraId="3184FC3F">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理</w:t>
            </w:r>
          </w:p>
        </w:tc>
        <w:tc>
          <w:tcPr>
            <w:tcW w:w="4616" w:type="dxa"/>
            <w:noWrap w:val="0"/>
            <w:vAlign w:val="center"/>
          </w:tcPr>
          <w:p w14:paraId="7CBB4DCE">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每日 18 时至次日 8 时出现故障时</w:t>
            </w:r>
          </w:p>
        </w:tc>
        <w:tc>
          <w:tcPr>
            <w:tcW w:w="4437" w:type="dxa"/>
            <w:noWrap w:val="0"/>
            <w:vAlign w:val="center"/>
          </w:tcPr>
          <w:p w14:paraId="613412B7">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应在次日9时前响应，响应后2小时内到达现场排除故障</w:t>
            </w:r>
          </w:p>
        </w:tc>
      </w:tr>
      <w:tr w14:paraId="0AAE0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2" w:hRule="atLeast"/>
        </w:trPr>
        <w:tc>
          <w:tcPr>
            <w:tcW w:w="696" w:type="dxa"/>
            <w:vMerge w:val="continue"/>
            <w:tcBorders>
              <w:top w:val="nil"/>
            </w:tcBorders>
            <w:noWrap w:val="0"/>
            <w:vAlign w:val="center"/>
          </w:tcPr>
          <w:p w14:paraId="07FE472B">
            <w:pPr>
              <w:pStyle w:val="5"/>
              <w:bidi w:val="0"/>
              <w:jc w:val="center"/>
              <w:rPr>
                <w:rFonts w:hint="eastAsia" w:ascii="宋体" w:hAnsi="宋体" w:eastAsia="宋体" w:cs="宋体"/>
                <w:color w:val="auto"/>
                <w:sz w:val="21"/>
                <w:szCs w:val="21"/>
              </w:rPr>
            </w:pPr>
          </w:p>
        </w:tc>
        <w:tc>
          <w:tcPr>
            <w:tcW w:w="4616" w:type="dxa"/>
            <w:noWrap w:val="0"/>
            <w:vAlign w:val="center"/>
          </w:tcPr>
          <w:p w14:paraId="01AAD0EB">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每日 8 时至 18 时出现故障时</w:t>
            </w:r>
          </w:p>
        </w:tc>
        <w:tc>
          <w:tcPr>
            <w:tcW w:w="4437" w:type="dxa"/>
            <w:noWrap w:val="0"/>
            <w:vAlign w:val="center"/>
          </w:tcPr>
          <w:p w14:paraId="5931E1B5">
            <w:pPr>
              <w:pStyle w:val="5"/>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应在故障1小时之内响应，响应后2小时内到达现场排除故障</w:t>
            </w:r>
          </w:p>
        </w:tc>
      </w:tr>
    </w:tbl>
    <w:p w14:paraId="000F1345">
      <w:pPr>
        <w:keepNext w:val="0"/>
        <w:keepLines w:val="0"/>
        <w:pageBreakBefore w:val="0"/>
        <w:widowControl w:val="0"/>
        <w:kinsoku/>
        <w:wordWrap/>
        <w:overflowPunct/>
        <w:topLinePunct w:val="0"/>
        <w:bidi w:val="0"/>
        <w:adjustRightInd/>
        <w:snapToGrid/>
        <w:jc w:val="both"/>
        <w:textAlignment w:val="auto"/>
        <w:rPr>
          <w:color w:val="auto"/>
          <w:sz w:val="2"/>
          <w:szCs w:val="2"/>
          <w:highlight w:val="none"/>
        </w:rPr>
      </w:pPr>
    </w:p>
    <w:p w14:paraId="525772AA">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ascii="宋体" w:hAnsi="宋体" w:eastAsia="宋体" w:cs="宋体"/>
          <w:bCs w:val="0"/>
          <w:color w:val="auto"/>
          <w:kern w:val="0"/>
          <w:sz w:val="32"/>
          <w:szCs w:val="32"/>
        </w:rPr>
      </w:pPr>
      <w:r>
        <w:rPr>
          <w:rFonts w:hint="eastAsia" w:ascii="宋体" w:hAnsi="宋体" w:eastAsia="宋体" w:cs="宋体"/>
          <w:bCs w:val="0"/>
          <w:color w:val="auto"/>
          <w:kern w:val="0"/>
          <w:sz w:val="32"/>
          <w:szCs w:val="32"/>
        </w:rPr>
        <w:br w:type="page"/>
      </w:r>
      <w:r>
        <w:rPr>
          <w:rFonts w:hint="eastAsia" w:ascii="宋体" w:hAnsi="宋体" w:eastAsia="宋体" w:cs="宋体"/>
          <w:bCs w:val="0"/>
          <w:color w:val="auto"/>
          <w:kern w:val="0"/>
          <w:sz w:val="32"/>
          <w:szCs w:val="32"/>
        </w:rPr>
        <w:t>第五章 服务内容及要求</w:t>
      </w:r>
      <w:bookmarkEnd w:id="61"/>
      <w:bookmarkEnd w:id="62"/>
    </w:p>
    <w:p w14:paraId="24E44D03">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rPr>
          <w:rFonts w:hint="eastAsia" w:ascii="宋体" w:hAnsi="宋体" w:eastAsia="宋体" w:cs="宋体"/>
          <w:color w:val="auto"/>
          <w:sz w:val="24"/>
          <w:szCs w:val="24"/>
        </w:rPr>
      </w:pPr>
      <w:bookmarkStart w:id="72" w:name="_Toc113437302"/>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服务范围与内容：</w:t>
      </w:r>
    </w:p>
    <w:p w14:paraId="3AAF6F8A">
      <w:pPr>
        <w:pStyle w:val="5"/>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服务范围与内容：派驻有资质运维人员对挥发性有机物（VOCs）自动监测站（合建交通站）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颗粒物组分自动监测站（合建交通站）设备稳定运行进行日常检修、耗材更换、例行检查、质控与维护、数据审核与上传；对软件平台运行情况定期跟踪检查，及时解决软件日常运行中存在的问题，及时优化并处理中间件故障，及时处理数据库故障，按需开展应用软件技术升级改造与服务，满足数据采集查询需求；负责站房安全保障（包含空调、电力、防水、防雷、消防</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及配套设施的维修保养，能耗与动力费用；完善运维工作规范与质量管理体系，将运维过程和运维事件进行记录并归档；做好与各级相关部门工作对接，按照要求及时出具但不限于以下报告，如：周报、月报、季报、年报、质控报告、专项分析报告，突发事故应急报告、半年和年度工作总结等。定期按照监测规范和规程对仪器设备进行校准，确保上传的数据准确有效，接受质控检查和考核，保证数据</w:t>
      </w:r>
      <w:r>
        <w:rPr>
          <w:rFonts w:hint="eastAsia" w:ascii="宋体" w:hAnsi="宋体" w:eastAsia="宋体" w:cs="宋体"/>
          <w:color w:val="auto"/>
          <w:sz w:val="24"/>
          <w:szCs w:val="24"/>
          <w:highlight w:val="none"/>
          <w:lang w:eastAsia="zh-CN"/>
        </w:rPr>
        <w:t>总上传</w:t>
      </w:r>
      <w:r>
        <w:rPr>
          <w:rFonts w:hint="eastAsia" w:ascii="宋体" w:hAnsi="宋体" w:eastAsia="宋体" w:cs="宋体"/>
          <w:b w:val="0"/>
          <w:bCs w:val="0"/>
          <w:color w:val="auto"/>
          <w:sz w:val="24"/>
          <w:szCs w:val="24"/>
          <w:highlight w:val="none"/>
          <w:lang w:eastAsia="zh-CN"/>
        </w:rPr>
        <w:t>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上传</w:t>
      </w:r>
      <w:r>
        <w:rPr>
          <w:rFonts w:hint="eastAsia" w:ascii="宋体" w:hAnsi="宋体" w:eastAsia="宋体" w:cs="宋体"/>
          <w:b w:val="0"/>
          <w:bCs w:val="0"/>
          <w:color w:val="auto"/>
          <w:sz w:val="24"/>
          <w:szCs w:val="24"/>
          <w:highlight w:val="none"/>
          <w:lang w:eastAsia="zh-CN"/>
        </w:rPr>
        <w:t>率指监测项目数据采集率和数据有效率算数平均值，</w:t>
      </w:r>
      <w:r>
        <w:rPr>
          <w:rFonts w:hint="eastAsia" w:ascii="宋体" w:hAnsi="宋体" w:eastAsia="宋体" w:cs="宋体"/>
          <w:color w:val="auto"/>
          <w:sz w:val="24"/>
          <w:szCs w:val="24"/>
          <w:highlight w:val="none"/>
        </w:rPr>
        <w:t>以省平台或国家平台统计为准，下同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rPr>
        <w:t>数据</w:t>
      </w:r>
      <w:r>
        <w:rPr>
          <w:rFonts w:hint="eastAsia" w:ascii="宋体" w:hAnsi="宋体" w:eastAsia="宋体" w:cs="宋体"/>
          <w:color w:val="auto"/>
          <w:sz w:val="24"/>
          <w:szCs w:val="24"/>
          <w:highlight w:val="none"/>
          <w:u w:val="none"/>
          <w:lang w:eastAsia="zh-CN"/>
        </w:rPr>
        <w:t>总</w:t>
      </w:r>
      <w:r>
        <w:rPr>
          <w:rFonts w:hint="eastAsia" w:ascii="宋体" w:hAnsi="宋体" w:eastAsia="宋体" w:cs="宋体"/>
          <w:b w:val="0"/>
          <w:bCs w:val="0"/>
          <w:color w:val="auto"/>
          <w:sz w:val="24"/>
          <w:szCs w:val="24"/>
          <w:highlight w:val="none"/>
          <w:u w:val="none"/>
          <w:lang w:eastAsia="zh-CN"/>
        </w:rPr>
        <w:t>上传率为</w:t>
      </w:r>
      <w:r>
        <w:rPr>
          <w:rFonts w:hint="eastAsia" w:ascii="宋体" w:hAnsi="宋体" w:eastAsia="宋体" w:cs="宋体"/>
          <w:color w:val="auto"/>
          <w:sz w:val="24"/>
          <w:szCs w:val="24"/>
          <w:highlight w:val="none"/>
          <w:u w:val="none"/>
        </w:rPr>
        <w:t>颗粒物组分站</w:t>
      </w:r>
      <w:r>
        <w:rPr>
          <w:rFonts w:hint="eastAsia" w:ascii="宋体" w:hAnsi="宋体" w:eastAsia="宋体" w:cs="宋体"/>
          <w:color w:val="auto"/>
          <w:sz w:val="24"/>
          <w:szCs w:val="24"/>
          <w:highlight w:val="none"/>
          <w:u w:val="none"/>
          <w:lang w:val="en-US" w:eastAsia="zh-CN"/>
        </w:rPr>
        <w:t>各监测项目数据上传率的算数平均值</w:t>
      </w:r>
      <w:r>
        <w:rPr>
          <w:rFonts w:hint="eastAsia" w:ascii="宋体" w:hAnsi="宋体" w:eastAsia="宋体" w:cs="宋体"/>
          <w:color w:val="auto"/>
          <w:sz w:val="24"/>
          <w:szCs w:val="24"/>
          <w:highlight w:val="none"/>
          <w:u w:val="none"/>
          <w:lang w:eastAsia="zh-CN"/>
        </w:rPr>
        <w:t>加</w:t>
      </w:r>
      <w:r>
        <w:rPr>
          <w:rFonts w:hint="eastAsia" w:ascii="宋体" w:hAnsi="宋体" w:eastAsia="宋体" w:cs="宋体"/>
          <w:color w:val="auto"/>
          <w:sz w:val="24"/>
          <w:szCs w:val="24"/>
          <w:highlight w:val="none"/>
          <w:u w:val="none"/>
        </w:rPr>
        <w:t>挥发性有机物站</w:t>
      </w:r>
      <w:r>
        <w:rPr>
          <w:rFonts w:hint="eastAsia" w:ascii="宋体" w:hAnsi="宋体" w:eastAsia="宋体" w:cs="宋体"/>
          <w:color w:val="auto"/>
          <w:sz w:val="24"/>
          <w:szCs w:val="24"/>
          <w:highlight w:val="none"/>
          <w:u w:val="none"/>
          <w:lang w:val="en-US" w:eastAsia="zh-CN"/>
        </w:rPr>
        <w:t>各监测项目数据上传率的算数平均值除以2</w:t>
      </w:r>
      <w:r>
        <w:rPr>
          <w:rFonts w:hint="eastAsia" w:ascii="宋体" w:hAnsi="宋体" w:eastAsia="宋体" w:cs="宋体"/>
          <w:color w:val="auto"/>
          <w:sz w:val="24"/>
          <w:szCs w:val="24"/>
          <w:highlight w:val="none"/>
        </w:rPr>
        <w:t xml:space="preserve">）达到 </w:t>
      </w:r>
      <w:r>
        <w:rPr>
          <w:rFonts w:hint="eastAsia" w:ascii="宋体" w:hAnsi="宋体" w:eastAsia="宋体" w:cs="宋体"/>
          <w:b w:val="0"/>
          <w:bCs w:val="0"/>
          <w:color w:val="auto"/>
          <w:sz w:val="24"/>
          <w:szCs w:val="24"/>
          <w:highlight w:val="none"/>
        </w:rPr>
        <w:t>8</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%（含8</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以上</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保证故障响应及时处理，每日18时至次日8时出现故障时，应在次日 9 时前响应，响应后2小时内到达现场排除故障;每日8时至18时出现故障时，应在故障1小时之内响应，响应后2小时内到达现场排除故障，应做到异常情况及时响应解决。对目前两站房内现有仪器进行运维，清单如下：</w:t>
      </w:r>
    </w:p>
    <w:p w14:paraId="64E94373">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表1.颗粒物组分自动监测站（合建交通站）清单</w:t>
      </w:r>
    </w:p>
    <w:tbl>
      <w:tblPr>
        <w:tblStyle w:val="16"/>
        <w:tblW w:w="97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10"/>
        <w:gridCol w:w="4546"/>
        <w:gridCol w:w="1983"/>
      </w:tblGrid>
      <w:tr w14:paraId="62ADF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210" w:type="dxa"/>
            <w:noWrap w:val="0"/>
            <w:vAlign w:val="center"/>
          </w:tcPr>
          <w:p w14:paraId="60B2B171">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ind w:right="124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p>
        </w:tc>
        <w:tc>
          <w:tcPr>
            <w:tcW w:w="4546" w:type="dxa"/>
            <w:noWrap w:val="0"/>
            <w:vAlign w:val="center"/>
          </w:tcPr>
          <w:p w14:paraId="04BF492D">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ind w:right="1161"/>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厂 家</w:t>
            </w:r>
          </w:p>
        </w:tc>
        <w:tc>
          <w:tcPr>
            <w:tcW w:w="1983" w:type="dxa"/>
            <w:noWrap w:val="0"/>
            <w:vAlign w:val="center"/>
          </w:tcPr>
          <w:p w14:paraId="4B6987FD">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ind w:right="94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 号</w:t>
            </w:r>
          </w:p>
        </w:tc>
      </w:tr>
      <w:tr w14:paraId="35B64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3210" w:type="dxa"/>
            <w:noWrap w:val="0"/>
            <w:vAlign w:val="center"/>
          </w:tcPr>
          <w:p w14:paraId="58974687">
            <w:pPr>
              <w:pStyle w:val="20"/>
              <w:keepNext w:val="0"/>
              <w:keepLines w:val="0"/>
              <w:pageBreakBefore w:val="0"/>
              <w:widowControl w:val="0"/>
              <w:kinsoku w:val="0"/>
              <w:wordWrap/>
              <w:overflowPunct w:val="0"/>
              <w:topLinePunct w:val="0"/>
              <w:autoSpaceDE w:val="0"/>
              <w:autoSpaceDN w:val="0"/>
              <w:bidi w:val="0"/>
              <w:adjustRightInd w:val="0"/>
              <w:snapToGrid w:val="0"/>
              <w:spacing w:before="14" w:line="360" w:lineRule="auto"/>
              <w:ind w:right="9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大气颗粒物在线无机元素分析仪</w:t>
            </w:r>
          </w:p>
        </w:tc>
        <w:tc>
          <w:tcPr>
            <w:tcW w:w="4546" w:type="dxa"/>
            <w:noWrap w:val="0"/>
            <w:vAlign w:val="center"/>
          </w:tcPr>
          <w:p w14:paraId="62DCACA8">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杭州谱育科技发展有限公司</w:t>
            </w:r>
          </w:p>
        </w:tc>
        <w:tc>
          <w:tcPr>
            <w:tcW w:w="1983" w:type="dxa"/>
            <w:noWrap w:val="0"/>
            <w:vAlign w:val="center"/>
          </w:tcPr>
          <w:p w14:paraId="5D1AD2A1">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SUPEC 7030</w:t>
            </w:r>
          </w:p>
        </w:tc>
      </w:tr>
      <w:tr w14:paraId="4AAB1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3210" w:type="dxa"/>
            <w:noWrap w:val="0"/>
            <w:vAlign w:val="center"/>
          </w:tcPr>
          <w:p w14:paraId="34CA13CE">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水溶性离子分析仪</w:t>
            </w:r>
          </w:p>
        </w:tc>
        <w:tc>
          <w:tcPr>
            <w:tcW w:w="4546" w:type="dxa"/>
            <w:noWrap w:val="0"/>
            <w:vAlign w:val="center"/>
          </w:tcPr>
          <w:p w14:paraId="2F1C6FC9">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杭州谱育科技发展有限公司</w:t>
            </w:r>
          </w:p>
        </w:tc>
        <w:tc>
          <w:tcPr>
            <w:tcW w:w="1983" w:type="dxa"/>
            <w:noWrap w:val="0"/>
            <w:vAlign w:val="center"/>
          </w:tcPr>
          <w:p w14:paraId="6990F333">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WAGA-700</w:t>
            </w:r>
          </w:p>
        </w:tc>
      </w:tr>
      <w:tr w14:paraId="5BA33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3210" w:type="dxa"/>
            <w:noWrap w:val="0"/>
            <w:vAlign w:val="center"/>
          </w:tcPr>
          <w:p w14:paraId="4ABC296A">
            <w:pPr>
              <w:pStyle w:val="20"/>
              <w:keepNext w:val="0"/>
              <w:keepLines w:val="0"/>
              <w:pageBreakBefore w:val="0"/>
              <w:widowControl w:val="0"/>
              <w:kinsoku w:val="0"/>
              <w:wordWrap/>
              <w:overflowPunct w:val="0"/>
              <w:topLinePunct w:val="0"/>
              <w:autoSpaceDE w:val="0"/>
              <w:autoSpaceDN w:val="0"/>
              <w:bidi w:val="0"/>
              <w:adjustRightInd w:val="0"/>
              <w:snapToGrid w:val="0"/>
              <w:spacing w:before="211"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OCEC 分析仪</w:t>
            </w:r>
          </w:p>
        </w:tc>
        <w:tc>
          <w:tcPr>
            <w:tcW w:w="4546" w:type="dxa"/>
            <w:noWrap w:val="0"/>
            <w:vAlign w:val="center"/>
          </w:tcPr>
          <w:p w14:paraId="7FACBC07">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杭州谱育科技发展有限公司</w:t>
            </w:r>
          </w:p>
        </w:tc>
        <w:tc>
          <w:tcPr>
            <w:tcW w:w="1983" w:type="dxa"/>
            <w:noWrap w:val="0"/>
            <w:vAlign w:val="center"/>
          </w:tcPr>
          <w:p w14:paraId="58C33534">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OCEC-700</w:t>
            </w:r>
          </w:p>
        </w:tc>
      </w:tr>
      <w:tr w14:paraId="5284D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210" w:type="dxa"/>
            <w:noWrap w:val="0"/>
            <w:vAlign w:val="center"/>
          </w:tcPr>
          <w:p w14:paraId="6831D639">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数据采集工控机</w:t>
            </w:r>
          </w:p>
        </w:tc>
        <w:tc>
          <w:tcPr>
            <w:tcW w:w="4546" w:type="dxa"/>
            <w:noWrap w:val="0"/>
            <w:vAlign w:val="center"/>
          </w:tcPr>
          <w:p w14:paraId="7FF3DA2E">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研祥</w:t>
            </w:r>
          </w:p>
        </w:tc>
        <w:tc>
          <w:tcPr>
            <w:tcW w:w="1983" w:type="dxa"/>
            <w:noWrap w:val="0"/>
            <w:vAlign w:val="center"/>
          </w:tcPr>
          <w:p w14:paraId="5996F5E2">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Ipc910B</w:t>
            </w:r>
          </w:p>
        </w:tc>
      </w:tr>
      <w:tr w14:paraId="7F7C1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210" w:type="dxa"/>
            <w:noWrap w:val="0"/>
            <w:vAlign w:val="center"/>
          </w:tcPr>
          <w:p w14:paraId="2AB27C9C">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数据采集与传输软件</w:t>
            </w:r>
          </w:p>
        </w:tc>
        <w:tc>
          <w:tcPr>
            <w:tcW w:w="4546" w:type="dxa"/>
            <w:noWrap w:val="0"/>
            <w:vAlign w:val="center"/>
          </w:tcPr>
          <w:p w14:paraId="04B9FF25">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杭州谱育科技发展有限公司</w:t>
            </w:r>
          </w:p>
        </w:tc>
        <w:tc>
          <w:tcPr>
            <w:tcW w:w="1983" w:type="dxa"/>
            <w:noWrap w:val="0"/>
            <w:vAlign w:val="center"/>
          </w:tcPr>
          <w:p w14:paraId="1942D153">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Datana2.0</w:t>
            </w:r>
          </w:p>
        </w:tc>
      </w:tr>
      <w:tr w14:paraId="25304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210" w:type="dxa"/>
            <w:shd w:val="clear" w:color="auto" w:fill="auto"/>
            <w:noWrap w:val="0"/>
            <w:vAlign w:val="center"/>
          </w:tcPr>
          <w:p w14:paraId="1F67EC05">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甲烷非甲烷总烃分析仪</w:t>
            </w:r>
          </w:p>
        </w:tc>
        <w:tc>
          <w:tcPr>
            <w:tcW w:w="4546" w:type="dxa"/>
            <w:shd w:val="clear" w:color="auto" w:fill="auto"/>
            <w:noWrap w:val="0"/>
            <w:vAlign w:val="center"/>
          </w:tcPr>
          <w:p w14:paraId="05DA6D90">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杭州谱育科技发展有限公司</w:t>
            </w:r>
          </w:p>
        </w:tc>
        <w:tc>
          <w:tcPr>
            <w:tcW w:w="1983" w:type="dxa"/>
            <w:shd w:val="clear" w:color="auto" w:fill="auto"/>
            <w:noWrap w:val="0"/>
            <w:vAlign w:val="center"/>
          </w:tcPr>
          <w:p w14:paraId="447037B7">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EXPEC 2000-710F</w:t>
            </w:r>
          </w:p>
        </w:tc>
      </w:tr>
      <w:tr w14:paraId="1953A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210" w:type="dxa"/>
            <w:shd w:val="clear" w:color="auto" w:fill="auto"/>
            <w:noWrap w:val="0"/>
            <w:vAlign w:val="center"/>
          </w:tcPr>
          <w:p w14:paraId="013A3C0D">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有机动态校准仪</w:t>
            </w:r>
          </w:p>
        </w:tc>
        <w:tc>
          <w:tcPr>
            <w:tcW w:w="4546" w:type="dxa"/>
            <w:shd w:val="clear" w:color="auto" w:fill="auto"/>
            <w:noWrap w:val="0"/>
            <w:vAlign w:val="center"/>
          </w:tcPr>
          <w:p w14:paraId="22D9CF9A">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杭州谱育科技发展有限公司</w:t>
            </w:r>
          </w:p>
        </w:tc>
        <w:tc>
          <w:tcPr>
            <w:tcW w:w="1983" w:type="dxa"/>
            <w:shd w:val="clear" w:color="auto" w:fill="auto"/>
            <w:noWrap w:val="0"/>
            <w:vAlign w:val="center"/>
          </w:tcPr>
          <w:p w14:paraId="24A78AEE">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D 3000</w:t>
            </w:r>
          </w:p>
        </w:tc>
      </w:tr>
      <w:tr w14:paraId="2C2AE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210" w:type="dxa"/>
            <w:shd w:val="clear" w:color="auto" w:fill="auto"/>
            <w:noWrap w:val="0"/>
            <w:vAlign w:val="center"/>
          </w:tcPr>
          <w:p w14:paraId="495EB0B7">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氮氧化物分析仪</w:t>
            </w:r>
          </w:p>
        </w:tc>
        <w:tc>
          <w:tcPr>
            <w:tcW w:w="4546" w:type="dxa"/>
            <w:shd w:val="clear" w:color="auto" w:fill="auto"/>
            <w:noWrap w:val="0"/>
            <w:vAlign w:val="center"/>
          </w:tcPr>
          <w:p w14:paraId="6598B288">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聚光科技</w:t>
            </w:r>
          </w:p>
        </w:tc>
        <w:tc>
          <w:tcPr>
            <w:tcW w:w="1983" w:type="dxa"/>
            <w:shd w:val="clear" w:color="auto" w:fill="auto"/>
            <w:noWrap w:val="0"/>
            <w:vAlign w:val="center"/>
          </w:tcPr>
          <w:p w14:paraId="05DA20F4">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AQMS-600</w:t>
            </w:r>
          </w:p>
        </w:tc>
      </w:tr>
      <w:tr w14:paraId="49DD8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210" w:type="dxa"/>
            <w:shd w:val="clear" w:color="auto" w:fill="auto"/>
            <w:noWrap w:val="0"/>
            <w:vAlign w:val="center"/>
          </w:tcPr>
          <w:p w14:paraId="3A3B51DD">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一氧化碳分析仪</w:t>
            </w:r>
          </w:p>
        </w:tc>
        <w:tc>
          <w:tcPr>
            <w:tcW w:w="4546" w:type="dxa"/>
            <w:shd w:val="clear" w:color="auto" w:fill="auto"/>
            <w:noWrap w:val="0"/>
            <w:vAlign w:val="center"/>
          </w:tcPr>
          <w:p w14:paraId="0DE2D133">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聚光科技</w:t>
            </w:r>
          </w:p>
        </w:tc>
        <w:tc>
          <w:tcPr>
            <w:tcW w:w="1983" w:type="dxa"/>
            <w:shd w:val="clear" w:color="auto" w:fill="auto"/>
            <w:noWrap w:val="0"/>
            <w:vAlign w:val="center"/>
          </w:tcPr>
          <w:p w14:paraId="5D399BD4">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AQMS-400</w:t>
            </w:r>
          </w:p>
        </w:tc>
      </w:tr>
      <w:tr w14:paraId="4C711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210" w:type="dxa"/>
            <w:shd w:val="clear" w:color="auto" w:fill="auto"/>
            <w:noWrap w:val="0"/>
            <w:vAlign w:val="center"/>
          </w:tcPr>
          <w:p w14:paraId="3D99DFC0">
            <w:pPr>
              <w:pStyle w:val="20"/>
              <w:keepNext w:val="0"/>
              <w:keepLines w:val="0"/>
              <w:pageBreakBefore w:val="0"/>
              <w:widowControl w:val="0"/>
              <w:kinsoku w:val="0"/>
              <w:wordWrap/>
              <w:overflowPunct w:val="0"/>
              <w:topLinePunct w:val="0"/>
              <w:autoSpaceDE w:val="0"/>
              <w:autoSpaceDN w:val="0"/>
              <w:bidi w:val="0"/>
              <w:adjustRightInd w:val="0"/>
              <w:snapToGrid w:val="0"/>
              <w:spacing w:before="209"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position w:val="2"/>
                <w:sz w:val="21"/>
                <w:szCs w:val="21"/>
                <w:highlight w:val="none"/>
              </w:rPr>
              <w:t>PM</w:t>
            </w:r>
            <w:r>
              <w:rPr>
                <w:rFonts w:hint="eastAsia" w:ascii="宋体" w:hAnsi="宋体" w:eastAsia="宋体" w:cs="宋体"/>
                <w:color w:val="auto"/>
                <w:position w:val="2"/>
                <w:sz w:val="21"/>
                <w:szCs w:val="21"/>
                <w:highlight w:val="none"/>
                <w:vertAlign w:val="subscript"/>
              </w:rPr>
              <w:t>2.5</w:t>
            </w:r>
            <w:r>
              <w:rPr>
                <w:rFonts w:hint="eastAsia" w:ascii="宋体" w:hAnsi="宋体" w:eastAsia="宋体" w:cs="宋体"/>
                <w:color w:val="auto"/>
                <w:position w:val="2"/>
                <w:sz w:val="21"/>
                <w:szCs w:val="21"/>
                <w:highlight w:val="none"/>
                <w:vertAlign w:val="baseline"/>
              </w:rPr>
              <w:t xml:space="preserve"> 颗粒物分析仪</w:t>
            </w:r>
          </w:p>
        </w:tc>
        <w:tc>
          <w:tcPr>
            <w:tcW w:w="4546" w:type="dxa"/>
            <w:shd w:val="clear" w:color="auto" w:fill="auto"/>
            <w:noWrap w:val="0"/>
            <w:vAlign w:val="center"/>
          </w:tcPr>
          <w:p w14:paraId="2F7A6657">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聚光科技</w:t>
            </w:r>
          </w:p>
        </w:tc>
        <w:tc>
          <w:tcPr>
            <w:tcW w:w="1983" w:type="dxa"/>
            <w:shd w:val="clear" w:color="auto" w:fill="auto"/>
            <w:noWrap w:val="0"/>
            <w:vAlign w:val="center"/>
          </w:tcPr>
          <w:p w14:paraId="76E043BB">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BPM-200</w:t>
            </w:r>
          </w:p>
        </w:tc>
      </w:tr>
      <w:tr w14:paraId="71CB1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3210" w:type="dxa"/>
            <w:shd w:val="clear" w:color="auto" w:fill="auto"/>
            <w:noWrap w:val="0"/>
            <w:vAlign w:val="center"/>
          </w:tcPr>
          <w:p w14:paraId="20F98E56">
            <w:pPr>
              <w:pStyle w:val="20"/>
              <w:keepNext w:val="0"/>
              <w:keepLines w:val="0"/>
              <w:pageBreakBefore w:val="0"/>
              <w:widowControl w:val="0"/>
              <w:kinsoku w:val="0"/>
              <w:wordWrap/>
              <w:overflowPunct w:val="0"/>
              <w:topLinePunct w:val="0"/>
              <w:autoSpaceDE w:val="0"/>
              <w:autoSpaceDN w:val="0"/>
              <w:bidi w:val="0"/>
              <w:adjustRightInd w:val="0"/>
              <w:snapToGrid w:val="0"/>
              <w:spacing w:before="208"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position w:val="2"/>
                <w:sz w:val="21"/>
                <w:szCs w:val="21"/>
                <w:highlight w:val="none"/>
              </w:rPr>
              <w:t>PM</w:t>
            </w:r>
            <w:r>
              <w:rPr>
                <w:rFonts w:hint="eastAsia" w:ascii="宋体" w:hAnsi="宋体" w:eastAsia="宋体" w:cs="宋体"/>
                <w:color w:val="auto"/>
                <w:position w:val="2"/>
                <w:sz w:val="21"/>
                <w:szCs w:val="21"/>
                <w:highlight w:val="none"/>
                <w:vertAlign w:val="subscript"/>
              </w:rPr>
              <w:t>10</w:t>
            </w:r>
            <w:r>
              <w:rPr>
                <w:rFonts w:hint="eastAsia" w:ascii="宋体" w:hAnsi="宋体" w:eastAsia="宋体" w:cs="宋体"/>
                <w:color w:val="auto"/>
                <w:position w:val="2"/>
                <w:sz w:val="21"/>
                <w:szCs w:val="21"/>
                <w:highlight w:val="none"/>
                <w:vertAlign w:val="baseline"/>
              </w:rPr>
              <w:t xml:space="preserve"> 颗粒物分析仪</w:t>
            </w:r>
          </w:p>
        </w:tc>
        <w:tc>
          <w:tcPr>
            <w:tcW w:w="4546" w:type="dxa"/>
            <w:shd w:val="clear" w:color="auto" w:fill="auto"/>
            <w:noWrap w:val="0"/>
            <w:vAlign w:val="center"/>
          </w:tcPr>
          <w:p w14:paraId="7184B1D0">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聚光科技</w:t>
            </w:r>
          </w:p>
        </w:tc>
        <w:tc>
          <w:tcPr>
            <w:tcW w:w="1983" w:type="dxa"/>
            <w:shd w:val="clear" w:color="auto" w:fill="auto"/>
            <w:noWrap w:val="0"/>
            <w:vAlign w:val="center"/>
          </w:tcPr>
          <w:p w14:paraId="50FF01F6">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BPM-200</w:t>
            </w:r>
          </w:p>
        </w:tc>
      </w:tr>
      <w:tr w14:paraId="2E080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210" w:type="dxa"/>
            <w:shd w:val="clear" w:color="auto" w:fill="auto"/>
            <w:noWrap w:val="0"/>
            <w:vAlign w:val="center"/>
          </w:tcPr>
          <w:p w14:paraId="35818E72">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氢气发生器</w:t>
            </w:r>
          </w:p>
        </w:tc>
        <w:tc>
          <w:tcPr>
            <w:tcW w:w="4546" w:type="dxa"/>
            <w:shd w:val="clear" w:color="auto" w:fill="auto"/>
            <w:noWrap w:val="0"/>
            <w:vAlign w:val="center"/>
          </w:tcPr>
          <w:p w14:paraId="132F2C51">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杭州谱育科技发展有限公司</w:t>
            </w:r>
          </w:p>
        </w:tc>
        <w:tc>
          <w:tcPr>
            <w:tcW w:w="1983" w:type="dxa"/>
            <w:shd w:val="clear" w:color="auto" w:fill="auto"/>
            <w:noWrap w:val="0"/>
            <w:vAlign w:val="center"/>
          </w:tcPr>
          <w:p w14:paraId="5B9F0AE3">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EXPEC 300</w:t>
            </w:r>
          </w:p>
        </w:tc>
      </w:tr>
      <w:tr w14:paraId="7B049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210" w:type="dxa"/>
            <w:shd w:val="clear" w:color="auto" w:fill="auto"/>
            <w:noWrap w:val="0"/>
            <w:vAlign w:val="center"/>
          </w:tcPr>
          <w:p w14:paraId="5949E6D2">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零气发生器</w:t>
            </w:r>
          </w:p>
        </w:tc>
        <w:tc>
          <w:tcPr>
            <w:tcW w:w="4546" w:type="dxa"/>
            <w:shd w:val="clear" w:color="auto" w:fill="auto"/>
            <w:noWrap w:val="0"/>
            <w:vAlign w:val="center"/>
          </w:tcPr>
          <w:p w14:paraId="512124C8">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杭州谱育科技发展有限公司</w:t>
            </w:r>
          </w:p>
        </w:tc>
        <w:tc>
          <w:tcPr>
            <w:tcW w:w="1983" w:type="dxa"/>
            <w:shd w:val="clear" w:color="auto" w:fill="auto"/>
            <w:noWrap w:val="0"/>
            <w:vAlign w:val="center"/>
          </w:tcPr>
          <w:p w14:paraId="32B2DF55">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EXPEC 360</w:t>
            </w:r>
          </w:p>
        </w:tc>
      </w:tr>
      <w:tr w14:paraId="1AA32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210" w:type="dxa"/>
            <w:shd w:val="clear" w:color="auto" w:fill="auto"/>
            <w:noWrap w:val="0"/>
            <w:vAlign w:val="center"/>
          </w:tcPr>
          <w:p w14:paraId="546D3557">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无机动态校准仪</w:t>
            </w:r>
          </w:p>
        </w:tc>
        <w:tc>
          <w:tcPr>
            <w:tcW w:w="4546" w:type="dxa"/>
            <w:shd w:val="clear" w:color="auto" w:fill="auto"/>
            <w:noWrap w:val="0"/>
            <w:vAlign w:val="center"/>
          </w:tcPr>
          <w:p w14:paraId="0249FE4B">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聚光科技</w:t>
            </w:r>
          </w:p>
        </w:tc>
        <w:tc>
          <w:tcPr>
            <w:tcW w:w="1983" w:type="dxa"/>
            <w:shd w:val="clear" w:color="auto" w:fill="auto"/>
            <w:noWrap w:val="0"/>
            <w:vAlign w:val="center"/>
          </w:tcPr>
          <w:p w14:paraId="7901600E">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AQMS-200</w:t>
            </w:r>
          </w:p>
        </w:tc>
      </w:tr>
      <w:tr w14:paraId="33696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3210" w:type="dxa"/>
            <w:shd w:val="clear" w:color="auto" w:fill="auto"/>
            <w:noWrap w:val="0"/>
            <w:vAlign w:val="center"/>
          </w:tcPr>
          <w:p w14:paraId="53DEFA64">
            <w:pPr>
              <w:pStyle w:val="20"/>
              <w:keepNext w:val="0"/>
              <w:keepLines w:val="0"/>
              <w:pageBreakBefore w:val="0"/>
              <w:widowControl w:val="0"/>
              <w:kinsoku w:val="0"/>
              <w:wordWrap/>
              <w:overflowPunct w:val="0"/>
              <w:topLinePunct w:val="0"/>
              <w:autoSpaceDE w:val="0"/>
              <w:autoSpaceDN w:val="0"/>
              <w:bidi w:val="0"/>
              <w:adjustRightInd w:val="0"/>
              <w:snapToGrid w:val="0"/>
              <w:spacing w:before="1"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气象五参数</w:t>
            </w:r>
          </w:p>
        </w:tc>
        <w:tc>
          <w:tcPr>
            <w:tcW w:w="4546" w:type="dxa"/>
            <w:shd w:val="clear" w:color="auto" w:fill="auto"/>
            <w:noWrap w:val="0"/>
            <w:vAlign w:val="center"/>
          </w:tcPr>
          <w:p w14:paraId="191D8D59">
            <w:pPr>
              <w:pStyle w:val="20"/>
              <w:keepNext w:val="0"/>
              <w:keepLines w:val="0"/>
              <w:pageBreakBefore w:val="0"/>
              <w:widowControl w:val="0"/>
              <w:kinsoku w:val="0"/>
              <w:wordWrap/>
              <w:overflowPunct w:val="0"/>
              <w:topLinePunct w:val="0"/>
              <w:autoSpaceDE w:val="0"/>
              <w:autoSpaceDN w:val="0"/>
              <w:bidi w:val="0"/>
              <w:adjustRightInd w:val="0"/>
              <w:snapToGrid w:val="0"/>
              <w:spacing w:before="1"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深圳智翔宇</w:t>
            </w:r>
          </w:p>
        </w:tc>
        <w:tc>
          <w:tcPr>
            <w:tcW w:w="1983" w:type="dxa"/>
            <w:shd w:val="clear" w:color="auto" w:fill="auto"/>
            <w:noWrap w:val="0"/>
            <w:vAlign w:val="center"/>
          </w:tcPr>
          <w:p w14:paraId="50EBB13C">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MULTI-5P</w:t>
            </w:r>
          </w:p>
        </w:tc>
      </w:tr>
      <w:tr w14:paraId="58456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3210" w:type="dxa"/>
            <w:shd w:val="clear" w:color="auto" w:fill="auto"/>
            <w:noWrap w:val="0"/>
            <w:vAlign w:val="center"/>
          </w:tcPr>
          <w:p w14:paraId="32CD0510">
            <w:pPr>
              <w:pStyle w:val="20"/>
              <w:keepNext w:val="0"/>
              <w:keepLines w:val="0"/>
              <w:pageBreakBefore w:val="0"/>
              <w:widowControl w:val="0"/>
              <w:kinsoku w:val="0"/>
              <w:wordWrap/>
              <w:overflowPunct w:val="0"/>
              <w:topLinePunct w:val="0"/>
              <w:autoSpaceDE w:val="0"/>
              <w:autoSpaceDN w:val="0"/>
              <w:bidi w:val="0"/>
              <w:adjustRightInd w:val="0"/>
              <w:snapToGrid w:val="0"/>
              <w:spacing w:before="212"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UPS 电源</w:t>
            </w:r>
          </w:p>
        </w:tc>
        <w:tc>
          <w:tcPr>
            <w:tcW w:w="4546" w:type="dxa"/>
            <w:shd w:val="clear" w:color="auto" w:fill="auto"/>
            <w:noWrap w:val="0"/>
            <w:vAlign w:val="center"/>
          </w:tcPr>
          <w:p w14:paraId="074387D7">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易事特</w:t>
            </w:r>
          </w:p>
        </w:tc>
        <w:tc>
          <w:tcPr>
            <w:tcW w:w="1983" w:type="dxa"/>
            <w:shd w:val="clear" w:color="auto" w:fill="auto"/>
            <w:noWrap w:val="0"/>
            <w:vAlign w:val="center"/>
          </w:tcPr>
          <w:p w14:paraId="5DA021EF">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ZTY10KVA</w:t>
            </w:r>
          </w:p>
        </w:tc>
      </w:tr>
      <w:tr w14:paraId="417BB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210" w:type="dxa"/>
            <w:shd w:val="clear" w:color="auto" w:fill="auto"/>
            <w:noWrap w:val="0"/>
            <w:vAlign w:val="center"/>
          </w:tcPr>
          <w:p w14:paraId="4EDC1322">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空气压缩机</w:t>
            </w:r>
          </w:p>
        </w:tc>
        <w:tc>
          <w:tcPr>
            <w:tcW w:w="4546" w:type="dxa"/>
            <w:shd w:val="clear" w:color="auto" w:fill="auto"/>
            <w:noWrap w:val="0"/>
            <w:vAlign w:val="center"/>
          </w:tcPr>
          <w:p w14:paraId="50ED8043">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岱洛</w:t>
            </w:r>
          </w:p>
        </w:tc>
        <w:tc>
          <w:tcPr>
            <w:tcW w:w="1983" w:type="dxa"/>
            <w:shd w:val="clear" w:color="auto" w:fill="auto"/>
            <w:noWrap w:val="0"/>
            <w:vAlign w:val="center"/>
          </w:tcPr>
          <w:p w14:paraId="3BF6117E">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DA5001/9</w:t>
            </w:r>
          </w:p>
        </w:tc>
      </w:tr>
      <w:tr w14:paraId="3B251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3210" w:type="dxa"/>
            <w:shd w:val="clear" w:color="auto" w:fill="auto"/>
            <w:noWrap w:val="0"/>
            <w:vAlign w:val="center"/>
          </w:tcPr>
          <w:p w14:paraId="42138A43">
            <w:pPr>
              <w:pStyle w:val="20"/>
              <w:keepNext w:val="0"/>
              <w:keepLines w:val="0"/>
              <w:pageBreakBefore w:val="0"/>
              <w:widowControl w:val="0"/>
              <w:kinsoku w:val="0"/>
              <w:wordWrap/>
              <w:overflowPunct w:val="0"/>
              <w:topLinePunct w:val="0"/>
              <w:autoSpaceDE w:val="0"/>
              <w:autoSpaceDN w:val="0"/>
              <w:bidi w:val="0"/>
              <w:adjustRightInd w:val="0"/>
              <w:snapToGrid w:val="0"/>
              <w:spacing w:before="1"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采样系统</w:t>
            </w:r>
          </w:p>
        </w:tc>
        <w:tc>
          <w:tcPr>
            <w:tcW w:w="4546" w:type="dxa"/>
            <w:shd w:val="clear" w:color="auto" w:fill="auto"/>
            <w:noWrap w:val="0"/>
            <w:vAlign w:val="center"/>
          </w:tcPr>
          <w:p w14:paraId="7FF32827">
            <w:pPr>
              <w:pStyle w:val="20"/>
              <w:keepNext w:val="0"/>
              <w:keepLines w:val="0"/>
              <w:pageBreakBefore w:val="0"/>
              <w:widowControl w:val="0"/>
              <w:kinsoku w:val="0"/>
              <w:wordWrap/>
              <w:overflowPunct w:val="0"/>
              <w:topLinePunct w:val="0"/>
              <w:autoSpaceDE w:val="0"/>
              <w:autoSpaceDN w:val="0"/>
              <w:bidi w:val="0"/>
              <w:adjustRightInd w:val="0"/>
              <w:snapToGrid w:val="0"/>
              <w:spacing w:before="1"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杭州谱育科技发展有限公司</w:t>
            </w:r>
          </w:p>
        </w:tc>
        <w:tc>
          <w:tcPr>
            <w:tcW w:w="1983" w:type="dxa"/>
            <w:shd w:val="clear" w:color="auto" w:fill="auto"/>
            <w:noWrap w:val="0"/>
            <w:vAlign w:val="center"/>
          </w:tcPr>
          <w:p w14:paraId="62B0CA56">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SPA-1000</w:t>
            </w:r>
          </w:p>
        </w:tc>
      </w:tr>
      <w:tr w14:paraId="5071F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210" w:type="dxa"/>
            <w:shd w:val="clear" w:color="auto" w:fill="auto"/>
            <w:noWrap w:val="0"/>
            <w:vAlign w:val="center"/>
          </w:tcPr>
          <w:p w14:paraId="75819BAD">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标气和辅助气减压阀</w:t>
            </w:r>
          </w:p>
        </w:tc>
        <w:tc>
          <w:tcPr>
            <w:tcW w:w="4546" w:type="dxa"/>
            <w:shd w:val="clear" w:color="auto" w:fill="auto"/>
            <w:noWrap w:val="0"/>
            <w:vAlign w:val="center"/>
          </w:tcPr>
          <w:p w14:paraId="492A1274">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杭州谱育科技发展有限公司</w:t>
            </w:r>
          </w:p>
        </w:tc>
        <w:tc>
          <w:tcPr>
            <w:tcW w:w="1983" w:type="dxa"/>
            <w:shd w:val="clear" w:color="auto" w:fill="auto"/>
            <w:noWrap w:val="0"/>
            <w:vAlign w:val="center"/>
          </w:tcPr>
          <w:p w14:paraId="691EA407">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定制</w:t>
            </w:r>
          </w:p>
        </w:tc>
      </w:tr>
      <w:tr w14:paraId="40493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210" w:type="dxa"/>
            <w:shd w:val="clear" w:color="auto" w:fill="auto"/>
            <w:noWrap w:val="0"/>
            <w:vAlign w:val="center"/>
          </w:tcPr>
          <w:p w14:paraId="61951D52">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能耗与动力费用</w:t>
            </w:r>
          </w:p>
        </w:tc>
        <w:tc>
          <w:tcPr>
            <w:tcW w:w="6529" w:type="dxa"/>
            <w:gridSpan w:val="2"/>
            <w:shd w:val="clear" w:color="auto" w:fill="auto"/>
            <w:noWrap w:val="0"/>
            <w:vAlign w:val="center"/>
          </w:tcPr>
          <w:p w14:paraId="2D0D6725">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网络、电力等费用</w:t>
            </w:r>
          </w:p>
        </w:tc>
      </w:tr>
      <w:tr w14:paraId="1FA67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3210" w:type="dxa"/>
            <w:shd w:val="clear" w:color="auto" w:fill="auto"/>
            <w:noWrap w:val="0"/>
            <w:vAlign w:val="center"/>
          </w:tcPr>
          <w:p w14:paraId="4483B8C7">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站房配套设施</w:t>
            </w:r>
          </w:p>
        </w:tc>
        <w:tc>
          <w:tcPr>
            <w:tcW w:w="6529" w:type="dxa"/>
            <w:gridSpan w:val="2"/>
            <w:shd w:val="clear" w:color="auto" w:fill="auto"/>
            <w:noWrap w:val="0"/>
            <w:vAlign w:val="center"/>
          </w:tcPr>
          <w:p w14:paraId="7C14C398">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包含空调、电力、防水、防雷、消防等设施的维修保养</w:t>
            </w:r>
          </w:p>
        </w:tc>
      </w:tr>
    </w:tbl>
    <w:p w14:paraId="7DC22675">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rPr>
          <w:rFonts w:hint="eastAsia" w:ascii="宋体" w:hAnsi="宋体" w:eastAsia="宋体" w:cs="宋体"/>
          <w:color w:val="auto"/>
          <w:sz w:val="21"/>
          <w:szCs w:val="21"/>
        </w:rPr>
      </w:pPr>
    </w:p>
    <w:p w14:paraId="36A426B1">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表 2.挥发性有机物（VOCs）自动监测站（合建交通站）清单</w:t>
      </w:r>
    </w:p>
    <w:tbl>
      <w:tblPr>
        <w:tblStyle w:val="16"/>
        <w:tblW w:w="9639"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44"/>
        <w:gridCol w:w="4131"/>
        <w:gridCol w:w="2164"/>
      </w:tblGrid>
      <w:tr w14:paraId="6570F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3344" w:type="dxa"/>
            <w:noWrap w:val="0"/>
            <w:vAlign w:val="center"/>
          </w:tcPr>
          <w:p w14:paraId="571123F5">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ind w:right="8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名 称</w:t>
            </w:r>
          </w:p>
        </w:tc>
        <w:tc>
          <w:tcPr>
            <w:tcW w:w="4131" w:type="dxa"/>
            <w:noWrap w:val="0"/>
            <w:vAlign w:val="center"/>
          </w:tcPr>
          <w:p w14:paraId="42658131">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ind w:right="1519"/>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厂 家</w:t>
            </w:r>
          </w:p>
        </w:tc>
        <w:tc>
          <w:tcPr>
            <w:tcW w:w="2164" w:type="dxa"/>
            <w:noWrap w:val="0"/>
            <w:vAlign w:val="center"/>
          </w:tcPr>
          <w:p w14:paraId="4B016B2A">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ind w:right="651"/>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型 号</w:t>
            </w:r>
          </w:p>
        </w:tc>
      </w:tr>
      <w:tr w14:paraId="39B68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3344" w:type="dxa"/>
            <w:noWrap w:val="0"/>
            <w:vAlign w:val="center"/>
          </w:tcPr>
          <w:p w14:paraId="076576E3">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ind w:right="176"/>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挥发性有机物在线监测系统</w:t>
            </w:r>
          </w:p>
        </w:tc>
        <w:tc>
          <w:tcPr>
            <w:tcW w:w="4131" w:type="dxa"/>
            <w:noWrap w:val="0"/>
            <w:vAlign w:val="center"/>
          </w:tcPr>
          <w:p w14:paraId="55ED163F">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杭州谱育科技发展有限公司</w:t>
            </w:r>
          </w:p>
        </w:tc>
        <w:tc>
          <w:tcPr>
            <w:tcW w:w="2164" w:type="dxa"/>
            <w:noWrap w:val="0"/>
            <w:vAlign w:val="center"/>
          </w:tcPr>
          <w:p w14:paraId="5253317E">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EXPEC 2000-MS</w:t>
            </w:r>
          </w:p>
        </w:tc>
      </w:tr>
      <w:tr w14:paraId="4EAB4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344" w:type="dxa"/>
            <w:shd w:val="clear" w:color="auto" w:fill="auto"/>
            <w:noWrap w:val="0"/>
            <w:vAlign w:val="center"/>
          </w:tcPr>
          <w:p w14:paraId="298DAF70">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甲烷非甲烷总烃分析仪</w:t>
            </w:r>
          </w:p>
        </w:tc>
        <w:tc>
          <w:tcPr>
            <w:tcW w:w="4131" w:type="dxa"/>
            <w:shd w:val="clear" w:color="auto" w:fill="auto"/>
            <w:noWrap w:val="0"/>
            <w:vAlign w:val="center"/>
          </w:tcPr>
          <w:p w14:paraId="574C875C">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杭州谱育科技发展有限公司</w:t>
            </w:r>
          </w:p>
        </w:tc>
        <w:tc>
          <w:tcPr>
            <w:tcW w:w="2164" w:type="dxa"/>
            <w:shd w:val="clear" w:color="auto" w:fill="auto"/>
            <w:noWrap w:val="0"/>
            <w:vAlign w:val="center"/>
          </w:tcPr>
          <w:p w14:paraId="0F783E72">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rPr>
              <w:t>EXPEC</w:t>
            </w: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2000-710F</w:t>
            </w:r>
          </w:p>
        </w:tc>
      </w:tr>
      <w:tr w14:paraId="412C0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344" w:type="dxa"/>
            <w:shd w:val="clear" w:color="auto" w:fill="auto"/>
            <w:noWrap w:val="0"/>
            <w:vAlign w:val="center"/>
          </w:tcPr>
          <w:p w14:paraId="76DF9938">
            <w:pPr>
              <w:pStyle w:val="20"/>
              <w:keepNext w:val="0"/>
              <w:keepLines w:val="0"/>
              <w:pageBreakBefore w:val="0"/>
              <w:widowControl w:val="0"/>
              <w:kinsoku w:val="0"/>
              <w:wordWrap/>
              <w:overflowPunct w:val="0"/>
              <w:topLinePunct w:val="0"/>
              <w:autoSpaceDE w:val="0"/>
              <w:autoSpaceDN w:val="0"/>
              <w:bidi w:val="0"/>
              <w:adjustRightInd w:val="0"/>
              <w:snapToGrid w:val="0"/>
              <w:spacing w:before="212"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NOX 分析仪</w:t>
            </w:r>
          </w:p>
        </w:tc>
        <w:tc>
          <w:tcPr>
            <w:tcW w:w="4131" w:type="dxa"/>
            <w:shd w:val="clear" w:color="auto" w:fill="auto"/>
            <w:noWrap w:val="0"/>
            <w:vAlign w:val="center"/>
          </w:tcPr>
          <w:p w14:paraId="6993C0C6">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赛默飞世尔科技（中国）有限公司</w:t>
            </w:r>
          </w:p>
        </w:tc>
        <w:tc>
          <w:tcPr>
            <w:tcW w:w="2164" w:type="dxa"/>
            <w:shd w:val="clear" w:color="auto" w:fill="auto"/>
            <w:noWrap w:val="0"/>
            <w:vAlign w:val="center"/>
          </w:tcPr>
          <w:p w14:paraId="6255A3E9">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42i</w:t>
            </w:r>
          </w:p>
        </w:tc>
      </w:tr>
      <w:tr w14:paraId="32F0F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344" w:type="dxa"/>
            <w:shd w:val="clear" w:color="auto" w:fill="auto"/>
            <w:noWrap w:val="0"/>
            <w:vAlign w:val="center"/>
          </w:tcPr>
          <w:p w14:paraId="093424F9">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一氧化碳分析仪</w:t>
            </w:r>
          </w:p>
        </w:tc>
        <w:tc>
          <w:tcPr>
            <w:tcW w:w="4131" w:type="dxa"/>
            <w:shd w:val="clear" w:color="auto" w:fill="auto"/>
            <w:noWrap w:val="0"/>
            <w:vAlign w:val="center"/>
          </w:tcPr>
          <w:p w14:paraId="6CCEB6CA">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赛默飞世尔科技（中国）有限公司</w:t>
            </w:r>
          </w:p>
        </w:tc>
        <w:tc>
          <w:tcPr>
            <w:tcW w:w="2164" w:type="dxa"/>
            <w:shd w:val="clear" w:color="auto" w:fill="auto"/>
            <w:noWrap w:val="0"/>
            <w:vAlign w:val="center"/>
          </w:tcPr>
          <w:p w14:paraId="5203038A">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48i</w:t>
            </w:r>
          </w:p>
        </w:tc>
      </w:tr>
      <w:tr w14:paraId="4B760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344" w:type="dxa"/>
            <w:shd w:val="clear" w:color="auto" w:fill="auto"/>
            <w:noWrap w:val="0"/>
            <w:vAlign w:val="center"/>
          </w:tcPr>
          <w:p w14:paraId="6DC020E3">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position w:val="2"/>
                <w:sz w:val="21"/>
                <w:szCs w:val="21"/>
                <w:highlight w:val="none"/>
              </w:rPr>
              <w:t>PM</w:t>
            </w:r>
            <w:r>
              <w:rPr>
                <w:rFonts w:hint="eastAsia" w:ascii="宋体" w:hAnsi="宋体" w:eastAsia="宋体" w:cs="宋体"/>
                <w:b w:val="0"/>
                <w:bCs w:val="0"/>
                <w:color w:val="auto"/>
                <w:position w:val="2"/>
                <w:sz w:val="21"/>
                <w:szCs w:val="21"/>
                <w:highlight w:val="none"/>
                <w:vertAlign w:val="subscript"/>
              </w:rPr>
              <w:t>2.5</w:t>
            </w:r>
            <w:r>
              <w:rPr>
                <w:rFonts w:hint="eastAsia" w:ascii="宋体" w:hAnsi="宋体" w:eastAsia="宋体" w:cs="宋体"/>
                <w:b w:val="0"/>
                <w:bCs w:val="0"/>
                <w:color w:val="auto"/>
                <w:position w:val="2"/>
                <w:sz w:val="21"/>
                <w:szCs w:val="21"/>
                <w:highlight w:val="none"/>
                <w:vertAlign w:val="baseline"/>
              </w:rPr>
              <w:t xml:space="preserve"> </w:t>
            </w:r>
            <w:r>
              <w:rPr>
                <w:rFonts w:hint="eastAsia" w:ascii="宋体" w:hAnsi="宋体" w:eastAsia="宋体" w:cs="宋体"/>
                <w:b w:val="0"/>
                <w:bCs w:val="0"/>
                <w:color w:val="auto"/>
                <w:position w:val="1"/>
                <w:sz w:val="21"/>
                <w:szCs w:val="21"/>
                <w:highlight w:val="none"/>
                <w:vertAlign w:val="baseline"/>
              </w:rPr>
              <w:t>分析仪</w:t>
            </w:r>
          </w:p>
        </w:tc>
        <w:tc>
          <w:tcPr>
            <w:tcW w:w="4131" w:type="dxa"/>
            <w:shd w:val="clear" w:color="auto" w:fill="auto"/>
            <w:noWrap w:val="0"/>
            <w:vAlign w:val="center"/>
          </w:tcPr>
          <w:p w14:paraId="595FF5C0">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赛默飞世尔科技（中国）有限公司</w:t>
            </w:r>
          </w:p>
        </w:tc>
        <w:tc>
          <w:tcPr>
            <w:tcW w:w="2164" w:type="dxa"/>
            <w:shd w:val="clear" w:color="auto" w:fill="auto"/>
            <w:noWrap w:val="0"/>
            <w:vAlign w:val="center"/>
          </w:tcPr>
          <w:p w14:paraId="46B826EF">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5014i</w:t>
            </w:r>
          </w:p>
        </w:tc>
      </w:tr>
      <w:tr w14:paraId="3682E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344" w:type="dxa"/>
            <w:shd w:val="clear" w:color="auto" w:fill="auto"/>
            <w:noWrap w:val="0"/>
            <w:vAlign w:val="center"/>
          </w:tcPr>
          <w:p w14:paraId="6977A578">
            <w:pPr>
              <w:pStyle w:val="20"/>
              <w:keepNext w:val="0"/>
              <w:keepLines w:val="0"/>
              <w:pageBreakBefore w:val="0"/>
              <w:widowControl w:val="0"/>
              <w:kinsoku w:val="0"/>
              <w:wordWrap/>
              <w:overflowPunct w:val="0"/>
              <w:topLinePunct w:val="0"/>
              <w:autoSpaceDE w:val="0"/>
              <w:autoSpaceDN w:val="0"/>
              <w:bidi w:val="0"/>
              <w:adjustRightInd w:val="0"/>
              <w:snapToGrid w:val="0"/>
              <w:spacing w:before="209"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position w:val="2"/>
                <w:sz w:val="21"/>
                <w:szCs w:val="21"/>
                <w:highlight w:val="none"/>
              </w:rPr>
              <w:t>PM</w:t>
            </w:r>
            <w:r>
              <w:rPr>
                <w:rFonts w:hint="eastAsia" w:ascii="宋体" w:hAnsi="宋体" w:eastAsia="宋体" w:cs="宋体"/>
                <w:b w:val="0"/>
                <w:bCs w:val="0"/>
                <w:color w:val="auto"/>
                <w:position w:val="2"/>
                <w:sz w:val="21"/>
                <w:szCs w:val="21"/>
                <w:highlight w:val="none"/>
                <w:vertAlign w:val="subscript"/>
              </w:rPr>
              <w:t>10</w:t>
            </w:r>
            <w:r>
              <w:rPr>
                <w:rFonts w:hint="eastAsia" w:ascii="宋体" w:hAnsi="宋体" w:eastAsia="宋体" w:cs="宋体"/>
                <w:b w:val="0"/>
                <w:bCs w:val="0"/>
                <w:color w:val="auto"/>
                <w:position w:val="2"/>
                <w:sz w:val="21"/>
                <w:szCs w:val="21"/>
                <w:highlight w:val="none"/>
                <w:vertAlign w:val="baseline"/>
              </w:rPr>
              <w:t xml:space="preserve"> 分析仪</w:t>
            </w:r>
          </w:p>
        </w:tc>
        <w:tc>
          <w:tcPr>
            <w:tcW w:w="4131" w:type="dxa"/>
            <w:shd w:val="clear" w:color="auto" w:fill="auto"/>
            <w:noWrap w:val="0"/>
            <w:vAlign w:val="center"/>
          </w:tcPr>
          <w:p w14:paraId="58349DC4">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赛默飞世尔科技（中国）有限公司</w:t>
            </w:r>
          </w:p>
        </w:tc>
        <w:tc>
          <w:tcPr>
            <w:tcW w:w="2164" w:type="dxa"/>
            <w:shd w:val="clear" w:color="auto" w:fill="auto"/>
            <w:noWrap w:val="0"/>
            <w:vAlign w:val="center"/>
          </w:tcPr>
          <w:p w14:paraId="0DB105C7">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5014i</w:t>
            </w:r>
          </w:p>
        </w:tc>
      </w:tr>
      <w:tr w14:paraId="77F01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344" w:type="dxa"/>
            <w:shd w:val="clear" w:color="auto" w:fill="auto"/>
            <w:noWrap w:val="0"/>
            <w:vAlign w:val="center"/>
          </w:tcPr>
          <w:p w14:paraId="256835BA">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氢气发生器</w:t>
            </w:r>
          </w:p>
        </w:tc>
        <w:tc>
          <w:tcPr>
            <w:tcW w:w="4131" w:type="dxa"/>
            <w:shd w:val="clear" w:color="auto" w:fill="auto"/>
            <w:noWrap w:val="0"/>
            <w:vAlign w:val="center"/>
          </w:tcPr>
          <w:p w14:paraId="6A96771A">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杭州谱育科技发展有限公司</w:t>
            </w:r>
          </w:p>
        </w:tc>
        <w:tc>
          <w:tcPr>
            <w:tcW w:w="2164" w:type="dxa"/>
            <w:shd w:val="clear" w:color="auto" w:fill="auto"/>
            <w:noWrap w:val="0"/>
            <w:vAlign w:val="center"/>
          </w:tcPr>
          <w:p w14:paraId="6A5F3779">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EXPEC 300</w:t>
            </w:r>
          </w:p>
        </w:tc>
      </w:tr>
      <w:tr w14:paraId="43AB4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344" w:type="dxa"/>
            <w:shd w:val="clear" w:color="auto" w:fill="auto"/>
            <w:noWrap w:val="0"/>
            <w:vAlign w:val="center"/>
          </w:tcPr>
          <w:p w14:paraId="3AD19F7F">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无机零气发生器</w:t>
            </w:r>
          </w:p>
        </w:tc>
        <w:tc>
          <w:tcPr>
            <w:tcW w:w="4131" w:type="dxa"/>
            <w:shd w:val="clear" w:color="auto" w:fill="auto"/>
            <w:noWrap w:val="0"/>
            <w:vAlign w:val="center"/>
          </w:tcPr>
          <w:p w14:paraId="210853AC">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杭州谱育科技发展有限公司</w:t>
            </w:r>
          </w:p>
        </w:tc>
        <w:tc>
          <w:tcPr>
            <w:tcW w:w="2164" w:type="dxa"/>
            <w:shd w:val="clear" w:color="auto" w:fill="auto"/>
            <w:noWrap w:val="0"/>
            <w:vAlign w:val="center"/>
          </w:tcPr>
          <w:p w14:paraId="263030AB">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EXPEC A710</w:t>
            </w:r>
          </w:p>
        </w:tc>
      </w:tr>
      <w:tr w14:paraId="0FDF2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344" w:type="dxa"/>
            <w:shd w:val="clear" w:color="auto" w:fill="auto"/>
            <w:noWrap w:val="0"/>
            <w:vAlign w:val="center"/>
          </w:tcPr>
          <w:p w14:paraId="6C9F92FB">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有机零气发生器</w:t>
            </w:r>
          </w:p>
        </w:tc>
        <w:tc>
          <w:tcPr>
            <w:tcW w:w="4131" w:type="dxa"/>
            <w:shd w:val="clear" w:color="auto" w:fill="auto"/>
            <w:noWrap w:val="0"/>
            <w:vAlign w:val="center"/>
          </w:tcPr>
          <w:p w14:paraId="549592C4">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杭州谱育科技发展有限公司</w:t>
            </w:r>
          </w:p>
        </w:tc>
        <w:tc>
          <w:tcPr>
            <w:tcW w:w="2164" w:type="dxa"/>
            <w:shd w:val="clear" w:color="auto" w:fill="auto"/>
            <w:noWrap w:val="0"/>
            <w:vAlign w:val="center"/>
          </w:tcPr>
          <w:p w14:paraId="6C5C6A57">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EXPEC 360</w:t>
            </w:r>
          </w:p>
        </w:tc>
      </w:tr>
      <w:tr w14:paraId="321AF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344" w:type="dxa"/>
            <w:shd w:val="clear" w:color="auto" w:fill="auto"/>
            <w:noWrap w:val="0"/>
            <w:vAlign w:val="center"/>
          </w:tcPr>
          <w:p w14:paraId="520B98CA">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无机动态校准仪</w:t>
            </w:r>
          </w:p>
        </w:tc>
        <w:tc>
          <w:tcPr>
            <w:tcW w:w="4131" w:type="dxa"/>
            <w:shd w:val="clear" w:color="auto" w:fill="auto"/>
            <w:noWrap w:val="0"/>
            <w:vAlign w:val="center"/>
          </w:tcPr>
          <w:p w14:paraId="051816D4">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杭州谱育科技发展有限公司</w:t>
            </w:r>
          </w:p>
        </w:tc>
        <w:tc>
          <w:tcPr>
            <w:tcW w:w="2164" w:type="dxa"/>
            <w:shd w:val="clear" w:color="auto" w:fill="auto"/>
            <w:noWrap w:val="0"/>
            <w:vAlign w:val="center"/>
          </w:tcPr>
          <w:p w14:paraId="45CCB673">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EXPEC A720</w:t>
            </w:r>
          </w:p>
        </w:tc>
      </w:tr>
      <w:tr w14:paraId="632C5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344" w:type="dxa"/>
            <w:shd w:val="clear" w:color="auto" w:fill="auto"/>
            <w:noWrap w:val="0"/>
            <w:vAlign w:val="center"/>
          </w:tcPr>
          <w:p w14:paraId="053B086B">
            <w:pPr>
              <w:pStyle w:val="20"/>
              <w:keepNext w:val="0"/>
              <w:keepLines w:val="0"/>
              <w:pageBreakBefore w:val="0"/>
              <w:widowControl w:val="0"/>
              <w:kinsoku w:val="0"/>
              <w:wordWrap/>
              <w:overflowPunct w:val="0"/>
              <w:topLinePunct w:val="0"/>
              <w:autoSpaceDE w:val="0"/>
              <w:autoSpaceDN w:val="0"/>
              <w:bidi w:val="0"/>
              <w:adjustRightInd w:val="0"/>
              <w:snapToGrid w:val="0"/>
              <w:spacing w:before="1"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全惰性化精密动态校准仪</w:t>
            </w:r>
          </w:p>
        </w:tc>
        <w:tc>
          <w:tcPr>
            <w:tcW w:w="4131" w:type="dxa"/>
            <w:shd w:val="clear" w:color="auto" w:fill="auto"/>
            <w:noWrap w:val="0"/>
            <w:vAlign w:val="center"/>
          </w:tcPr>
          <w:p w14:paraId="169BBBAA">
            <w:pPr>
              <w:pStyle w:val="20"/>
              <w:keepNext w:val="0"/>
              <w:keepLines w:val="0"/>
              <w:pageBreakBefore w:val="0"/>
              <w:widowControl w:val="0"/>
              <w:kinsoku w:val="0"/>
              <w:wordWrap/>
              <w:overflowPunct w:val="0"/>
              <w:topLinePunct w:val="0"/>
              <w:autoSpaceDE w:val="0"/>
              <w:autoSpaceDN w:val="0"/>
              <w:bidi w:val="0"/>
              <w:adjustRightInd w:val="0"/>
              <w:snapToGrid w:val="0"/>
              <w:spacing w:before="1"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杭州谱育科技发展有限公司</w:t>
            </w:r>
          </w:p>
        </w:tc>
        <w:tc>
          <w:tcPr>
            <w:tcW w:w="2164" w:type="dxa"/>
            <w:shd w:val="clear" w:color="auto" w:fill="auto"/>
            <w:noWrap w:val="0"/>
            <w:vAlign w:val="center"/>
          </w:tcPr>
          <w:p w14:paraId="4028533F">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D3000</w:t>
            </w:r>
          </w:p>
        </w:tc>
      </w:tr>
      <w:tr w14:paraId="4E248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344" w:type="dxa"/>
            <w:shd w:val="clear" w:color="auto" w:fill="auto"/>
            <w:noWrap w:val="0"/>
            <w:vAlign w:val="center"/>
          </w:tcPr>
          <w:p w14:paraId="0A8D0E4E">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气象五参数</w:t>
            </w:r>
          </w:p>
        </w:tc>
        <w:tc>
          <w:tcPr>
            <w:tcW w:w="4131" w:type="dxa"/>
            <w:shd w:val="clear" w:color="auto" w:fill="auto"/>
            <w:noWrap w:val="0"/>
            <w:vAlign w:val="center"/>
          </w:tcPr>
          <w:p w14:paraId="2014241A">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深圳市智翔宇仪器设备有限公司</w:t>
            </w:r>
          </w:p>
        </w:tc>
        <w:tc>
          <w:tcPr>
            <w:tcW w:w="2164" w:type="dxa"/>
            <w:shd w:val="clear" w:color="auto" w:fill="auto"/>
            <w:noWrap w:val="0"/>
            <w:vAlign w:val="center"/>
          </w:tcPr>
          <w:p w14:paraId="30F8A3C1">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MULTI-5P</w:t>
            </w:r>
          </w:p>
        </w:tc>
      </w:tr>
      <w:tr w14:paraId="113B8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344" w:type="dxa"/>
            <w:shd w:val="clear" w:color="auto" w:fill="auto"/>
            <w:noWrap w:val="0"/>
            <w:vAlign w:val="center"/>
          </w:tcPr>
          <w:p w14:paraId="657F161C">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采样系统</w:t>
            </w:r>
          </w:p>
        </w:tc>
        <w:tc>
          <w:tcPr>
            <w:tcW w:w="4131" w:type="dxa"/>
            <w:shd w:val="clear" w:color="auto" w:fill="auto"/>
            <w:noWrap w:val="0"/>
            <w:vAlign w:val="center"/>
          </w:tcPr>
          <w:p w14:paraId="05317410">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杭州谱育科技发展有限公司</w:t>
            </w:r>
          </w:p>
        </w:tc>
        <w:tc>
          <w:tcPr>
            <w:tcW w:w="2164" w:type="dxa"/>
            <w:shd w:val="clear" w:color="auto" w:fill="auto"/>
            <w:noWrap w:val="0"/>
            <w:vAlign w:val="center"/>
          </w:tcPr>
          <w:p w14:paraId="3A0C6DBF">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SPA-1000</w:t>
            </w:r>
          </w:p>
        </w:tc>
      </w:tr>
      <w:tr w14:paraId="27C62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344" w:type="dxa"/>
            <w:shd w:val="clear" w:color="auto" w:fill="auto"/>
            <w:noWrap w:val="0"/>
            <w:vAlign w:val="center"/>
          </w:tcPr>
          <w:p w14:paraId="4B2D2128">
            <w:pPr>
              <w:pStyle w:val="20"/>
              <w:keepNext w:val="0"/>
              <w:keepLines w:val="0"/>
              <w:pageBreakBefore w:val="0"/>
              <w:widowControl w:val="0"/>
              <w:kinsoku w:val="0"/>
              <w:wordWrap/>
              <w:overflowPunct w:val="0"/>
              <w:topLinePunct w:val="0"/>
              <w:autoSpaceDE w:val="0"/>
              <w:autoSpaceDN w:val="0"/>
              <w:bidi w:val="0"/>
              <w:adjustRightInd w:val="0"/>
              <w:snapToGrid w:val="0"/>
              <w:spacing w:before="1"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数据采集与传输</w:t>
            </w:r>
          </w:p>
        </w:tc>
        <w:tc>
          <w:tcPr>
            <w:tcW w:w="4131" w:type="dxa"/>
            <w:shd w:val="clear" w:color="auto" w:fill="auto"/>
            <w:noWrap w:val="0"/>
            <w:vAlign w:val="center"/>
          </w:tcPr>
          <w:p w14:paraId="293468FE">
            <w:pPr>
              <w:pStyle w:val="20"/>
              <w:keepNext w:val="0"/>
              <w:keepLines w:val="0"/>
              <w:pageBreakBefore w:val="0"/>
              <w:widowControl w:val="0"/>
              <w:kinsoku w:val="0"/>
              <w:wordWrap/>
              <w:overflowPunct w:val="0"/>
              <w:topLinePunct w:val="0"/>
              <w:autoSpaceDE w:val="0"/>
              <w:autoSpaceDN w:val="0"/>
              <w:bidi w:val="0"/>
              <w:adjustRightInd w:val="0"/>
              <w:snapToGrid w:val="0"/>
              <w:spacing w:before="1"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河南普惠环保科技有限公司</w:t>
            </w:r>
          </w:p>
        </w:tc>
        <w:tc>
          <w:tcPr>
            <w:tcW w:w="2164" w:type="dxa"/>
            <w:shd w:val="clear" w:color="auto" w:fill="auto"/>
            <w:noWrap w:val="0"/>
            <w:vAlign w:val="center"/>
          </w:tcPr>
          <w:p w14:paraId="6D254BE9">
            <w:pPr>
              <w:pStyle w:val="20"/>
              <w:keepNext w:val="0"/>
              <w:keepLines w:val="0"/>
              <w:pageBreakBefore w:val="0"/>
              <w:widowControl w:val="0"/>
              <w:kinsoku w:val="0"/>
              <w:wordWrap/>
              <w:overflowPunct w:val="0"/>
              <w:topLinePunct w:val="0"/>
              <w:autoSpaceDE w:val="0"/>
              <w:autoSpaceDN w:val="0"/>
              <w:bidi w:val="0"/>
              <w:adjustRightInd w:val="0"/>
              <w:snapToGrid w:val="0"/>
              <w:spacing w:before="1"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定制</w:t>
            </w:r>
          </w:p>
        </w:tc>
      </w:tr>
      <w:tr w14:paraId="5E1B7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344" w:type="dxa"/>
            <w:shd w:val="clear" w:color="auto" w:fill="auto"/>
            <w:noWrap w:val="0"/>
            <w:vAlign w:val="center"/>
          </w:tcPr>
          <w:p w14:paraId="6FA32105">
            <w:pPr>
              <w:pStyle w:val="20"/>
              <w:keepNext w:val="0"/>
              <w:keepLines w:val="0"/>
              <w:pageBreakBefore w:val="0"/>
              <w:widowControl w:val="0"/>
              <w:kinsoku w:val="0"/>
              <w:wordWrap/>
              <w:overflowPunct w:val="0"/>
              <w:topLinePunct w:val="0"/>
              <w:autoSpaceDE w:val="0"/>
              <w:autoSpaceDN w:val="0"/>
              <w:bidi w:val="0"/>
              <w:adjustRightInd w:val="0"/>
              <w:snapToGrid w:val="0"/>
              <w:spacing w:before="212"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光纤+VPN</w:t>
            </w:r>
          </w:p>
        </w:tc>
        <w:tc>
          <w:tcPr>
            <w:tcW w:w="4131" w:type="dxa"/>
            <w:shd w:val="clear" w:color="auto" w:fill="auto"/>
            <w:noWrap w:val="0"/>
            <w:vAlign w:val="center"/>
          </w:tcPr>
          <w:p w14:paraId="79F2DB81">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河南普惠环保科技有限公司</w:t>
            </w:r>
          </w:p>
        </w:tc>
        <w:tc>
          <w:tcPr>
            <w:tcW w:w="2164" w:type="dxa"/>
            <w:shd w:val="clear" w:color="auto" w:fill="auto"/>
            <w:noWrap w:val="0"/>
            <w:vAlign w:val="center"/>
          </w:tcPr>
          <w:p w14:paraId="78D3EC17">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定制</w:t>
            </w:r>
          </w:p>
        </w:tc>
      </w:tr>
      <w:tr w14:paraId="7555A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344" w:type="dxa"/>
            <w:shd w:val="clear" w:color="auto" w:fill="auto"/>
            <w:noWrap w:val="0"/>
            <w:vAlign w:val="center"/>
          </w:tcPr>
          <w:p w14:paraId="349EA2A0">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能耗与动力费用</w:t>
            </w:r>
          </w:p>
        </w:tc>
        <w:tc>
          <w:tcPr>
            <w:tcW w:w="6295" w:type="dxa"/>
            <w:gridSpan w:val="2"/>
            <w:noWrap w:val="0"/>
            <w:vAlign w:val="center"/>
          </w:tcPr>
          <w:p w14:paraId="07C8077D">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网络、电力等费用</w:t>
            </w:r>
          </w:p>
        </w:tc>
      </w:tr>
      <w:tr w14:paraId="240B0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344" w:type="dxa"/>
            <w:noWrap w:val="0"/>
            <w:vAlign w:val="center"/>
          </w:tcPr>
          <w:p w14:paraId="5DAECBCC">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ind w:right="176"/>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站房配套设施</w:t>
            </w:r>
          </w:p>
        </w:tc>
        <w:tc>
          <w:tcPr>
            <w:tcW w:w="6295" w:type="dxa"/>
            <w:gridSpan w:val="2"/>
            <w:noWrap w:val="0"/>
            <w:vAlign w:val="center"/>
          </w:tcPr>
          <w:p w14:paraId="55E66E3F">
            <w:pPr>
              <w:pStyle w:val="20"/>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包含空调、电力、防水、防雷、消防等设施的维修保养</w:t>
            </w:r>
          </w:p>
        </w:tc>
      </w:tr>
    </w:tbl>
    <w:p w14:paraId="1274D6CF">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rPr>
          <w:rFonts w:hint="eastAsia" w:ascii="宋体" w:hAnsi="宋体" w:eastAsia="宋体" w:cs="宋体"/>
          <w:color w:val="auto"/>
          <w:sz w:val="21"/>
          <w:szCs w:val="21"/>
        </w:rPr>
      </w:pPr>
    </w:p>
    <w:p w14:paraId="028CED1A">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、质量要求、技术标准</w:t>
      </w:r>
    </w:p>
    <w:p w14:paraId="58D2BC70">
      <w:pPr>
        <w:pStyle w:val="5"/>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（一）运维工作目标</w:t>
      </w:r>
    </w:p>
    <w:p w14:paraId="014106DF">
      <w:pPr>
        <w:pStyle w:val="5"/>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乙方须建立完善的运行维护工作规范，确保提供及时、准确、有效的监测数据，并接受甲方或相关方的质控检查和考核，确保此监测系统全周期连续运行，确保监测数据准确有效。</w:t>
      </w:r>
    </w:p>
    <w:p w14:paraId="1ECD7F98">
      <w:pPr>
        <w:pStyle w:val="5"/>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系统运营维护总体目标：除校准、停电、维护保养等工作外，最大限度保证系统连续运行，每月数据</w:t>
      </w:r>
      <w:r>
        <w:rPr>
          <w:rFonts w:hint="eastAsia" w:ascii="宋体" w:hAnsi="宋体" w:eastAsia="宋体" w:cs="宋体"/>
          <w:color w:val="auto"/>
          <w:sz w:val="24"/>
          <w:szCs w:val="24"/>
          <w:lang w:eastAsia="zh-CN"/>
        </w:rPr>
        <w:t>总上传率</w:t>
      </w:r>
      <w:r>
        <w:rPr>
          <w:rFonts w:hint="eastAsia" w:ascii="宋体" w:hAnsi="宋体" w:eastAsia="宋体" w:cs="宋体"/>
          <w:color w:val="auto"/>
          <w:sz w:val="24"/>
          <w:szCs w:val="24"/>
        </w:rPr>
        <w:t>达到8</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%以上；定期按照监测规范和规程对仪器设备进行校准，确保上传的数据准确有效，保证异常情况及时响应。</w:t>
      </w:r>
    </w:p>
    <w:p w14:paraId="376A5A71">
      <w:pPr>
        <w:pStyle w:val="5"/>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乙方须遵守国家法律、法规以及关于空气自动监测站运行管理的各项规定，如运维期间生态环境部、中国环境监测总站、河南省和平顶山市等出台新的自动站运行管理规定，则运维工作要求随之执行最新规定。</w:t>
      </w:r>
    </w:p>
    <w:p w14:paraId="45459E75">
      <w:pPr>
        <w:pStyle w:val="5"/>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乙方在合同</w:t>
      </w:r>
      <w:r>
        <w:rPr>
          <w:rFonts w:hint="eastAsia" w:ascii="宋体" w:hAnsi="宋体" w:eastAsia="宋体" w:cs="宋体"/>
          <w:color w:val="auto"/>
          <w:sz w:val="24"/>
          <w:szCs w:val="24"/>
          <w:lang w:eastAsia="zh-CN"/>
        </w:rPr>
        <w:t>签订</w:t>
      </w:r>
      <w:r>
        <w:rPr>
          <w:rFonts w:hint="eastAsia" w:ascii="宋体" w:hAnsi="宋体" w:eastAsia="宋体" w:cs="宋体"/>
          <w:color w:val="auto"/>
          <w:sz w:val="24"/>
          <w:szCs w:val="24"/>
        </w:rPr>
        <w:t>后</w:t>
      </w:r>
      <w:r>
        <w:rPr>
          <w:rFonts w:hint="eastAsia" w:ascii="宋体" w:hAnsi="宋体" w:eastAsia="宋体" w:cs="宋体"/>
          <w:color w:val="auto"/>
          <w:sz w:val="24"/>
          <w:szCs w:val="24"/>
          <w:lang w:eastAsia="zh-CN"/>
        </w:rPr>
        <w:t>应立即对挥发性有机物站（合建交通站）进行搬迁或重建，并在</w:t>
      </w:r>
      <w:r>
        <w:rPr>
          <w:rFonts w:hint="eastAsia" w:ascii="宋体" w:hAnsi="宋体" w:eastAsia="宋体" w:cs="宋体"/>
          <w:color w:val="auto"/>
          <w:sz w:val="24"/>
          <w:szCs w:val="24"/>
        </w:rPr>
        <w:t>半年内对两站点站房</w:t>
      </w:r>
      <w:r>
        <w:rPr>
          <w:rFonts w:hint="eastAsia" w:ascii="宋体" w:hAnsi="宋体" w:eastAsia="宋体" w:cs="宋体"/>
          <w:color w:val="auto"/>
          <w:sz w:val="24"/>
          <w:szCs w:val="24"/>
          <w:lang w:eastAsia="zh-CN"/>
        </w:rPr>
        <w:t>开展一次安全排查，</w:t>
      </w:r>
      <w:r>
        <w:rPr>
          <w:rFonts w:hint="eastAsia" w:ascii="宋体" w:hAnsi="宋体" w:eastAsia="宋体" w:cs="宋体"/>
          <w:color w:val="auto"/>
          <w:sz w:val="24"/>
          <w:szCs w:val="24"/>
        </w:rPr>
        <w:t>对存在安全隐患的站房结合实际进行除险加固</w:t>
      </w:r>
      <w:r>
        <w:rPr>
          <w:rFonts w:hint="eastAsia" w:ascii="宋体" w:hAnsi="宋体" w:eastAsia="宋体" w:cs="宋体"/>
          <w:color w:val="auto"/>
          <w:sz w:val="24"/>
          <w:szCs w:val="24"/>
          <w:lang w:eastAsia="zh-CN"/>
        </w:rPr>
        <w:t>、搬迁或</w:t>
      </w:r>
      <w:r>
        <w:rPr>
          <w:rFonts w:hint="eastAsia" w:ascii="宋体" w:hAnsi="宋体" w:eastAsia="宋体" w:cs="宋体"/>
          <w:color w:val="auto"/>
          <w:sz w:val="24"/>
          <w:szCs w:val="24"/>
        </w:rPr>
        <w:t>重建</w:t>
      </w:r>
      <w:r>
        <w:rPr>
          <w:rFonts w:hint="eastAsia" w:ascii="宋体" w:hAnsi="宋体" w:eastAsia="宋体" w:cs="宋体"/>
          <w:color w:val="auto"/>
          <w:sz w:val="24"/>
          <w:szCs w:val="24"/>
          <w:lang w:eastAsia="zh-CN"/>
        </w:rPr>
        <w:t>至合格标准</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以上</w:t>
      </w:r>
      <w:r>
        <w:rPr>
          <w:rFonts w:hint="eastAsia" w:ascii="宋体" w:hAnsi="宋体" w:eastAsia="宋体" w:cs="宋体"/>
          <w:color w:val="auto"/>
          <w:sz w:val="24"/>
          <w:szCs w:val="24"/>
        </w:rPr>
        <w:t>费用由乙方承担。</w:t>
      </w:r>
    </w:p>
    <w:p w14:paraId="48262024">
      <w:pPr>
        <w:pStyle w:val="5"/>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（二）技术标准</w:t>
      </w:r>
    </w:p>
    <w:p w14:paraId="26F94064">
      <w:pPr>
        <w:pStyle w:val="5"/>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运行维护主要依据：《环境空气质量监测规范》、《环境空气质量自动监测技术规范》、《环境空气挥发性有机物连续自动监测质量控制技术规定（试行）》、《大气颗粒物组分自动监测质量保证与质量控制技术规定（第一版）》及仪器使用说明材料等相关技术标准。乙方根据相关规范、规定要求进行空气质量监测站在线监测系统的管理及站点仪器运维服务工作。</w:t>
      </w:r>
    </w:p>
    <w:p w14:paraId="14168F90">
      <w:pPr>
        <w:pStyle w:val="5"/>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、服务期限（项目完成期限）</w:t>
      </w:r>
    </w:p>
    <w:p w14:paraId="0B96FCC8">
      <w:pPr>
        <w:pStyle w:val="5"/>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本合同服务期限自本合同签订之日起一年，合同签订之日乙方即开始提供运维服务。</w:t>
      </w:r>
    </w:p>
    <w:p w14:paraId="7B37388A">
      <w:pPr>
        <w:pStyle w:val="5"/>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、考核方式</w:t>
      </w:r>
    </w:p>
    <w:p w14:paraId="20AF8739">
      <w:pPr>
        <w:pStyle w:val="5"/>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甲方对运维单位考核包括站点数据</w:t>
      </w:r>
      <w:r>
        <w:rPr>
          <w:rFonts w:hint="eastAsia" w:ascii="宋体" w:hAnsi="宋体" w:eastAsia="宋体" w:cs="宋体"/>
          <w:color w:val="auto"/>
          <w:sz w:val="24"/>
          <w:szCs w:val="24"/>
          <w:lang w:eastAsia="zh-CN"/>
        </w:rPr>
        <w:t>总上传率</w:t>
      </w:r>
      <w:r>
        <w:rPr>
          <w:rFonts w:hint="eastAsia" w:ascii="宋体" w:hAnsi="宋体" w:eastAsia="宋体" w:cs="宋体"/>
          <w:color w:val="auto"/>
          <w:sz w:val="24"/>
          <w:szCs w:val="24"/>
        </w:rPr>
        <w:t>考核、运行维护期间各类技术报告等材料提交的时效性和完整情况考核及异常情况响应解决及时性考核。</w:t>
      </w:r>
    </w:p>
    <w:p w14:paraId="2BF3B1D4">
      <w:pPr>
        <w:pStyle w:val="5"/>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合同期分2个考核周期，自</w:t>
      </w:r>
      <w:r>
        <w:rPr>
          <w:rFonts w:hint="eastAsia" w:ascii="宋体" w:hAnsi="宋体" w:eastAsia="宋体" w:cs="宋体"/>
          <w:color w:val="auto"/>
          <w:sz w:val="24"/>
          <w:szCs w:val="24"/>
          <w:lang w:eastAsia="zh-CN"/>
        </w:rPr>
        <w:t>合同签订之日起</w:t>
      </w:r>
      <w:r>
        <w:rPr>
          <w:rFonts w:hint="eastAsia" w:ascii="宋体" w:hAnsi="宋体" w:eastAsia="宋体" w:cs="宋体"/>
          <w:color w:val="auto"/>
          <w:sz w:val="24"/>
          <w:szCs w:val="24"/>
        </w:rPr>
        <w:t>满半年为第一考核周期，服务期限截止为第二考核周期。甲方也可结合实际开展不定期抽查和考核。</w:t>
      </w:r>
    </w:p>
    <w:p w14:paraId="2081D787">
      <w:pPr>
        <w:pStyle w:val="5"/>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考核周期内，乙方当月监测数据</w:t>
      </w:r>
      <w:r>
        <w:rPr>
          <w:rFonts w:hint="eastAsia" w:ascii="宋体" w:hAnsi="宋体" w:eastAsia="宋体" w:cs="宋体"/>
          <w:color w:val="auto"/>
          <w:sz w:val="24"/>
          <w:szCs w:val="24"/>
          <w:lang w:eastAsia="zh-CN"/>
        </w:rPr>
        <w:t>总上传率</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90</w:t>
      </w:r>
      <w:r>
        <w:rPr>
          <w:rFonts w:hint="eastAsia" w:ascii="宋体" w:hAnsi="宋体" w:eastAsia="宋体" w:cs="宋体"/>
          <w:color w:val="auto"/>
          <w:sz w:val="24"/>
          <w:szCs w:val="24"/>
        </w:rPr>
        <w:t xml:space="preserve">%（含 </w:t>
      </w:r>
      <w:r>
        <w:rPr>
          <w:rFonts w:hint="eastAsia" w:ascii="宋体" w:hAnsi="宋体" w:eastAsia="宋体" w:cs="宋体"/>
          <w:color w:val="auto"/>
          <w:sz w:val="24"/>
          <w:szCs w:val="24"/>
          <w:lang w:val="en-US" w:eastAsia="zh-CN"/>
        </w:rPr>
        <w:t>90</w:t>
      </w:r>
      <w:r>
        <w:rPr>
          <w:rFonts w:hint="eastAsia" w:ascii="宋体" w:hAnsi="宋体" w:eastAsia="宋体" w:cs="宋体"/>
          <w:color w:val="auto"/>
          <w:sz w:val="24"/>
          <w:szCs w:val="24"/>
        </w:rPr>
        <w:t>%）以上，甲方全额支付当期运维费（即合同价款，下同）；月数据</w:t>
      </w:r>
      <w:r>
        <w:rPr>
          <w:rFonts w:hint="eastAsia" w:ascii="宋体" w:hAnsi="宋体" w:eastAsia="宋体" w:cs="宋体"/>
          <w:color w:val="auto"/>
          <w:sz w:val="24"/>
          <w:szCs w:val="24"/>
          <w:lang w:eastAsia="zh-CN"/>
        </w:rPr>
        <w:t>总上传率</w:t>
      </w:r>
      <w:r>
        <w:rPr>
          <w:rFonts w:hint="eastAsia" w:ascii="宋体" w:hAnsi="宋体" w:eastAsia="宋体" w:cs="宋体"/>
          <w:color w:val="auto"/>
          <w:sz w:val="24"/>
          <w:szCs w:val="24"/>
        </w:rPr>
        <w:t>在 8</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90</w:t>
      </w:r>
      <w:r>
        <w:rPr>
          <w:rFonts w:hint="eastAsia" w:ascii="宋体" w:hAnsi="宋体" w:eastAsia="宋体" w:cs="宋体"/>
          <w:color w:val="auto"/>
          <w:sz w:val="24"/>
          <w:szCs w:val="24"/>
        </w:rPr>
        <w:t>%（含</w:t>
      </w:r>
      <w:r>
        <w:rPr>
          <w:rFonts w:hint="eastAsia" w:ascii="宋体" w:hAnsi="宋体" w:eastAsia="宋体" w:cs="宋体"/>
          <w:color w:val="auto"/>
          <w:sz w:val="24"/>
          <w:szCs w:val="24"/>
          <w:lang w:val="en-US" w:eastAsia="zh-CN"/>
        </w:rPr>
        <w:t>85</w:t>
      </w:r>
      <w:r>
        <w:rPr>
          <w:rFonts w:hint="eastAsia" w:ascii="宋体" w:hAnsi="宋体" w:eastAsia="宋体" w:cs="宋体"/>
          <w:color w:val="auto"/>
          <w:sz w:val="24"/>
          <w:szCs w:val="24"/>
        </w:rPr>
        <w:t>%）之间，每低于</w:t>
      </w:r>
      <w:r>
        <w:rPr>
          <w:rFonts w:hint="eastAsia" w:ascii="宋体" w:hAnsi="宋体" w:eastAsia="宋体" w:cs="宋体"/>
          <w:color w:val="auto"/>
          <w:sz w:val="24"/>
          <w:szCs w:val="24"/>
          <w:lang w:val="en-US" w:eastAsia="zh-CN"/>
        </w:rPr>
        <w:t>90</w:t>
      </w:r>
      <w:r>
        <w:rPr>
          <w:rFonts w:hint="eastAsia" w:ascii="宋体" w:hAnsi="宋体" w:eastAsia="宋体" w:cs="宋体"/>
          <w:color w:val="auto"/>
          <w:sz w:val="24"/>
          <w:szCs w:val="24"/>
        </w:rPr>
        <w:t>%一个百分点，按合同总额的千分之五扣减当月运维费；月数据</w:t>
      </w:r>
      <w:r>
        <w:rPr>
          <w:rFonts w:hint="eastAsia" w:ascii="宋体" w:hAnsi="宋体" w:eastAsia="宋体" w:cs="宋体"/>
          <w:color w:val="auto"/>
          <w:sz w:val="24"/>
          <w:szCs w:val="24"/>
          <w:lang w:eastAsia="zh-CN"/>
        </w:rPr>
        <w:t>总上传率</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85</w:t>
      </w:r>
      <w:r>
        <w:rPr>
          <w:rFonts w:hint="eastAsia" w:ascii="宋体" w:hAnsi="宋体" w:eastAsia="宋体" w:cs="宋体"/>
          <w:color w:val="auto"/>
          <w:sz w:val="24"/>
          <w:szCs w:val="24"/>
        </w:rPr>
        <w:t>%以下不予支付当月运维费（合同总价的十二分之一）。连续两个月低于</w:t>
      </w:r>
      <w:r>
        <w:rPr>
          <w:rFonts w:hint="eastAsia" w:ascii="宋体" w:hAnsi="宋体" w:eastAsia="宋体" w:cs="宋体"/>
          <w:color w:val="auto"/>
          <w:sz w:val="24"/>
          <w:szCs w:val="24"/>
          <w:lang w:val="en-US" w:eastAsia="zh-CN"/>
        </w:rPr>
        <w:t>85</w:t>
      </w:r>
      <w:r>
        <w:rPr>
          <w:rFonts w:hint="eastAsia" w:ascii="宋体" w:hAnsi="宋体" w:eastAsia="宋体" w:cs="宋体"/>
          <w:color w:val="auto"/>
          <w:sz w:val="24"/>
          <w:szCs w:val="24"/>
        </w:rPr>
        <w:t>%以下，甲方有权解除合同。如</w:t>
      </w:r>
      <w:r>
        <w:rPr>
          <w:rFonts w:hint="eastAsia" w:ascii="宋体" w:hAnsi="宋体" w:eastAsia="宋体" w:cs="宋体"/>
          <w:color w:val="auto"/>
          <w:sz w:val="24"/>
          <w:szCs w:val="24"/>
          <w:lang w:eastAsia="zh-CN"/>
        </w:rPr>
        <w:t>站房需重建或搬迁导致</w:t>
      </w:r>
      <w:r>
        <w:rPr>
          <w:rFonts w:hint="eastAsia" w:ascii="宋体" w:hAnsi="宋体" w:eastAsia="宋体" w:cs="宋体"/>
          <w:color w:val="auto"/>
          <w:sz w:val="24"/>
          <w:szCs w:val="24"/>
        </w:rPr>
        <w:t>站点</w:t>
      </w:r>
      <w:r>
        <w:rPr>
          <w:rFonts w:hint="eastAsia" w:ascii="宋体" w:hAnsi="宋体" w:eastAsia="宋体" w:cs="宋体"/>
          <w:color w:val="auto"/>
          <w:sz w:val="24"/>
          <w:szCs w:val="24"/>
          <w:lang w:eastAsia="zh-CN"/>
        </w:rPr>
        <w:t>停运</w:t>
      </w:r>
      <w:r>
        <w:rPr>
          <w:rFonts w:hint="eastAsia" w:ascii="宋体" w:hAnsi="宋体" w:eastAsia="宋体" w:cs="宋体"/>
          <w:color w:val="auto"/>
          <w:sz w:val="24"/>
          <w:szCs w:val="24"/>
        </w:rPr>
        <w:t>的，停运期间站点按照满足数据上传率</w:t>
      </w:r>
      <w:r>
        <w:rPr>
          <w:rFonts w:hint="eastAsia" w:ascii="宋体" w:hAnsi="宋体" w:eastAsia="宋体" w:cs="宋体"/>
          <w:color w:val="auto"/>
          <w:sz w:val="24"/>
          <w:szCs w:val="24"/>
          <w:lang w:val="en-US" w:eastAsia="zh-CN"/>
        </w:rPr>
        <w:t>90</w:t>
      </w:r>
      <w:r>
        <w:rPr>
          <w:rFonts w:hint="eastAsia" w:ascii="宋体" w:hAnsi="宋体" w:eastAsia="宋体" w:cs="宋体"/>
          <w:color w:val="auto"/>
          <w:sz w:val="24"/>
          <w:szCs w:val="24"/>
        </w:rPr>
        <w:t>%开展考核。</w:t>
      </w:r>
    </w:p>
    <w:p w14:paraId="1F4F60E7">
      <w:pPr>
        <w:pStyle w:val="5"/>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每月10日前向甲方提交上一月技术报告等材料，乙方未按时提交本合同约定的技术文件，应按合同总价每日千分之一的标准向甲方支付违约金，该违约金直接从运维费中扣除，累计不超过合同总额的10%，乙方未按时提交本合同约定的技术文件超过30日或者累计3次未按时提交的，甲方有权解除合同。</w:t>
      </w:r>
    </w:p>
    <w:p w14:paraId="15A214E4">
      <w:pPr>
        <w:pStyle w:val="5"/>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异常情况响应解决超出合同规定时间的，每次每超1小时（不足一小时的按一小时计）按合同总价千分之一的标准从运维费中扣除，累计不超过合同总额的10%。乙方未按本合同约定对异常情况及时响应累计 5次的，甲方有权解除合同。（考核内容要求详见附表）</w:t>
      </w:r>
    </w:p>
    <w:p w14:paraId="3DF7827F">
      <w:pPr>
        <w:pStyle w:val="5"/>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空气站内容交接</w:t>
      </w:r>
    </w:p>
    <w:p w14:paraId="59030E4A">
      <w:pPr>
        <w:pStyle w:val="5"/>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（一）进驻站点前，与站点原运维单位进行积极协调，全面妥善书面交接站点所有事宜。</w:t>
      </w:r>
    </w:p>
    <w:p w14:paraId="4C2D9518">
      <w:pPr>
        <w:pStyle w:val="5"/>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（二）运维服务期满，乙方应无条件配合甲方进行站点移交。</w:t>
      </w:r>
    </w:p>
    <w:p w14:paraId="2399D9E5">
      <w:pPr>
        <w:pStyle w:val="5"/>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（三）乙方应保证站点设施完好，仪器设备正常运行，档案资料齐全。</w:t>
      </w:r>
    </w:p>
    <w:p w14:paraId="4C7B2DA2">
      <w:pPr>
        <w:pStyle w:val="5"/>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（四）乙方运维期间，若出现站房设施或仪器设备损坏或缺失，乙方应无条件进行修复。</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若乙方未按照甲方要求进行修复，甲方有权委托第三方进行维修，维修费用从乙方运维费用中扣除，不足部分，可另行向乙方主张。</w:t>
      </w:r>
    </w:p>
    <w:p w14:paraId="3D228228">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rPr>
          <w:rFonts w:hint="eastAsia" w:ascii="宋体" w:hAnsi="宋体" w:eastAsia="宋体" w:cs="宋体"/>
          <w:color w:val="auto"/>
          <w:sz w:val="21"/>
          <w:szCs w:val="21"/>
        </w:rPr>
      </w:pPr>
    </w:p>
    <w:p w14:paraId="6C40F01F">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附</w:t>
      </w:r>
      <w:r>
        <w:rPr>
          <w:rFonts w:hint="eastAsia" w:ascii="宋体" w:hAnsi="宋体" w:eastAsia="宋体" w:cs="宋体"/>
          <w:color w:val="auto"/>
          <w:sz w:val="21"/>
          <w:szCs w:val="21"/>
        </w:rPr>
        <w:tab/>
      </w:r>
      <w:r>
        <w:rPr>
          <w:rFonts w:hint="eastAsia" w:ascii="宋体" w:hAnsi="宋体" w:eastAsia="宋体" w:cs="宋体"/>
          <w:color w:val="auto"/>
          <w:sz w:val="21"/>
          <w:szCs w:val="21"/>
        </w:rPr>
        <w:t>表</w:t>
      </w:r>
    </w:p>
    <w:p w14:paraId="5C5AA269">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left="22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考核内容要求：</w:t>
      </w:r>
    </w:p>
    <w:tbl>
      <w:tblPr>
        <w:tblStyle w:val="16"/>
        <w:tblW w:w="9749"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6"/>
        <w:gridCol w:w="4616"/>
        <w:gridCol w:w="4437"/>
      </w:tblGrid>
      <w:tr w14:paraId="5E7CE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96" w:type="dxa"/>
            <w:noWrap w:val="0"/>
            <w:vAlign w:val="center"/>
          </w:tcPr>
          <w:p w14:paraId="7C56F857">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w:t>
            </w:r>
          </w:p>
        </w:tc>
        <w:tc>
          <w:tcPr>
            <w:tcW w:w="4616" w:type="dxa"/>
            <w:noWrap w:val="0"/>
            <w:vAlign w:val="center"/>
          </w:tcPr>
          <w:p w14:paraId="16951CCF">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内 容</w:t>
            </w:r>
          </w:p>
        </w:tc>
        <w:tc>
          <w:tcPr>
            <w:tcW w:w="4437" w:type="dxa"/>
            <w:noWrap w:val="0"/>
            <w:vAlign w:val="center"/>
          </w:tcPr>
          <w:p w14:paraId="064F8340">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要求</w:t>
            </w:r>
          </w:p>
        </w:tc>
      </w:tr>
      <w:tr w14:paraId="71906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96" w:type="dxa"/>
            <w:vMerge w:val="restart"/>
            <w:noWrap w:val="0"/>
            <w:vAlign w:val="center"/>
          </w:tcPr>
          <w:p w14:paraId="1A101E7B">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数</w:t>
            </w:r>
          </w:p>
          <w:p w14:paraId="610F31AA">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据</w:t>
            </w:r>
          </w:p>
          <w:p w14:paraId="75F055DD">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总</w:t>
            </w:r>
          </w:p>
          <w:p w14:paraId="773C84CE">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上</w:t>
            </w:r>
          </w:p>
          <w:p w14:paraId="258D7A16">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传</w:t>
            </w:r>
          </w:p>
          <w:p w14:paraId="5E2EFFCD">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率</w:t>
            </w:r>
          </w:p>
        </w:tc>
        <w:tc>
          <w:tcPr>
            <w:tcW w:w="4616" w:type="dxa"/>
            <w:noWrap w:val="0"/>
            <w:vAlign w:val="center"/>
          </w:tcPr>
          <w:p w14:paraId="57A5C0B2">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月监测数据</w:t>
            </w:r>
            <w:r>
              <w:rPr>
                <w:rFonts w:hint="eastAsia" w:ascii="宋体" w:hAnsi="宋体" w:eastAsia="宋体" w:cs="宋体"/>
                <w:color w:val="auto"/>
                <w:sz w:val="21"/>
                <w:szCs w:val="21"/>
                <w:lang w:eastAsia="zh-CN"/>
              </w:rPr>
              <w:t>总上传率</w:t>
            </w:r>
            <w:r>
              <w:rPr>
                <w:rFonts w:hint="eastAsia" w:ascii="宋体" w:hAnsi="宋体" w:eastAsia="宋体" w:cs="宋体"/>
                <w:color w:val="auto"/>
                <w:sz w:val="21"/>
                <w:szCs w:val="21"/>
              </w:rPr>
              <w:t xml:space="preserve">在 </w:t>
            </w:r>
            <w:r>
              <w:rPr>
                <w:rFonts w:hint="eastAsia" w:ascii="宋体" w:hAnsi="宋体" w:eastAsia="宋体" w:cs="宋体"/>
                <w:color w:val="auto"/>
                <w:sz w:val="21"/>
                <w:szCs w:val="21"/>
                <w:lang w:val="en-US" w:eastAsia="zh-CN"/>
              </w:rPr>
              <w:t>90</w:t>
            </w:r>
            <w:r>
              <w:rPr>
                <w:rFonts w:hint="eastAsia" w:ascii="宋体" w:hAnsi="宋体" w:eastAsia="宋体" w:cs="宋体"/>
                <w:color w:val="auto"/>
                <w:sz w:val="21"/>
                <w:szCs w:val="21"/>
              </w:rPr>
              <w:t>%以上（含</w:t>
            </w:r>
            <w:r>
              <w:rPr>
                <w:rFonts w:hint="eastAsia" w:ascii="宋体" w:hAnsi="宋体" w:eastAsia="宋体" w:cs="宋体"/>
                <w:color w:val="auto"/>
                <w:sz w:val="21"/>
                <w:szCs w:val="21"/>
                <w:lang w:val="en-US" w:eastAsia="zh-CN"/>
              </w:rPr>
              <w:t>90</w:t>
            </w:r>
            <w:r>
              <w:rPr>
                <w:rFonts w:hint="eastAsia" w:ascii="宋体" w:hAnsi="宋体" w:eastAsia="宋体" w:cs="宋体"/>
                <w:color w:val="auto"/>
                <w:sz w:val="21"/>
                <w:szCs w:val="21"/>
              </w:rPr>
              <w:t>%）</w:t>
            </w:r>
          </w:p>
        </w:tc>
        <w:tc>
          <w:tcPr>
            <w:tcW w:w="4437" w:type="dxa"/>
            <w:noWrap w:val="0"/>
            <w:vAlign w:val="center"/>
          </w:tcPr>
          <w:p w14:paraId="086A1B4C">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全额支付当月运维费用</w:t>
            </w:r>
          </w:p>
        </w:tc>
      </w:tr>
      <w:tr w14:paraId="040D8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696" w:type="dxa"/>
            <w:vMerge w:val="continue"/>
            <w:tcBorders>
              <w:top w:val="nil"/>
            </w:tcBorders>
            <w:noWrap w:val="0"/>
            <w:vAlign w:val="center"/>
          </w:tcPr>
          <w:p w14:paraId="5D3C7CE4">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p>
        </w:tc>
        <w:tc>
          <w:tcPr>
            <w:tcW w:w="4616" w:type="dxa"/>
            <w:noWrap w:val="0"/>
            <w:vAlign w:val="center"/>
          </w:tcPr>
          <w:p w14:paraId="2234B242">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月监测数据</w:t>
            </w:r>
            <w:r>
              <w:rPr>
                <w:rFonts w:hint="eastAsia" w:ascii="宋体" w:hAnsi="宋体" w:eastAsia="宋体" w:cs="宋体"/>
                <w:color w:val="auto"/>
                <w:sz w:val="21"/>
                <w:szCs w:val="21"/>
                <w:lang w:eastAsia="zh-CN"/>
              </w:rPr>
              <w:t>总上传率</w:t>
            </w:r>
            <w:r>
              <w:rPr>
                <w:rFonts w:hint="eastAsia" w:ascii="宋体" w:hAnsi="宋体" w:eastAsia="宋体" w:cs="宋体"/>
                <w:color w:val="auto"/>
                <w:sz w:val="21"/>
                <w:szCs w:val="21"/>
              </w:rPr>
              <w:t xml:space="preserve"> 8</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90</w:t>
            </w:r>
            <w:r>
              <w:rPr>
                <w:rFonts w:hint="eastAsia" w:ascii="宋体" w:hAnsi="宋体" w:eastAsia="宋体" w:cs="宋体"/>
                <w:color w:val="auto"/>
                <w:sz w:val="21"/>
                <w:szCs w:val="21"/>
              </w:rPr>
              <w:t>%（含</w:t>
            </w:r>
            <w:r>
              <w:rPr>
                <w:rFonts w:hint="eastAsia" w:ascii="宋体" w:hAnsi="宋体" w:eastAsia="宋体" w:cs="宋体"/>
                <w:color w:val="auto"/>
                <w:sz w:val="21"/>
                <w:szCs w:val="21"/>
                <w:lang w:val="en-US" w:eastAsia="zh-CN"/>
              </w:rPr>
              <w:t>89</w:t>
            </w:r>
            <w:r>
              <w:rPr>
                <w:rFonts w:hint="eastAsia" w:ascii="宋体" w:hAnsi="宋体" w:eastAsia="宋体" w:cs="宋体"/>
                <w:color w:val="auto"/>
                <w:sz w:val="21"/>
                <w:szCs w:val="21"/>
              </w:rPr>
              <w:t>%）</w:t>
            </w:r>
          </w:p>
        </w:tc>
        <w:tc>
          <w:tcPr>
            <w:tcW w:w="4437" w:type="dxa"/>
            <w:noWrap w:val="0"/>
            <w:vAlign w:val="center"/>
          </w:tcPr>
          <w:p w14:paraId="1E371D36">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扣减合同总额的千分之五</w:t>
            </w:r>
          </w:p>
        </w:tc>
      </w:tr>
      <w:tr w14:paraId="545D2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696" w:type="dxa"/>
            <w:vMerge w:val="continue"/>
            <w:tcBorders>
              <w:top w:val="nil"/>
            </w:tcBorders>
            <w:noWrap w:val="0"/>
            <w:vAlign w:val="center"/>
          </w:tcPr>
          <w:p w14:paraId="4355A577">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p>
        </w:tc>
        <w:tc>
          <w:tcPr>
            <w:tcW w:w="4616" w:type="dxa"/>
            <w:noWrap w:val="0"/>
            <w:vAlign w:val="center"/>
          </w:tcPr>
          <w:p w14:paraId="54780E63">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月监测数据</w:t>
            </w:r>
            <w:r>
              <w:rPr>
                <w:rFonts w:hint="eastAsia" w:ascii="宋体" w:hAnsi="宋体" w:eastAsia="宋体" w:cs="宋体"/>
                <w:color w:val="auto"/>
                <w:sz w:val="21"/>
                <w:szCs w:val="21"/>
                <w:lang w:eastAsia="zh-CN"/>
              </w:rPr>
              <w:t>总上传率</w:t>
            </w:r>
            <w:r>
              <w:rPr>
                <w:rFonts w:hint="eastAsia" w:ascii="宋体" w:hAnsi="宋体" w:eastAsia="宋体" w:cs="宋体"/>
                <w:color w:val="auto"/>
                <w:sz w:val="21"/>
                <w:szCs w:val="21"/>
              </w:rPr>
              <w:t xml:space="preserve"> 8</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%-8</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%（含8</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w:t>
            </w:r>
          </w:p>
        </w:tc>
        <w:tc>
          <w:tcPr>
            <w:tcW w:w="4437" w:type="dxa"/>
            <w:noWrap w:val="0"/>
            <w:vAlign w:val="center"/>
          </w:tcPr>
          <w:p w14:paraId="189996B7">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扣减合同总额的千分之十</w:t>
            </w:r>
          </w:p>
        </w:tc>
      </w:tr>
      <w:tr w14:paraId="2E57D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96" w:type="dxa"/>
            <w:vMerge w:val="continue"/>
            <w:tcBorders>
              <w:top w:val="nil"/>
            </w:tcBorders>
            <w:noWrap w:val="0"/>
            <w:vAlign w:val="center"/>
          </w:tcPr>
          <w:p w14:paraId="79757636">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p>
        </w:tc>
        <w:tc>
          <w:tcPr>
            <w:tcW w:w="4616" w:type="dxa"/>
            <w:noWrap w:val="0"/>
            <w:vAlign w:val="center"/>
          </w:tcPr>
          <w:p w14:paraId="1BC2A0BE">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月监测数据</w:t>
            </w:r>
            <w:r>
              <w:rPr>
                <w:rFonts w:hint="eastAsia" w:ascii="宋体" w:hAnsi="宋体" w:eastAsia="宋体" w:cs="宋体"/>
                <w:color w:val="auto"/>
                <w:sz w:val="21"/>
                <w:szCs w:val="21"/>
                <w:lang w:eastAsia="zh-CN"/>
              </w:rPr>
              <w:t>总上传率</w:t>
            </w:r>
            <w:r>
              <w:rPr>
                <w:rFonts w:hint="eastAsia" w:ascii="宋体" w:hAnsi="宋体" w:eastAsia="宋体" w:cs="宋体"/>
                <w:color w:val="auto"/>
                <w:sz w:val="21"/>
                <w:szCs w:val="21"/>
              </w:rPr>
              <w:t xml:space="preserve"> 8</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%-8</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%（含8</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w:t>
            </w:r>
          </w:p>
        </w:tc>
        <w:tc>
          <w:tcPr>
            <w:tcW w:w="4437" w:type="dxa"/>
            <w:noWrap w:val="0"/>
            <w:vAlign w:val="center"/>
          </w:tcPr>
          <w:p w14:paraId="137EDD8B">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扣减合同总额的千分之十五</w:t>
            </w:r>
          </w:p>
        </w:tc>
      </w:tr>
      <w:tr w14:paraId="6D57C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696" w:type="dxa"/>
            <w:vMerge w:val="continue"/>
            <w:tcBorders>
              <w:top w:val="nil"/>
            </w:tcBorders>
            <w:noWrap w:val="0"/>
            <w:vAlign w:val="center"/>
          </w:tcPr>
          <w:p w14:paraId="32850AC0">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p>
        </w:tc>
        <w:tc>
          <w:tcPr>
            <w:tcW w:w="4616" w:type="dxa"/>
            <w:noWrap w:val="0"/>
            <w:vAlign w:val="center"/>
          </w:tcPr>
          <w:p w14:paraId="118160A6">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月监测数据</w:t>
            </w:r>
            <w:r>
              <w:rPr>
                <w:rFonts w:hint="eastAsia" w:ascii="宋体" w:hAnsi="宋体" w:eastAsia="宋体" w:cs="宋体"/>
                <w:color w:val="auto"/>
                <w:sz w:val="21"/>
                <w:szCs w:val="21"/>
                <w:lang w:eastAsia="zh-CN"/>
              </w:rPr>
              <w:t>总上传率</w:t>
            </w:r>
            <w:r>
              <w:rPr>
                <w:rFonts w:hint="eastAsia" w:ascii="宋体" w:hAnsi="宋体" w:eastAsia="宋体" w:cs="宋体"/>
                <w:color w:val="auto"/>
                <w:sz w:val="21"/>
                <w:szCs w:val="21"/>
              </w:rPr>
              <w:t xml:space="preserve"> 8</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%-8</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%（含8</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w:t>
            </w:r>
          </w:p>
        </w:tc>
        <w:tc>
          <w:tcPr>
            <w:tcW w:w="4437" w:type="dxa"/>
            <w:noWrap w:val="0"/>
            <w:vAlign w:val="center"/>
          </w:tcPr>
          <w:p w14:paraId="77A1ADDB">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扣减合同总额的千分之二十</w:t>
            </w:r>
          </w:p>
        </w:tc>
      </w:tr>
      <w:tr w14:paraId="137BA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96" w:type="dxa"/>
            <w:vMerge w:val="continue"/>
            <w:tcBorders>
              <w:top w:val="nil"/>
            </w:tcBorders>
            <w:noWrap w:val="0"/>
            <w:vAlign w:val="center"/>
          </w:tcPr>
          <w:p w14:paraId="1D0DF1CD">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p>
        </w:tc>
        <w:tc>
          <w:tcPr>
            <w:tcW w:w="4616" w:type="dxa"/>
            <w:noWrap w:val="0"/>
            <w:vAlign w:val="center"/>
          </w:tcPr>
          <w:p w14:paraId="21205D15">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月监测数据</w:t>
            </w:r>
            <w:r>
              <w:rPr>
                <w:rFonts w:hint="eastAsia" w:ascii="宋体" w:hAnsi="宋体" w:eastAsia="宋体" w:cs="宋体"/>
                <w:color w:val="auto"/>
                <w:sz w:val="21"/>
                <w:szCs w:val="21"/>
                <w:lang w:eastAsia="zh-CN"/>
              </w:rPr>
              <w:t>总上传率</w:t>
            </w:r>
            <w:r>
              <w:rPr>
                <w:rFonts w:hint="eastAsia" w:ascii="宋体" w:hAnsi="宋体" w:eastAsia="宋体" w:cs="宋体"/>
                <w:color w:val="auto"/>
                <w:sz w:val="21"/>
                <w:szCs w:val="21"/>
              </w:rPr>
              <w:t xml:space="preserve"> 8</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%-8</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%（含8</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p>
        </w:tc>
        <w:tc>
          <w:tcPr>
            <w:tcW w:w="4437" w:type="dxa"/>
            <w:noWrap w:val="0"/>
            <w:vAlign w:val="center"/>
          </w:tcPr>
          <w:p w14:paraId="3CB53243">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扣减合同总额的千分之二十五</w:t>
            </w:r>
          </w:p>
        </w:tc>
      </w:tr>
      <w:tr w14:paraId="6308B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696" w:type="dxa"/>
            <w:vMerge w:val="continue"/>
            <w:tcBorders>
              <w:top w:val="nil"/>
            </w:tcBorders>
            <w:noWrap w:val="0"/>
            <w:vAlign w:val="center"/>
          </w:tcPr>
          <w:p w14:paraId="1DB0C9D8">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p>
        </w:tc>
        <w:tc>
          <w:tcPr>
            <w:tcW w:w="4616" w:type="dxa"/>
            <w:noWrap w:val="0"/>
            <w:vAlign w:val="center"/>
          </w:tcPr>
          <w:p w14:paraId="1CE7E934">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月监测数据</w:t>
            </w:r>
            <w:r>
              <w:rPr>
                <w:rFonts w:hint="eastAsia" w:ascii="宋体" w:hAnsi="宋体" w:eastAsia="宋体" w:cs="宋体"/>
                <w:color w:val="auto"/>
                <w:sz w:val="21"/>
                <w:szCs w:val="21"/>
                <w:lang w:eastAsia="zh-CN"/>
              </w:rPr>
              <w:t>总上传率</w:t>
            </w:r>
            <w:r>
              <w:rPr>
                <w:rFonts w:hint="eastAsia" w:ascii="宋体" w:hAnsi="宋体" w:eastAsia="宋体" w:cs="宋体"/>
                <w:color w:val="auto"/>
                <w:sz w:val="21"/>
                <w:szCs w:val="21"/>
              </w:rPr>
              <w:t>低于 8</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p>
        </w:tc>
        <w:tc>
          <w:tcPr>
            <w:tcW w:w="4437" w:type="dxa"/>
            <w:noWrap w:val="0"/>
            <w:vAlign w:val="center"/>
          </w:tcPr>
          <w:p w14:paraId="01C41CBF">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扣减当月运维费用（合同总额的十二分之一）</w:t>
            </w:r>
          </w:p>
        </w:tc>
      </w:tr>
      <w:tr w14:paraId="5B3F9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696" w:type="dxa"/>
            <w:vMerge w:val="restart"/>
            <w:noWrap w:val="0"/>
            <w:vAlign w:val="center"/>
          </w:tcPr>
          <w:p w14:paraId="4EDCE43B">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w:t>
            </w:r>
          </w:p>
          <w:p w14:paraId="68380979">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术</w:t>
            </w:r>
          </w:p>
          <w:p w14:paraId="2137A7A4">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报</w:t>
            </w:r>
          </w:p>
          <w:p w14:paraId="601F8EAA">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告</w:t>
            </w:r>
          </w:p>
          <w:p w14:paraId="3F2E0F1F">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等</w:t>
            </w:r>
          </w:p>
          <w:p w14:paraId="59D8F65F">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w:t>
            </w:r>
          </w:p>
          <w:p w14:paraId="38582C6F">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210" w:firstLineChars="1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料</w:t>
            </w:r>
          </w:p>
        </w:tc>
        <w:tc>
          <w:tcPr>
            <w:tcW w:w="4616" w:type="dxa"/>
            <w:noWrap w:val="0"/>
            <w:vAlign w:val="center"/>
          </w:tcPr>
          <w:p w14:paraId="0D77627F">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周报</w:t>
            </w:r>
          </w:p>
        </w:tc>
        <w:tc>
          <w:tcPr>
            <w:tcW w:w="4437" w:type="dxa"/>
            <w:noWrap w:val="0"/>
            <w:vAlign w:val="center"/>
          </w:tcPr>
          <w:p w14:paraId="545B2560">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每周 1 份</w:t>
            </w:r>
          </w:p>
        </w:tc>
      </w:tr>
      <w:tr w14:paraId="5EF80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696" w:type="dxa"/>
            <w:vMerge w:val="continue"/>
            <w:noWrap w:val="0"/>
            <w:vAlign w:val="center"/>
          </w:tcPr>
          <w:p w14:paraId="77A980F7">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p>
        </w:tc>
        <w:tc>
          <w:tcPr>
            <w:tcW w:w="4616" w:type="dxa"/>
            <w:noWrap w:val="0"/>
            <w:vAlign w:val="center"/>
          </w:tcPr>
          <w:p w14:paraId="08C95C71">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月报</w:t>
            </w:r>
          </w:p>
        </w:tc>
        <w:tc>
          <w:tcPr>
            <w:tcW w:w="4437" w:type="dxa"/>
            <w:noWrap w:val="0"/>
            <w:vAlign w:val="center"/>
          </w:tcPr>
          <w:p w14:paraId="7D9966AC">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每月 1 份</w:t>
            </w:r>
          </w:p>
        </w:tc>
      </w:tr>
      <w:tr w14:paraId="2EF31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696" w:type="dxa"/>
            <w:vMerge w:val="continue"/>
            <w:noWrap w:val="0"/>
            <w:vAlign w:val="center"/>
          </w:tcPr>
          <w:p w14:paraId="31247116">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p>
        </w:tc>
        <w:tc>
          <w:tcPr>
            <w:tcW w:w="4616" w:type="dxa"/>
            <w:noWrap w:val="0"/>
            <w:vAlign w:val="center"/>
          </w:tcPr>
          <w:p w14:paraId="0F61AC70">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季报</w:t>
            </w:r>
          </w:p>
        </w:tc>
        <w:tc>
          <w:tcPr>
            <w:tcW w:w="4437" w:type="dxa"/>
            <w:noWrap w:val="0"/>
            <w:vAlign w:val="center"/>
          </w:tcPr>
          <w:p w14:paraId="662D2D15">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每季 1 份</w:t>
            </w:r>
          </w:p>
        </w:tc>
      </w:tr>
      <w:tr w14:paraId="7A8FC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96" w:type="dxa"/>
            <w:vMerge w:val="continue"/>
            <w:noWrap w:val="0"/>
            <w:vAlign w:val="center"/>
          </w:tcPr>
          <w:p w14:paraId="0D695817">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p>
        </w:tc>
        <w:tc>
          <w:tcPr>
            <w:tcW w:w="4616" w:type="dxa"/>
            <w:noWrap w:val="0"/>
            <w:vAlign w:val="center"/>
          </w:tcPr>
          <w:p w14:paraId="2491F556">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年报</w:t>
            </w:r>
          </w:p>
        </w:tc>
        <w:tc>
          <w:tcPr>
            <w:tcW w:w="4437" w:type="dxa"/>
            <w:noWrap w:val="0"/>
            <w:vAlign w:val="center"/>
          </w:tcPr>
          <w:p w14:paraId="2BB43EE7">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 份</w:t>
            </w:r>
          </w:p>
        </w:tc>
      </w:tr>
      <w:tr w14:paraId="2FF2B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96" w:type="dxa"/>
            <w:vMerge w:val="continue"/>
            <w:noWrap w:val="0"/>
            <w:vAlign w:val="center"/>
          </w:tcPr>
          <w:p w14:paraId="39A74D2C">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p>
        </w:tc>
        <w:tc>
          <w:tcPr>
            <w:tcW w:w="4616" w:type="dxa"/>
            <w:noWrap w:val="0"/>
            <w:vAlign w:val="center"/>
          </w:tcPr>
          <w:p w14:paraId="3D6CA006">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质控报告</w:t>
            </w:r>
          </w:p>
        </w:tc>
        <w:tc>
          <w:tcPr>
            <w:tcW w:w="4437" w:type="dxa"/>
            <w:noWrap w:val="0"/>
            <w:vAlign w:val="center"/>
          </w:tcPr>
          <w:p w14:paraId="6F87729F">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根据工作实际开展</w:t>
            </w:r>
          </w:p>
        </w:tc>
      </w:tr>
      <w:tr w14:paraId="24CDD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96" w:type="dxa"/>
            <w:vMerge w:val="continue"/>
            <w:noWrap w:val="0"/>
            <w:vAlign w:val="center"/>
          </w:tcPr>
          <w:p w14:paraId="67B694F9">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p>
        </w:tc>
        <w:tc>
          <w:tcPr>
            <w:tcW w:w="4616" w:type="dxa"/>
            <w:noWrap w:val="0"/>
            <w:vAlign w:val="center"/>
          </w:tcPr>
          <w:p w14:paraId="2EA35AF6">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专项分析报告</w:t>
            </w:r>
          </w:p>
        </w:tc>
        <w:tc>
          <w:tcPr>
            <w:tcW w:w="4437" w:type="dxa"/>
            <w:noWrap w:val="0"/>
            <w:vAlign w:val="center"/>
          </w:tcPr>
          <w:p w14:paraId="2CFD3EBC">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根据工作实际开展</w:t>
            </w:r>
          </w:p>
        </w:tc>
      </w:tr>
      <w:tr w14:paraId="4F3C3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96" w:type="dxa"/>
            <w:vMerge w:val="continue"/>
            <w:noWrap w:val="0"/>
            <w:vAlign w:val="center"/>
          </w:tcPr>
          <w:p w14:paraId="308C5200">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p>
        </w:tc>
        <w:tc>
          <w:tcPr>
            <w:tcW w:w="4616" w:type="dxa"/>
            <w:noWrap w:val="0"/>
            <w:vAlign w:val="center"/>
          </w:tcPr>
          <w:p w14:paraId="2C874242">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突发事故应急报告</w:t>
            </w:r>
          </w:p>
        </w:tc>
        <w:tc>
          <w:tcPr>
            <w:tcW w:w="4437" w:type="dxa"/>
            <w:noWrap w:val="0"/>
            <w:vAlign w:val="center"/>
          </w:tcPr>
          <w:p w14:paraId="683223AA">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根据工作实际开展</w:t>
            </w:r>
          </w:p>
        </w:tc>
      </w:tr>
      <w:tr w14:paraId="56FCC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96" w:type="dxa"/>
            <w:vMerge w:val="continue"/>
            <w:noWrap w:val="0"/>
            <w:vAlign w:val="center"/>
          </w:tcPr>
          <w:p w14:paraId="05E98399">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p>
        </w:tc>
        <w:tc>
          <w:tcPr>
            <w:tcW w:w="4616" w:type="dxa"/>
            <w:noWrap w:val="0"/>
            <w:vAlign w:val="center"/>
          </w:tcPr>
          <w:p w14:paraId="1B69AEE7">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半年和年度工作总结</w:t>
            </w:r>
          </w:p>
        </w:tc>
        <w:tc>
          <w:tcPr>
            <w:tcW w:w="4437" w:type="dxa"/>
            <w:noWrap w:val="0"/>
            <w:vAlign w:val="center"/>
          </w:tcPr>
          <w:p w14:paraId="7C193DED">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各 1 篇</w:t>
            </w:r>
          </w:p>
        </w:tc>
      </w:tr>
      <w:tr w14:paraId="4B5CF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96" w:type="dxa"/>
            <w:vMerge w:val="continue"/>
            <w:noWrap w:val="0"/>
            <w:vAlign w:val="center"/>
          </w:tcPr>
          <w:p w14:paraId="48581B47">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p>
        </w:tc>
        <w:tc>
          <w:tcPr>
            <w:tcW w:w="4616" w:type="dxa"/>
            <w:noWrap w:val="0"/>
            <w:vAlign w:val="center"/>
          </w:tcPr>
          <w:p w14:paraId="21E44288">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其他</w:t>
            </w:r>
          </w:p>
        </w:tc>
        <w:tc>
          <w:tcPr>
            <w:tcW w:w="4437" w:type="dxa"/>
            <w:noWrap w:val="0"/>
            <w:vAlign w:val="center"/>
          </w:tcPr>
          <w:p w14:paraId="44CC9E40">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可结合工作实际增加</w:t>
            </w:r>
          </w:p>
        </w:tc>
      </w:tr>
      <w:tr w14:paraId="7A629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9" w:hRule="atLeast"/>
        </w:trPr>
        <w:tc>
          <w:tcPr>
            <w:tcW w:w="696" w:type="dxa"/>
            <w:vMerge w:val="restart"/>
            <w:noWrap w:val="0"/>
            <w:vAlign w:val="center"/>
          </w:tcPr>
          <w:p w14:paraId="181A4868">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故</w:t>
            </w:r>
          </w:p>
          <w:p w14:paraId="02016A0F">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障</w:t>
            </w:r>
          </w:p>
          <w:p w14:paraId="7B2FFCAE">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w:t>
            </w:r>
          </w:p>
          <w:p w14:paraId="4B7EACB9">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应</w:t>
            </w:r>
          </w:p>
          <w:p w14:paraId="7D92C4D8">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及</w:t>
            </w:r>
          </w:p>
          <w:p w14:paraId="0DE319B9">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处</w:t>
            </w:r>
          </w:p>
          <w:p w14:paraId="26E19DAA">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理</w:t>
            </w:r>
          </w:p>
        </w:tc>
        <w:tc>
          <w:tcPr>
            <w:tcW w:w="4616" w:type="dxa"/>
            <w:noWrap w:val="0"/>
            <w:vAlign w:val="center"/>
          </w:tcPr>
          <w:p w14:paraId="05D0DF25">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每日 18 时至次日 8 时出现故障时</w:t>
            </w:r>
          </w:p>
        </w:tc>
        <w:tc>
          <w:tcPr>
            <w:tcW w:w="4437" w:type="dxa"/>
            <w:noWrap w:val="0"/>
            <w:vAlign w:val="center"/>
          </w:tcPr>
          <w:p w14:paraId="3EA21A50">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应在次日9时前响应，响应后2小时内到达现场排除故障</w:t>
            </w:r>
          </w:p>
        </w:tc>
      </w:tr>
      <w:tr w14:paraId="34F86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2" w:hRule="atLeast"/>
        </w:trPr>
        <w:tc>
          <w:tcPr>
            <w:tcW w:w="696" w:type="dxa"/>
            <w:vMerge w:val="continue"/>
            <w:tcBorders>
              <w:top w:val="nil"/>
            </w:tcBorders>
            <w:noWrap w:val="0"/>
            <w:vAlign w:val="center"/>
          </w:tcPr>
          <w:p w14:paraId="23409AA4">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p>
        </w:tc>
        <w:tc>
          <w:tcPr>
            <w:tcW w:w="4616" w:type="dxa"/>
            <w:noWrap w:val="0"/>
            <w:vAlign w:val="center"/>
          </w:tcPr>
          <w:p w14:paraId="2367D667">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每日 8 时至 18 时出现故障时</w:t>
            </w:r>
          </w:p>
        </w:tc>
        <w:tc>
          <w:tcPr>
            <w:tcW w:w="4437" w:type="dxa"/>
            <w:noWrap w:val="0"/>
            <w:vAlign w:val="center"/>
          </w:tcPr>
          <w:p w14:paraId="57189A83">
            <w:pPr>
              <w:pStyle w:val="5"/>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应在故障1小时之内响应，响应后2小时内到达现场排除故障</w:t>
            </w:r>
          </w:p>
        </w:tc>
      </w:tr>
    </w:tbl>
    <w:p w14:paraId="7929989E">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rPr>
          <w:rFonts w:hint="eastAsia" w:ascii="宋体" w:hAnsi="宋体" w:eastAsia="宋体" w:cs="宋体"/>
          <w:color w:val="auto"/>
          <w:sz w:val="21"/>
          <w:szCs w:val="21"/>
        </w:rPr>
      </w:pPr>
    </w:p>
    <w:p w14:paraId="0AE808BE">
      <w:pPr>
        <w:pStyle w:val="2"/>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ascii="宋体" w:hAnsi="宋体" w:eastAsia="宋体" w:cs="宋体"/>
          <w:bCs w:val="0"/>
          <w:color w:val="auto"/>
          <w:kern w:val="0"/>
          <w:sz w:val="30"/>
          <w:szCs w:val="30"/>
        </w:rPr>
      </w:pPr>
      <w:r>
        <w:rPr>
          <w:rFonts w:hint="eastAsia" w:ascii="宋体" w:hAnsi="宋体" w:eastAsia="宋体" w:cs="宋体"/>
          <w:color w:val="auto"/>
          <w:sz w:val="28"/>
          <w:szCs w:val="28"/>
          <w:lang w:val="en-US"/>
        </w:rPr>
        <w:br w:type="page"/>
      </w:r>
      <w:r>
        <w:rPr>
          <w:rFonts w:hint="eastAsia" w:ascii="宋体" w:hAnsi="宋体" w:eastAsia="宋体" w:cs="宋体"/>
          <w:bCs w:val="0"/>
          <w:color w:val="auto"/>
          <w:kern w:val="0"/>
          <w:sz w:val="32"/>
          <w:szCs w:val="32"/>
        </w:rPr>
        <w:t>第六章 响应文件格式</w:t>
      </w:r>
      <w:bookmarkEnd w:id="72"/>
    </w:p>
    <w:p w14:paraId="6B140EC7">
      <w:pPr>
        <w:spacing w:line="360" w:lineRule="auto"/>
        <w:rPr>
          <w:rFonts w:ascii="宋体" w:hAnsi="宋体" w:eastAsia="宋体" w:cs="宋体"/>
          <w:b/>
          <w:bCs/>
          <w:color w:val="auto"/>
          <w:sz w:val="30"/>
          <w:szCs w:val="30"/>
        </w:rPr>
      </w:pPr>
      <w:r>
        <w:rPr>
          <w:rFonts w:hint="eastAsia" w:ascii="宋体" w:hAnsi="宋体" w:eastAsia="宋体" w:cs="宋体"/>
          <w:b/>
          <w:bCs/>
          <w:color w:val="auto"/>
          <w:sz w:val="30"/>
          <w:szCs w:val="30"/>
        </w:rPr>
        <w:t xml:space="preserve"> </w:t>
      </w:r>
    </w:p>
    <w:p w14:paraId="29083BC5">
      <w:pPr>
        <w:spacing w:line="360" w:lineRule="auto"/>
        <w:ind w:firstLine="1325" w:firstLineChars="300"/>
        <w:rPr>
          <w:rFonts w:ascii="宋体" w:hAnsi="宋体" w:eastAsia="宋体" w:cs="宋体"/>
          <w:b/>
          <w:bCs/>
          <w:color w:val="auto"/>
          <w:sz w:val="44"/>
          <w:szCs w:val="44"/>
        </w:rPr>
      </w:pPr>
      <w:r>
        <w:rPr>
          <w:rFonts w:hint="eastAsia" w:ascii="宋体" w:hAnsi="宋体" w:eastAsia="宋体" w:cs="宋体"/>
          <w:b/>
          <w:bCs/>
          <w:color w:val="auto"/>
          <w:sz w:val="44"/>
          <w:szCs w:val="44"/>
          <w:u w:val="single"/>
        </w:rPr>
        <w:t xml:space="preserve">           </w:t>
      </w:r>
      <w:r>
        <w:rPr>
          <w:rFonts w:hint="eastAsia" w:ascii="宋体" w:hAnsi="宋体" w:eastAsia="宋体" w:cs="宋体"/>
          <w:b/>
          <w:bCs/>
          <w:color w:val="auto"/>
          <w:sz w:val="40"/>
          <w:szCs w:val="40"/>
          <w:u w:val="single"/>
        </w:rPr>
        <w:t>（项目名称）</w:t>
      </w:r>
      <w:r>
        <w:rPr>
          <w:rFonts w:hint="eastAsia" w:ascii="宋体" w:hAnsi="宋体" w:eastAsia="宋体" w:cs="宋体"/>
          <w:b/>
          <w:bCs/>
          <w:color w:val="auto"/>
          <w:sz w:val="44"/>
          <w:szCs w:val="44"/>
          <w:u w:val="single"/>
        </w:rPr>
        <w:t xml:space="preserve">          </w:t>
      </w:r>
      <w:r>
        <w:rPr>
          <w:rFonts w:hint="eastAsia" w:ascii="宋体" w:hAnsi="宋体" w:eastAsia="宋体" w:cs="宋体"/>
          <w:b/>
          <w:bCs/>
          <w:color w:val="auto"/>
          <w:sz w:val="44"/>
          <w:szCs w:val="44"/>
        </w:rPr>
        <w:t xml:space="preserve">   </w:t>
      </w:r>
    </w:p>
    <w:p w14:paraId="1794FFCE">
      <w:pPr>
        <w:spacing w:line="360" w:lineRule="auto"/>
        <w:jc w:val="center"/>
        <w:rPr>
          <w:rFonts w:ascii="宋体" w:hAnsi="宋体" w:eastAsia="宋体" w:cs="宋体"/>
          <w:b/>
          <w:bCs/>
          <w:color w:val="auto"/>
          <w:sz w:val="28"/>
          <w:szCs w:val="28"/>
        </w:rPr>
      </w:pPr>
    </w:p>
    <w:p w14:paraId="3C8CAE39">
      <w:pPr>
        <w:spacing w:line="360" w:lineRule="auto"/>
        <w:jc w:val="center"/>
        <w:rPr>
          <w:rFonts w:ascii="宋体" w:hAnsi="宋体" w:eastAsia="宋体" w:cs="宋体"/>
          <w:b/>
          <w:bCs/>
          <w:color w:val="auto"/>
          <w:sz w:val="28"/>
          <w:szCs w:val="28"/>
        </w:rPr>
      </w:pPr>
    </w:p>
    <w:p w14:paraId="153E8F37">
      <w:pPr>
        <w:spacing w:line="360" w:lineRule="auto"/>
        <w:jc w:val="center"/>
        <w:rPr>
          <w:rFonts w:ascii="宋体" w:hAnsi="宋体" w:eastAsia="宋体" w:cs="宋体"/>
          <w:b/>
          <w:bCs/>
          <w:color w:val="auto"/>
          <w:sz w:val="44"/>
          <w:szCs w:val="44"/>
        </w:rPr>
      </w:pPr>
    </w:p>
    <w:p w14:paraId="786563A3">
      <w:pPr>
        <w:spacing w:line="360" w:lineRule="auto"/>
        <w:jc w:val="both"/>
        <w:rPr>
          <w:rFonts w:ascii="宋体" w:hAnsi="宋体" w:eastAsia="宋体" w:cs="宋体"/>
          <w:b/>
          <w:bCs/>
          <w:color w:val="auto"/>
          <w:sz w:val="28"/>
          <w:szCs w:val="28"/>
        </w:rPr>
      </w:pPr>
    </w:p>
    <w:p w14:paraId="1581DC9D">
      <w:pPr>
        <w:spacing w:line="360" w:lineRule="auto"/>
        <w:jc w:val="center"/>
        <w:rPr>
          <w:rFonts w:ascii="宋体" w:hAnsi="宋体" w:eastAsia="宋体" w:cs="宋体"/>
          <w:b/>
          <w:bCs/>
          <w:color w:val="auto"/>
          <w:sz w:val="28"/>
          <w:szCs w:val="28"/>
        </w:rPr>
      </w:pPr>
    </w:p>
    <w:p w14:paraId="5B5543A6">
      <w:pPr>
        <w:spacing w:line="360" w:lineRule="auto"/>
        <w:jc w:val="center"/>
        <w:rPr>
          <w:rFonts w:ascii="宋体" w:hAnsi="宋体" w:eastAsia="宋体" w:cs="宋体"/>
          <w:b/>
          <w:bCs/>
          <w:color w:val="auto"/>
          <w:sz w:val="52"/>
          <w:szCs w:val="52"/>
        </w:rPr>
      </w:pPr>
      <w:r>
        <w:rPr>
          <w:rFonts w:hint="eastAsia" w:ascii="宋体" w:hAnsi="宋体" w:eastAsia="宋体" w:cs="宋体"/>
          <w:b/>
          <w:bCs/>
          <w:color w:val="auto"/>
          <w:sz w:val="48"/>
          <w:szCs w:val="48"/>
        </w:rPr>
        <w:t>竞争性磋商</w:t>
      </w:r>
      <w:r>
        <w:rPr>
          <w:rFonts w:hint="eastAsia" w:ascii="宋体" w:hAnsi="宋体" w:eastAsia="宋体" w:cs="宋体"/>
          <w:b/>
          <w:bCs/>
          <w:color w:val="auto"/>
          <w:sz w:val="52"/>
          <w:szCs w:val="52"/>
        </w:rPr>
        <w:t>响应文件</w:t>
      </w:r>
    </w:p>
    <w:p w14:paraId="34F7C496">
      <w:pPr>
        <w:spacing w:line="360" w:lineRule="auto"/>
        <w:jc w:val="center"/>
        <w:rPr>
          <w:rFonts w:ascii="宋体" w:hAnsi="宋体" w:eastAsia="宋体" w:cs="宋体"/>
          <w:b/>
          <w:bCs/>
          <w:color w:val="auto"/>
          <w:sz w:val="28"/>
          <w:szCs w:val="28"/>
        </w:rPr>
      </w:pPr>
      <w:r>
        <w:rPr>
          <w:rFonts w:hint="eastAsia" w:ascii="宋体" w:hAnsi="宋体" w:eastAsia="宋体" w:cs="宋体"/>
          <w:b/>
          <w:bCs/>
          <w:color w:val="auto"/>
          <w:sz w:val="28"/>
          <w:szCs w:val="28"/>
        </w:rPr>
        <w:t>采购编号：</w:t>
      </w:r>
    </w:p>
    <w:p w14:paraId="50735B96">
      <w:pPr>
        <w:spacing w:line="360" w:lineRule="auto"/>
        <w:jc w:val="center"/>
        <w:rPr>
          <w:rFonts w:ascii="宋体" w:hAnsi="宋体" w:eastAsia="宋体" w:cs="宋体"/>
          <w:b/>
          <w:bCs/>
          <w:color w:val="auto"/>
          <w:sz w:val="28"/>
          <w:szCs w:val="28"/>
        </w:rPr>
      </w:pPr>
    </w:p>
    <w:p w14:paraId="5CEEC1A4">
      <w:pPr>
        <w:spacing w:line="360" w:lineRule="auto"/>
        <w:jc w:val="center"/>
        <w:rPr>
          <w:color w:val="auto"/>
        </w:rPr>
      </w:pPr>
    </w:p>
    <w:p w14:paraId="6C2A9BF2">
      <w:pPr>
        <w:spacing w:line="360" w:lineRule="auto"/>
        <w:jc w:val="center"/>
        <w:rPr>
          <w:rFonts w:ascii="宋体" w:hAnsi="宋体" w:eastAsia="宋体" w:cs="宋体"/>
          <w:b/>
          <w:bCs/>
          <w:color w:val="auto"/>
          <w:sz w:val="28"/>
          <w:szCs w:val="28"/>
        </w:rPr>
      </w:pPr>
    </w:p>
    <w:p w14:paraId="099BC277">
      <w:pPr>
        <w:spacing w:line="360" w:lineRule="auto"/>
        <w:jc w:val="center"/>
        <w:rPr>
          <w:rFonts w:ascii="宋体" w:hAnsi="宋体" w:eastAsia="宋体" w:cs="宋体"/>
          <w:b/>
          <w:bCs/>
          <w:color w:val="auto"/>
          <w:sz w:val="28"/>
          <w:szCs w:val="28"/>
        </w:rPr>
      </w:pPr>
    </w:p>
    <w:p w14:paraId="31502CA5">
      <w:pPr>
        <w:spacing w:line="360" w:lineRule="auto"/>
        <w:jc w:val="center"/>
        <w:rPr>
          <w:rFonts w:ascii="宋体" w:hAnsi="宋体" w:eastAsia="宋体" w:cs="宋体"/>
          <w:b/>
          <w:bCs/>
          <w:color w:val="auto"/>
          <w:sz w:val="28"/>
          <w:szCs w:val="28"/>
        </w:rPr>
      </w:pPr>
    </w:p>
    <w:p w14:paraId="69784874">
      <w:pPr>
        <w:spacing w:line="360" w:lineRule="auto"/>
        <w:jc w:val="center"/>
        <w:rPr>
          <w:rFonts w:ascii="宋体" w:hAnsi="宋体" w:eastAsia="宋体" w:cs="宋体"/>
          <w:b/>
          <w:bCs/>
          <w:color w:val="auto"/>
          <w:sz w:val="28"/>
          <w:szCs w:val="28"/>
        </w:rPr>
      </w:pPr>
    </w:p>
    <w:p w14:paraId="36FD503B">
      <w:pPr>
        <w:spacing w:line="360" w:lineRule="auto"/>
        <w:jc w:val="center"/>
        <w:rPr>
          <w:rFonts w:ascii="宋体" w:hAnsi="宋体" w:eastAsia="宋体" w:cs="宋体"/>
          <w:b/>
          <w:bCs/>
          <w:color w:val="auto"/>
          <w:sz w:val="28"/>
          <w:szCs w:val="28"/>
        </w:rPr>
      </w:pPr>
    </w:p>
    <w:p w14:paraId="32AEE3AB">
      <w:pPr>
        <w:spacing w:line="360" w:lineRule="auto"/>
        <w:jc w:val="center"/>
        <w:rPr>
          <w:rFonts w:ascii="宋体" w:hAnsi="宋体" w:eastAsia="宋体" w:cs="宋体"/>
          <w:b/>
          <w:bCs/>
          <w:color w:val="auto"/>
          <w:sz w:val="28"/>
          <w:szCs w:val="28"/>
        </w:rPr>
      </w:pPr>
    </w:p>
    <w:p w14:paraId="2F72A37C">
      <w:pPr>
        <w:spacing w:line="360" w:lineRule="auto"/>
        <w:ind w:firstLine="1405" w:firstLineChars="500"/>
        <w:rPr>
          <w:rFonts w:ascii="宋体" w:hAnsi="宋体" w:eastAsia="宋体" w:cs="宋体"/>
          <w:b/>
          <w:bCs/>
          <w:color w:val="auto"/>
          <w:sz w:val="28"/>
          <w:szCs w:val="28"/>
        </w:rPr>
      </w:pPr>
      <w:r>
        <w:rPr>
          <w:rFonts w:hint="eastAsia" w:ascii="宋体" w:hAnsi="宋体" w:eastAsia="宋体" w:cs="宋体"/>
          <w:b/>
          <w:bCs/>
          <w:color w:val="auto"/>
          <w:sz w:val="28"/>
          <w:szCs w:val="28"/>
        </w:rPr>
        <w:t>供应商名称（电子签章):</w:t>
      </w:r>
      <w:r>
        <w:rPr>
          <w:rFonts w:hint="eastAsia" w:ascii="宋体" w:hAnsi="宋体" w:eastAsia="宋体" w:cs="宋体"/>
          <w:b/>
          <w:bCs/>
          <w:color w:val="auto"/>
          <w:sz w:val="28"/>
          <w:szCs w:val="28"/>
          <w:u w:val="single"/>
        </w:rPr>
        <w:t xml:space="preserve">                   </w:t>
      </w:r>
    </w:p>
    <w:p w14:paraId="2ABD8CE8">
      <w:pPr>
        <w:spacing w:line="360" w:lineRule="auto"/>
        <w:ind w:firstLine="1405" w:firstLineChars="500"/>
        <w:rPr>
          <w:rFonts w:ascii="宋体" w:hAnsi="宋体" w:eastAsia="宋体" w:cs="宋体"/>
          <w:b/>
          <w:bCs/>
          <w:color w:val="auto"/>
          <w:sz w:val="28"/>
          <w:szCs w:val="28"/>
        </w:rPr>
      </w:pPr>
      <w:r>
        <w:rPr>
          <w:rFonts w:hint="eastAsia" w:ascii="宋体" w:hAnsi="宋体" w:eastAsia="宋体" w:cs="宋体"/>
          <w:b/>
          <w:bCs/>
          <w:color w:val="auto"/>
          <w:sz w:val="28"/>
          <w:szCs w:val="28"/>
        </w:rPr>
        <w:t>法定代表人或其委托代理人（电子签章）：</w:t>
      </w:r>
      <w:r>
        <w:rPr>
          <w:rFonts w:hint="eastAsia" w:ascii="宋体" w:hAnsi="宋体" w:eastAsia="宋体" w:cs="宋体"/>
          <w:b/>
          <w:bCs/>
          <w:color w:val="auto"/>
          <w:sz w:val="28"/>
          <w:szCs w:val="28"/>
          <w:u w:val="single"/>
        </w:rPr>
        <w:t xml:space="preserve">                </w:t>
      </w:r>
    </w:p>
    <w:p w14:paraId="09D9560E">
      <w:pPr>
        <w:spacing w:line="360" w:lineRule="auto"/>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年</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月</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日</w:t>
      </w:r>
    </w:p>
    <w:p w14:paraId="27C12E98">
      <w:pPr>
        <w:spacing w:line="360" w:lineRule="auto"/>
        <w:rPr>
          <w:rFonts w:ascii="宋体" w:hAnsi="宋体" w:eastAsia="宋体" w:cs="宋体"/>
          <w:b/>
          <w:bCs/>
          <w:color w:val="auto"/>
          <w:sz w:val="36"/>
          <w:szCs w:val="36"/>
        </w:rPr>
      </w:pPr>
      <w:r>
        <w:rPr>
          <w:rFonts w:hint="eastAsia" w:ascii="宋体" w:hAnsi="宋体" w:eastAsia="宋体" w:cs="宋体"/>
          <w:b/>
          <w:bCs/>
          <w:color w:val="auto"/>
          <w:sz w:val="36"/>
          <w:szCs w:val="36"/>
        </w:rPr>
        <w:t xml:space="preserve"> </w:t>
      </w:r>
    </w:p>
    <w:p w14:paraId="6EF4B786">
      <w:pPr>
        <w:widowControl/>
        <w:jc w:val="left"/>
        <w:rPr>
          <w:rFonts w:ascii="宋体" w:hAnsi="宋体" w:eastAsia="宋体" w:cs="宋体"/>
          <w:b/>
          <w:bCs/>
          <w:color w:val="auto"/>
          <w:sz w:val="28"/>
          <w:szCs w:val="28"/>
        </w:rPr>
      </w:pPr>
      <w:bookmarkStart w:id="73" w:name="_Toc23613"/>
      <w:bookmarkEnd w:id="73"/>
      <w:bookmarkStart w:id="74" w:name="_Toc144974857"/>
      <w:bookmarkEnd w:id="74"/>
      <w:bookmarkStart w:id="75" w:name="_Toc29655"/>
      <w:bookmarkEnd w:id="75"/>
      <w:bookmarkStart w:id="76" w:name="_Toc152042577"/>
      <w:bookmarkEnd w:id="76"/>
      <w:bookmarkStart w:id="77" w:name="_Toc30721"/>
      <w:bookmarkEnd w:id="77"/>
      <w:bookmarkStart w:id="78" w:name="_Toc152045788"/>
      <w:bookmarkEnd w:id="78"/>
      <w:bookmarkStart w:id="79" w:name="_Toc10563"/>
      <w:bookmarkEnd w:id="79"/>
      <w:bookmarkStart w:id="80" w:name="_Toc179632808"/>
      <w:bookmarkEnd w:id="80"/>
      <w:bookmarkStart w:id="81" w:name="_Toc29638"/>
      <w:r>
        <w:rPr>
          <w:rFonts w:ascii="宋体" w:hAnsi="宋体" w:eastAsia="宋体" w:cs="宋体"/>
          <w:b/>
          <w:bCs/>
          <w:color w:val="auto"/>
          <w:sz w:val="28"/>
          <w:szCs w:val="28"/>
        </w:rPr>
        <w:br w:type="page"/>
      </w:r>
    </w:p>
    <w:p w14:paraId="5005D5DA">
      <w:pPr>
        <w:spacing w:line="360" w:lineRule="auto"/>
        <w:jc w:val="center"/>
        <w:rPr>
          <w:rFonts w:ascii="宋体" w:hAnsi="宋体" w:eastAsia="宋体" w:cs="宋体"/>
          <w:b/>
          <w:bCs/>
          <w:color w:val="auto"/>
          <w:sz w:val="28"/>
          <w:szCs w:val="28"/>
        </w:rPr>
      </w:pPr>
      <w:r>
        <w:rPr>
          <w:rFonts w:hint="eastAsia" w:ascii="宋体" w:hAnsi="宋体" w:eastAsia="宋体" w:cs="宋体"/>
          <w:b/>
          <w:bCs/>
          <w:color w:val="auto"/>
          <w:sz w:val="28"/>
          <w:szCs w:val="28"/>
        </w:rPr>
        <w:t>目  录</w:t>
      </w:r>
      <w:bookmarkEnd w:id="81"/>
    </w:p>
    <w:p w14:paraId="7AF91F29">
      <w:pPr>
        <w:spacing w:line="360" w:lineRule="auto"/>
        <w:rPr>
          <w:rFonts w:hint="eastAsia" w:ascii="宋体" w:hAnsi="宋体" w:eastAsia="宋体" w:cs="宋体"/>
          <w:color w:val="auto"/>
          <w:sz w:val="22"/>
          <w:highlight w:val="none"/>
        </w:rPr>
      </w:pPr>
    </w:p>
    <w:p w14:paraId="5B701BD3">
      <w:pPr>
        <w:keepNext w:val="0"/>
        <w:keepLines w:val="0"/>
        <w:pageBreakBefore w:val="0"/>
        <w:widowControl w:val="0"/>
        <w:kinsoku/>
        <w:wordWrap/>
        <w:overflowPunct/>
        <w:topLinePunct w:val="0"/>
        <w:autoSpaceDE/>
        <w:autoSpaceDN/>
        <w:bidi w:val="0"/>
        <w:adjustRightInd w:val="0"/>
        <w:snapToGrid w:val="0"/>
        <w:spacing w:line="480" w:lineRule="auto"/>
        <w:ind w:firstLine="560" w:firstLineChars="20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一、磋商响应书</w:t>
      </w:r>
    </w:p>
    <w:p w14:paraId="31BF8684">
      <w:pPr>
        <w:keepNext w:val="0"/>
        <w:keepLines w:val="0"/>
        <w:pageBreakBefore w:val="0"/>
        <w:widowControl w:val="0"/>
        <w:kinsoku/>
        <w:wordWrap/>
        <w:overflowPunct/>
        <w:topLinePunct w:val="0"/>
        <w:autoSpaceDE/>
        <w:autoSpaceDN/>
        <w:bidi w:val="0"/>
        <w:adjustRightInd w:val="0"/>
        <w:snapToGrid w:val="0"/>
        <w:spacing w:line="480" w:lineRule="auto"/>
        <w:ind w:firstLine="560" w:firstLineChars="20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二、报价一览表</w:t>
      </w:r>
    </w:p>
    <w:p w14:paraId="24D06C1B">
      <w:pPr>
        <w:keepNext w:val="0"/>
        <w:keepLines w:val="0"/>
        <w:pageBreakBefore w:val="0"/>
        <w:widowControl w:val="0"/>
        <w:kinsoku/>
        <w:wordWrap/>
        <w:overflowPunct/>
        <w:topLinePunct w:val="0"/>
        <w:autoSpaceDE/>
        <w:autoSpaceDN/>
        <w:bidi w:val="0"/>
        <w:adjustRightInd w:val="0"/>
        <w:snapToGrid w:val="0"/>
        <w:spacing w:line="480" w:lineRule="auto"/>
        <w:ind w:firstLine="560" w:firstLineChars="20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三、法定代表人身份证明</w:t>
      </w:r>
    </w:p>
    <w:p w14:paraId="7477DA1E">
      <w:pPr>
        <w:keepNext w:val="0"/>
        <w:keepLines w:val="0"/>
        <w:pageBreakBefore w:val="0"/>
        <w:widowControl w:val="0"/>
        <w:kinsoku/>
        <w:wordWrap/>
        <w:overflowPunct/>
        <w:topLinePunct w:val="0"/>
        <w:autoSpaceDE/>
        <w:autoSpaceDN/>
        <w:bidi w:val="0"/>
        <w:adjustRightInd w:val="0"/>
        <w:snapToGrid w:val="0"/>
        <w:spacing w:line="480" w:lineRule="auto"/>
        <w:ind w:firstLine="560" w:firstLineChars="20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四、授权委托书</w:t>
      </w:r>
    </w:p>
    <w:p w14:paraId="1184A2F5">
      <w:pPr>
        <w:keepNext w:val="0"/>
        <w:keepLines w:val="0"/>
        <w:pageBreakBefore w:val="0"/>
        <w:widowControl w:val="0"/>
        <w:kinsoku/>
        <w:wordWrap/>
        <w:overflowPunct/>
        <w:topLinePunct w:val="0"/>
        <w:autoSpaceDE/>
        <w:autoSpaceDN/>
        <w:bidi w:val="0"/>
        <w:adjustRightInd w:val="0"/>
        <w:snapToGrid w:val="0"/>
        <w:spacing w:line="48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五、服务内容及要求</w:t>
      </w:r>
      <w:r>
        <w:rPr>
          <w:rFonts w:hint="eastAsia" w:ascii="宋体" w:hAnsi="宋体" w:eastAsia="宋体" w:cs="宋体"/>
          <w:color w:val="auto"/>
          <w:sz w:val="28"/>
          <w:szCs w:val="28"/>
          <w:highlight w:val="none"/>
          <w:lang w:eastAsia="zh-CN"/>
        </w:rPr>
        <w:t>的响应</w:t>
      </w:r>
    </w:p>
    <w:p w14:paraId="468E531C">
      <w:pPr>
        <w:keepNext w:val="0"/>
        <w:keepLines w:val="0"/>
        <w:pageBreakBefore w:val="0"/>
        <w:widowControl w:val="0"/>
        <w:kinsoku/>
        <w:wordWrap/>
        <w:overflowPunct/>
        <w:topLinePunct w:val="0"/>
        <w:autoSpaceDE/>
        <w:autoSpaceDN/>
        <w:bidi w:val="0"/>
        <w:adjustRightInd w:val="0"/>
        <w:snapToGrid w:val="0"/>
        <w:spacing w:line="480" w:lineRule="auto"/>
        <w:ind w:firstLine="560" w:firstLineChars="20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六</w:t>
      </w:r>
      <w:r>
        <w:rPr>
          <w:rFonts w:hint="eastAsia" w:ascii="宋体" w:hAnsi="宋体" w:eastAsia="宋体" w:cs="宋体"/>
          <w:color w:val="auto"/>
          <w:sz w:val="28"/>
          <w:szCs w:val="28"/>
          <w:highlight w:val="none"/>
        </w:rPr>
        <w:t>、资格审查资料</w:t>
      </w:r>
    </w:p>
    <w:p w14:paraId="7A6B3122">
      <w:pPr>
        <w:keepNext w:val="0"/>
        <w:keepLines w:val="0"/>
        <w:pageBreakBefore w:val="0"/>
        <w:widowControl w:val="0"/>
        <w:kinsoku/>
        <w:wordWrap/>
        <w:overflowPunct/>
        <w:topLinePunct w:val="0"/>
        <w:autoSpaceDE/>
        <w:autoSpaceDN/>
        <w:bidi w:val="0"/>
        <w:adjustRightInd w:val="0"/>
        <w:snapToGrid w:val="0"/>
        <w:spacing w:line="480" w:lineRule="auto"/>
        <w:ind w:firstLine="560" w:firstLineChars="20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七</w:t>
      </w:r>
      <w:r>
        <w:rPr>
          <w:rFonts w:hint="eastAsia" w:ascii="宋体" w:hAnsi="宋体" w:eastAsia="宋体" w:cs="宋体"/>
          <w:color w:val="auto"/>
          <w:sz w:val="28"/>
          <w:szCs w:val="28"/>
          <w:highlight w:val="none"/>
        </w:rPr>
        <w:t>、其它资料</w:t>
      </w:r>
    </w:p>
    <w:p w14:paraId="56A44F2F">
      <w:pPr>
        <w:spacing w:line="360" w:lineRule="auto"/>
        <w:jc w:val="center"/>
        <w:rPr>
          <w:rFonts w:ascii="宋体" w:hAnsi="宋体" w:eastAsia="宋体" w:cs="宋体"/>
          <w:b/>
          <w:bCs/>
          <w:color w:val="auto"/>
          <w:sz w:val="24"/>
          <w:szCs w:val="24"/>
        </w:rPr>
      </w:pPr>
      <w:r>
        <w:rPr>
          <w:rFonts w:hint="eastAsia" w:ascii="宋体" w:hAnsi="宋体" w:eastAsia="宋体" w:cs="宋体"/>
          <w:color w:val="auto"/>
          <w:sz w:val="28"/>
          <w:szCs w:val="28"/>
        </w:rPr>
        <w:br w:type="page"/>
      </w:r>
      <w:r>
        <w:rPr>
          <w:rFonts w:hint="eastAsia" w:ascii="宋体" w:hAnsi="宋体" w:eastAsia="宋体" w:cs="宋体"/>
          <w:b/>
          <w:bCs/>
          <w:color w:val="auto"/>
          <w:sz w:val="28"/>
          <w:szCs w:val="28"/>
        </w:rPr>
        <w:t>一、磋商响应书</w:t>
      </w:r>
    </w:p>
    <w:p w14:paraId="25396F1A">
      <w:pPr>
        <w:spacing w:line="360" w:lineRule="auto"/>
        <w:rPr>
          <w:rFonts w:ascii="宋体" w:hAnsi="宋体" w:eastAsia="宋体" w:cs="宋体"/>
          <w:color w:val="auto"/>
          <w:sz w:val="20"/>
          <w:szCs w:val="20"/>
        </w:rPr>
      </w:pPr>
      <w:r>
        <w:rPr>
          <w:rFonts w:hint="eastAsia" w:ascii="宋体" w:hAnsi="宋体" w:eastAsia="宋体" w:cs="宋体"/>
          <w:color w:val="auto"/>
          <w:sz w:val="20"/>
          <w:szCs w:val="20"/>
        </w:rPr>
        <w:t xml:space="preserve"> </w:t>
      </w:r>
    </w:p>
    <w:p w14:paraId="746DA0DC">
      <w:pPr>
        <w:spacing w:line="360" w:lineRule="auto"/>
        <w:rPr>
          <w:rFonts w:ascii="宋体" w:hAnsi="宋体" w:eastAsia="宋体" w:cs="宋体"/>
          <w:color w:val="auto"/>
          <w:sz w:val="22"/>
          <w:szCs w:val="22"/>
        </w:rPr>
      </w:pPr>
      <w:r>
        <w:rPr>
          <w:rFonts w:hint="eastAsia" w:ascii="宋体" w:hAnsi="宋体" w:eastAsia="宋体" w:cs="宋体"/>
          <w:color w:val="auto"/>
          <w:sz w:val="22"/>
          <w:szCs w:val="22"/>
          <w:u w:val="single" w:color="000000"/>
        </w:rPr>
        <w:t xml:space="preserve">        </w:t>
      </w:r>
      <w:r>
        <w:rPr>
          <w:rFonts w:hint="eastAsia" w:ascii="宋体" w:hAnsi="宋体" w:eastAsia="宋体" w:cs="宋体"/>
          <w:color w:val="auto"/>
          <w:sz w:val="22"/>
          <w:szCs w:val="22"/>
        </w:rPr>
        <w:t>（采购人名称）:</w:t>
      </w:r>
    </w:p>
    <w:p w14:paraId="1838CC28">
      <w:pPr>
        <w:spacing w:line="360" w:lineRule="auto"/>
        <w:rPr>
          <w:rFonts w:ascii="宋体" w:hAnsi="宋体" w:eastAsia="宋体" w:cs="宋体"/>
          <w:color w:val="auto"/>
          <w:sz w:val="13"/>
          <w:szCs w:val="13"/>
        </w:rPr>
      </w:pPr>
      <w:r>
        <w:rPr>
          <w:rFonts w:hint="eastAsia" w:ascii="宋体" w:hAnsi="宋体" w:eastAsia="宋体" w:cs="宋体"/>
          <w:color w:val="auto"/>
          <w:sz w:val="13"/>
          <w:szCs w:val="13"/>
        </w:rPr>
        <w:t xml:space="preserve"> </w:t>
      </w:r>
    </w:p>
    <w:p w14:paraId="455E4BCD">
      <w:pPr>
        <w:spacing w:line="360" w:lineRule="auto"/>
        <w:ind w:firstLine="432" w:firstLineChars="200"/>
        <w:rPr>
          <w:rFonts w:ascii="宋体" w:hAnsi="宋体" w:eastAsia="宋体" w:cs="宋体"/>
          <w:color w:val="auto"/>
          <w:sz w:val="22"/>
          <w:szCs w:val="22"/>
        </w:rPr>
      </w:pPr>
      <w:r>
        <w:rPr>
          <w:rFonts w:hint="eastAsia" w:ascii="宋体" w:hAnsi="宋体" w:eastAsia="宋体" w:cs="宋体"/>
          <w:color w:val="auto"/>
          <w:spacing w:val="-2"/>
          <w:sz w:val="22"/>
          <w:szCs w:val="22"/>
        </w:rPr>
        <w:t>1．我方己仔细研究了</w:t>
      </w:r>
      <w:r>
        <w:rPr>
          <w:rFonts w:hint="eastAsia" w:ascii="宋体" w:hAnsi="宋体" w:eastAsia="宋体" w:cs="宋体"/>
          <w:color w:val="auto"/>
          <w:spacing w:val="-2"/>
          <w:sz w:val="22"/>
          <w:szCs w:val="22"/>
          <w:u w:val="single"/>
        </w:rPr>
        <w:t xml:space="preserve">  </w:t>
      </w:r>
      <w:r>
        <w:rPr>
          <w:rFonts w:hint="eastAsia" w:ascii="宋体" w:hAnsi="宋体" w:cs="宋体"/>
          <w:color w:val="auto"/>
          <w:spacing w:val="-2"/>
          <w:sz w:val="22"/>
          <w:szCs w:val="22"/>
          <w:u w:val="single"/>
          <w:lang w:val="en-US" w:eastAsia="zh-CN"/>
        </w:rPr>
        <w:t xml:space="preserve">     </w:t>
      </w:r>
      <w:r>
        <w:rPr>
          <w:rFonts w:hint="eastAsia" w:ascii="宋体" w:hAnsi="宋体" w:eastAsia="宋体" w:cs="宋体"/>
          <w:color w:val="auto"/>
          <w:spacing w:val="-1"/>
          <w:sz w:val="22"/>
          <w:szCs w:val="22"/>
          <w:u w:val="single"/>
        </w:rPr>
        <w:t>（项目名称）</w:t>
      </w:r>
      <w:r>
        <w:rPr>
          <w:rFonts w:hint="eastAsia" w:ascii="宋体" w:hAnsi="宋体" w:eastAsia="宋体" w:cs="宋体"/>
          <w:color w:val="auto"/>
          <w:sz w:val="22"/>
          <w:szCs w:val="22"/>
          <w:u w:val="single"/>
        </w:rPr>
        <w:t xml:space="preserve">   </w:t>
      </w:r>
      <w:r>
        <w:rPr>
          <w:rFonts w:hint="eastAsia" w:ascii="宋体" w:hAnsi="宋体" w:eastAsia="宋体" w:cs="宋体"/>
          <w:color w:val="auto"/>
          <w:spacing w:val="21"/>
          <w:sz w:val="22"/>
          <w:szCs w:val="22"/>
        </w:rPr>
        <w:t>竞争性磋商文件</w:t>
      </w:r>
      <w:r>
        <w:rPr>
          <w:rFonts w:hint="eastAsia" w:ascii="宋体" w:hAnsi="宋体" w:eastAsia="宋体" w:cs="宋体"/>
          <w:color w:val="auto"/>
          <w:spacing w:val="-2"/>
          <w:sz w:val="22"/>
          <w:szCs w:val="22"/>
        </w:rPr>
        <w:t>的全部内容，愿意以</w:t>
      </w:r>
      <w:r>
        <w:rPr>
          <w:rFonts w:hint="eastAsia" w:ascii="宋体" w:hAnsi="宋体" w:eastAsia="宋体" w:cs="宋体"/>
          <w:color w:val="auto"/>
          <w:sz w:val="22"/>
          <w:szCs w:val="22"/>
        </w:rPr>
        <w:t>人民币（大写）</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（小写）</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none"/>
          <w:lang w:eastAsia="zh-CN"/>
        </w:rPr>
        <w:t>元</w:t>
      </w:r>
      <w:r>
        <w:rPr>
          <w:rFonts w:hint="eastAsia" w:ascii="宋体" w:hAnsi="宋体" w:eastAsia="宋体" w:cs="宋体"/>
          <w:color w:val="auto"/>
          <w:sz w:val="22"/>
          <w:szCs w:val="22"/>
        </w:rPr>
        <w:t>的投标报价，服务期限</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，按合同约定实施和完成承包项目，质量</w:t>
      </w:r>
      <w:r>
        <w:rPr>
          <w:rFonts w:hint="eastAsia" w:ascii="宋体" w:hAnsi="宋体" w:eastAsia="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w:t>
      </w:r>
    </w:p>
    <w:p w14:paraId="39C735F8">
      <w:pPr>
        <w:spacing w:line="360" w:lineRule="auto"/>
        <w:ind w:firstLine="440" w:firstLineChars="200"/>
        <w:rPr>
          <w:rFonts w:ascii="宋体" w:hAnsi="宋体" w:eastAsia="宋体" w:cs="宋体"/>
          <w:color w:val="auto"/>
          <w:sz w:val="15"/>
          <w:szCs w:val="15"/>
        </w:rPr>
      </w:pPr>
      <w:r>
        <w:rPr>
          <w:rFonts w:hint="eastAsia" w:ascii="宋体" w:hAnsi="宋体" w:eastAsia="宋体" w:cs="宋体"/>
          <w:color w:val="auto"/>
          <w:sz w:val="22"/>
          <w:szCs w:val="22"/>
        </w:rPr>
        <w:t>2．我方承诺在磋商有效期内不修改、撤销响应文件。</w:t>
      </w:r>
    </w:p>
    <w:p w14:paraId="60DCD4C0">
      <w:pPr>
        <w:spacing w:line="360" w:lineRule="auto"/>
        <w:ind w:firstLine="440" w:firstLineChars="200"/>
        <w:rPr>
          <w:rFonts w:ascii="宋体" w:hAnsi="宋体" w:eastAsia="宋体" w:cs="宋体"/>
          <w:color w:val="auto"/>
          <w:sz w:val="22"/>
          <w:szCs w:val="22"/>
        </w:rPr>
      </w:pPr>
      <w:r>
        <w:rPr>
          <w:rFonts w:hint="eastAsia" w:ascii="宋体" w:hAnsi="宋体" w:eastAsia="宋体" w:cs="宋体"/>
          <w:color w:val="auto"/>
          <w:sz w:val="22"/>
          <w:szCs w:val="22"/>
        </w:rPr>
        <w:t>3．如我方中标：</w:t>
      </w:r>
    </w:p>
    <w:p w14:paraId="171C66FF">
      <w:pPr>
        <w:spacing w:line="360" w:lineRule="auto"/>
        <w:ind w:firstLine="440" w:firstLineChars="200"/>
        <w:rPr>
          <w:rFonts w:ascii="宋体" w:hAnsi="宋体" w:eastAsia="宋体" w:cs="宋体"/>
          <w:color w:val="auto"/>
          <w:sz w:val="22"/>
          <w:szCs w:val="22"/>
        </w:rPr>
      </w:pPr>
      <w:r>
        <w:rPr>
          <w:rFonts w:hint="eastAsia" w:ascii="宋体" w:hAnsi="宋体" w:eastAsia="宋体" w:cs="宋体"/>
          <w:color w:val="auto"/>
          <w:sz w:val="22"/>
          <w:szCs w:val="22"/>
        </w:rPr>
        <w:t>（1）我方承诺在收到成交通知书后，在成交通知书规定的期限内与你方签订合同。</w:t>
      </w:r>
    </w:p>
    <w:p w14:paraId="066701A7">
      <w:pPr>
        <w:spacing w:line="360" w:lineRule="auto"/>
        <w:ind w:firstLine="440" w:firstLineChars="200"/>
        <w:rPr>
          <w:rFonts w:ascii="宋体" w:hAnsi="宋体" w:eastAsia="宋体" w:cs="宋体"/>
          <w:color w:val="auto"/>
          <w:sz w:val="22"/>
          <w:szCs w:val="22"/>
        </w:rPr>
      </w:pPr>
      <w:r>
        <w:rPr>
          <w:rFonts w:hint="eastAsia" w:ascii="宋体" w:hAnsi="宋体" w:eastAsia="宋体" w:cs="宋体"/>
          <w:color w:val="auto"/>
          <w:sz w:val="22"/>
          <w:szCs w:val="22"/>
        </w:rPr>
        <w:t>（2）随同本磋商响应书递交的报价一览表属于合同文件的组成部分。</w:t>
      </w:r>
    </w:p>
    <w:p w14:paraId="66DC07F0">
      <w:pPr>
        <w:spacing w:line="360" w:lineRule="auto"/>
        <w:ind w:firstLine="440" w:firstLineChars="200"/>
        <w:rPr>
          <w:rFonts w:ascii="宋体" w:hAnsi="宋体" w:eastAsia="宋体" w:cs="宋体"/>
          <w:color w:val="auto"/>
          <w:sz w:val="22"/>
          <w:szCs w:val="22"/>
        </w:rPr>
      </w:pPr>
      <w:r>
        <w:rPr>
          <w:rFonts w:hint="eastAsia" w:ascii="宋体" w:hAnsi="宋体" w:eastAsia="宋体" w:cs="宋体"/>
          <w:color w:val="auto"/>
          <w:sz w:val="22"/>
          <w:szCs w:val="22"/>
        </w:rPr>
        <w:t>（3）我方承诺在合同约定的期限内完成全部合同内容。</w:t>
      </w:r>
    </w:p>
    <w:p w14:paraId="57315750">
      <w:pPr>
        <w:spacing w:line="360" w:lineRule="auto"/>
        <w:ind w:firstLine="440" w:firstLineChars="200"/>
        <w:rPr>
          <w:rFonts w:ascii="宋体" w:hAnsi="宋体" w:eastAsia="宋体" w:cs="宋体"/>
          <w:color w:val="auto"/>
          <w:sz w:val="22"/>
          <w:szCs w:val="22"/>
        </w:rPr>
      </w:pPr>
      <w:r>
        <w:rPr>
          <w:rFonts w:hint="eastAsia" w:ascii="宋体" w:hAnsi="宋体" w:eastAsia="宋体" w:cs="宋体"/>
          <w:color w:val="auto"/>
          <w:sz w:val="22"/>
          <w:szCs w:val="22"/>
        </w:rPr>
        <w:t>4．我方在此声明，所递交的响应文件及有关资料内容完整、真实和准确，且不存在第二章“供应商须知”总则</w:t>
      </w:r>
      <w:r>
        <w:rPr>
          <w:rFonts w:hint="eastAsia" w:ascii="宋体" w:hAnsi="宋体" w:cs="宋体"/>
          <w:color w:val="auto"/>
          <w:sz w:val="22"/>
          <w:szCs w:val="22"/>
          <w:lang w:val="en-US" w:eastAsia="zh-CN"/>
        </w:rPr>
        <w:t>一条</w:t>
      </w:r>
      <w:r>
        <w:rPr>
          <w:rFonts w:hint="eastAsia" w:ascii="宋体" w:hAnsi="宋体" w:eastAsia="宋体" w:cs="宋体"/>
          <w:color w:val="auto"/>
          <w:sz w:val="22"/>
          <w:szCs w:val="22"/>
        </w:rPr>
        <w:t>4.2</w:t>
      </w:r>
      <w:r>
        <w:rPr>
          <w:rFonts w:hint="eastAsia" w:ascii="宋体" w:hAnsi="宋体" w:eastAsia="宋体" w:cs="宋体"/>
          <w:color w:val="auto"/>
          <w:spacing w:val="-2"/>
          <w:sz w:val="22"/>
          <w:szCs w:val="22"/>
        </w:rPr>
        <w:t xml:space="preserve"> </w:t>
      </w:r>
      <w:r>
        <w:rPr>
          <w:rFonts w:hint="eastAsia" w:ascii="宋体" w:hAnsi="宋体" w:eastAsia="宋体" w:cs="宋体"/>
          <w:color w:val="auto"/>
          <w:sz w:val="22"/>
          <w:szCs w:val="22"/>
        </w:rPr>
        <w:t>项规定的任何一种情形。</w:t>
      </w:r>
    </w:p>
    <w:p w14:paraId="01E0BF8A">
      <w:pPr>
        <w:spacing w:line="360" w:lineRule="auto"/>
        <w:ind w:firstLine="440" w:firstLineChars="200"/>
        <w:rPr>
          <w:rFonts w:ascii="宋体" w:hAnsi="宋体" w:eastAsia="宋体" w:cs="宋体"/>
          <w:color w:val="auto"/>
          <w:sz w:val="22"/>
          <w:szCs w:val="22"/>
        </w:rPr>
      </w:pPr>
      <w:r>
        <w:rPr>
          <w:rFonts w:hint="eastAsia" w:ascii="宋体" w:hAnsi="宋体" w:eastAsia="宋体" w:cs="宋体"/>
          <w:color w:val="auto"/>
          <w:sz w:val="22"/>
          <w:szCs w:val="22"/>
        </w:rPr>
        <w:t>5．其他补充说明在“ 八、其他材料”中列明。</w:t>
      </w:r>
    </w:p>
    <w:p w14:paraId="697AAA25">
      <w:pPr>
        <w:spacing w:line="360" w:lineRule="auto"/>
        <w:rPr>
          <w:rFonts w:ascii="宋体" w:hAnsi="宋体" w:eastAsia="宋体" w:cs="宋体"/>
          <w:color w:val="auto"/>
          <w:sz w:val="22"/>
          <w:szCs w:val="22"/>
        </w:rPr>
      </w:pPr>
      <w:r>
        <w:rPr>
          <w:rFonts w:hint="eastAsia" w:ascii="宋体" w:hAnsi="宋体" w:eastAsia="宋体" w:cs="宋体"/>
          <w:color w:val="auto"/>
          <w:sz w:val="22"/>
          <w:szCs w:val="22"/>
        </w:rPr>
        <w:t xml:space="preserve"> </w:t>
      </w:r>
    </w:p>
    <w:p w14:paraId="2F8D37D2">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 </w:t>
      </w:r>
    </w:p>
    <w:p w14:paraId="135F551F">
      <w:pPr>
        <w:spacing w:line="360" w:lineRule="auto"/>
        <w:ind w:firstLine="440" w:firstLineChars="200"/>
        <w:rPr>
          <w:rFonts w:ascii="宋体" w:hAnsi="宋体" w:eastAsia="宋体" w:cs="宋体"/>
          <w:color w:val="auto"/>
          <w:sz w:val="22"/>
          <w:szCs w:val="22"/>
          <w:u w:val="single"/>
        </w:rPr>
      </w:pPr>
      <w:r>
        <w:rPr>
          <w:rFonts w:hint="eastAsia" w:ascii="宋体" w:hAnsi="宋体" w:eastAsia="宋体" w:cs="宋体"/>
          <w:color w:val="auto"/>
          <w:sz w:val="22"/>
          <w:szCs w:val="22"/>
        </w:rPr>
        <w:t>供应商：</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（电子盖章）  </w:t>
      </w:r>
    </w:p>
    <w:p w14:paraId="1C526484">
      <w:pPr>
        <w:spacing w:line="360" w:lineRule="auto"/>
        <w:rPr>
          <w:rFonts w:ascii="宋体" w:hAnsi="宋体" w:eastAsia="宋体" w:cs="宋体"/>
          <w:color w:val="auto"/>
          <w:sz w:val="22"/>
          <w:szCs w:val="22"/>
        </w:rPr>
      </w:pPr>
    </w:p>
    <w:p w14:paraId="5F6A6693">
      <w:pPr>
        <w:spacing w:line="360" w:lineRule="auto"/>
        <w:ind w:firstLine="440" w:firstLineChars="200"/>
        <w:rPr>
          <w:rFonts w:ascii="宋体" w:hAnsi="宋体" w:eastAsia="宋体" w:cs="宋体"/>
          <w:b/>
          <w:bCs/>
          <w:color w:val="auto"/>
          <w:sz w:val="22"/>
          <w:szCs w:val="22"/>
        </w:rPr>
      </w:pPr>
      <w:r>
        <w:rPr>
          <w:rFonts w:hint="eastAsia" w:ascii="宋体" w:hAnsi="宋体" w:eastAsia="宋体" w:cs="宋体"/>
          <w:color w:val="auto"/>
          <w:sz w:val="22"/>
          <w:szCs w:val="22"/>
        </w:rPr>
        <w:t>法定代表人或委托代理人：</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（电子签章）  </w:t>
      </w:r>
    </w:p>
    <w:p w14:paraId="2B8AAF78">
      <w:pPr>
        <w:spacing w:line="360" w:lineRule="auto"/>
        <w:rPr>
          <w:rFonts w:ascii="宋体" w:hAnsi="宋体" w:eastAsia="宋体" w:cs="宋体"/>
          <w:color w:val="auto"/>
          <w:sz w:val="22"/>
          <w:szCs w:val="22"/>
          <w:u w:val="single"/>
        </w:rPr>
      </w:pPr>
    </w:p>
    <w:p w14:paraId="2422F670">
      <w:pPr>
        <w:spacing w:line="360" w:lineRule="auto"/>
        <w:ind w:firstLine="440" w:firstLineChars="200"/>
        <w:rPr>
          <w:rFonts w:ascii="宋体" w:hAnsi="宋体" w:eastAsia="宋体" w:cs="宋体"/>
          <w:color w:val="auto"/>
          <w:sz w:val="32"/>
          <w:szCs w:val="32"/>
        </w:rPr>
      </w:pPr>
      <w:r>
        <w:rPr>
          <w:rFonts w:hint="eastAsia" w:ascii="宋体" w:hAnsi="宋体" w:eastAsia="宋体" w:cs="宋体"/>
          <w:color w:val="auto"/>
          <w:sz w:val="22"/>
          <w:szCs w:val="22"/>
          <w:u w:val="none"/>
          <w:lang w:val="en-US" w:eastAsia="zh-CN"/>
        </w:rPr>
        <w:t>日期：</w:t>
      </w:r>
      <w:r>
        <w:rPr>
          <w:rFonts w:hint="eastAsia" w:ascii="宋体" w:hAnsi="宋体" w:eastAsia="宋体" w:cs="宋体"/>
          <w:color w:val="auto"/>
          <w:sz w:val="22"/>
          <w:szCs w:val="22"/>
          <w:u w:val="none"/>
        </w:rPr>
        <w:t xml:space="preserve"> </w:t>
      </w:r>
      <w:r>
        <w:rPr>
          <w:rFonts w:hint="eastAsia" w:ascii="宋体" w:hAnsi="宋体" w:eastAsia="宋体" w:cs="宋体"/>
          <w:color w:val="auto"/>
          <w:sz w:val="22"/>
          <w:szCs w:val="22"/>
        </w:rPr>
        <w:t xml:space="preserve"> </w:t>
      </w:r>
    </w:p>
    <w:p w14:paraId="2C7CF171">
      <w:pPr>
        <w:spacing w:line="360" w:lineRule="auto"/>
        <w:rPr>
          <w:rFonts w:ascii="宋体" w:hAnsi="宋体" w:eastAsia="宋体" w:cs="宋体"/>
          <w:color w:val="auto"/>
          <w:sz w:val="20"/>
          <w:szCs w:val="20"/>
        </w:rPr>
      </w:pPr>
      <w:r>
        <w:rPr>
          <w:rFonts w:hint="eastAsia" w:ascii="宋体" w:hAnsi="宋体" w:eastAsia="宋体" w:cs="宋体"/>
          <w:color w:val="auto"/>
          <w:sz w:val="20"/>
          <w:szCs w:val="20"/>
        </w:rPr>
        <w:br w:type="page"/>
      </w:r>
    </w:p>
    <w:p w14:paraId="4CD7F8BE">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8"/>
          <w:szCs w:val="28"/>
        </w:rPr>
        <w:t>二、报价一览表</w:t>
      </w:r>
    </w:p>
    <w:p w14:paraId="3C423DF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w:t>
      </w:r>
    </w:p>
    <w:p w14:paraId="28FCA431">
      <w:pPr>
        <w:spacing w:line="360" w:lineRule="auto"/>
        <w:rPr>
          <w:rFonts w:ascii="宋体" w:hAnsi="宋体" w:eastAsia="宋体" w:cs="宋体"/>
          <w:color w:val="auto"/>
          <w:sz w:val="24"/>
          <w:szCs w:val="24"/>
        </w:rPr>
      </w:pPr>
      <w:r>
        <w:rPr>
          <w:rFonts w:hint="eastAsia" w:ascii="宋体" w:hAnsi="宋体" w:eastAsia="宋体" w:cs="宋体"/>
          <w:color w:val="auto"/>
          <w:sz w:val="28"/>
          <w:szCs w:val="28"/>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8"/>
        <w:gridCol w:w="5852"/>
      </w:tblGrid>
      <w:tr w14:paraId="5A65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3368" w:type="dxa"/>
            <w:tcBorders>
              <w:top w:val="single" w:color="auto" w:sz="4" w:space="0"/>
              <w:left w:val="single" w:color="auto" w:sz="4" w:space="0"/>
              <w:bottom w:val="single" w:color="auto" w:sz="4" w:space="0"/>
              <w:right w:val="single" w:color="auto" w:sz="4" w:space="0"/>
            </w:tcBorders>
            <w:noWrap w:val="0"/>
            <w:vAlign w:val="center"/>
          </w:tcPr>
          <w:p w14:paraId="00CA0DD6">
            <w:pPr>
              <w:spacing w:line="360" w:lineRule="auto"/>
              <w:rPr>
                <w:rFonts w:ascii="宋体" w:hAnsi="宋体" w:eastAsia="宋体" w:cs="宋体"/>
                <w:color w:val="auto"/>
                <w:szCs w:val="21"/>
              </w:rPr>
            </w:pPr>
            <w:r>
              <w:rPr>
                <w:rFonts w:hint="eastAsia" w:ascii="宋体" w:hAnsi="宋体" w:eastAsia="宋体" w:cs="宋体"/>
                <w:color w:val="auto"/>
                <w:szCs w:val="21"/>
              </w:rPr>
              <w:t>项目名称</w:t>
            </w:r>
          </w:p>
        </w:tc>
        <w:tc>
          <w:tcPr>
            <w:tcW w:w="5852" w:type="dxa"/>
            <w:tcBorders>
              <w:top w:val="single" w:color="auto" w:sz="4" w:space="0"/>
              <w:left w:val="nil"/>
              <w:bottom w:val="single" w:color="auto" w:sz="4" w:space="0"/>
              <w:right w:val="single" w:color="auto" w:sz="4" w:space="0"/>
            </w:tcBorders>
            <w:noWrap w:val="0"/>
            <w:vAlign w:val="center"/>
          </w:tcPr>
          <w:p w14:paraId="1DDCF193">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   </w:t>
            </w:r>
          </w:p>
        </w:tc>
      </w:tr>
      <w:tr w14:paraId="5123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3368" w:type="dxa"/>
            <w:tcBorders>
              <w:top w:val="single" w:color="auto" w:sz="4" w:space="0"/>
              <w:left w:val="single" w:color="auto" w:sz="4" w:space="0"/>
              <w:bottom w:val="single" w:color="auto" w:sz="4" w:space="0"/>
              <w:right w:val="single" w:color="auto" w:sz="4" w:space="0"/>
            </w:tcBorders>
            <w:noWrap w:val="0"/>
            <w:vAlign w:val="center"/>
          </w:tcPr>
          <w:p w14:paraId="244CFC36">
            <w:pPr>
              <w:spacing w:line="360" w:lineRule="auto"/>
              <w:rPr>
                <w:rFonts w:ascii="宋体" w:hAnsi="宋体" w:eastAsia="宋体" w:cs="宋体"/>
                <w:color w:val="auto"/>
                <w:szCs w:val="21"/>
              </w:rPr>
            </w:pPr>
            <w:r>
              <w:rPr>
                <w:rFonts w:hint="eastAsia" w:ascii="宋体" w:hAnsi="宋体" w:eastAsia="宋体" w:cs="宋体"/>
                <w:color w:val="auto"/>
                <w:szCs w:val="21"/>
              </w:rPr>
              <w:t>供应商名称</w:t>
            </w:r>
          </w:p>
        </w:tc>
        <w:tc>
          <w:tcPr>
            <w:tcW w:w="5852" w:type="dxa"/>
            <w:tcBorders>
              <w:top w:val="single" w:color="auto" w:sz="4" w:space="0"/>
              <w:left w:val="nil"/>
              <w:bottom w:val="single" w:color="auto" w:sz="4" w:space="0"/>
              <w:right w:val="single" w:color="auto" w:sz="4" w:space="0"/>
            </w:tcBorders>
            <w:noWrap w:val="0"/>
            <w:vAlign w:val="center"/>
          </w:tcPr>
          <w:p w14:paraId="3486E3E7">
            <w:pPr>
              <w:spacing w:line="360" w:lineRule="auto"/>
              <w:rPr>
                <w:rFonts w:ascii="宋体" w:hAnsi="宋体" w:eastAsia="宋体" w:cs="宋体"/>
                <w:color w:val="auto"/>
                <w:sz w:val="24"/>
                <w:szCs w:val="24"/>
              </w:rPr>
            </w:pPr>
          </w:p>
        </w:tc>
      </w:tr>
      <w:tr w14:paraId="0A29A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3368" w:type="dxa"/>
            <w:tcBorders>
              <w:top w:val="single" w:color="auto" w:sz="4" w:space="0"/>
              <w:left w:val="single" w:color="auto" w:sz="4" w:space="0"/>
              <w:bottom w:val="single" w:color="auto" w:sz="4" w:space="0"/>
              <w:right w:val="single" w:color="auto" w:sz="4" w:space="0"/>
            </w:tcBorders>
            <w:noWrap w:val="0"/>
            <w:vAlign w:val="center"/>
          </w:tcPr>
          <w:p w14:paraId="0D5405F7">
            <w:pPr>
              <w:spacing w:line="360" w:lineRule="auto"/>
              <w:rPr>
                <w:rFonts w:ascii="宋体" w:hAnsi="宋体" w:eastAsia="宋体" w:cs="宋体"/>
                <w:color w:val="auto"/>
                <w:szCs w:val="21"/>
              </w:rPr>
            </w:pPr>
            <w:r>
              <w:rPr>
                <w:rFonts w:hint="eastAsia" w:ascii="宋体" w:hAnsi="宋体" w:eastAsia="宋体" w:cs="宋体"/>
                <w:color w:val="auto"/>
                <w:szCs w:val="21"/>
              </w:rPr>
              <w:t>首次磋商报价</w:t>
            </w:r>
          </w:p>
        </w:tc>
        <w:tc>
          <w:tcPr>
            <w:tcW w:w="5852" w:type="dxa"/>
            <w:tcBorders>
              <w:top w:val="single" w:color="auto" w:sz="4" w:space="0"/>
              <w:left w:val="nil"/>
              <w:bottom w:val="single" w:color="auto" w:sz="4" w:space="0"/>
              <w:right w:val="single" w:color="auto" w:sz="4" w:space="0"/>
            </w:tcBorders>
            <w:noWrap w:val="0"/>
            <w:vAlign w:val="center"/>
          </w:tcPr>
          <w:p w14:paraId="05D49C90">
            <w:pPr>
              <w:spacing w:line="360" w:lineRule="auto"/>
              <w:rPr>
                <w:rFonts w:hint="eastAsia" w:ascii="宋体" w:hAnsi="宋体" w:eastAsia="宋体" w:cs="宋体"/>
                <w:color w:val="auto"/>
                <w:szCs w:val="21"/>
              </w:rPr>
            </w:pPr>
            <w:r>
              <w:rPr>
                <w:rFonts w:hint="eastAsia" w:ascii="宋体" w:hAnsi="宋体" w:eastAsia="宋体" w:cs="宋体"/>
                <w:color w:val="auto"/>
                <w:szCs w:val="21"/>
              </w:rPr>
              <w:t>大写：</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3EBC17EB">
            <w:pPr>
              <w:spacing w:line="360" w:lineRule="auto"/>
              <w:rPr>
                <w:rFonts w:ascii="宋体" w:hAnsi="宋体" w:eastAsia="宋体" w:cs="宋体"/>
                <w:color w:val="auto"/>
                <w:szCs w:val="21"/>
              </w:rPr>
            </w:pPr>
            <w:r>
              <w:rPr>
                <w:rFonts w:hint="eastAsia" w:ascii="宋体" w:hAnsi="宋体" w:eastAsia="宋体" w:cs="宋体"/>
                <w:color w:val="auto"/>
                <w:szCs w:val="21"/>
              </w:rPr>
              <w:t xml:space="preserve">小写：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tc>
      </w:tr>
      <w:tr w14:paraId="3E26C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3368" w:type="dxa"/>
            <w:tcBorders>
              <w:top w:val="single" w:color="auto" w:sz="4" w:space="0"/>
              <w:left w:val="single" w:color="auto" w:sz="4" w:space="0"/>
              <w:bottom w:val="single" w:color="auto" w:sz="4" w:space="0"/>
              <w:right w:val="single" w:color="auto" w:sz="4" w:space="0"/>
            </w:tcBorders>
            <w:noWrap w:val="0"/>
            <w:vAlign w:val="center"/>
          </w:tcPr>
          <w:p w14:paraId="5834FE1A">
            <w:pPr>
              <w:spacing w:line="360" w:lineRule="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投标内容</w:t>
            </w:r>
          </w:p>
        </w:tc>
        <w:tc>
          <w:tcPr>
            <w:tcW w:w="5852" w:type="dxa"/>
            <w:tcBorders>
              <w:top w:val="single" w:color="auto" w:sz="4" w:space="0"/>
              <w:left w:val="nil"/>
              <w:bottom w:val="single" w:color="auto" w:sz="4" w:space="0"/>
              <w:right w:val="single" w:color="auto" w:sz="4" w:space="0"/>
            </w:tcBorders>
            <w:noWrap w:val="0"/>
            <w:vAlign w:val="center"/>
          </w:tcPr>
          <w:p w14:paraId="709DD91E">
            <w:pPr>
              <w:spacing w:line="360" w:lineRule="auto"/>
              <w:rPr>
                <w:rFonts w:hint="eastAsia" w:ascii="宋体" w:hAnsi="宋体" w:eastAsia="宋体" w:cs="宋体"/>
                <w:color w:val="auto"/>
                <w:szCs w:val="21"/>
              </w:rPr>
            </w:pPr>
          </w:p>
        </w:tc>
      </w:tr>
      <w:tr w14:paraId="4DB7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3368" w:type="dxa"/>
            <w:tcBorders>
              <w:top w:val="single" w:color="auto" w:sz="4" w:space="0"/>
              <w:left w:val="single" w:color="auto" w:sz="4" w:space="0"/>
              <w:bottom w:val="single" w:color="auto" w:sz="4" w:space="0"/>
              <w:right w:val="single" w:color="auto" w:sz="4" w:space="0"/>
            </w:tcBorders>
            <w:noWrap w:val="0"/>
            <w:vAlign w:val="center"/>
          </w:tcPr>
          <w:p w14:paraId="1E26659F">
            <w:pPr>
              <w:spacing w:line="360" w:lineRule="auto"/>
              <w:rPr>
                <w:rFonts w:ascii="宋体" w:hAnsi="宋体" w:eastAsia="宋体" w:cs="宋体"/>
                <w:color w:val="auto"/>
                <w:szCs w:val="21"/>
              </w:rPr>
            </w:pPr>
            <w:r>
              <w:rPr>
                <w:rFonts w:hint="eastAsia" w:ascii="宋体" w:hAnsi="宋体" w:eastAsia="宋体" w:cs="宋体"/>
                <w:color w:val="auto"/>
                <w:szCs w:val="21"/>
              </w:rPr>
              <w:t>服务期限</w:t>
            </w:r>
          </w:p>
        </w:tc>
        <w:tc>
          <w:tcPr>
            <w:tcW w:w="5852" w:type="dxa"/>
            <w:tcBorders>
              <w:top w:val="single" w:color="auto" w:sz="4" w:space="0"/>
              <w:left w:val="nil"/>
              <w:bottom w:val="single" w:color="auto" w:sz="4" w:space="0"/>
              <w:right w:val="single" w:color="auto" w:sz="4" w:space="0"/>
            </w:tcBorders>
            <w:noWrap w:val="0"/>
            <w:vAlign w:val="center"/>
          </w:tcPr>
          <w:p w14:paraId="09886B72">
            <w:pPr>
              <w:spacing w:line="360" w:lineRule="auto"/>
              <w:rPr>
                <w:rFonts w:ascii="宋体" w:hAnsi="宋体" w:eastAsia="宋体" w:cs="宋体"/>
                <w:color w:val="auto"/>
                <w:szCs w:val="21"/>
              </w:rPr>
            </w:pPr>
          </w:p>
        </w:tc>
      </w:tr>
      <w:tr w14:paraId="6F10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3368" w:type="dxa"/>
            <w:tcBorders>
              <w:top w:val="single" w:color="auto" w:sz="4" w:space="0"/>
              <w:left w:val="single" w:color="auto" w:sz="4" w:space="0"/>
              <w:bottom w:val="single" w:color="auto" w:sz="4" w:space="0"/>
              <w:right w:val="single" w:color="auto" w:sz="4" w:space="0"/>
            </w:tcBorders>
            <w:noWrap w:val="0"/>
            <w:vAlign w:val="center"/>
          </w:tcPr>
          <w:p w14:paraId="0A3CB29C">
            <w:pPr>
              <w:spacing w:line="360" w:lineRule="auto"/>
              <w:rPr>
                <w:rFonts w:ascii="宋体" w:hAnsi="宋体" w:eastAsia="宋体" w:cs="宋体"/>
                <w:color w:val="auto"/>
                <w:szCs w:val="21"/>
              </w:rPr>
            </w:pPr>
            <w:r>
              <w:rPr>
                <w:rFonts w:hint="eastAsia" w:ascii="宋体" w:hAnsi="宋体" w:cs="宋体"/>
                <w:color w:val="auto"/>
                <w:szCs w:val="21"/>
                <w:lang w:eastAsia="zh-CN"/>
              </w:rPr>
              <w:t>服务</w:t>
            </w:r>
            <w:r>
              <w:rPr>
                <w:rFonts w:hint="eastAsia" w:ascii="宋体" w:hAnsi="宋体" w:eastAsia="宋体" w:cs="宋体"/>
                <w:color w:val="auto"/>
                <w:szCs w:val="21"/>
              </w:rPr>
              <w:t>质量要求</w:t>
            </w:r>
          </w:p>
        </w:tc>
        <w:tc>
          <w:tcPr>
            <w:tcW w:w="5852" w:type="dxa"/>
            <w:tcBorders>
              <w:top w:val="single" w:color="auto" w:sz="4" w:space="0"/>
              <w:left w:val="nil"/>
              <w:bottom w:val="single" w:color="auto" w:sz="4" w:space="0"/>
              <w:right w:val="single" w:color="auto" w:sz="4" w:space="0"/>
            </w:tcBorders>
            <w:noWrap w:val="0"/>
            <w:vAlign w:val="center"/>
          </w:tcPr>
          <w:p w14:paraId="1C4B8373">
            <w:pPr>
              <w:spacing w:line="360" w:lineRule="auto"/>
              <w:rPr>
                <w:rFonts w:ascii="宋体" w:hAnsi="宋体" w:eastAsia="宋体" w:cs="宋体"/>
                <w:color w:val="auto"/>
                <w:szCs w:val="21"/>
              </w:rPr>
            </w:pPr>
          </w:p>
        </w:tc>
      </w:tr>
      <w:tr w14:paraId="63A8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3368" w:type="dxa"/>
            <w:tcBorders>
              <w:top w:val="single" w:color="auto" w:sz="4" w:space="0"/>
              <w:left w:val="single" w:color="auto" w:sz="4" w:space="0"/>
              <w:bottom w:val="single" w:color="auto" w:sz="4" w:space="0"/>
              <w:right w:val="single" w:color="auto" w:sz="4" w:space="0"/>
            </w:tcBorders>
            <w:noWrap w:val="0"/>
            <w:vAlign w:val="center"/>
          </w:tcPr>
          <w:p w14:paraId="77A9FB1C">
            <w:pPr>
              <w:spacing w:line="360" w:lineRule="auto"/>
              <w:rPr>
                <w:rFonts w:ascii="宋体" w:hAnsi="宋体" w:eastAsia="宋体" w:cs="宋体"/>
                <w:color w:val="auto"/>
                <w:szCs w:val="21"/>
              </w:rPr>
            </w:pPr>
            <w:r>
              <w:rPr>
                <w:rFonts w:hint="eastAsia" w:ascii="宋体" w:hAnsi="宋体" w:eastAsia="宋体" w:cs="宋体"/>
                <w:color w:val="auto"/>
                <w:szCs w:val="21"/>
              </w:rPr>
              <w:t>磋商有效期</w:t>
            </w:r>
          </w:p>
        </w:tc>
        <w:tc>
          <w:tcPr>
            <w:tcW w:w="5852" w:type="dxa"/>
            <w:tcBorders>
              <w:top w:val="single" w:color="auto" w:sz="4" w:space="0"/>
              <w:left w:val="nil"/>
              <w:bottom w:val="single" w:color="auto" w:sz="4" w:space="0"/>
              <w:right w:val="single" w:color="auto" w:sz="4" w:space="0"/>
            </w:tcBorders>
            <w:noWrap w:val="0"/>
            <w:vAlign w:val="center"/>
          </w:tcPr>
          <w:p w14:paraId="5B9276D4">
            <w:pPr>
              <w:spacing w:line="360" w:lineRule="auto"/>
              <w:rPr>
                <w:rFonts w:ascii="宋体" w:hAnsi="宋体" w:eastAsia="宋体" w:cs="宋体"/>
                <w:color w:val="auto"/>
                <w:szCs w:val="21"/>
              </w:rPr>
            </w:pPr>
          </w:p>
        </w:tc>
      </w:tr>
      <w:tr w14:paraId="7AC7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9220" w:type="dxa"/>
            <w:gridSpan w:val="2"/>
            <w:tcBorders>
              <w:top w:val="single" w:color="auto" w:sz="4" w:space="0"/>
              <w:left w:val="single" w:color="auto" w:sz="4" w:space="0"/>
              <w:bottom w:val="single" w:color="auto" w:sz="4" w:space="0"/>
              <w:right w:val="single" w:color="auto" w:sz="4" w:space="0"/>
            </w:tcBorders>
            <w:noWrap w:val="0"/>
            <w:vAlign w:val="center"/>
          </w:tcPr>
          <w:p w14:paraId="76F414D5">
            <w:pPr>
              <w:spacing w:line="360" w:lineRule="auto"/>
              <w:rPr>
                <w:rFonts w:ascii="宋体" w:hAnsi="宋体" w:eastAsia="宋体" w:cs="宋体"/>
                <w:color w:val="auto"/>
                <w:szCs w:val="21"/>
              </w:rPr>
            </w:pPr>
            <w:r>
              <w:rPr>
                <w:rFonts w:hint="eastAsia" w:ascii="宋体" w:hAnsi="宋体" w:eastAsia="宋体" w:cs="宋体"/>
                <w:color w:val="auto"/>
                <w:szCs w:val="21"/>
              </w:rPr>
              <w:t>其他说明：</w:t>
            </w:r>
          </w:p>
        </w:tc>
      </w:tr>
    </w:tbl>
    <w:p w14:paraId="6C3FCAD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w:t>
      </w:r>
    </w:p>
    <w:p w14:paraId="1887BD44">
      <w:pPr>
        <w:spacing w:line="360" w:lineRule="auto"/>
        <w:rPr>
          <w:rFonts w:ascii="宋体" w:hAnsi="宋体" w:eastAsia="宋体" w:cs="宋体"/>
          <w:color w:val="auto"/>
          <w:szCs w:val="21"/>
        </w:rPr>
      </w:pPr>
      <w:r>
        <w:rPr>
          <w:rFonts w:hint="eastAsia" w:ascii="宋体" w:hAnsi="宋体" w:eastAsia="宋体" w:cs="宋体"/>
          <w:color w:val="auto"/>
          <w:szCs w:val="21"/>
        </w:rPr>
        <w:t xml:space="preserve"> </w:t>
      </w:r>
    </w:p>
    <w:p w14:paraId="1475FFDC">
      <w:pPr>
        <w:spacing w:line="360" w:lineRule="auto"/>
        <w:ind w:firstLine="420" w:firstLineChars="200"/>
        <w:rPr>
          <w:rFonts w:ascii="宋体" w:hAnsi="宋体" w:eastAsia="宋体" w:cs="宋体"/>
          <w:color w:val="auto"/>
          <w:szCs w:val="21"/>
          <w:u w:val="single"/>
        </w:rPr>
      </w:pPr>
      <w:r>
        <w:rPr>
          <w:rFonts w:hint="eastAsia" w:ascii="宋体" w:hAnsi="宋体" w:eastAsia="宋体" w:cs="宋体"/>
          <w:color w:val="auto"/>
          <w:szCs w:val="21"/>
        </w:rPr>
        <w:t>供应商：</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（电子盖章）  </w:t>
      </w:r>
    </w:p>
    <w:p w14:paraId="78F283B8">
      <w:pPr>
        <w:spacing w:line="360" w:lineRule="auto"/>
        <w:rPr>
          <w:rFonts w:ascii="宋体" w:hAnsi="宋体" w:eastAsia="宋体" w:cs="宋体"/>
          <w:color w:val="auto"/>
          <w:szCs w:val="21"/>
        </w:rPr>
      </w:pPr>
      <w:r>
        <w:rPr>
          <w:rFonts w:hint="eastAsia" w:ascii="宋体" w:hAnsi="宋体" w:eastAsia="宋体" w:cs="宋体"/>
          <w:color w:val="auto"/>
          <w:szCs w:val="21"/>
        </w:rPr>
        <w:t xml:space="preserve"> </w:t>
      </w:r>
    </w:p>
    <w:p w14:paraId="7D18D6E4">
      <w:pPr>
        <w:spacing w:line="360" w:lineRule="auto"/>
        <w:ind w:firstLine="420" w:firstLineChars="200"/>
        <w:rPr>
          <w:rFonts w:ascii="宋体" w:hAnsi="宋体" w:eastAsia="宋体" w:cs="宋体"/>
          <w:b/>
          <w:bCs/>
          <w:color w:val="auto"/>
          <w:szCs w:val="21"/>
        </w:rPr>
      </w:pPr>
      <w:r>
        <w:rPr>
          <w:rFonts w:hint="eastAsia" w:ascii="宋体" w:hAnsi="宋体" w:eastAsia="宋体" w:cs="宋体"/>
          <w:color w:val="auto"/>
          <w:szCs w:val="21"/>
        </w:rPr>
        <w:t>法定代表人或委托代理人：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（电子签章）  </w:t>
      </w:r>
    </w:p>
    <w:p w14:paraId="193A2D6F">
      <w:pPr>
        <w:spacing w:line="360" w:lineRule="auto"/>
        <w:rPr>
          <w:rFonts w:ascii="宋体" w:hAnsi="宋体" w:eastAsia="宋体" w:cs="宋体"/>
          <w:color w:val="auto"/>
          <w:szCs w:val="21"/>
          <w:u w:val="single"/>
        </w:rPr>
      </w:pPr>
    </w:p>
    <w:p w14:paraId="1A722FD3">
      <w:pPr>
        <w:spacing w:line="360" w:lineRule="auto"/>
        <w:ind w:firstLine="420" w:firstLineChars="200"/>
        <w:rPr>
          <w:rFonts w:ascii="宋体" w:hAnsi="宋体" w:eastAsia="宋体" w:cs="宋体"/>
          <w:color w:val="auto"/>
          <w:sz w:val="28"/>
          <w:szCs w:val="28"/>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日  </w:t>
      </w:r>
    </w:p>
    <w:p w14:paraId="2C5CEB4A">
      <w:pPr>
        <w:spacing w:line="360" w:lineRule="auto"/>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27A81735">
      <w:pPr>
        <w:spacing w:line="360" w:lineRule="auto"/>
        <w:jc w:val="center"/>
        <w:rPr>
          <w:rFonts w:hint="eastAsia" w:ascii="宋体" w:hAnsi="宋体" w:eastAsia="宋体" w:cs="宋体"/>
          <w:b/>
          <w:bCs/>
          <w:color w:val="auto"/>
          <w:sz w:val="28"/>
          <w:szCs w:val="28"/>
        </w:rPr>
      </w:pPr>
      <w:bookmarkStart w:id="82" w:name="_Toc21394"/>
      <w:bookmarkEnd w:id="82"/>
      <w:bookmarkStart w:id="83" w:name="_Toc15271"/>
      <w:bookmarkEnd w:id="83"/>
      <w:bookmarkStart w:id="84" w:name="_Toc4969"/>
      <w:bookmarkEnd w:id="84"/>
      <w:bookmarkStart w:id="85" w:name="_Toc24325"/>
      <w:bookmarkEnd w:id="85"/>
      <w:bookmarkStart w:id="86" w:name="_Toc8208"/>
    </w:p>
    <w:p w14:paraId="0F9EFE1B">
      <w:pPr>
        <w:spacing w:line="360" w:lineRule="auto"/>
        <w:jc w:val="center"/>
        <w:rPr>
          <w:rFonts w:ascii="宋体" w:hAnsi="宋体" w:eastAsia="宋体" w:cs="宋体"/>
          <w:b/>
          <w:bCs/>
          <w:color w:val="auto"/>
          <w:sz w:val="36"/>
          <w:szCs w:val="36"/>
        </w:rPr>
      </w:pPr>
      <w:r>
        <w:rPr>
          <w:rFonts w:hint="eastAsia" w:ascii="宋体" w:hAnsi="宋体" w:eastAsia="宋体" w:cs="宋体"/>
          <w:b/>
          <w:bCs/>
          <w:color w:val="auto"/>
          <w:sz w:val="28"/>
          <w:szCs w:val="28"/>
        </w:rPr>
        <w:t>三、法定代表人身份证明</w:t>
      </w:r>
      <w:bookmarkEnd w:id="86"/>
    </w:p>
    <w:p w14:paraId="748CA960">
      <w:pPr>
        <w:spacing w:line="360" w:lineRule="auto"/>
        <w:rPr>
          <w:rFonts w:ascii="宋体" w:hAnsi="宋体" w:eastAsia="宋体" w:cs="宋体"/>
          <w:color w:val="auto"/>
          <w:szCs w:val="21"/>
        </w:rPr>
      </w:pPr>
      <w:r>
        <w:rPr>
          <w:rFonts w:hint="eastAsia" w:ascii="宋体" w:hAnsi="宋体" w:eastAsia="宋体" w:cs="宋体"/>
          <w:color w:val="auto"/>
          <w:szCs w:val="21"/>
        </w:rPr>
        <w:t>投 标 人：</w:t>
      </w:r>
      <w:r>
        <w:rPr>
          <w:rFonts w:hint="eastAsia" w:ascii="宋体" w:hAnsi="宋体" w:eastAsia="宋体" w:cs="宋体"/>
          <w:color w:val="auto"/>
          <w:szCs w:val="21"/>
          <w:u w:val="single"/>
        </w:rPr>
        <w:t xml:space="preserve">                                                        </w:t>
      </w:r>
    </w:p>
    <w:p w14:paraId="60612306">
      <w:pPr>
        <w:spacing w:line="360" w:lineRule="auto"/>
        <w:rPr>
          <w:rFonts w:ascii="宋体" w:hAnsi="宋体" w:eastAsia="宋体" w:cs="宋体"/>
          <w:color w:val="auto"/>
          <w:szCs w:val="21"/>
        </w:rPr>
      </w:pPr>
      <w:r>
        <w:rPr>
          <w:rFonts w:hint="eastAsia" w:ascii="宋体" w:hAnsi="宋体" w:eastAsia="宋体" w:cs="宋体"/>
          <w:color w:val="auto"/>
          <w:szCs w:val="21"/>
        </w:rPr>
        <w:t>单位性质：</w:t>
      </w:r>
      <w:r>
        <w:rPr>
          <w:rFonts w:hint="eastAsia" w:ascii="宋体" w:hAnsi="宋体" w:eastAsia="宋体" w:cs="宋体"/>
          <w:color w:val="auto"/>
          <w:szCs w:val="21"/>
          <w:u w:val="single"/>
        </w:rPr>
        <w:t xml:space="preserve">                                                        </w:t>
      </w:r>
    </w:p>
    <w:p w14:paraId="36226174">
      <w:pPr>
        <w:spacing w:line="360" w:lineRule="auto"/>
        <w:rPr>
          <w:rFonts w:ascii="宋体" w:hAnsi="宋体" w:eastAsia="宋体" w:cs="宋体"/>
          <w:color w:val="auto"/>
          <w:szCs w:val="21"/>
        </w:rPr>
      </w:pPr>
      <w:r>
        <w:rPr>
          <w:rFonts w:hint="eastAsia" w:ascii="宋体" w:hAnsi="宋体" w:eastAsia="宋体" w:cs="宋体"/>
          <w:color w:val="auto"/>
          <w:szCs w:val="21"/>
        </w:rPr>
        <w:t>地    址：</w:t>
      </w:r>
      <w:r>
        <w:rPr>
          <w:rFonts w:hint="eastAsia" w:ascii="宋体" w:hAnsi="宋体" w:eastAsia="宋体" w:cs="宋体"/>
          <w:color w:val="auto"/>
          <w:szCs w:val="21"/>
          <w:u w:val="single"/>
        </w:rPr>
        <w:t xml:space="preserve">                                                        </w:t>
      </w:r>
    </w:p>
    <w:p w14:paraId="17F4CF84">
      <w:pPr>
        <w:spacing w:line="360" w:lineRule="auto"/>
        <w:rPr>
          <w:rFonts w:ascii="宋体" w:hAnsi="宋体" w:eastAsia="宋体" w:cs="宋体"/>
          <w:color w:val="auto"/>
          <w:szCs w:val="21"/>
        </w:rPr>
      </w:pPr>
      <w:r>
        <w:rPr>
          <w:rFonts w:hint="eastAsia" w:ascii="宋体" w:hAnsi="宋体" w:eastAsia="宋体" w:cs="宋体"/>
          <w:color w:val="auto"/>
          <w:szCs w:val="21"/>
        </w:rPr>
        <w:t>成立时间：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70CA76C3">
      <w:pPr>
        <w:spacing w:line="360" w:lineRule="auto"/>
        <w:rPr>
          <w:rFonts w:ascii="宋体" w:hAnsi="宋体" w:eastAsia="宋体" w:cs="宋体"/>
          <w:color w:val="auto"/>
          <w:szCs w:val="21"/>
        </w:rPr>
      </w:pPr>
      <w:r>
        <w:rPr>
          <w:rFonts w:hint="eastAsia" w:ascii="宋体" w:hAnsi="宋体" w:eastAsia="宋体" w:cs="宋体"/>
          <w:color w:val="auto"/>
          <w:szCs w:val="21"/>
        </w:rPr>
        <w:t>经营期限：</w:t>
      </w:r>
      <w:r>
        <w:rPr>
          <w:rFonts w:hint="eastAsia" w:ascii="宋体" w:hAnsi="宋体" w:eastAsia="宋体" w:cs="宋体"/>
          <w:color w:val="auto"/>
          <w:szCs w:val="21"/>
          <w:u w:val="single"/>
        </w:rPr>
        <w:t xml:space="preserve">                                                        </w:t>
      </w:r>
    </w:p>
    <w:p w14:paraId="367817B0">
      <w:pPr>
        <w:spacing w:line="360" w:lineRule="auto"/>
        <w:rPr>
          <w:rFonts w:ascii="宋体" w:hAnsi="宋体" w:eastAsia="宋体" w:cs="宋体"/>
          <w:color w:val="auto"/>
          <w:szCs w:val="21"/>
        </w:rPr>
      </w:pPr>
      <w:r>
        <w:rPr>
          <w:rFonts w:hint="eastAsia" w:ascii="宋体" w:hAnsi="宋体" w:eastAsia="宋体" w:cs="宋体"/>
          <w:color w:val="auto"/>
          <w:szCs w:val="21"/>
        </w:rPr>
        <w:t>姓    名：</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性        别：</w:t>
      </w:r>
      <w:r>
        <w:rPr>
          <w:rFonts w:hint="eastAsia" w:ascii="宋体" w:hAnsi="宋体" w:eastAsia="宋体" w:cs="宋体"/>
          <w:color w:val="auto"/>
          <w:szCs w:val="21"/>
          <w:u w:val="single"/>
        </w:rPr>
        <w:t xml:space="preserve">                </w:t>
      </w:r>
    </w:p>
    <w:p w14:paraId="2C92A53F">
      <w:pPr>
        <w:spacing w:line="360" w:lineRule="auto"/>
        <w:rPr>
          <w:rFonts w:ascii="宋体" w:hAnsi="宋体" w:eastAsia="宋体" w:cs="宋体"/>
          <w:color w:val="auto"/>
          <w:szCs w:val="21"/>
        </w:rPr>
      </w:pPr>
      <w:r>
        <w:rPr>
          <w:rFonts w:hint="eastAsia" w:ascii="宋体" w:hAnsi="宋体" w:eastAsia="宋体" w:cs="宋体"/>
          <w:color w:val="auto"/>
          <w:szCs w:val="21"/>
        </w:rPr>
        <w:t>年    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职        务：</w:t>
      </w:r>
      <w:r>
        <w:rPr>
          <w:rFonts w:hint="eastAsia" w:ascii="宋体" w:hAnsi="宋体" w:eastAsia="宋体" w:cs="宋体"/>
          <w:color w:val="auto"/>
          <w:szCs w:val="21"/>
          <w:u w:val="single"/>
        </w:rPr>
        <w:t xml:space="preserve">                </w:t>
      </w:r>
    </w:p>
    <w:p w14:paraId="5561297B">
      <w:pPr>
        <w:spacing w:line="360" w:lineRule="auto"/>
        <w:rPr>
          <w:rFonts w:ascii="宋体" w:hAnsi="宋体" w:eastAsia="宋体" w:cs="宋体"/>
          <w:color w:val="auto"/>
          <w:szCs w:val="21"/>
        </w:rPr>
      </w:pPr>
      <w:r>
        <w:rPr>
          <w:rFonts w:hint="eastAsia" w:ascii="宋体" w:hAnsi="宋体" w:eastAsia="宋体" w:cs="宋体"/>
          <w:color w:val="auto"/>
          <w:szCs w:val="21"/>
        </w:rPr>
        <w:t xml:space="preserve">   系</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（供应商名称）的法定代表人。</w:t>
      </w:r>
    </w:p>
    <w:p w14:paraId="79B99AC0">
      <w:pPr>
        <w:spacing w:line="360" w:lineRule="auto"/>
        <w:rPr>
          <w:rFonts w:ascii="宋体" w:hAnsi="宋体" w:eastAsia="宋体" w:cs="宋体"/>
          <w:color w:val="auto"/>
          <w:szCs w:val="21"/>
        </w:rPr>
      </w:pPr>
      <w:r>
        <w:rPr>
          <w:rFonts w:hint="eastAsia" w:ascii="宋体" w:hAnsi="宋体" w:eastAsia="宋体" w:cs="宋体"/>
          <w:color w:val="auto"/>
          <w:szCs w:val="21"/>
        </w:rPr>
        <w:t xml:space="preserve"> </w:t>
      </w:r>
    </w:p>
    <w:p w14:paraId="02EEDF3C">
      <w:pPr>
        <w:spacing w:line="360" w:lineRule="auto"/>
        <w:rPr>
          <w:rFonts w:ascii="宋体" w:hAnsi="宋体" w:eastAsia="宋体" w:cs="宋体"/>
          <w:color w:val="auto"/>
          <w:szCs w:val="21"/>
        </w:rPr>
      </w:pPr>
      <w:r>
        <w:rPr>
          <w:rFonts w:hint="eastAsia" w:ascii="宋体" w:hAnsi="宋体" w:eastAsia="宋体" w:cs="宋体"/>
          <w:color w:val="auto"/>
          <w:szCs w:val="21"/>
        </w:rPr>
        <w:t xml:space="preserve">   特此证明。</w:t>
      </w:r>
    </w:p>
    <w:p w14:paraId="256278B3">
      <w:pPr>
        <w:spacing w:line="360" w:lineRule="auto"/>
        <w:rPr>
          <w:rFonts w:ascii="宋体" w:hAnsi="宋体" w:eastAsia="宋体" w:cs="宋体"/>
          <w:color w:val="auto"/>
          <w:szCs w:val="21"/>
        </w:rPr>
      </w:pPr>
      <w:r>
        <w:rPr>
          <w:rFonts w:hint="eastAsia" w:ascii="宋体" w:hAnsi="宋体" w:eastAsia="宋体" w:cs="宋体"/>
          <w:color w:val="auto"/>
          <w:szCs w:val="21"/>
        </w:rPr>
        <w:t xml:space="preserve"> </w:t>
      </w:r>
    </w:p>
    <w:p w14:paraId="6231DF23">
      <w:pPr>
        <w:spacing w:line="360" w:lineRule="auto"/>
        <w:rPr>
          <w:rFonts w:ascii="宋体" w:hAnsi="宋体" w:eastAsia="宋体" w:cs="宋体"/>
          <w:color w:val="auto"/>
          <w:szCs w:val="21"/>
        </w:rPr>
      </w:pPr>
      <w:r>
        <w:rPr>
          <w:rFonts w:hint="eastAsia" w:ascii="宋体" w:hAnsi="宋体" w:eastAsia="宋体" w:cs="宋体"/>
          <w:color w:val="auto"/>
          <w:szCs w:val="21"/>
        </w:rPr>
        <w:t xml:space="preserve"> </w:t>
      </w:r>
    </w:p>
    <w:p w14:paraId="119F5B27">
      <w:pPr>
        <w:spacing w:line="360" w:lineRule="auto"/>
        <w:rPr>
          <w:rFonts w:ascii="宋体" w:hAnsi="宋体" w:eastAsia="宋体" w:cs="宋体"/>
          <w:color w:val="auto"/>
          <w:szCs w:val="21"/>
        </w:rPr>
      </w:pPr>
      <w:r>
        <w:rPr>
          <w:rFonts w:hint="eastAsia" w:ascii="宋体" w:hAnsi="宋体" w:eastAsia="宋体" w:cs="宋体"/>
          <w:color w:val="auto"/>
          <w:szCs w:val="21"/>
        </w:rPr>
        <w:t xml:space="preserve"> </w:t>
      </w:r>
    </w:p>
    <w:p w14:paraId="49C22CB1">
      <w:pPr>
        <w:spacing w:line="360" w:lineRule="auto"/>
        <w:rPr>
          <w:rFonts w:ascii="宋体" w:hAnsi="宋体" w:eastAsia="宋体" w:cs="宋体"/>
          <w:color w:val="auto"/>
          <w:szCs w:val="21"/>
        </w:rPr>
      </w:pPr>
      <w:r>
        <w:rPr>
          <w:rFonts w:hint="eastAsia" w:ascii="宋体" w:hAnsi="宋体" w:eastAsia="宋体" w:cs="宋体"/>
          <w:color w:val="auto"/>
          <w:szCs w:val="21"/>
        </w:rPr>
        <w:t xml:space="preserve"> </w:t>
      </w:r>
    </w:p>
    <w:p w14:paraId="782E6E0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供应商：</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（电子签章）</w:t>
      </w:r>
    </w:p>
    <w:p w14:paraId="19847295">
      <w:pPr>
        <w:spacing w:line="360" w:lineRule="auto"/>
        <w:rPr>
          <w:rFonts w:ascii="宋体" w:hAnsi="宋体" w:eastAsia="宋体" w:cs="宋体"/>
          <w:color w:val="auto"/>
          <w:szCs w:val="21"/>
        </w:rPr>
      </w:pPr>
      <w:r>
        <w:rPr>
          <w:rFonts w:hint="eastAsia" w:ascii="宋体" w:hAnsi="宋体" w:eastAsia="宋体" w:cs="宋体"/>
          <w:color w:val="auto"/>
          <w:szCs w:val="21"/>
        </w:rPr>
        <w:t xml:space="preserve"> </w:t>
      </w:r>
    </w:p>
    <w:p w14:paraId="436061B1">
      <w:pPr>
        <w:spacing w:line="360" w:lineRule="auto"/>
        <w:rPr>
          <w:rFonts w:ascii="宋体" w:hAnsi="宋体" w:eastAsia="宋体" w:cs="宋体"/>
          <w:color w:val="auto"/>
          <w:szCs w:val="21"/>
        </w:rPr>
      </w:pPr>
      <w:r>
        <w:rPr>
          <w:rFonts w:hint="eastAsia" w:ascii="宋体" w:hAnsi="宋体" w:eastAsia="宋体" w:cs="宋体"/>
          <w:color w:val="auto"/>
          <w:szCs w:val="21"/>
        </w:rPr>
        <w:t xml:space="preserve"> </w:t>
      </w:r>
    </w:p>
    <w:p w14:paraId="384701F0">
      <w:pPr>
        <w:spacing w:line="360" w:lineRule="auto"/>
        <w:rPr>
          <w:rFonts w:ascii="宋体" w:hAnsi="宋体" w:eastAsia="宋体" w:cs="宋体"/>
          <w:color w:val="auto"/>
          <w:sz w:val="28"/>
          <w:szCs w:val="28"/>
        </w:rPr>
      </w:pPr>
      <w:r>
        <w:rPr>
          <w:rFonts w:hint="eastAsia" w:ascii="宋体" w:hAnsi="宋体" w:eastAsia="宋体" w:cs="宋体"/>
          <w:color w:val="auto"/>
          <w:szCs w:val="21"/>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日  </w:t>
      </w:r>
    </w:p>
    <w:p w14:paraId="38E4D837">
      <w:pPr>
        <w:spacing w:line="360" w:lineRule="auto"/>
        <w:rPr>
          <w:rFonts w:ascii="宋体" w:hAnsi="宋体" w:eastAsia="宋体" w:cs="宋体"/>
          <w:color w:val="auto"/>
          <w:szCs w:val="21"/>
        </w:rPr>
      </w:pPr>
      <w:r>
        <w:rPr>
          <w:rFonts w:hint="eastAsia" w:ascii="宋体" w:hAnsi="宋体" w:eastAsia="宋体" w:cs="宋体"/>
          <w:color w:val="auto"/>
          <w:szCs w:val="21"/>
        </w:rPr>
        <w:t xml:space="preserve">        </w:t>
      </w:r>
    </w:p>
    <w:p w14:paraId="006CC379">
      <w:pPr>
        <w:spacing w:line="360" w:lineRule="auto"/>
        <w:jc w:val="center"/>
        <w:rPr>
          <w:rFonts w:ascii="宋体" w:hAnsi="宋体" w:eastAsia="宋体" w:cs="宋体"/>
          <w:color w:val="auto"/>
          <w:sz w:val="24"/>
          <w:szCs w:val="24"/>
        </w:rPr>
      </w:pPr>
      <w:r>
        <w:rPr>
          <w:rFonts w:hint="eastAsia" w:ascii="宋体" w:hAnsi="宋体" w:eastAsia="宋体" w:cs="宋体"/>
          <w:color w:val="auto"/>
          <w:szCs w:val="21"/>
        </w:rPr>
        <w:br w:type="page"/>
      </w:r>
      <w:bookmarkStart w:id="87" w:name="_Toc16149"/>
      <w:bookmarkEnd w:id="87"/>
      <w:bookmarkStart w:id="88" w:name="_Toc32366"/>
      <w:bookmarkEnd w:id="88"/>
      <w:bookmarkStart w:id="89" w:name="_Toc23246"/>
      <w:bookmarkEnd w:id="89"/>
      <w:bookmarkStart w:id="90" w:name="_Toc12135"/>
      <w:bookmarkEnd w:id="90"/>
      <w:bookmarkStart w:id="91" w:name="_Toc5488"/>
      <w:r>
        <w:rPr>
          <w:rFonts w:hint="eastAsia" w:ascii="宋体" w:hAnsi="宋体" w:eastAsia="宋体" w:cs="宋体"/>
          <w:b/>
          <w:bCs/>
          <w:color w:val="auto"/>
          <w:sz w:val="28"/>
          <w:szCs w:val="28"/>
        </w:rPr>
        <w:t>四、</w:t>
      </w:r>
      <w:bookmarkEnd w:id="91"/>
      <w:r>
        <w:rPr>
          <w:rFonts w:hint="eastAsia" w:ascii="宋体" w:hAnsi="宋体" w:eastAsia="宋体" w:cs="宋体"/>
          <w:b/>
          <w:bCs/>
          <w:color w:val="auto"/>
          <w:sz w:val="28"/>
          <w:szCs w:val="28"/>
        </w:rPr>
        <w:t>授权委托书</w:t>
      </w:r>
    </w:p>
    <w:p w14:paraId="4E41C600">
      <w:pPr>
        <w:spacing w:line="360" w:lineRule="auto"/>
        <w:ind w:firstLine="420" w:firstLineChars="200"/>
        <w:rPr>
          <w:rFonts w:ascii="宋体" w:hAnsi="宋体" w:eastAsia="宋体" w:cs="宋体"/>
          <w:color w:val="auto"/>
          <w:szCs w:val="21"/>
        </w:rPr>
      </w:pPr>
    </w:p>
    <w:p w14:paraId="5B36E0EA">
      <w:pPr>
        <w:spacing w:line="480" w:lineRule="auto"/>
        <w:ind w:firstLine="420" w:firstLineChars="200"/>
        <w:rPr>
          <w:rFonts w:ascii="宋体" w:hAnsi="宋体" w:eastAsia="宋体" w:cs="宋体"/>
          <w:color w:val="auto"/>
          <w:szCs w:val="21"/>
        </w:rPr>
      </w:pPr>
      <w:r>
        <w:rPr>
          <w:rFonts w:hint="eastAsia" w:ascii="宋体" w:hAnsi="宋体" w:eastAsia="宋体" w:cs="宋体"/>
          <w:color w:val="auto"/>
          <w:szCs w:val="21"/>
        </w:rPr>
        <w:t>本人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（姓名）系</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（供应商名称）的法定代表人，现委托</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（姓名）</w:t>
      </w:r>
      <w:r>
        <w:rPr>
          <w:rFonts w:hint="eastAsia" w:ascii="宋体" w:hAnsi="宋体"/>
          <w:color w:val="auto"/>
          <w:szCs w:val="21"/>
        </w:rPr>
        <w:t>（联系电话：</w:t>
      </w:r>
      <w:r>
        <w:rPr>
          <w:rFonts w:hint="eastAsia" w:ascii="宋体" w:hAnsi="宋体"/>
          <w:color w:val="auto"/>
          <w:szCs w:val="21"/>
          <w:u w:val="single"/>
        </w:rPr>
        <w:t xml:space="preserve">          </w:t>
      </w:r>
      <w:r>
        <w:rPr>
          <w:rFonts w:hint="eastAsia" w:ascii="宋体" w:hAnsi="宋体"/>
          <w:color w:val="auto"/>
          <w:szCs w:val="21"/>
        </w:rPr>
        <w:t xml:space="preserve"> 电子邮箱：</w:t>
      </w:r>
      <w:r>
        <w:rPr>
          <w:rFonts w:hint="eastAsia" w:ascii="宋体" w:hAnsi="宋体"/>
          <w:color w:val="auto"/>
          <w:szCs w:val="21"/>
          <w:u w:val="single"/>
        </w:rPr>
        <w:t xml:space="preserve">         </w:t>
      </w:r>
      <w:r>
        <w:rPr>
          <w:rFonts w:hint="eastAsia" w:ascii="宋体" w:hAnsi="宋体"/>
          <w:color w:val="auto"/>
          <w:szCs w:val="21"/>
        </w:rPr>
        <w:t>）</w:t>
      </w:r>
      <w:r>
        <w:rPr>
          <w:rFonts w:hint="eastAsia" w:ascii="宋体" w:hAnsi="宋体" w:eastAsia="宋体" w:cs="宋体"/>
          <w:color w:val="auto"/>
          <w:szCs w:val="21"/>
        </w:rPr>
        <w:t>为我方代理人。代理人根据授权，以我方名义签署、澄清、说明、补正、递交、撤回、修改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（项目名称）响应文件、签订合同和处理有关事宜，其法律后果由我方承担。</w:t>
      </w:r>
    </w:p>
    <w:p w14:paraId="46501496">
      <w:pPr>
        <w:spacing w:line="480" w:lineRule="auto"/>
        <w:ind w:firstLine="420" w:firstLineChars="200"/>
        <w:rPr>
          <w:rFonts w:ascii="宋体" w:hAnsi="宋体" w:eastAsia="宋体" w:cs="宋体"/>
          <w:color w:val="auto"/>
          <w:szCs w:val="21"/>
        </w:rPr>
      </w:pPr>
      <w:r>
        <w:rPr>
          <w:rFonts w:hint="eastAsia" w:ascii="宋体" w:hAnsi="宋体" w:eastAsia="宋体" w:cs="宋体"/>
          <w:color w:val="auto"/>
          <w:szCs w:val="21"/>
        </w:rPr>
        <w:t>委托期限：</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09200636">
      <w:pPr>
        <w:spacing w:line="480" w:lineRule="auto"/>
        <w:ind w:firstLine="420" w:firstLineChars="200"/>
        <w:rPr>
          <w:rFonts w:ascii="宋体" w:hAnsi="宋体" w:eastAsia="宋体" w:cs="宋体"/>
          <w:color w:val="auto"/>
          <w:szCs w:val="21"/>
        </w:rPr>
      </w:pPr>
      <w:r>
        <w:rPr>
          <w:rFonts w:hint="eastAsia" w:ascii="宋体" w:hAnsi="宋体" w:eastAsia="宋体" w:cs="宋体"/>
          <w:color w:val="auto"/>
          <w:szCs w:val="21"/>
        </w:rPr>
        <w:t>代理人无转委托权。</w:t>
      </w:r>
    </w:p>
    <w:p w14:paraId="6EC4AE15">
      <w:pPr>
        <w:spacing w:line="480" w:lineRule="auto"/>
        <w:ind w:firstLine="420" w:firstLineChars="200"/>
        <w:rPr>
          <w:rFonts w:ascii="宋体" w:hAnsi="宋体" w:eastAsia="宋体" w:cs="宋体"/>
          <w:color w:val="auto"/>
          <w:szCs w:val="21"/>
        </w:rPr>
      </w:pPr>
      <w:r>
        <w:rPr>
          <w:rFonts w:hint="eastAsia" w:ascii="宋体" w:hAnsi="宋体" w:eastAsia="宋体" w:cs="宋体"/>
          <w:color w:val="auto"/>
          <w:szCs w:val="21"/>
        </w:rPr>
        <w:t>附：法定代表人和代理人身份证复印件</w:t>
      </w:r>
    </w:p>
    <w:p w14:paraId="41047F16">
      <w:pPr>
        <w:spacing w:line="480" w:lineRule="auto"/>
        <w:rPr>
          <w:rFonts w:ascii="宋体" w:hAnsi="宋体" w:eastAsia="宋体" w:cs="宋体"/>
          <w:color w:val="auto"/>
          <w:szCs w:val="21"/>
        </w:rPr>
      </w:pPr>
      <w:r>
        <w:rPr>
          <w:rFonts w:hint="eastAsia" w:ascii="宋体" w:hAnsi="宋体" w:eastAsia="宋体" w:cs="宋体"/>
          <w:color w:val="auto"/>
          <w:szCs w:val="21"/>
        </w:rPr>
        <w:t xml:space="preserve"> </w:t>
      </w:r>
    </w:p>
    <w:p w14:paraId="3E709EBA">
      <w:pPr>
        <w:spacing w:line="360" w:lineRule="auto"/>
        <w:rPr>
          <w:rFonts w:ascii="宋体" w:hAnsi="宋体" w:eastAsia="宋体" w:cs="宋体"/>
          <w:color w:val="auto"/>
          <w:szCs w:val="21"/>
        </w:rPr>
      </w:pPr>
    </w:p>
    <w:p w14:paraId="63E991F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供应商：</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（电子签章）</w:t>
      </w:r>
    </w:p>
    <w:p w14:paraId="4078ED98">
      <w:pPr>
        <w:spacing w:line="360" w:lineRule="auto"/>
        <w:rPr>
          <w:rFonts w:ascii="宋体" w:hAnsi="宋体" w:eastAsia="宋体" w:cs="宋体"/>
          <w:color w:val="auto"/>
          <w:szCs w:val="21"/>
        </w:rPr>
      </w:pPr>
    </w:p>
    <w:p w14:paraId="2D8A00B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法定代表人：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（电子签章）</w:t>
      </w:r>
    </w:p>
    <w:p w14:paraId="3F5C13A7">
      <w:pPr>
        <w:spacing w:line="360" w:lineRule="auto"/>
        <w:rPr>
          <w:rFonts w:ascii="宋体" w:hAnsi="宋体" w:eastAsia="宋体" w:cs="宋体"/>
          <w:color w:val="auto"/>
          <w:szCs w:val="21"/>
        </w:rPr>
      </w:pPr>
      <w:r>
        <w:rPr>
          <w:rFonts w:hint="eastAsia" w:ascii="宋体" w:hAnsi="宋体" w:eastAsia="宋体" w:cs="宋体"/>
          <w:color w:val="auto"/>
          <w:szCs w:val="21"/>
        </w:rPr>
        <w:t xml:space="preserve"> </w:t>
      </w:r>
    </w:p>
    <w:p w14:paraId="6B6B1EE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11B01673">
      <w:pPr>
        <w:spacing w:line="360" w:lineRule="auto"/>
        <w:rPr>
          <w:rFonts w:ascii="宋体" w:hAnsi="宋体" w:eastAsia="宋体" w:cs="宋体"/>
          <w:color w:val="auto"/>
          <w:sz w:val="24"/>
          <w:szCs w:val="24"/>
        </w:rPr>
      </w:pPr>
    </w:p>
    <w:p w14:paraId="713FB34C">
      <w:pPr>
        <w:pStyle w:val="14"/>
        <w:rPr>
          <w:rFonts w:ascii="宋体" w:hAnsi="宋体" w:eastAsia="宋体" w:cs="宋体"/>
          <w:color w:val="auto"/>
          <w:sz w:val="24"/>
          <w:szCs w:val="24"/>
        </w:rPr>
      </w:pPr>
    </w:p>
    <w:p w14:paraId="78962E86">
      <w:pPr>
        <w:pStyle w:val="15"/>
        <w:rPr>
          <w:rFonts w:ascii="宋体" w:hAnsi="宋体" w:eastAsia="宋体" w:cs="宋体"/>
          <w:color w:val="auto"/>
          <w:sz w:val="24"/>
          <w:szCs w:val="24"/>
        </w:rPr>
      </w:pPr>
    </w:p>
    <w:p w14:paraId="55E591BB">
      <w:pPr>
        <w:pStyle w:val="3"/>
        <w:rPr>
          <w:rFonts w:ascii="宋体" w:hAnsi="宋体" w:eastAsia="宋体" w:cs="宋体"/>
          <w:color w:val="auto"/>
          <w:sz w:val="24"/>
          <w:szCs w:val="24"/>
        </w:rPr>
      </w:pPr>
    </w:p>
    <w:p w14:paraId="6D58770C">
      <w:pPr>
        <w:pStyle w:val="4"/>
        <w:rPr>
          <w:rFonts w:ascii="宋体" w:hAnsi="宋体" w:eastAsia="宋体" w:cs="宋体"/>
          <w:color w:val="auto"/>
          <w:sz w:val="24"/>
          <w:szCs w:val="24"/>
        </w:rPr>
      </w:pPr>
    </w:p>
    <w:p w14:paraId="11C65475">
      <w:pPr>
        <w:pStyle w:val="5"/>
        <w:rPr>
          <w:rFonts w:ascii="宋体" w:hAnsi="宋体" w:eastAsia="宋体" w:cs="宋体"/>
          <w:color w:val="auto"/>
          <w:sz w:val="24"/>
          <w:szCs w:val="24"/>
        </w:rPr>
      </w:pPr>
    </w:p>
    <w:p w14:paraId="367E65C0">
      <w:pPr>
        <w:pStyle w:val="4"/>
        <w:rPr>
          <w:rFonts w:ascii="宋体" w:hAnsi="宋体" w:eastAsia="宋体" w:cs="宋体"/>
          <w:color w:val="auto"/>
          <w:sz w:val="24"/>
          <w:szCs w:val="24"/>
        </w:rPr>
      </w:pPr>
    </w:p>
    <w:p w14:paraId="6343E35B">
      <w:pPr>
        <w:pStyle w:val="5"/>
        <w:rPr>
          <w:rFonts w:ascii="宋体" w:hAnsi="宋体" w:eastAsia="宋体" w:cs="宋体"/>
          <w:color w:val="auto"/>
          <w:sz w:val="24"/>
          <w:szCs w:val="24"/>
        </w:rPr>
      </w:pPr>
    </w:p>
    <w:p w14:paraId="1D9D2FF1">
      <w:pPr>
        <w:pStyle w:val="4"/>
        <w:rPr>
          <w:rFonts w:ascii="宋体" w:hAnsi="宋体" w:eastAsia="宋体" w:cs="宋体"/>
          <w:color w:val="auto"/>
          <w:sz w:val="24"/>
          <w:szCs w:val="24"/>
        </w:rPr>
      </w:pPr>
    </w:p>
    <w:p w14:paraId="0F9627E0">
      <w:pPr>
        <w:pStyle w:val="5"/>
        <w:rPr>
          <w:color w:val="auto"/>
        </w:rPr>
      </w:pPr>
    </w:p>
    <w:p w14:paraId="258FD28B">
      <w:pPr>
        <w:pStyle w:val="8"/>
        <w:numPr>
          <w:ilvl w:val="0"/>
          <w:numId w:val="0"/>
        </w:numPr>
        <w:kinsoku w:val="0"/>
        <w:overflowPunct w:val="0"/>
        <w:autoSpaceDE w:val="0"/>
        <w:autoSpaceDN w:val="0"/>
        <w:adjustRightInd w:val="0"/>
        <w:snapToGrid w:val="0"/>
        <w:spacing w:line="360" w:lineRule="auto"/>
        <w:ind w:left="562" w:leftChars="0"/>
        <w:jc w:val="center"/>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五、服务内容及要求的响应</w:t>
      </w:r>
    </w:p>
    <w:p w14:paraId="1B3EBF8B">
      <w:pPr>
        <w:spacing w:line="360" w:lineRule="auto"/>
        <w:rPr>
          <w:rFonts w:ascii="宋体" w:hAnsi="宋体" w:eastAsia="宋体" w:cs="宋体"/>
          <w:color w:val="auto"/>
          <w:szCs w:val="21"/>
        </w:rPr>
      </w:pPr>
      <w:r>
        <w:rPr>
          <w:rFonts w:hint="eastAsia" w:ascii="宋体" w:hAnsi="宋体" w:eastAsia="宋体" w:cs="宋体"/>
          <w:color w:val="auto"/>
          <w:szCs w:val="21"/>
        </w:rPr>
        <w:t xml:space="preserve"> </w:t>
      </w:r>
    </w:p>
    <w:p w14:paraId="5C23F919">
      <w:pPr>
        <w:spacing w:line="360" w:lineRule="auto"/>
        <w:rPr>
          <w:rFonts w:hint="eastAsia" w:ascii="宋体" w:hAnsi="宋体" w:eastAsia="宋体" w:cs="宋体"/>
          <w:color w:val="auto"/>
          <w:sz w:val="28"/>
          <w:szCs w:val="28"/>
        </w:rPr>
      </w:pPr>
    </w:p>
    <w:p w14:paraId="11E2ACF3">
      <w:pPr>
        <w:spacing w:line="360" w:lineRule="auto"/>
        <w:rPr>
          <w:rFonts w:hint="eastAsia" w:ascii="宋体" w:hAnsi="宋体" w:eastAsia="宋体" w:cs="宋体"/>
          <w:color w:val="auto"/>
          <w:sz w:val="28"/>
          <w:szCs w:val="28"/>
        </w:rPr>
      </w:pPr>
    </w:p>
    <w:p w14:paraId="1EADD612">
      <w:pPr>
        <w:spacing w:line="360" w:lineRule="auto"/>
        <w:rPr>
          <w:rFonts w:hint="eastAsia" w:ascii="宋体" w:hAnsi="宋体" w:eastAsia="宋体" w:cs="宋体"/>
          <w:color w:val="auto"/>
          <w:sz w:val="28"/>
          <w:szCs w:val="28"/>
        </w:rPr>
      </w:pPr>
    </w:p>
    <w:p w14:paraId="12273222">
      <w:pPr>
        <w:spacing w:line="360" w:lineRule="auto"/>
        <w:rPr>
          <w:rFonts w:hint="eastAsia" w:ascii="宋体" w:hAnsi="宋体" w:eastAsia="宋体" w:cs="宋体"/>
          <w:color w:val="auto"/>
          <w:sz w:val="28"/>
          <w:szCs w:val="28"/>
        </w:rPr>
      </w:pPr>
    </w:p>
    <w:p w14:paraId="7740C24B">
      <w:pPr>
        <w:spacing w:line="360" w:lineRule="auto"/>
        <w:rPr>
          <w:rFonts w:hint="eastAsia" w:ascii="宋体" w:hAnsi="宋体" w:eastAsia="宋体" w:cs="宋体"/>
          <w:color w:val="auto"/>
          <w:sz w:val="28"/>
          <w:szCs w:val="28"/>
        </w:rPr>
      </w:pPr>
    </w:p>
    <w:p w14:paraId="2B4C1BF1">
      <w:pPr>
        <w:spacing w:line="360" w:lineRule="auto"/>
        <w:rPr>
          <w:rFonts w:hint="eastAsia" w:ascii="宋体" w:hAnsi="宋体" w:eastAsia="宋体" w:cs="宋体"/>
          <w:color w:val="auto"/>
          <w:sz w:val="28"/>
          <w:szCs w:val="28"/>
        </w:rPr>
      </w:pPr>
    </w:p>
    <w:p w14:paraId="2C860DBD">
      <w:pPr>
        <w:spacing w:line="360" w:lineRule="auto"/>
        <w:rPr>
          <w:rFonts w:hint="eastAsia" w:ascii="宋体" w:hAnsi="宋体" w:eastAsia="宋体" w:cs="宋体"/>
          <w:color w:val="auto"/>
          <w:sz w:val="28"/>
          <w:szCs w:val="28"/>
        </w:rPr>
      </w:pPr>
    </w:p>
    <w:p w14:paraId="1E44B4D2">
      <w:pPr>
        <w:spacing w:line="360" w:lineRule="auto"/>
        <w:rPr>
          <w:rFonts w:hint="eastAsia" w:ascii="宋体" w:hAnsi="宋体" w:eastAsia="宋体" w:cs="宋体"/>
          <w:color w:val="auto"/>
          <w:sz w:val="28"/>
          <w:szCs w:val="28"/>
        </w:rPr>
      </w:pPr>
    </w:p>
    <w:p w14:paraId="0AAE51F6">
      <w:pPr>
        <w:spacing w:line="360" w:lineRule="auto"/>
        <w:rPr>
          <w:rFonts w:hint="eastAsia" w:ascii="宋体" w:hAnsi="宋体" w:eastAsia="宋体" w:cs="宋体"/>
          <w:color w:val="auto"/>
          <w:sz w:val="28"/>
          <w:szCs w:val="28"/>
        </w:rPr>
      </w:pPr>
    </w:p>
    <w:p w14:paraId="10AD8552">
      <w:pPr>
        <w:spacing w:line="360" w:lineRule="auto"/>
        <w:rPr>
          <w:rFonts w:hint="eastAsia" w:ascii="宋体" w:hAnsi="宋体" w:eastAsia="宋体" w:cs="宋体"/>
          <w:color w:val="auto"/>
          <w:sz w:val="28"/>
          <w:szCs w:val="28"/>
        </w:rPr>
      </w:pPr>
    </w:p>
    <w:p w14:paraId="2DDC2D7C">
      <w:pPr>
        <w:spacing w:line="360" w:lineRule="auto"/>
        <w:rPr>
          <w:rFonts w:hint="eastAsia" w:ascii="宋体" w:hAnsi="宋体" w:eastAsia="宋体" w:cs="宋体"/>
          <w:color w:val="auto"/>
          <w:sz w:val="28"/>
          <w:szCs w:val="28"/>
        </w:rPr>
      </w:pPr>
    </w:p>
    <w:p w14:paraId="34FCE065">
      <w:pPr>
        <w:spacing w:line="360" w:lineRule="auto"/>
        <w:rPr>
          <w:rFonts w:hint="eastAsia" w:ascii="宋体" w:hAnsi="宋体" w:eastAsia="宋体" w:cs="宋体"/>
          <w:color w:val="auto"/>
          <w:sz w:val="28"/>
          <w:szCs w:val="28"/>
        </w:rPr>
      </w:pPr>
    </w:p>
    <w:p w14:paraId="5C66BF1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供应商：</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（电子签章）</w:t>
      </w:r>
    </w:p>
    <w:p w14:paraId="73FF6E7D">
      <w:pPr>
        <w:spacing w:line="360" w:lineRule="auto"/>
        <w:rPr>
          <w:rFonts w:ascii="宋体" w:hAnsi="宋体" w:eastAsia="宋体" w:cs="宋体"/>
          <w:color w:val="auto"/>
          <w:szCs w:val="21"/>
        </w:rPr>
      </w:pPr>
    </w:p>
    <w:p w14:paraId="0DC1A930">
      <w:pPr>
        <w:spacing w:line="360" w:lineRule="auto"/>
        <w:rPr>
          <w:rFonts w:ascii="宋体" w:hAnsi="宋体" w:eastAsia="宋体" w:cs="宋体"/>
          <w:color w:val="auto"/>
          <w:szCs w:val="21"/>
        </w:rPr>
      </w:pPr>
      <w:r>
        <w:rPr>
          <w:rFonts w:hint="eastAsia" w:ascii="宋体" w:hAnsi="宋体" w:eastAsia="宋体" w:cs="宋体"/>
          <w:color w:val="auto"/>
          <w:szCs w:val="21"/>
        </w:rPr>
        <w:t xml:space="preserve"> </w:t>
      </w:r>
    </w:p>
    <w:p w14:paraId="78AB965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718FECC6">
      <w:pPr>
        <w:spacing w:line="360" w:lineRule="auto"/>
        <w:jc w:val="center"/>
        <w:rPr>
          <w:rFonts w:ascii="宋体" w:hAnsi="宋体" w:eastAsia="宋体" w:cs="宋体"/>
          <w:b/>
          <w:bCs/>
          <w:color w:val="auto"/>
          <w:sz w:val="24"/>
          <w:szCs w:val="24"/>
        </w:rPr>
      </w:pPr>
      <w:r>
        <w:rPr>
          <w:rFonts w:hint="eastAsia" w:ascii="宋体" w:hAnsi="宋体" w:eastAsia="宋体" w:cs="宋体"/>
          <w:color w:val="auto"/>
          <w:sz w:val="28"/>
          <w:szCs w:val="28"/>
        </w:rPr>
        <w:br w:type="page"/>
      </w:r>
      <w:bookmarkStart w:id="92" w:name="_Toc144974864"/>
      <w:bookmarkEnd w:id="92"/>
      <w:bookmarkStart w:id="93" w:name="_Toc12282"/>
      <w:bookmarkEnd w:id="93"/>
      <w:bookmarkStart w:id="94" w:name="_Toc152045796"/>
      <w:bookmarkEnd w:id="94"/>
      <w:bookmarkStart w:id="95" w:name="_Toc6751"/>
      <w:bookmarkEnd w:id="95"/>
      <w:bookmarkStart w:id="96" w:name="_Toc144974863"/>
      <w:bookmarkEnd w:id="96"/>
      <w:bookmarkStart w:id="97" w:name="_Toc152045795"/>
      <w:bookmarkEnd w:id="97"/>
      <w:bookmarkStart w:id="98" w:name="_Toc14762"/>
      <w:bookmarkEnd w:id="98"/>
      <w:bookmarkStart w:id="99" w:name="_Toc179632815"/>
      <w:bookmarkEnd w:id="99"/>
      <w:bookmarkStart w:id="100" w:name="_Toc152042585"/>
      <w:bookmarkEnd w:id="100"/>
      <w:bookmarkStart w:id="101" w:name="_Toc21011"/>
      <w:bookmarkEnd w:id="101"/>
      <w:bookmarkStart w:id="102" w:name="_Toc23986"/>
      <w:bookmarkEnd w:id="102"/>
      <w:bookmarkStart w:id="103" w:name="_Toc152042584"/>
      <w:bookmarkEnd w:id="103"/>
      <w:bookmarkStart w:id="104" w:name="_Toc179632816"/>
      <w:r>
        <w:rPr>
          <w:rFonts w:hint="eastAsia" w:ascii="宋体" w:hAnsi="宋体" w:eastAsia="宋体" w:cs="宋体"/>
          <w:b/>
          <w:bCs/>
          <w:color w:val="auto"/>
          <w:sz w:val="28"/>
          <w:szCs w:val="28"/>
          <w:lang w:val="en-US" w:eastAsia="zh-CN"/>
        </w:rPr>
        <w:t>六</w:t>
      </w:r>
      <w:r>
        <w:rPr>
          <w:rFonts w:hint="eastAsia" w:ascii="宋体" w:hAnsi="宋体" w:eastAsia="宋体" w:cs="宋体"/>
          <w:b/>
          <w:bCs/>
          <w:color w:val="auto"/>
          <w:sz w:val="28"/>
          <w:szCs w:val="28"/>
        </w:rPr>
        <w:t>、</w:t>
      </w:r>
      <w:bookmarkEnd w:id="104"/>
      <w:bookmarkStart w:id="105" w:name="_Toc144974865"/>
      <w:bookmarkEnd w:id="105"/>
      <w:bookmarkStart w:id="106" w:name="_Toc8725"/>
      <w:bookmarkEnd w:id="106"/>
      <w:bookmarkStart w:id="107" w:name="_Toc4020"/>
      <w:bookmarkEnd w:id="107"/>
      <w:bookmarkStart w:id="108" w:name="_Toc152042586"/>
      <w:bookmarkEnd w:id="108"/>
      <w:bookmarkStart w:id="109" w:name="_Toc152045797"/>
      <w:bookmarkEnd w:id="109"/>
      <w:bookmarkStart w:id="110" w:name="_Toc179632817"/>
      <w:bookmarkEnd w:id="110"/>
      <w:r>
        <w:rPr>
          <w:rFonts w:hint="eastAsia" w:ascii="宋体" w:hAnsi="宋体" w:eastAsia="宋体" w:cs="宋体"/>
          <w:b/>
          <w:bCs/>
          <w:color w:val="auto"/>
          <w:sz w:val="28"/>
          <w:szCs w:val="28"/>
        </w:rPr>
        <w:t>资格审查资料</w:t>
      </w:r>
    </w:p>
    <w:p w14:paraId="68F99DE1">
      <w:pPr>
        <w:spacing w:line="360" w:lineRule="auto"/>
        <w:rPr>
          <w:rFonts w:ascii="宋体" w:hAnsi="宋体" w:eastAsia="宋体" w:cs="宋体"/>
          <w:color w:val="auto"/>
          <w:szCs w:val="21"/>
        </w:rPr>
      </w:pPr>
      <w:r>
        <w:rPr>
          <w:rFonts w:hint="eastAsia" w:ascii="宋体" w:hAnsi="宋体" w:eastAsia="宋体" w:cs="宋体"/>
          <w:color w:val="auto"/>
          <w:szCs w:val="21"/>
        </w:rPr>
        <w:t xml:space="preserve"> </w:t>
      </w:r>
    </w:p>
    <w:p w14:paraId="3353FCA7">
      <w:pPr>
        <w:spacing w:line="360" w:lineRule="auto"/>
        <w:rPr>
          <w:rFonts w:ascii="宋体" w:hAnsi="宋体" w:eastAsia="宋体" w:cs="宋体"/>
          <w:color w:val="auto"/>
          <w:szCs w:val="21"/>
        </w:rPr>
      </w:pPr>
      <w:r>
        <w:rPr>
          <w:rFonts w:hint="eastAsia" w:ascii="宋体" w:hAnsi="宋体" w:eastAsia="宋体" w:cs="宋体"/>
          <w:color w:val="auto"/>
          <w:szCs w:val="21"/>
        </w:rPr>
        <w:t>（一）供应商基本情况表</w:t>
      </w:r>
    </w:p>
    <w:tbl>
      <w:tblPr>
        <w:tblStyle w:val="16"/>
        <w:tblpPr w:leftFromText="180" w:rightFromText="180" w:vertAnchor="text" w:horzAnchor="page" w:tblpXSpec="center" w:tblpY="49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493"/>
        <w:gridCol w:w="759"/>
        <w:gridCol w:w="681"/>
        <w:gridCol w:w="613"/>
        <w:gridCol w:w="2124"/>
      </w:tblGrid>
      <w:tr w14:paraId="77E0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1FF895E9">
            <w:pPr>
              <w:spacing w:line="360" w:lineRule="auto"/>
              <w:rPr>
                <w:rFonts w:ascii="宋体" w:hAnsi="宋体" w:eastAsia="宋体" w:cs="宋体"/>
                <w:color w:val="auto"/>
                <w:szCs w:val="21"/>
              </w:rPr>
            </w:pPr>
            <w:bookmarkStart w:id="111" w:name="_bookmark164"/>
            <w:bookmarkEnd w:id="111"/>
            <w:r>
              <w:rPr>
                <w:rFonts w:hint="eastAsia" w:ascii="宋体" w:hAnsi="宋体" w:eastAsia="宋体" w:cs="宋体"/>
                <w:color w:val="auto"/>
                <w:szCs w:val="21"/>
              </w:rPr>
              <w:t>供应商名称</w:t>
            </w:r>
          </w:p>
        </w:tc>
        <w:tc>
          <w:tcPr>
            <w:tcW w:w="7550" w:type="dxa"/>
            <w:gridSpan w:val="7"/>
            <w:tcBorders>
              <w:top w:val="single" w:color="auto" w:sz="4" w:space="0"/>
              <w:left w:val="nil"/>
              <w:bottom w:val="single" w:color="auto" w:sz="4" w:space="0"/>
              <w:right w:val="single" w:color="auto" w:sz="4" w:space="0"/>
            </w:tcBorders>
            <w:noWrap w:val="0"/>
            <w:vAlign w:val="center"/>
          </w:tcPr>
          <w:p w14:paraId="2168EEF5">
            <w:pPr>
              <w:spacing w:line="360" w:lineRule="auto"/>
              <w:rPr>
                <w:rFonts w:ascii="宋体" w:hAnsi="宋体" w:eastAsia="宋体" w:cs="宋体"/>
                <w:color w:val="auto"/>
                <w:szCs w:val="21"/>
              </w:rPr>
            </w:pPr>
          </w:p>
        </w:tc>
      </w:tr>
      <w:tr w14:paraId="61FC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12C9E192">
            <w:pPr>
              <w:spacing w:line="360" w:lineRule="auto"/>
              <w:rPr>
                <w:rFonts w:ascii="宋体" w:hAnsi="宋体" w:eastAsia="宋体" w:cs="宋体"/>
                <w:color w:val="auto"/>
                <w:szCs w:val="21"/>
              </w:rPr>
            </w:pPr>
            <w:r>
              <w:rPr>
                <w:rFonts w:hint="eastAsia" w:ascii="宋体" w:hAnsi="宋体" w:eastAsia="宋体" w:cs="宋体"/>
                <w:color w:val="auto"/>
                <w:szCs w:val="21"/>
              </w:rPr>
              <w:t>注册地址</w:t>
            </w:r>
          </w:p>
        </w:tc>
        <w:tc>
          <w:tcPr>
            <w:tcW w:w="4132" w:type="dxa"/>
            <w:gridSpan w:val="4"/>
            <w:tcBorders>
              <w:top w:val="single" w:color="auto" w:sz="4" w:space="0"/>
              <w:left w:val="nil"/>
              <w:bottom w:val="single" w:color="auto" w:sz="4" w:space="0"/>
              <w:right w:val="single" w:color="auto" w:sz="4" w:space="0"/>
            </w:tcBorders>
            <w:noWrap w:val="0"/>
            <w:vAlign w:val="center"/>
          </w:tcPr>
          <w:p w14:paraId="29E025CC">
            <w:pPr>
              <w:spacing w:line="360" w:lineRule="auto"/>
              <w:rPr>
                <w:rFonts w:ascii="宋体" w:hAnsi="宋体" w:eastAsia="宋体" w:cs="宋体"/>
                <w:color w:val="auto"/>
                <w:szCs w:val="21"/>
              </w:rPr>
            </w:pPr>
          </w:p>
        </w:tc>
        <w:tc>
          <w:tcPr>
            <w:tcW w:w="1294" w:type="dxa"/>
            <w:gridSpan w:val="2"/>
            <w:tcBorders>
              <w:top w:val="single" w:color="auto" w:sz="4" w:space="0"/>
              <w:left w:val="nil"/>
              <w:bottom w:val="single" w:color="auto" w:sz="4" w:space="0"/>
              <w:right w:val="single" w:color="auto" w:sz="4" w:space="0"/>
            </w:tcBorders>
            <w:noWrap w:val="0"/>
            <w:vAlign w:val="center"/>
          </w:tcPr>
          <w:p w14:paraId="096ACB78">
            <w:pPr>
              <w:spacing w:line="360" w:lineRule="auto"/>
              <w:rPr>
                <w:rFonts w:ascii="宋体" w:hAnsi="宋体" w:eastAsia="宋体" w:cs="宋体"/>
                <w:color w:val="auto"/>
                <w:szCs w:val="21"/>
              </w:rPr>
            </w:pPr>
            <w:r>
              <w:rPr>
                <w:rFonts w:hint="eastAsia" w:ascii="宋体" w:hAnsi="宋体" w:eastAsia="宋体" w:cs="宋体"/>
                <w:color w:val="auto"/>
                <w:szCs w:val="21"/>
              </w:rPr>
              <w:t>邮政编码</w:t>
            </w:r>
          </w:p>
        </w:tc>
        <w:tc>
          <w:tcPr>
            <w:tcW w:w="2124" w:type="dxa"/>
            <w:tcBorders>
              <w:top w:val="single" w:color="auto" w:sz="4" w:space="0"/>
              <w:left w:val="nil"/>
              <w:bottom w:val="single" w:color="auto" w:sz="4" w:space="0"/>
              <w:right w:val="single" w:color="auto" w:sz="4" w:space="0"/>
            </w:tcBorders>
            <w:noWrap w:val="0"/>
            <w:vAlign w:val="center"/>
          </w:tcPr>
          <w:p w14:paraId="3D60A3BA">
            <w:pPr>
              <w:spacing w:line="360" w:lineRule="auto"/>
              <w:rPr>
                <w:rFonts w:ascii="宋体" w:hAnsi="宋体" w:eastAsia="宋体" w:cs="宋体"/>
                <w:color w:val="auto"/>
                <w:szCs w:val="21"/>
              </w:rPr>
            </w:pPr>
          </w:p>
        </w:tc>
      </w:tr>
      <w:tr w14:paraId="4310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980" w:type="dxa"/>
            <w:vMerge w:val="restart"/>
            <w:tcBorders>
              <w:top w:val="nil"/>
              <w:left w:val="single" w:color="auto" w:sz="4" w:space="0"/>
              <w:bottom w:val="single" w:color="auto" w:sz="4" w:space="0"/>
              <w:right w:val="single" w:color="auto" w:sz="4" w:space="0"/>
            </w:tcBorders>
            <w:noWrap w:val="0"/>
            <w:vAlign w:val="center"/>
          </w:tcPr>
          <w:p w14:paraId="754575C0">
            <w:pPr>
              <w:spacing w:line="360" w:lineRule="auto"/>
              <w:rPr>
                <w:rFonts w:ascii="宋体" w:hAnsi="宋体" w:eastAsia="宋体" w:cs="宋体"/>
                <w:color w:val="auto"/>
                <w:szCs w:val="21"/>
              </w:rPr>
            </w:pPr>
            <w:r>
              <w:rPr>
                <w:rFonts w:hint="eastAsia" w:ascii="宋体" w:hAnsi="宋体" w:eastAsia="宋体" w:cs="宋体"/>
                <w:color w:val="auto"/>
                <w:szCs w:val="21"/>
              </w:rPr>
              <w:t>联系方式</w:t>
            </w:r>
          </w:p>
        </w:tc>
        <w:tc>
          <w:tcPr>
            <w:tcW w:w="1077" w:type="dxa"/>
            <w:tcBorders>
              <w:top w:val="single" w:color="auto" w:sz="4" w:space="0"/>
              <w:left w:val="nil"/>
              <w:bottom w:val="single" w:color="auto" w:sz="4" w:space="0"/>
              <w:right w:val="single" w:color="auto" w:sz="4" w:space="0"/>
            </w:tcBorders>
            <w:noWrap w:val="0"/>
            <w:vAlign w:val="center"/>
          </w:tcPr>
          <w:p w14:paraId="4D7927CD">
            <w:pPr>
              <w:spacing w:line="360" w:lineRule="auto"/>
              <w:rPr>
                <w:rFonts w:ascii="宋体" w:hAnsi="宋体" w:eastAsia="宋体" w:cs="宋体"/>
                <w:color w:val="auto"/>
                <w:szCs w:val="21"/>
              </w:rPr>
            </w:pPr>
            <w:r>
              <w:rPr>
                <w:rFonts w:hint="eastAsia" w:ascii="宋体" w:hAnsi="宋体" w:eastAsia="宋体" w:cs="宋体"/>
                <w:color w:val="auto"/>
                <w:szCs w:val="21"/>
              </w:rPr>
              <w:t>联系人</w:t>
            </w:r>
          </w:p>
        </w:tc>
        <w:tc>
          <w:tcPr>
            <w:tcW w:w="3055" w:type="dxa"/>
            <w:gridSpan w:val="3"/>
            <w:tcBorders>
              <w:top w:val="single" w:color="auto" w:sz="4" w:space="0"/>
              <w:left w:val="nil"/>
              <w:bottom w:val="single" w:color="auto" w:sz="4" w:space="0"/>
              <w:right w:val="single" w:color="auto" w:sz="4" w:space="0"/>
            </w:tcBorders>
            <w:noWrap w:val="0"/>
            <w:vAlign w:val="center"/>
          </w:tcPr>
          <w:p w14:paraId="18D6E0E2">
            <w:pPr>
              <w:spacing w:line="360" w:lineRule="auto"/>
              <w:rPr>
                <w:rFonts w:ascii="宋体" w:hAnsi="宋体" w:eastAsia="宋体" w:cs="宋体"/>
                <w:color w:val="auto"/>
                <w:szCs w:val="21"/>
              </w:rPr>
            </w:pPr>
          </w:p>
        </w:tc>
        <w:tc>
          <w:tcPr>
            <w:tcW w:w="1294" w:type="dxa"/>
            <w:gridSpan w:val="2"/>
            <w:tcBorders>
              <w:top w:val="single" w:color="auto" w:sz="4" w:space="0"/>
              <w:left w:val="nil"/>
              <w:bottom w:val="single" w:color="auto" w:sz="4" w:space="0"/>
              <w:right w:val="single" w:color="auto" w:sz="4" w:space="0"/>
            </w:tcBorders>
            <w:noWrap w:val="0"/>
            <w:vAlign w:val="center"/>
          </w:tcPr>
          <w:p w14:paraId="40E6FD34">
            <w:pPr>
              <w:spacing w:line="360" w:lineRule="auto"/>
              <w:rPr>
                <w:rFonts w:ascii="宋体" w:hAnsi="宋体" w:eastAsia="宋体" w:cs="宋体"/>
                <w:color w:val="auto"/>
                <w:szCs w:val="21"/>
              </w:rPr>
            </w:pPr>
            <w:r>
              <w:rPr>
                <w:rFonts w:hint="eastAsia" w:ascii="宋体" w:hAnsi="宋体" w:eastAsia="宋体" w:cs="宋体"/>
                <w:color w:val="auto"/>
                <w:szCs w:val="21"/>
              </w:rPr>
              <w:t>电话</w:t>
            </w:r>
          </w:p>
        </w:tc>
        <w:tc>
          <w:tcPr>
            <w:tcW w:w="2124" w:type="dxa"/>
            <w:tcBorders>
              <w:top w:val="single" w:color="auto" w:sz="4" w:space="0"/>
              <w:left w:val="nil"/>
              <w:bottom w:val="single" w:color="auto" w:sz="4" w:space="0"/>
              <w:right w:val="single" w:color="auto" w:sz="4" w:space="0"/>
            </w:tcBorders>
            <w:noWrap w:val="0"/>
            <w:vAlign w:val="center"/>
          </w:tcPr>
          <w:p w14:paraId="2AA39ED8">
            <w:pPr>
              <w:spacing w:line="360" w:lineRule="auto"/>
              <w:rPr>
                <w:rFonts w:ascii="宋体" w:hAnsi="宋体" w:eastAsia="宋体" w:cs="宋体"/>
                <w:color w:val="auto"/>
                <w:szCs w:val="21"/>
              </w:rPr>
            </w:pPr>
          </w:p>
        </w:tc>
      </w:tr>
      <w:tr w14:paraId="535A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980" w:type="dxa"/>
            <w:vMerge w:val="continue"/>
            <w:tcBorders>
              <w:top w:val="nil"/>
              <w:left w:val="single" w:color="auto" w:sz="4" w:space="0"/>
              <w:bottom w:val="single" w:color="auto" w:sz="4" w:space="0"/>
              <w:right w:val="single" w:color="auto" w:sz="4" w:space="0"/>
            </w:tcBorders>
            <w:noWrap w:val="0"/>
            <w:vAlign w:val="center"/>
          </w:tcPr>
          <w:p w14:paraId="5FB85731">
            <w:pPr>
              <w:spacing w:line="360" w:lineRule="auto"/>
              <w:rPr>
                <w:rFonts w:ascii="宋体" w:hAnsi="宋体" w:eastAsia="宋体" w:cs="宋体"/>
                <w:color w:val="auto"/>
                <w:szCs w:val="21"/>
              </w:rPr>
            </w:pPr>
          </w:p>
        </w:tc>
        <w:tc>
          <w:tcPr>
            <w:tcW w:w="1077" w:type="dxa"/>
            <w:tcBorders>
              <w:top w:val="single" w:color="auto" w:sz="4" w:space="0"/>
              <w:left w:val="nil"/>
              <w:bottom w:val="single" w:color="auto" w:sz="4" w:space="0"/>
              <w:right w:val="single" w:color="auto" w:sz="4" w:space="0"/>
            </w:tcBorders>
            <w:noWrap w:val="0"/>
            <w:vAlign w:val="center"/>
          </w:tcPr>
          <w:p w14:paraId="598AAE68">
            <w:pPr>
              <w:spacing w:line="360" w:lineRule="auto"/>
              <w:rPr>
                <w:rFonts w:ascii="宋体" w:hAnsi="宋体" w:eastAsia="宋体" w:cs="宋体"/>
                <w:color w:val="auto"/>
                <w:szCs w:val="21"/>
              </w:rPr>
            </w:pPr>
            <w:r>
              <w:rPr>
                <w:rFonts w:hint="eastAsia" w:ascii="宋体" w:hAnsi="宋体" w:eastAsia="宋体" w:cs="宋体"/>
                <w:color w:val="auto"/>
                <w:szCs w:val="21"/>
              </w:rPr>
              <w:t>传真</w:t>
            </w:r>
          </w:p>
        </w:tc>
        <w:tc>
          <w:tcPr>
            <w:tcW w:w="3055" w:type="dxa"/>
            <w:gridSpan w:val="3"/>
            <w:tcBorders>
              <w:top w:val="single" w:color="auto" w:sz="4" w:space="0"/>
              <w:left w:val="nil"/>
              <w:bottom w:val="single" w:color="auto" w:sz="4" w:space="0"/>
              <w:right w:val="single" w:color="auto" w:sz="4" w:space="0"/>
            </w:tcBorders>
            <w:noWrap w:val="0"/>
            <w:vAlign w:val="center"/>
          </w:tcPr>
          <w:p w14:paraId="5B8BB58E">
            <w:pPr>
              <w:spacing w:line="360" w:lineRule="auto"/>
              <w:rPr>
                <w:rFonts w:ascii="宋体" w:hAnsi="宋体" w:eastAsia="宋体" w:cs="宋体"/>
                <w:color w:val="auto"/>
                <w:szCs w:val="21"/>
              </w:rPr>
            </w:pPr>
          </w:p>
        </w:tc>
        <w:tc>
          <w:tcPr>
            <w:tcW w:w="1294" w:type="dxa"/>
            <w:gridSpan w:val="2"/>
            <w:tcBorders>
              <w:top w:val="single" w:color="auto" w:sz="4" w:space="0"/>
              <w:left w:val="nil"/>
              <w:bottom w:val="single" w:color="auto" w:sz="4" w:space="0"/>
              <w:right w:val="single" w:color="auto" w:sz="4" w:space="0"/>
            </w:tcBorders>
            <w:noWrap w:val="0"/>
            <w:vAlign w:val="center"/>
          </w:tcPr>
          <w:p w14:paraId="6F4DC261">
            <w:pPr>
              <w:spacing w:line="360" w:lineRule="auto"/>
              <w:rPr>
                <w:rFonts w:ascii="宋体" w:hAnsi="宋体" w:eastAsia="宋体" w:cs="宋体"/>
                <w:color w:val="auto"/>
                <w:szCs w:val="21"/>
              </w:rPr>
            </w:pPr>
            <w:r>
              <w:rPr>
                <w:rFonts w:hint="eastAsia" w:ascii="宋体" w:hAnsi="宋体" w:eastAsia="宋体" w:cs="宋体"/>
                <w:color w:val="auto"/>
                <w:szCs w:val="21"/>
              </w:rPr>
              <w:t>网址</w:t>
            </w:r>
          </w:p>
        </w:tc>
        <w:tc>
          <w:tcPr>
            <w:tcW w:w="2124" w:type="dxa"/>
            <w:tcBorders>
              <w:top w:val="single" w:color="auto" w:sz="4" w:space="0"/>
              <w:left w:val="nil"/>
              <w:bottom w:val="single" w:color="auto" w:sz="4" w:space="0"/>
              <w:right w:val="single" w:color="auto" w:sz="4" w:space="0"/>
            </w:tcBorders>
            <w:noWrap w:val="0"/>
            <w:vAlign w:val="center"/>
          </w:tcPr>
          <w:p w14:paraId="4A2AB247">
            <w:pPr>
              <w:spacing w:line="360" w:lineRule="auto"/>
              <w:rPr>
                <w:rFonts w:ascii="宋体" w:hAnsi="宋体" w:eastAsia="宋体" w:cs="宋体"/>
                <w:color w:val="auto"/>
                <w:szCs w:val="21"/>
              </w:rPr>
            </w:pPr>
          </w:p>
        </w:tc>
      </w:tr>
      <w:tr w14:paraId="4D93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6C508FD8">
            <w:pPr>
              <w:spacing w:line="360" w:lineRule="auto"/>
              <w:rPr>
                <w:rFonts w:ascii="宋体" w:hAnsi="宋体" w:eastAsia="宋体" w:cs="宋体"/>
                <w:color w:val="auto"/>
                <w:szCs w:val="21"/>
              </w:rPr>
            </w:pPr>
            <w:r>
              <w:rPr>
                <w:rFonts w:hint="eastAsia" w:ascii="宋体" w:hAnsi="宋体" w:eastAsia="宋体" w:cs="宋体"/>
                <w:color w:val="auto"/>
                <w:szCs w:val="21"/>
              </w:rPr>
              <w:t>法定代表人</w:t>
            </w:r>
          </w:p>
        </w:tc>
        <w:tc>
          <w:tcPr>
            <w:tcW w:w="1077" w:type="dxa"/>
            <w:tcBorders>
              <w:top w:val="single" w:color="auto" w:sz="4" w:space="0"/>
              <w:left w:val="nil"/>
              <w:bottom w:val="single" w:color="auto" w:sz="4" w:space="0"/>
              <w:right w:val="single" w:color="auto" w:sz="4" w:space="0"/>
            </w:tcBorders>
            <w:noWrap w:val="0"/>
            <w:vAlign w:val="center"/>
          </w:tcPr>
          <w:p w14:paraId="5E10687D">
            <w:pPr>
              <w:spacing w:line="360" w:lineRule="auto"/>
              <w:rPr>
                <w:rFonts w:ascii="宋体" w:hAnsi="宋体" w:eastAsia="宋体" w:cs="宋体"/>
                <w:color w:val="auto"/>
                <w:szCs w:val="21"/>
              </w:rPr>
            </w:pPr>
            <w:r>
              <w:rPr>
                <w:rFonts w:hint="eastAsia" w:ascii="宋体" w:hAnsi="宋体" w:eastAsia="宋体" w:cs="宋体"/>
                <w:color w:val="auto"/>
                <w:szCs w:val="21"/>
              </w:rPr>
              <w:t>姓名</w:t>
            </w:r>
          </w:p>
        </w:tc>
        <w:tc>
          <w:tcPr>
            <w:tcW w:w="1803" w:type="dxa"/>
            <w:tcBorders>
              <w:top w:val="single" w:color="auto" w:sz="4" w:space="0"/>
              <w:left w:val="nil"/>
              <w:bottom w:val="single" w:color="auto" w:sz="4" w:space="0"/>
              <w:right w:val="single" w:color="auto" w:sz="4" w:space="0"/>
            </w:tcBorders>
            <w:noWrap w:val="0"/>
            <w:vAlign w:val="center"/>
          </w:tcPr>
          <w:p w14:paraId="3DD9585E">
            <w:pPr>
              <w:spacing w:line="360" w:lineRule="auto"/>
              <w:rPr>
                <w:rFonts w:ascii="宋体" w:hAnsi="宋体" w:eastAsia="宋体" w:cs="宋体"/>
                <w:color w:val="auto"/>
                <w:szCs w:val="21"/>
              </w:rPr>
            </w:pPr>
          </w:p>
        </w:tc>
        <w:tc>
          <w:tcPr>
            <w:tcW w:w="1252" w:type="dxa"/>
            <w:gridSpan w:val="2"/>
            <w:tcBorders>
              <w:top w:val="single" w:color="auto" w:sz="4" w:space="0"/>
              <w:left w:val="nil"/>
              <w:bottom w:val="single" w:color="auto" w:sz="4" w:space="0"/>
              <w:right w:val="single" w:color="auto" w:sz="4" w:space="0"/>
            </w:tcBorders>
            <w:noWrap w:val="0"/>
            <w:vAlign w:val="center"/>
          </w:tcPr>
          <w:p w14:paraId="56FB1450">
            <w:pPr>
              <w:spacing w:line="360" w:lineRule="auto"/>
              <w:rPr>
                <w:rFonts w:ascii="宋体" w:hAnsi="宋体" w:eastAsia="宋体" w:cs="宋体"/>
                <w:color w:val="auto"/>
                <w:szCs w:val="21"/>
              </w:rPr>
            </w:pPr>
            <w:r>
              <w:rPr>
                <w:rFonts w:hint="eastAsia" w:ascii="宋体" w:hAnsi="宋体" w:eastAsia="宋体" w:cs="宋体"/>
                <w:color w:val="auto"/>
                <w:szCs w:val="21"/>
              </w:rPr>
              <w:t>电话</w:t>
            </w:r>
          </w:p>
        </w:tc>
        <w:tc>
          <w:tcPr>
            <w:tcW w:w="3418" w:type="dxa"/>
            <w:gridSpan w:val="3"/>
            <w:tcBorders>
              <w:top w:val="single" w:color="auto" w:sz="4" w:space="0"/>
              <w:left w:val="nil"/>
              <w:bottom w:val="single" w:color="auto" w:sz="4" w:space="0"/>
              <w:right w:val="single" w:color="auto" w:sz="4" w:space="0"/>
            </w:tcBorders>
            <w:noWrap w:val="0"/>
            <w:vAlign w:val="center"/>
          </w:tcPr>
          <w:p w14:paraId="4FDA2EB9">
            <w:pPr>
              <w:spacing w:line="360" w:lineRule="auto"/>
              <w:rPr>
                <w:rFonts w:ascii="宋体" w:hAnsi="宋体" w:eastAsia="宋体" w:cs="宋体"/>
                <w:color w:val="auto"/>
                <w:szCs w:val="21"/>
              </w:rPr>
            </w:pPr>
          </w:p>
        </w:tc>
      </w:tr>
      <w:tr w14:paraId="0B9B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486D052B">
            <w:pPr>
              <w:spacing w:line="360" w:lineRule="auto"/>
              <w:rPr>
                <w:rFonts w:ascii="宋体" w:hAnsi="宋体" w:eastAsia="宋体" w:cs="宋体"/>
                <w:color w:val="auto"/>
                <w:szCs w:val="21"/>
              </w:rPr>
            </w:pPr>
            <w:r>
              <w:rPr>
                <w:rFonts w:hint="eastAsia" w:ascii="宋体" w:hAnsi="宋体" w:eastAsia="宋体" w:cs="宋体"/>
                <w:color w:val="auto"/>
                <w:szCs w:val="21"/>
              </w:rPr>
              <w:t>成立时间</w:t>
            </w:r>
          </w:p>
        </w:tc>
        <w:tc>
          <w:tcPr>
            <w:tcW w:w="7550" w:type="dxa"/>
            <w:gridSpan w:val="7"/>
            <w:tcBorders>
              <w:top w:val="single" w:color="auto" w:sz="4" w:space="0"/>
              <w:left w:val="nil"/>
              <w:bottom w:val="single" w:color="auto" w:sz="4" w:space="0"/>
              <w:right w:val="single" w:color="auto" w:sz="4" w:space="0"/>
            </w:tcBorders>
            <w:noWrap w:val="0"/>
            <w:vAlign w:val="center"/>
          </w:tcPr>
          <w:p w14:paraId="2BB623CE">
            <w:pPr>
              <w:spacing w:line="360" w:lineRule="auto"/>
              <w:rPr>
                <w:rFonts w:ascii="宋体" w:hAnsi="宋体" w:eastAsia="宋体" w:cs="宋体"/>
                <w:color w:val="auto"/>
                <w:szCs w:val="21"/>
              </w:rPr>
            </w:pPr>
          </w:p>
        </w:tc>
      </w:tr>
      <w:tr w14:paraId="5111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00C9AFC1">
            <w:pPr>
              <w:spacing w:line="360" w:lineRule="auto"/>
              <w:rPr>
                <w:rFonts w:ascii="宋体" w:hAnsi="宋体" w:eastAsia="宋体" w:cs="宋体"/>
                <w:color w:val="auto"/>
                <w:szCs w:val="21"/>
              </w:rPr>
            </w:pPr>
            <w:r>
              <w:rPr>
                <w:rFonts w:hint="eastAsia" w:ascii="宋体" w:hAnsi="宋体" w:eastAsia="宋体" w:cs="宋体"/>
                <w:color w:val="auto"/>
                <w:szCs w:val="21"/>
              </w:rPr>
              <w:t>营业执照号</w:t>
            </w:r>
          </w:p>
        </w:tc>
        <w:tc>
          <w:tcPr>
            <w:tcW w:w="3373" w:type="dxa"/>
            <w:gridSpan w:val="3"/>
            <w:tcBorders>
              <w:top w:val="single" w:color="auto" w:sz="4" w:space="0"/>
              <w:left w:val="nil"/>
              <w:bottom w:val="single" w:color="auto" w:sz="4" w:space="0"/>
              <w:right w:val="single" w:color="auto" w:sz="4" w:space="0"/>
            </w:tcBorders>
            <w:noWrap w:val="0"/>
            <w:vAlign w:val="center"/>
          </w:tcPr>
          <w:p w14:paraId="01E44FF8">
            <w:pPr>
              <w:spacing w:line="360" w:lineRule="auto"/>
              <w:rPr>
                <w:rFonts w:ascii="宋体" w:hAnsi="宋体" w:eastAsia="宋体" w:cs="宋体"/>
                <w:color w:val="auto"/>
                <w:szCs w:val="21"/>
              </w:rPr>
            </w:pPr>
          </w:p>
        </w:tc>
        <w:tc>
          <w:tcPr>
            <w:tcW w:w="1440" w:type="dxa"/>
            <w:gridSpan w:val="2"/>
            <w:tcBorders>
              <w:top w:val="single" w:color="auto" w:sz="4" w:space="0"/>
              <w:left w:val="nil"/>
              <w:bottom w:val="single" w:color="auto" w:sz="4" w:space="0"/>
              <w:right w:val="single" w:color="auto" w:sz="4" w:space="0"/>
            </w:tcBorders>
            <w:noWrap w:val="0"/>
            <w:vAlign w:val="center"/>
          </w:tcPr>
          <w:p w14:paraId="1A785599">
            <w:pPr>
              <w:spacing w:line="360" w:lineRule="auto"/>
              <w:rPr>
                <w:rFonts w:ascii="宋体" w:hAnsi="宋体" w:cs="黑体"/>
                <w:color w:val="auto"/>
                <w:sz w:val="24"/>
              </w:rPr>
            </w:pPr>
            <w:r>
              <w:rPr>
                <w:rFonts w:hint="eastAsia" w:ascii="宋体" w:hAnsi="宋体" w:cs="黑体"/>
                <w:color w:val="auto"/>
                <w:sz w:val="24"/>
              </w:rPr>
              <w:t>开户银行</w:t>
            </w:r>
          </w:p>
        </w:tc>
        <w:tc>
          <w:tcPr>
            <w:tcW w:w="2737" w:type="dxa"/>
            <w:gridSpan w:val="2"/>
            <w:tcBorders>
              <w:top w:val="single" w:color="auto" w:sz="4" w:space="0"/>
              <w:left w:val="nil"/>
              <w:bottom w:val="single" w:color="auto" w:sz="4" w:space="0"/>
              <w:right w:val="single" w:color="auto" w:sz="4" w:space="0"/>
            </w:tcBorders>
            <w:noWrap w:val="0"/>
            <w:vAlign w:val="center"/>
          </w:tcPr>
          <w:p w14:paraId="45A73BE6">
            <w:pPr>
              <w:spacing w:line="360" w:lineRule="auto"/>
              <w:rPr>
                <w:rFonts w:ascii="宋体" w:hAnsi="宋体" w:eastAsia="宋体" w:cs="宋体"/>
                <w:color w:val="auto"/>
                <w:szCs w:val="21"/>
              </w:rPr>
            </w:pPr>
          </w:p>
        </w:tc>
      </w:tr>
      <w:tr w14:paraId="1D91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19A54599">
            <w:pPr>
              <w:spacing w:line="360" w:lineRule="auto"/>
              <w:rPr>
                <w:rFonts w:ascii="宋体" w:hAnsi="宋体" w:eastAsia="宋体" w:cs="宋体"/>
                <w:color w:val="auto"/>
                <w:szCs w:val="21"/>
              </w:rPr>
            </w:pPr>
            <w:r>
              <w:rPr>
                <w:rFonts w:hint="eastAsia" w:ascii="宋体" w:hAnsi="宋体" w:eastAsia="宋体" w:cs="宋体"/>
                <w:color w:val="auto"/>
                <w:szCs w:val="21"/>
              </w:rPr>
              <w:t>注册资金</w:t>
            </w:r>
          </w:p>
        </w:tc>
        <w:tc>
          <w:tcPr>
            <w:tcW w:w="3373" w:type="dxa"/>
            <w:gridSpan w:val="3"/>
            <w:tcBorders>
              <w:top w:val="single" w:color="auto" w:sz="4" w:space="0"/>
              <w:left w:val="nil"/>
              <w:bottom w:val="single" w:color="auto" w:sz="4" w:space="0"/>
              <w:right w:val="single" w:color="auto" w:sz="4" w:space="0"/>
            </w:tcBorders>
            <w:noWrap w:val="0"/>
            <w:vAlign w:val="center"/>
          </w:tcPr>
          <w:p w14:paraId="2D157934">
            <w:pPr>
              <w:spacing w:line="360" w:lineRule="auto"/>
              <w:rPr>
                <w:rFonts w:ascii="宋体" w:hAnsi="宋体" w:eastAsia="宋体" w:cs="宋体"/>
                <w:color w:val="auto"/>
                <w:szCs w:val="21"/>
              </w:rPr>
            </w:pPr>
          </w:p>
        </w:tc>
        <w:tc>
          <w:tcPr>
            <w:tcW w:w="1440" w:type="dxa"/>
            <w:gridSpan w:val="2"/>
            <w:tcBorders>
              <w:top w:val="single" w:color="auto" w:sz="4" w:space="0"/>
              <w:left w:val="nil"/>
              <w:bottom w:val="single" w:color="auto" w:sz="4" w:space="0"/>
              <w:right w:val="single" w:color="auto" w:sz="4" w:space="0"/>
            </w:tcBorders>
            <w:noWrap w:val="0"/>
            <w:vAlign w:val="center"/>
          </w:tcPr>
          <w:p w14:paraId="431DDCEE">
            <w:pPr>
              <w:spacing w:line="360" w:lineRule="auto"/>
              <w:rPr>
                <w:rFonts w:ascii="宋体" w:hAnsi="宋体" w:cs="黑体"/>
                <w:color w:val="auto"/>
                <w:sz w:val="24"/>
              </w:rPr>
            </w:pPr>
            <w:r>
              <w:rPr>
                <w:rFonts w:hint="eastAsia" w:ascii="宋体" w:hAnsi="宋体" w:cs="黑体"/>
                <w:color w:val="auto"/>
                <w:sz w:val="24"/>
              </w:rPr>
              <w:t>账号</w:t>
            </w:r>
          </w:p>
        </w:tc>
        <w:tc>
          <w:tcPr>
            <w:tcW w:w="2737" w:type="dxa"/>
            <w:gridSpan w:val="2"/>
            <w:tcBorders>
              <w:top w:val="single" w:color="auto" w:sz="4" w:space="0"/>
              <w:left w:val="nil"/>
              <w:bottom w:val="single" w:color="auto" w:sz="4" w:space="0"/>
              <w:right w:val="single" w:color="auto" w:sz="4" w:space="0"/>
            </w:tcBorders>
            <w:noWrap w:val="0"/>
            <w:vAlign w:val="center"/>
          </w:tcPr>
          <w:p w14:paraId="22E33EEF">
            <w:pPr>
              <w:spacing w:line="360" w:lineRule="auto"/>
              <w:rPr>
                <w:rFonts w:ascii="宋体" w:hAnsi="宋体" w:eastAsia="宋体" w:cs="宋体"/>
                <w:color w:val="auto"/>
                <w:szCs w:val="21"/>
              </w:rPr>
            </w:pPr>
          </w:p>
        </w:tc>
      </w:tr>
      <w:tr w14:paraId="3F7C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4150F949">
            <w:pPr>
              <w:spacing w:line="360" w:lineRule="auto"/>
              <w:rPr>
                <w:rFonts w:ascii="宋体" w:hAnsi="宋体" w:eastAsia="宋体" w:cs="宋体"/>
                <w:color w:val="auto"/>
                <w:szCs w:val="21"/>
              </w:rPr>
            </w:pPr>
            <w:r>
              <w:rPr>
                <w:rFonts w:hint="eastAsia" w:ascii="宋体" w:hAnsi="宋体" w:eastAsia="宋体" w:cs="宋体"/>
                <w:color w:val="auto"/>
                <w:szCs w:val="21"/>
              </w:rPr>
              <w:t>经营范围备注</w:t>
            </w:r>
          </w:p>
        </w:tc>
        <w:tc>
          <w:tcPr>
            <w:tcW w:w="7550" w:type="dxa"/>
            <w:gridSpan w:val="7"/>
            <w:tcBorders>
              <w:top w:val="single" w:color="auto" w:sz="4" w:space="0"/>
              <w:left w:val="nil"/>
              <w:bottom w:val="single" w:color="auto" w:sz="4" w:space="0"/>
              <w:right w:val="single" w:color="auto" w:sz="4" w:space="0"/>
            </w:tcBorders>
            <w:noWrap w:val="0"/>
            <w:vAlign w:val="center"/>
          </w:tcPr>
          <w:p w14:paraId="262572A3">
            <w:pPr>
              <w:spacing w:line="360" w:lineRule="auto"/>
              <w:rPr>
                <w:rFonts w:ascii="宋体" w:hAnsi="宋体" w:eastAsia="宋体" w:cs="宋体"/>
                <w:color w:val="auto"/>
                <w:szCs w:val="21"/>
              </w:rPr>
            </w:pPr>
          </w:p>
        </w:tc>
      </w:tr>
    </w:tbl>
    <w:p w14:paraId="4A73CB8C">
      <w:pPr>
        <w:spacing w:line="360" w:lineRule="auto"/>
        <w:rPr>
          <w:rFonts w:ascii="宋体" w:hAnsi="宋体" w:eastAsia="宋体" w:cs="宋体"/>
          <w:color w:val="auto"/>
          <w:szCs w:val="21"/>
        </w:rPr>
      </w:pPr>
      <w:r>
        <w:rPr>
          <w:rFonts w:hint="eastAsia" w:ascii="宋体" w:hAnsi="宋体" w:eastAsia="宋体" w:cs="宋体"/>
          <w:color w:val="auto"/>
          <w:szCs w:val="21"/>
        </w:rPr>
        <w:t xml:space="preserve"> </w:t>
      </w:r>
    </w:p>
    <w:p w14:paraId="6C0A00D5">
      <w:pPr>
        <w:spacing w:line="360" w:lineRule="auto"/>
        <w:rPr>
          <w:rFonts w:ascii="宋体" w:hAnsi="宋体" w:eastAsia="宋体" w:cs="宋体"/>
          <w:color w:val="auto"/>
          <w:spacing w:val="-2"/>
          <w:sz w:val="22"/>
        </w:rPr>
      </w:pPr>
      <w:r>
        <w:rPr>
          <w:rFonts w:hint="eastAsia" w:ascii="宋体" w:hAnsi="宋体" w:eastAsia="宋体" w:cs="宋体"/>
          <w:color w:val="auto"/>
          <w:spacing w:val="-2"/>
          <w:sz w:val="22"/>
        </w:rPr>
        <w:t xml:space="preserve"> </w:t>
      </w:r>
    </w:p>
    <w:p w14:paraId="094770D1">
      <w:pPr>
        <w:spacing w:line="360" w:lineRule="auto"/>
        <w:rPr>
          <w:rFonts w:ascii="宋体" w:hAnsi="宋体" w:eastAsia="宋体" w:cs="宋体"/>
          <w:color w:val="auto"/>
          <w:spacing w:val="-2"/>
          <w:sz w:val="22"/>
        </w:rPr>
      </w:pPr>
      <w:r>
        <w:rPr>
          <w:rFonts w:hint="eastAsia" w:ascii="宋体" w:hAnsi="宋体" w:eastAsia="宋体" w:cs="宋体"/>
          <w:color w:val="auto"/>
          <w:spacing w:val="-2"/>
          <w:sz w:val="22"/>
        </w:rPr>
        <w:t>供应商：</w:t>
      </w:r>
      <w:r>
        <w:rPr>
          <w:rFonts w:hint="eastAsia" w:ascii="宋体" w:hAnsi="宋体" w:eastAsia="宋体" w:cs="宋体"/>
          <w:color w:val="auto"/>
          <w:spacing w:val="-2"/>
          <w:sz w:val="22"/>
          <w:u w:val="single"/>
        </w:rPr>
        <w:t xml:space="preserve">               </w:t>
      </w:r>
      <w:r>
        <w:rPr>
          <w:rFonts w:hint="eastAsia" w:ascii="宋体" w:hAnsi="宋体" w:eastAsia="宋体" w:cs="宋体"/>
          <w:color w:val="auto"/>
          <w:spacing w:val="-2"/>
          <w:sz w:val="22"/>
        </w:rPr>
        <w:t>（电子签章）</w:t>
      </w:r>
    </w:p>
    <w:p w14:paraId="0C63D788">
      <w:pPr>
        <w:spacing w:line="360" w:lineRule="auto"/>
        <w:rPr>
          <w:rFonts w:ascii="宋体" w:hAnsi="宋体" w:eastAsia="宋体" w:cs="宋体"/>
          <w:color w:val="auto"/>
          <w:szCs w:val="21"/>
        </w:rPr>
      </w:pPr>
      <w:r>
        <w:rPr>
          <w:rFonts w:hint="eastAsia" w:ascii="宋体" w:hAnsi="宋体" w:eastAsia="宋体" w:cs="宋体"/>
          <w:color w:val="auto"/>
          <w:szCs w:val="21"/>
        </w:rPr>
        <w:t>法定代表人或授权委托人：</w:t>
      </w:r>
      <w:r>
        <w:rPr>
          <w:rFonts w:hint="eastAsia" w:ascii="宋体" w:hAnsi="宋体" w:eastAsia="宋体" w:cs="宋体"/>
          <w:color w:val="auto"/>
          <w:szCs w:val="21"/>
          <w:u w:val="single"/>
        </w:rPr>
        <w:t xml:space="preserve">            </w:t>
      </w:r>
      <w:r>
        <w:rPr>
          <w:rFonts w:hint="eastAsia" w:ascii="宋体" w:hAnsi="宋体" w:eastAsia="宋体" w:cs="宋体"/>
          <w:color w:val="auto"/>
          <w:spacing w:val="-2"/>
          <w:szCs w:val="21"/>
        </w:rPr>
        <w:t>（电子签章）</w:t>
      </w:r>
    </w:p>
    <w:p w14:paraId="5789E1EC">
      <w:pPr>
        <w:spacing w:line="360" w:lineRule="auto"/>
        <w:rPr>
          <w:rFonts w:ascii="宋体" w:hAnsi="宋体" w:eastAsia="宋体" w:cs="宋体"/>
          <w:color w:val="auto"/>
          <w:szCs w:val="21"/>
        </w:rPr>
      </w:pPr>
      <w:r>
        <w:rPr>
          <w:rFonts w:hint="eastAsia" w:ascii="宋体" w:hAnsi="宋体" w:eastAsia="宋体" w:cs="宋体"/>
          <w:color w:val="auto"/>
          <w:szCs w:val="21"/>
        </w:rPr>
        <w:t>年  月  日</w:t>
      </w:r>
    </w:p>
    <w:p w14:paraId="32564BDE">
      <w:pPr>
        <w:spacing w:line="360" w:lineRule="auto"/>
        <w:rPr>
          <w:rFonts w:ascii="宋体" w:hAnsi="宋体" w:eastAsia="宋体" w:cs="宋体"/>
          <w:color w:val="auto"/>
          <w:szCs w:val="21"/>
        </w:rPr>
      </w:pPr>
    </w:p>
    <w:p w14:paraId="15CE6302">
      <w:pPr>
        <w:pStyle w:val="14"/>
        <w:rPr>
          <w:rFonts w:ascii="宋体" w:hAnsi="宋体" w:eastAsia="宋体" w:cs="宋体"/>
          <w:color w:val="auto"/>
          <w:szCs w:val="21"/>
        </w:rPr>
      </w:pPr>
    </w:p>
    <w:p w14:paraId="65453615">
      <w:pPr>
        <w:pStyle w:val="15"/>
        <w:rPr>
          <w:rFonts w:ascii="宋体" w:hAnsi="宋体" w:eastAsia="宋体" w:cs="宋体"/>
          <w:color w:val="auto"/>
          <w:szCs w:val="21"/>
        </w:rPr>
      </w:pPr>
    </w:p>
    <w:p w14:paraId="61F788D2">
      <w:pPr>
        <w:pStyle w:val="3"/>
        <w:rPr>
          <w:rFonts w:ascii="宋体" w:hAnsi="宋体" w:eastAsia="宋体" w:cs="宋体"/>
          <w:color w:val="auto"/>
          <w:szCs w:val="21"/>
        </w:rPr>
      </w:pPr>
    </w:p>
    <w:p w14:paraId="4B9865F3">
      <w:pPr>
        <w:pStyle w:val="5"/>
        <w:rPr>
          <w:color w:val="auto"/>
        </w:rPr>
      </w:pPr>
    </w:p>
    <w:p w14:paraId="68FDC3AA">
      <w:pPr>
        <w:spacing w:line="360" w:lineRule="auto"/>
        <w:rPr>
          <w:rFonts w:ascii="宋体" w:hAnsi="宋体" w:eastAsia="宋体" w:cs="宋体"/>
          <w:color w:val="auto"/>
          <w:szCs w:val="21"/>
        </w:rPr>
      </w:pPr>
      <w:r>
        <w:rPr>
          <w:rFonts w:hint="eastAsia" w:ascii="宋体" w:hAnsi="宋体" w:eastAsia="宋体" w:cs="宋体"/>
          <w:color w:val="auto"/>
          <w:szCs w:val="21"/>
        </w:rPr>
        <w:t>（二）资格审查资料</w:t>
      </w:r>
    </w:p>
    <w:p w14:paraId="07A0FA95">
      <w:pPr>
        <w:spacing w:line="360" w:lineRule="auto"/>
        <w:jc w:val="center"/>
        <w:rPr>
          <w:rFonts w:ascii="宋体" w:hAnsi="宋体" w:eastAsia="宋体" w:cs="宋体"/>
          <w:b/>
          <w:bCs/>
          <w:color w:val="auto"/>
          <w:sz w:val="28"/>
          <w:szCs w:val="28"/>
        </w:rPr>
      </w:pPr>
      <w:r>
        <w:rPr>
          <w:rFonts w:hint="eastAsia" w:ascii="宋体" w:hAnsi="宋体" w:eastAsia="宋体" w:cs="宋体"/>
          <w:color w:val="auto"/>
          <w:sz w:val="24"/>
          <w:szCs w:val="24"/>
        </w:rPr>
        <w:br w:type="page"/>
      </w:r>
      <w:r>
        <w:rPr>
          <w:rFonts w:hint="eastAsia" w:ascii="宋体" w:hAnsi="宋体" w:eastAsia="宋体" w:cs="宋体"/>
          <w:b/>
          <w:bCs/>
          <w:color w:val="auto"/>
          <w:sz w:val="28"/>
          <w:szCs w:val="28"/>
          <w:lang w:val="en-US" w:eastAsia="zh-CN"/>
        </w:rPr>
        <w:t>七</w:t>
      </w:r>
      <w:r>
        <w:rPr>
          <w:rFonts w:hint="eastAsia" w:ascii="宋体" w:hAnsi="宋体" w:eastAsia="宋体" w:cs="宋体"/>
          <w:b/>
          <w:bCs/>
          <w:color w:val="auto"/>
          <w:sz w:val="28"/>
          <w:szCs w:val="28"/>
        </w:rPr>
        <w:t>、其他资料</w:t>
      </w:r>
    </w:p>
    <w:p w14:paraId="012444F3">
      <w:pPr>
        <w:spacing w:line="360" w:lineRule="auto"/>
        <w:rPr>
          <w:rFonts w:ascii="宋体" w:hAnsi="宋体" w:eastAsia="宋体" w:cs="Segoe UI"/>
          <w:b/>
          <w:bCs/>
          <w:color w:val="auto"/>
          <w:sz w:val="32"/>
          <w:szCs w:val="32"/>
          <w:shd w:val="clear" w:color="auto" w:fill="FFFFFF"/>
        </w:rPr>
      </w:pPr>
    </w:p>
    <w:p w14:paraId="6E5C278C">
      <w:pPr>
        <w:spacing w:line="360" w:lineRule="auto"/>
        <w:jc w:val="center"/>
        <w:rPr>
          <w:rFonts w:ascii="宋体" w:hAnsi="宋体" w:eastAsia="宋体" w:cs="Segoe UI"/>
          <w:b/>
          <w:bCs/>
          <w:color w:val="auto"/>
          <w:sz w:val="28"/>
          <w:szCs w:val="28"/>
          <w:shd w:val="clear" w:color="auto" w:fill="FFFFFF"/>
        </w:rPr>
      </w:pPr>
      <w:r>
        <w:rPr>
          <w:rFonts w:hint="eastAsia" w:ascii="宋体" w:hAnsi="宋体" w:eastAsia="宋体" w:cs="Segoe UI"/>
          <w:b/>
          <w:bCs/>
          <w:color w:val="auto"/>
          <w:sz w:val="28"/>
          <w:szCs w:val="28"/>
          <w:shd w:val="clear" w:color="auto" w:fill="FFFFFF"/>
          <w:lang w:val="en-US" w:eastAsia="zh-CN"/>
        </w:rPr>
        <w:t>7.1</w:t>
      </w:r>
      <w:r>
        <w:rPr>
          <w:rFonts w:ascii="宋体" w:hAnsi="宋体" w:eastAsia="宋体" w:cs="Segoe UI"/>
          <w:b/>
          <w:bCs/>
          <w:color w:val="auto"/>
          <w:sz w:val="28"/>
          <w:szCs w:val="28"/>
          <w:shd w:val="clear" w:color="auto" w:fill="FFFFFF"/>
        </w:rPr>
        <w:t>反商业贿赂承诺书</w:t>
      </w:r>
    </w:p>
    <w:p w14:paraId="7C2CB3D5">
      <w:pPr>
        <w:spacing w:line="360" w:lineRule="auto"/>
        <w:rPr>
          <w:rFonts w:ascii="宋体" w:hAnsi="宋体"/>
          <w:color w:val="auto"/>
          <w:szCs w:val="21"/>
        </w:rPr>
      </w:pPr>
      <w:bookmarkStart w:id="112" w:name="_Toc19208"/>
      <w:r>
        <w:rPr>
          <w:rFonts w:hint="eastAsia" w:ascii="宋体" w:hAnsi="宋体"/>
          <w:color w:val="auto"/>
          <w:szCs w:val="21"/>
        </w:rPr>
        <w:t xml:space="preserve"> </w:t>
      </w:r>
    </w:p>
    <w:p w14:paraId="3CC51C0D">
      <w:pPr>
        <w:spacing w:line="360" w:lineRule="auto"/>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color w:val="auto"/>
          <w:szCs w:val="21"/>
        </w:rPr>
        <w:t>（采购人名称）</w:t>
      </w:r>
      <w:r>
        <w:rPr>
          <w:rFonts w:hint="eastAsia" w:ascii="宋体" w:hAnsi="宋体"/>
          <w:b/>
          <w:bCs/>
          <w:color w:val="auto"/>
          <w:szCs w:val="21"/>
        </w:rPr>
        <w:t xml:space="preserve"> </w:t>
      </w:r>
    </w:p>
    <w:p w14:paraId="7F0220D7">
      <w:pPr>
        <w:spacing w:line="360" w:lineRule="auto"/>
        <w:ind w:firstLine="420" w:firstLineChars="200"/>
        <w:rPr>
          <w:rFonts w:ascii="宋体" w:hAnsi="宋体"/>
          <w:color w:val="auto"/>
          <w:szCs w:val="21"/>
        </w:rPr>
      </w:pPr>
      <w:r>
        <w:rPr>
          <w:rFonts w:hint="eastAsia" w:ascii="宋体" w:hAnsi="宋体"/>
          <w:color w:val="auto"/>
          <w:szCs w:val="21"/>
        </w:rPr>
        <w:t>进一步规范政府采购行为，营造公平竞争的政府采购市场环境，维护政府采购制度良好声誉，在参与贵单位组织的招标活动中，我方庄重承诺：</w:t>
      </w:r>
    </w:p>
    <w:p w14:paraId="750FF78B">
      <w:pPr>
        <w:spacing w:line="360" w:lineRule="auto"/>
        <w:ind w:firstLine="420" w:firstLineChars="200"/>
        <w:rPr>
          <w:rFonts w:ascii="宋体" w:hAnsi="宋体"/>
          <w:color w:val="auto"/>
          <w:szCs w:val="21"/>
        </w:rPr>
      </w:pPr>
      <w:r>
        <w:rPr>
          <w:rFonts w:hint="eastAsia" w:ascii="宋体" w:hAnsi="宋体"/>
          <w:color w:val="auto"/>
          <w:szCs w:val="21"/>
        </w:rPr>
        <w:t>一、依法参与招标活动，遵纪守法，诚信经营，公平竞争。</w:t>
      </w:r>
    </w:p>
    <w:p w14:paraId="2F98E7B8">
      <w:pPr>
        <w:spacing w:line="360" w:lineRule="auto"/>
        <w:ind w:firstLine="420" w:firstLineChars="200"/>
        <w:rPr>
          <w:rFonts w:ascii="宋体" w:hAnsi="宋体"/>
          <w:color w:val="auto"/>
          <w:szCs w:val="21"/>
        </w:rPr>
      </w:pPr>
      <w:r>
        <w:rPr>
          <w:rFonts w:hint="eastAsia" w:ascii="宋体" w:hAnsi="宋体"/>
          <w:color w:val="auto"/>
          <w:szCs w:val="21"/>
        </w:rPr>
        <w:t>二、不向采购人、采购代理机构和评审专家提供任何形式的商业贿赂，对索取或接受商业贿赂的单位和个人，及时向财政部门和纪检监察机关举报。</w:t>
      </w:r>
    </w:p>
    <w:p w14:paraId="7AAD27B7">
      <w:pPr>
        <w:spacing w:line="360" w:lineRule="auto"/>
        <w:ind w:firstLine="420" w:firstLineChars="200"/>
        <w:rPr>
          <w:rFonts w:ascii="宋体" w:hAnsi="宋体"/>
          <w:color w:val="auto"/>
          <w:szCs w:val="21"/>
        </w:rPr>
      </w:pPr>
      <w:r>
        <w:rPr>
          <w:rFonts w:hint="eastAsia" w:ascii="宋体" w:hAnsi="宋体"/>
          <w:color w:val="auto"/>
          <w:szCs w:val="21"/>
        </w:rPr>
        <w:t>三、不以提供虚假资质文件等形式参与招标活动，不以虚假材料谋取中标。</w:t>
      </w:r>
    </w:p>
    <w:p w14:paraId="003754B6">
      <w:pPr>
        <w:spacing w:line="360" w:lineRule="auto"/>
        <w:ind w:firstLine="420" w:firstLineChars="200"/>
        <w:rPr>
          <w:rFonts w:ascii="宋体" w:hAnsi="宋体"/>
          <w:color w:val="auto"/>
          <w:szCs w:val="21"/>
        </w:rPr>
      </w:pPr>
      <w:r>
        <w:rPr>
          <w:rFonts w:hint="eastAsia" w:ascii="宋体" w:hAnsi="宋体"/>
          <w:color w:val="auto"/>
          <w:szCs w:val="21"/>
        </w:rPr>
        <w:t>四、不采取不正当手段诋毁、排挤其它供应商，与其它参与招标活动的供应商保持良性的竞争关系。</w:t>
      </w:r>
    </w:p>
    <w:p w14:paraId="7E1318F2">
      <w:pPr>
        <w:spacing w:line="360" w:lineRule="auto"/>
        <w:ind w:firstLine="420" w:firstLineChars="200"/>
        <w:rPr>
          <w:rFonts w:ascii="宋体" w:hAnsi="宋体"/>
          <w:color w:val="auto"/>
          <w:szCs w:val="21"/>
        </w:rPr>
      </w:pPr>
      <w:r>
        <w:rPr>
          <w:rFonts w:hint="eastAsia" w:ascii="宋体" w:hAnsi="宋体"/>
          <w:color w:val="auto"/>
          <w:szCs w:val="21"/>
        </w:rPr>
        <w:t>五、不与采购人、采购代理机构和评审专家恶意串通，自觉维护政府采购公平竞争的市场秩序。</w:t>
      </w:r>
    </w:p>
    <w:p w14:paraId="06652E6A">
      <w:pPr>
        <w:spacing w:line="360" w:lineRule="auto"/>
        <w:ind w:firstLine="420" w:firstLineChars="200"/>
        <w:rPr>
          <w:rFonts w:ascii="宋体" w:hAnsi="宋体"/>
          <w:color w:val="auto"/>
          <w:szCs w:val="21"/>
        </w:rPr>
      </w:pPr>
      <w:r>
        <w:rPr>
          <w:rFonts w:hint="eastAsia" w:ascii="宋体" w:hAnsi="宋体"/>
          <w:color w:val="auto"/>
          <w:szCs w:val="21"/>
        </w:rPr>
        <w:t>六、不与其它供应商串通采取围标、陪标等商业欺诈手段谋取中标，积极维护国家利益、社会公共利益和采购人的合法权益。</w:t>
      </w:r>
    </w:p>
    <w:p w14:paraId="433A19D9">
      <w:pPr>
        <w:spacing w:line="360" w:lineRule="auto"/>
        <w:ind w:firstLine="420" w:firstLineChars="200"/>
        <w:rPr>
          <w:rFonts w:ascii="宋体" w:hAnsi="宋体"/>
          <w:color w:val="auto"/>
          <w:szCs w:val="21"/>
        </w:rPr>
      </w:pPr>
      <w:r>
        <w:rPr>
          <w:rFonts w:hint="eastAsia" w:ascii="宋体" w:hAnsi="宋体"/>
          <w:color w:val="auto"/>
          <w:szCs w:val="21"/>
        </w:rPr>
        <w:t>七、严格履行政府采购合同约定义务，不在政府采购合同执行过程中采取降低质量或标准、减少数量、拖延交付时间等方式损害采购人的利益，并自觉承担违约责任。</w:t>
      </w:r>
    </w:p>
    <w:p w14:paraId="12C6C863">
      <w:pPr>
        <w:spacing w:line="360" w:lineRule="auto"/>
        <w:ind w:firstLine="420" w:firstLineChars="200"/>
        <w:rPr>
          <w:rFonts w:ascii="宋体" w:hAnsi="宋体"/>
          <w:color w:val="auto"/>
          <w:szCs w:val="21"/>
        </w:rPr>
      </w:pPr>
      <w:r>
        <w:rPr>
          <w:rFonts w:hint="eastAsia" w:ascii="宋体" w:hAnsi="宋体"/>
          <w:color w:val="auto"/>
          <w:szCs w:val="21"/>
        </w:rPr>
        <w:t>八、自觉接受并积极配合相关监督部门实施的监督检查，如实反映情况，及时提供有关证明材料。</w:t>
      </w:r>
    </w:p>
    <w:p w14:paraId="6B261704">
      <w:pPr>
        <w:spacing w:line="360" w:lineRule="auto"/>
        <w:ind w:firstLine="420" w:firstLineChars="200"/>
        <w:rPr>
          <w:rFonts w:ascii="宋体" w:hAnsi="宋体"/>
          <w:color w:val="auto"/>
          <w:szCs w:val="21"/>
        </w:rPr>
      </w:pPr>
      <w:r>
        <w:rPr>
          <w:rFonts w:hint="eastAsia" w:ascii="宋体" w:hAnsi="宋体"/>
          <w:color w:val="auto"/>
          <w:szCs w:val="21"/>
        </w:rPr>
        <w:t xml:space="preserve"> </w:t>
      </w:r>
    </w:p>
    <w:p w14:paraId="06D03FC6">
      <w:pPr>
        <w:spacing w:line="360" w:lineRule="auto"/>
        <w:ind w:firstLine="420" w:firstLineChars="200"/>
        <w:rPr>
          <w:rFonts w:ascii="宋体" w:hAnsi="宋体"/>
          <w:color w:val="auto"/>
          <w:kern w:val="0"/>
          <w:szCs w:val="21"/>
          <w:u w:val="single"/>
        </w:rPr>
      </w:pPr>
      <w:r>
        <w:rPr>
          <w:rFonts w:hint="eastAsia" w:ascii="宋体" w:hAnsi="宋体"/>
          <w:color w:val="auto"/>
          <w:kern w:val="0"/>
          <w:szCs w:val="21"/>
        </w:rPr>
        <w:t>法定代表人或授权委托人</w:t>
      </w:r>
      <w:r>
        <w:rPr>
          <w:rFonts w:hint="eastAsia" w:ascii="宋体" w:hAnsi="宋体"/>
          <w:color w:val="auto"/>
          <w:spacing w:val="6"/>
          <w:kern w:val="0"/>
          <w:szCs w:val="21"/>
        </w:rPr>
        <w:t>（电子签章）</w:t>
      </w:r>
      <w:r>
        <w:rPr>
          <w:rFonts w:hint="eastAsia" w:ascii="宋体" w:hAnsi="宋体"/>
          <w:color w:val="auto"/>
          <w:kern w:val="0"/>
          <w:szCs w:val="21"/>
        </w:rPr>
        <w:t xml:space="preserve">： </w:t>
      </w:r>
      <w:r>
        <w:rPr>
          <w:rFonts w:hint="eastAsia" w:ascii="宋体" w:hAnsi="宋体"/>
          <w:color w:val="auto"/>
          <w:kern w:val="0"/>
          <w:szCs w:val="21"/>
          <w:u w:val="single"/>
        </w:rPr>
        <w:t xml:space="preserve">                </w:t>
      </w:r>
    </w:p>
    <w:p w14:paraId="1F5A154A">
      <w:pPr>
        <w:spacing w:line="360" w:lineRule="auto"/>
        <w:rPr>
          <w:rFonts w:ascii="宋体" w:hAnsi="宋体"/>
          <w:color w:val="auto"/>
          <w:szCs w:val="21"/>
        </w:rPr>
      </w:pPr>
    </w:p>
    <w:p w14:paraId="3279492C">
      <w:pPr>
        <w:spacing w:line="360" w:lineRule="auto"/>
        <w:ind w:firstLine="420" w:firstLineChars="200"/>
        <w:rPr>
          <w:rFonts w:ascii="宋体" w:hAnsi="宋体"/>
          <w:color w:val="auto"/>
          <w:szCs w:val="21"/>
        </w:rPr>
      </w:pPr>
      <w:r>
        <w:rPr>
          <w:rFonts w:hint="eastAsia" w:ascii="宋体" w:hAnsi="宋体"/>
          <w:color w:val="auto"/>
          <w:szCs w:val="21"/>
        </w:rPr>
        <w:t>供应商：</w:t>
      </w:r>
      <w:r>
        <w:rPr>
          <w:rFonts w:hint="eastAsia" w:ascii="宋体" w:hAnsi="宋体"/>
          <w:color w:val="auto"/>
          <w:szCs w:val="21"/>
          <w:u w:val="single"/>
        </w:rPr>
        <w:t xml:space="preserve">                              </w:t>
      </w:r>
      <w:r>
        <w:rPr>
          <w:rFonts w:hint="eastAsia" w:ascii="宋体" w:hAnsi="宋体"/>
          <w:color w:val="auto"/>
          <w:szCs w:val="21"/>
        </w:rPr>
        <w:t>（全称并加盖</w:t>
      </w:r>
      <w:r>
        <w:rPr>
          <w:rFonts w:hint="eastAsia" w:ascii="宋体" w:hAnsi="宋体"/>
          <w:color w:val="auto"/>
          <w:spacing w:val="6"/>
          <w:kern w:val="0"/>
          <w:szCs w:val="21"/>
        </w:rPr>
        <w:t>电子签章</w:t>
      </w:r>
      <w:r>
        <w:rPr>
          <w:rFonts w:hint="eastAsia" w:ascii="宋体" w:hAnsi="宋体"/>
          <w:color w:val="auto"/>
          <w:szCs w:val="21"/>
        </w:rPr>
        <w:t>）</w:t>
      </w:r>
    </w:p>
    <w:p w14:paraId="0662A7E0">
      <w:pPr>
        <w:spacing w:line="360" w:lineRule="auto"/>
        <w:rPr>
          <w:rFonts w:ascii="宋体" w:hAnsi="宋体"/>
          <w:color w:val="auto"/>
          <w:szCs w:val="21"/>
        </w:rPr>
      </w:pPr>
      <w:r>
        <w:rPr>
          <w:rFonts w:hint="eastAsia" w:ascii="宋体" w:hAnsi="宋体"/>
          <w:color w:val="auto"/>
          <w:szCs w:val="21"/>
        </w:rPr>
        <w:t xml:space="preserve">                                 </w:t>
      </w:r>
    </w:p>
    <w:p w14:paraId="4939ACC6">
      <w:pPr>
        <w:spacing w:line="360" w:lineRule="auto"/>
        <w:ind w:firstLine="420" w:firstLineChars="200"/>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 xml:space="preserve">年 </w:t>
      </w:r>
      <w:r>
        <w:rPr>
          <w:rFonts w:hint="eastAsia" w:ascii="宋体" w:hAnsi="宋体"/>
          <w:color w:val="auto"/>
          <w:szCs w:val="21"/>
          <w:u w:val="single"/>
        </w:rPr>
        <w:t xml:space="preserve">   </w:t>
      </w:r>
      <w:r>
        <w:rPr>
          <w:rFonts w:hint="eastAsia" w:ascii="宋体" w:hAnsi="宋体"/>
          <w:color w:val="auto"/>
          <w:szCs w:val="21"/>
        </w:rPr>
        <w:t xml:space="preserve">月 </w:t>
      </w:r>
      <w:r>
        <w:rPr>
          <w:rFonts w:hint="eastAsia" w:ascii="宋体" w:hAnsi="宋体"/>
          <w:color w:val="auto"/>
          <w:szCs w:val="21"/>
          <w:u w:val="single"/>
        </w:rPr>
        <w:t xml:space="preserve">   </w:t>
      </w:r>
      <w:r>
        <w:rPr>
          <w:rFonts w:hint="eastAsia" w:ascii="宋体" w:hAnsi="宋体"/>
          <w:color w:val="auto"/>
          <w:szCs w:val="21"/>
        </w:rPr>
        <w:t>日</w:t>
      </w:r>
    </w:p>
    <w:p w14:paraId="3ACDE160">
      <w:pPr>
        <w:spacing w:line="360" w:lineRule="auto"/>
        <w:rPr>
          <w:rFonts w:ascii="宋体" w:hAnsi="宋体" w:eastAsia="宋体"/>
          <w:color w:val="auto"/>
          <w:szCs w:val="21"/>
        </w:rPr>
      </w:pPr>
    </w:p>
    <w:p w14:paraId="124D4DFD">
      <w:pPr>
        <w:pStyle w:val="14"/>
        <w:rPr>
          <w:rFonts w:ascii="宋体" w:hAnsi="宋体" w:eastAsia="宋体"/>
          <w:color w:val="auto"/>
          <w:szCs w:val="21"/>
        </w:rPr>
      </w:pPr>
    </w:p>
    <w:p w14:paraId="4CB96692">
      <w:pPr>
        <w:pStyle w:val="15"/>
        <w:rPr>
          <w:rFonts w:ascii="宋体" w:hAnsi="宋体" w:eastAsia="宋体"/>
          <w:color w:val="auto"/>
          <w:szCs w:val="21"/>
        </w:rPr>
      </w:pPr>
    </w:p>
    <w:p w14:paraId="153103BE">
      <w:pPr>
        <w:pStyle w:val="3"/>
        <w:rPr>
          <w:rFonts w:ascii="宋体" w:hAnsi="宋体" w:eastAsia="宋体"/>
          <w:color w:val="auto"/>
          <w:szCs w:val="21"/>
        </w:rPr>
      </w:pPr>
    </w:p>
    <w:p w14:paraId="6A57C96D">
      <w:pPr>
        <w:pStyle w:val="4"/>
        <w:rPr>
          <w:rFonts w:ascii="宋体" w:hAnsi="宋体" w:eastAsia="宋体"/>
          <w:color w:val="auto"/>
          <w:szCs w:val="21"/>
        </w:rPr>
      </w:pPr>
    </w:p>
    <w:p w14:paraId="14CB0925">
      <w:pPr>
        <w:pStyle w:val="5"/>
        <w:rPr>
          <w:rFonts w:ascii="宋体" w:hAnsi="宋体" w:eastAsia="宋体"/>
          <w:color w:val="auto"/>
          <w:szCs w:val="21"/>
        </w:rPr>
      </w:pPr>
    </w:p>
    <w:p w14:paraId="0F66F4AA">
      <w:pPr>
        <w:pStyle w:val="4"/>
        <w:rPr>
          <w:color w:val="auto"/>
        </w:rPr>
      </w:pPr>
    </w:p>
    <w:p w14:paraId="47998D78">
      <w:pPr>
        <w:spacing w:line="360" w:lineRule="auto"/>
        <w:jc w:val="center"/>
        <w:rPr>
          <w:rFonts w:ascii="宋体" w:hAnsi="宋体" w:eastAsia="宋体"/>
          <w:color w:val="auto"/>
        </w:rPr>
      </w:pPr>
      <w:r>
        <w:rPr>
          <w:rFonts w:hint="eastAsia" w:ascii="宋体" w:hAnsi="宋体" w:eastAsia="宋体" w:cs="Segoe UI"/>
          <w:b/>
          <w:bCs/>
          <w:color w:val="auto"/>
          <w:sz w:val="32"/>
          <w:szCs w:val="32"/>
          <w:shd w:val="clear" w:color="auto" w:fill="FFFFFF"/>
          <w:lang w:val="en-US" w:eastAsia="zh-CN"/>
        </w:rPr>
        <w:t>7.2</w:t>
      </w:r>
      <w:r>
        <w:rPr>
          <w:rFonts w:hint="eastAsia" w:ascii="宋体" w:hAnsi="宋体" w:eastAsia="宋体" w:cs="Segoe UI"/>
          <w:b/>
          <w:bCs/>
          <w:color w:val="auto"/>
          <w:sz w:val="32"/>
          <w:szCs w:val="32"/>
          <w:shd w:val="clear" w:color="auto" w:fill="FFFFFF"/>
        </w:rPr>
        <w:t>供应商</w:t>
      </w:r>
      <w:r>
        <w:rPr>
          <w:rFonts w:ascii="宋体" w:hAnsi="宋体" w:eastAsia="宋体" w:cs="Segoe UI"/>
          <w:b/>
          <w:bCs/>
          <w:color w:val="auto"/>
          <w:sz w:val="32"/>
          <w:szCs w:val="32"/>
          <w:shd w:val="clear" w:color="auto" w:fill="FFFFFF"/>
        </w:rPr>
        <w:t>诚信承诺书</w:t>
      </w:r>
      <w:bookmarkEnd w:id="112"/>
    </w:p>
    <w:p w14:paraId="73171B6F">
      <w:pPr>
        <w:spacing w:line="360" w:lineRule="auto"/>
        <w:rPr>
          <w:rFonts w:ascii="宋体" w:hAnsi="宋体" w:eastAsia="宋体"/>
          <w:color w:val="auto"/>
        </w:rPr>
      </w:pPr>
      <w:r>
        <w:rPr>
          <w:rFonts w:ascii="宋体" w:hAnsi="宋体" w:eastAsia="宋体" w:cs="宋体"/>
          <w:color w:val="auto"/>
          <w:sz w:val="28"/>
          <w:szCs w:val="28"/>
          <w:shd w:val="clear" w:color="auto" w:fill="FFFFFF"/>
        </w:rPr>
        <w:t>  </w:t>
      </w:r>
    </w:p>
    <w:p w14:paraId="0C135A91">
      <w:pPr>
        <w:spacing w:line="480" w:lineRule="auto"/>
        <w:rPr>
          <w:rFonts w:ascii="宋体" w:hAnsi="宋体" w:eastAsia="宋体"/>
          <w:color w:val="auto"/>
          <w:szCs w:val="21"/>
        </w:rPr>
      </w:pPr>
      <w:r>
        <w:rPr>
          <w:rFonts w:ascii="宋体" w:hAnsi="宋体" w:eastAsia="宋体" w:cs="Segoe UI"/>
          <w:color w:val="auto"/>
          <w:szCs w:val="21"/>
          <w:shd w:val="clear" w:color="auto" w:fill="FFFFFF"/>
        </w:rPr>
        <w:t>我单位在参加</w:t>
      </w:r>
      <w:r>
        <w:rPr>
          <w:rFonts w:ascii="宋体" w:hAnsi="宋体" w:eastAsia="宋体" w:cs="宋体"/>
          <w:color w:val="auto"/>
          <w:szCs w:val="21"/>
          <w:u w:val="single"/>
          <w:shd w:val="clear" w:color="auto" w:fill="FFFFFF"/>
        </w:rPr>
        <w:t xml:space="preserve">  </w:t>
      </w:r>
      <w:r>
        <w:rPr>
          <w:rFonts w:ascii="宋体" w:hAnsi="宋体" w:eastAsia="宋体" w:cs="Segoe UI"/>
          <w:color w:val="auto"/>
          <w:szCs w:val="21"/>
          <w:u w:val="single"/>
          <w:shd w:val="clear" w:color="auto" w:fill="FFFFFF"/>
        </w:rPr>
        <w:t>（项目名称）</w:t>
      </w:r>
      <w:r>
        <w:rPr>
          <w:rFonts w:ascii="宋体" w:hAnsi="宋体" w:eastAsia="宋体" w:cs="宋体"/>
          <w:color w:val="auto"/>
          <w:szCs w:val="21"/>
          <w:u w:val="single"/>
          <w:shd w:val="clear" w:color="auto" w:fill="FFFFFF"/>
        </w:rPr>
        <w:t>  </w:t>
      </w:r>
      <w:r>
        <w:rPr>
          <w:rFonts w:ascii="宋体" w:hAnsi="宋体" w:eastAsia="宋体" w:cs="Segoe UI"/>
          <w:color w:val="auto"/>
          <w:szCs w:val="21"/>
          <w:shd w:val="clear" w:color="auto" w:fill="FFFFFF"/>
        </w:rPr>
        <w:t>的投标活动中，郑重承诺如下： </w:t>
      </w:r>
    </w:p>
    <w:p w14:paraId="7DFFDE8D">
      <w:pPr>
        <w:spacing w:line="480" w:lineRule="auto"/>
        <w:ind w:firstLine="420" w:firstLineChars="200"/>
        <w:rPr>
          <w:rFonts w:ascii="宋体" w:hAnsi="宋体" w:eastAsia="宋体" w:cs="宋体"/>
          <w:color w:val="auto"/>
          <w:szCs w:val="21"/>
          <w:shd w:val="clear" w:color="auto" w:fill="FFFFFF"/>
        </w:rPr>
      </w:pPr>
      <w:r>
        <w:rPr>
          <w:rFonts w:ascii="宋体" w:hAnsi="宋体" w:eastAsia="宋体" w:cs="宋体"/>
          <w:color w:val="auto"/>
          <w:szCs w:val="21"/>
          <w:shd w:val="clear" w:color="auto" w:fill="FFFFFF"/>
        </w:rPr>
        <w:t>1．我方在此声明，本次招标投标活动中申报的所有资料都是真实、准确、完整的，如发现提供虚假资料，或与事实不符而导致投标无效，甚至造成任何法律和经济责任，完全由我方负责； </w:t>
      </w:r>
    </w:p>
    <w:p w14:paraId="1402B221">
      <w:pPr>
        <w:spacing w:line="480" w:lineRule="auto"/>
        <w:ind w:firstLine="420" w:firstLineChars="200"/>
        <w:rPr>
          <w:rFonts w:ascii="宋体" w:hAnsi="宋体" w:eastAsia="宋体" w:cs="宋体"/>
          <w:color w:val="auto"/>
          <w:szCs w:val="21"/>
          <w:shd w:val="clear" w:color="auto" w:fill="FFFFFF"/>
        </w:rPr>
      </w:pPr>
      <w:r>
        <w:rPr>
          <w:rFonts w:ascii="宋体" w:hAnsi="宋体" w:eastAsia="宋体" w:cs="宋体"/>
          <w:color w:val="auto"/>
          <w:szCs w:val="21"/>
          <w:shd w:val="clear" w:color="auto" w:fill="FFFFFF"/>
        </w:rPr>
        <w:t>2．我方在本次投标活动中绝无挂靠、串标、围标情形，若经贵方查出，立即取消我方投标或</w:t>
      </w:r>
      <w:r>
        <w:rPr>
          <w:rFonts w:hint="eastAsia" w:ascii="宋体" w:hAnsi="宋体" w:eastAsia="宋体" w:cs="宋体"/>
          <w:color w:val="auto"/>
          <w:szCs w:val="21"/>
          <w:shd w:val="clear" w:color="auto" w:fill="FFFFFF"/>
        </w:rPr>
        <w:t>成交</w:t>
      </w:r>
      <w:r>
        <w:rPr>
          <w:rFonts w:ascii="宋体" w:hAnsi="宋体" w:eastAsia="宋体" w:cs="宋体"/>
          <w:color w:val="auto"/>
          <w:szCs w:val="21"/>
          <w:shd w:val="clear" w:color="auto" w:fill="FFFFFF"/>
        </w:rPr>
        <w:t>资格并承担相应的法律责任； </w:t>
      </w:r>
    </w:p>
    <w:p w14:paraId="35848DAE">
      <w:pPr>
        <w:spacing w:line="480" w:lineRule="auto"/>
        <w:ind w:firstLine="420" w:firstLineChars="200"/>
        <w:rPr>
          <w:rFonts w:ascii="宋体" w:hAnsi="宋体" w:eastAsia="宋体" w:cs="宋体"/>
          <w:color w:val="auto"/>
          <w:szCs w:val="21"/>
          <w:shd w:val="clear" w:color="auto" w:fill="FFFFFF"/>
        </w:rPr>
      </w:pPr>
      <w:r>
        <w:rPr>
          <w:rFonts w:ascii="宋体" w:hAnsi="宋体" w:eastAsia="宋体" w:cs="宋体"/>
          <w:color w:val="auto"/>
          <w:szCs w:val="21"/>
          <w:shd w:val="clear" w:color="auto" w:fill="FFFFFF"/>
        </w:rPr>
        <w:t>3．我方在以往的招标采购活动中，无重大违法记录； </w:t>
      </w:r>
    </w:p>
    <w:p w14:paraId="7F43914A">
      <w:pPr>
        <w:spacing w:line="480" w:lineRule="auto"/>
        <w:ind w:firstLine="420" w:firstLineChars="200"/>
        <w:rPr>
          <w:rFonts w:ascii="宋体" w:hAnsi="宋体" w:eastAsia="宋体" w:cs="宋体"/>
          <w:color w:val="auto"/>
          <w:szCs w:val="21"/>
          <w:shd w:val="clear" w:color="auto" w:fill="FFFFFF"/>
        </w:rPr>
      </w:pPr>
      <w:r>
        <w:rPr>
          <w:rFonts w:ascii="宋体" w:hAnsi="宋体" w:eastAsia="宋体" w:cs="宋体"/>
          <w:color w:val="auto"/>
          <w:szCs w:val="21"/>
          <w:shd w:val="clear" w:color="auto" w:fill="FFFFFF"/>
        </w:rPr>
        <w:t>4．我方一旦中标，将严格按照投标文件中所承诺的报价、质量、</w:t>
      </w:r>
      <w:r>
        <w:rPr>
          <w:rFonts w:hint="eastAsia" w:ascii="宋体" w:hAnsi="宋体" w:eastAsia="宋体" w:cs="宋体"/>
          <w:color w:val="auto"/>
          <w:szCs w:val="21"/>
          <w:shd w:val="clear" w:color="auto" w:fill="FFFFFF"/>
          <w:lang w:val="en-US" w:eastAsia="zh-CN"/>
        </w:rPr>
        <w:t>服务期</w:t>
      </w:r>
      <w:r>
        <w:rPr>
          <w:rFonts w:ascii="宋体" w:hAnsi="宋体" w:eastAsia="宋体" w:cs="宋体"/>
          <w:color w:val="auto"/>
          <w:szCs w:val="21"/>
          <w:shd w:val="clear" w:color="auto" w:fill="FFFFFF"/>
        </w:rPr>
        <w:t>等内容组织实施； </w:t>
      </w:r>
    </w:p>
    <w:p w14:paraId="64B66604">
      <w:pPr>
        <w:spacing w:line="480" w:lineRule="auto"/>
        <w:ind w:firstLine="420" w:firstLineChars="200"/>
        <w:rPr>
          <w:rFonts w:ascii="宋体" w:hAnsi="宋体" w:eastAsia="宋体" w:cs="宋体"/>
          <w:color w:val="auto"/>
          <w:szCs w:val="21"/>
          <w:shd w:val="clear" w:color="auto" w:fill="FFFFFF"/>
        </w:rPr>
      </w:pPr>
      <w:r>
        <w:rPr>
          <w:rFonts w:ascii="宋体" w:hAnsi="宋体" w:eastAsia="宋体" w:cs="宋体"/>
          <w:color w:val="auto"/>
          <w:szCs w:val="21"/>
          <w:shd w:val="clear" w:color="auto" w:fill="FFFFFF"/>
        </w:rPr>
        <w:t>5．我方一旦中标，将按规定及时与采购单位签订合同。 </w:t>
      </w:r>
    </w:p>
    <w:p w14:paraId="39EBBE3E">
      <w:pPr>
        <w:spacing w:line="480" w:lineRule="auto"/>
        <w:ind w:firstLine="420" w:firstLineChars="200"/>
        <w:rPr>
          <w:rFonts w:ascii="宋体" w:hAnsi="宋体" w:eastAsia="宋体" w:cs="宋体"/>
          <w:color w:val="auto"/>
          <w:szCs w:val="21"/>
          <w:shd w:val="clear" w:color="auto" w:fill="FFFFFF"/>
        </w:rPr>
      </w:pPr>
      <w:r>
        <w:rPr>
          <w:rFonts w:ascii="宋体" w:hAnsi="宋体" w:eastAsia="宋体" w:cs="宋体"/>
          <w:color w:val="auto"/>
          <w:szCs w:val="21"/>
          <w:shd w:val="clear" w:color="auto" w:fill="FFFFFF"/>
        </w:rPr>
        <w:t>若我方违反上述承诺，自愿无条件接受采购单位处罚。对造成的损失、任何法律和经济责任完全由我单位负责。 </w:t>
      </w:r>
    </w:p>
    <w:p w14:paraId="7337730F">
      <w:pPr>
        <w:spacing w:line="360" w:lineRule="auto"/>
        <w:rPr>
          <w:rFonts w:ascii="宋体" w:hAnsi="宋体" w:eastAsia="宋体"/>
          <w:color w:val="auto"/>
          <w:szCs w:val="21"/>
        </w:rPr>
      </w:pPr>
      <w:r>
        <w:rPr>
          <w:rFonts w:ascii="宋体" w:hAnsi="宋体" w:eastAsia="宋体" w:cs="宋体"/>
          <w:color w:val="auto"/>
          <w:szCs w:val="21"/>
          <w:shd w:val="clear" w:color="auto" w:fill="FFFFFF"/>
        </w:rPr>
        <w:t>  </w:t>
      </w:r>
    </w:p>
    <w:p w14:paraId="09946695">
      <w:pPr>
        <w:spacing w:line="360" w:lineRule="auto"/>
        <w:rPr>
          <w:rFonts w:ascii="宋体" w:hAnsi="宋体" w:eastAsia="宋体" w:cs="Segoe UI"/>
          <w:color w:val="auto"/>
          <w:szCs w:val="21"/>
          <w:shd w:val="clear" w:color="auto" w:fill="FFFFFF"/>
        </w:rPr>
      </w:pPr>
    </w:p>
    <w:p w14:paraId="36B2EA28">
      <w:pPr>
        <w:spacing w:line="360" w:lineRule="auto"/>
        <w:rPr>
          <w:rFonts w:ascii="宋体" w:hAnsi="宋体" w:eastAsia="宋体" w:cs="Segoe UI"/>
          <w:color w:val="auto"/>
          <w:szCs w:val="21"/>
          <w:shd w:val="clear" w:color="auto" w:fill="FFFFFF"/>
        </w:rPr>
      </w:pPr>
    </w:p>
    <w:p w14:paraId="59785043">
      <w:pPr>
        <w:spacing w:line="360" w:lineRule="auto"/>
        <w:ind w:firstLine="420" w:firstLineChars="200"/>
        <w:rPr>
          <w:rFonts w:ascii="宋体" w:hAnsi="宋体" w:eastAsia="宋体"/>
          <w:color w:val="auto"/>
          <w:szCs w:val="21"/>
        </w:rPr>
      </w:pPr>
      <w:r>
        <w:rPr>
          <w:rFonts w:hint="eastAsia" w:ascii="宋体" w:hAnsi="宋体" w:eastAsia="宋体" w:cs="Segoe UI"/>
          <w:color w:val="auto"/>
          <w:szCs w:val="21"/>
          <w:shd w:val="clear" w:color="auto" w:fill="FFFFFF"/>
        </w:rPr>
        <w:t>供应商</w:t>
      </w:r>
      <w:r>
        <w:rPr>
          <w:rFonts w:ascii="宋体" w:hAnsi="宋体" w:eastAsia="宋体" w:cs="Segoe UI"/>
          <w:color w:val="auto"/>
          <w:szCs w:val="21"/>
          <w:shd w:val="clear" w:color="auto" w:fill="FFFFFF"/>
        </w:rPr>
        <w:t>：</w:t>
      </w:r>
      <w:r>
        <w:rPr>
          <w:rFonts w:hint="eastAsia" w:ascii="宋体" w:hAnsi="宋体" w:eastAsia="宋体" w:cs="Segoe UI"/>
          <w:color w:val="auto"/>
          <w:szCs w:val="21"/>
          <w:u w:val="single"/>
          <w:shd w:val="clear" w:color="auto" w:fill="FFFFFF"/>
        </w:rPr>
        <w:t xml:space="preserve">                   </w:t>
      </w:r>
      <w:r>
        <w:rPr>
          <w:rFonts w:hint="eastAsia" w:ascii="宋体" w:hAnsi="宋体"/>
          <w:color w:val="auto"/>
          <w:szCs w:val="21"/>
        </w:rPr>
        <w:t>（电子签章）</w:t>
      </w:r>
      <w:r>
        <w:rPr>
          <w:rFonts w:ascii="宋体" w:hAnsi="宋体" w:eastAsia="宋体" w:cs="Segoe UI"/>
          <w:color w:val="auto"/>
          <w:szCs w:val="21"/>
          <w:shd w:val="clear" w:color="auto" w:fill="FFFFFF"/>
        </w:rPr>
        <w:t> </w:t>
      </w:r>
    </w:p>
    <w:p w14:paraId="7F5F5261">
      <w:pPr>
        <w:spacing w:line="360" w:lineRule="auto"/>
        <w:rPr>
          <w:rFonts w:ascii="宋体" w:hAnsi="宋体" w:eastAsia="宋体" w:cs="Segoe UI"/>
          <w:color w:val="auto"/>
          <w:szCs w:val="21"/>
          <w:shd w:val="clear" w:color="auto" w:fill="FFFFFF"/>
        </w:rPr>
      </w:pPr>
    </w:p>
    <w:p w14:paraId="432BF539">
      <w:pPr>
        <w:spacing w:line="360" w:lineRule="auto"/>
        <w:ind w:firstLine="420" w:firstLineChars="200"/>
        <w:rPr>
          <w:rFonts w:ascii="宋体" w:hAnsi="宋体" w:eastAsia="宋体"/>
          <w:color w:val="auto"/>
          <w:szCs w:val="21"/>
        </w:rPr>
      </w:pPr>
      <w:r>
        <w:rPr>
          <w:rFonts w:ascii="宋体" w:hAnsi="宋体" w:eastAsia="宋体" w:cs="Segoe UI"/>
          <w:color w:val="auto"/>
          <w:szCs w:val="21"/>
          <w:shd w:val="clear" w:color="auto" w:fill="FFFFFF"/>
        </w:rPr>
        <w:t>法定代表人或其委托代理人：</w:t>
      </w:r>
      <w:r>
        <w:rPr>
          <w:rFonts w:hint="eastAsia" w:ascii="宋体" w:hAnsi="宋体" w:eastAsia="宋体" w:cs="Segoe UI"/>
          <w:color w:val="auto"/>
          <w:szCs w:val="21"/>
          <w:u w:val="single"/>
          <w:shd w:val="clear" w:color="auto" w:fill="FFFFFF"/>
        </w:rPr>
        <w:t xml:space="preserve">                   </w:t>
      </w:r>
      <w:r>
        <w:rPr>
          <w:rFonts w:hint="eastAsia" w:ascii="宋体" w:hAnsi="宋体"/>
          <w:color w:val="auto"/>
          <w:szCs w:val="21"/>
        </w:rPr>
        <w:t>（电子签章）</w:t>
      </w:r>
      <w:r>
        <w:rPr>
          <w:rFonts w:ascii="宋体" w:hAnsi="宋体" w:eastAsia="宋体" w:cs="Segoe UI"/>
          <w:color w:val="auto"/>
          <w:szCs w:val="21"/>
          <w:shd w:val="clear" w:color="auto" w:fill="FFFFFF"/>
        </w:rPr>
        <w:t> </w:t>
      </w:r>
    </w:p>
    <w:p w14:paraId="51D0248A">
      <w:pPr>
        <w:spacing w:line="360" w:lineRule="auto"/>
        <w:rPr>
          <w:rFonts w:ascii="宋体" w:hAnsi="宋体" w:eastAsia="宋体" w:cs="Segoe UI"/>
          <w:color w:val="auto"/>
          <w:szCs w:val="21"/>
          <w:shd w:val="clear" w:color="auto" w:fill="FFFFFF"/>
        </w:rPr>
      </w:pPr>
    </w:p>
    <w:p w14:paraId="349F0D97">
      <w:pPr>
        <w:spacing w:line="360" w:lineRule="auto"/>
        <w:ind w:firstLine="420" w:firstLineChars="200"/>
        <w:rPr>
          <w:rFonts w:ascii="宋体" w:hAnsi="宋体"/>
          <w:color w:val="auto"/>
          <w:szCs w:val="21"/>
        </w:rPr>
      </w:pPr>
      <w:r>
        <w:rPr>
          <w:rFonts w:ascii="宋体" w:hAnsi="宋体" w:eastAsia="宋体" w:cs="宋体"/>
          <w:color w:val="auto"/>
          <w:szCs w:val="21"/>
          <w:shd w:val="clear" w:color="auto" w:fill="FFFFFF"/>
        </w:rPr>
        <w:t> </w:t>
      </w:r>
      <w:r>
        <w:rPr>
          <w:rFonts w:hint="eastAsia" w:ascii="宋体" w:hAnsi="宋体"/>
          <w:color w:val="auto"/>
          <w:szCs w:val="21"/>
          <w:u w:val="single"/>
        </w:rPr>
        <w:t xml:space="preserve">    </w:t>
      </w:r>
      <w:r>
        <w:rPr>
          <w:rFonts w:hint="eastAsia" w:ascii="宋体" w:hAnsi="宋体"/>
          <w:color w:val="auto"/>
          <w:szCs w:val="21"/>
        </w:rPr>
        <w:t xml:space="preserve">年 </w:t>
      </w:r>
      <w:r>
        <w:rPr>
          <w:rFonts w:hint="eastAsia" w:ascii="宋体" w:hAnsi="宋体"/>
          <w:color w:val="auto"/>
          <w:szCs w:val="21"/>
          <w:u w:val="single"/>
        </w:rPr>
        <w:t xml:space="preserve">   </w:t>
      </w:r>
      <w:r>
        <w:rPr>
          <w:rFonts w:hint="eastAsia" w:ascii="宋体" w:hAnsi="宋体"/>
          <w:color w:val="auto"/>
          <w:szCs w:val="21"/>
        </w:rPr>
        <w:t xml:space="preserve">月 </w:t>
      </w:r>
      <w:r>
        <w:rPr>
          <w:rFonts w:hint="eastAsia" w:ascii="宋体" w:hAnsi="宋体"/>
          <w:color w:val="auto"/>
          <w:szCs w:val="21"/>
          <w:u w:val="single"/>
        </w:rPr>
        <w:t xml:space="preserve">   </w:t>
      </w:r>
      <w:r>
        <w:rPr>
          <w:rFonts w:hint="eastAsia" w:ascii="宋体" w:hAnsi="宋体"/>
          <w:color w:val="auto"/>
          <w:szCs w:val="21"/>
        </w:rPr>
        <w:t>日</w:t>
      </w:r>
    </w:p>
    <w:p w14:paraId="51DA04D2">
      <w:pPr>
        <w:spacing w:line="360" w:lineRule="auto"/>
        <w:rPr>
          <w:rFonts w:ascii="宋体" w:hAnsi="宋体" w:eastAsia="宋体"/>
          <w:color w:val="auto"/>
        </w:rPr>
      </w:pPr>
    </w:p>
    <w:p w14:paraId="4EB6D321">
      <w:pPr>
        <w:spacing w:line="360" w:lineRule="auto"/>
        <w:rPr>
          <w:rFonts w:ascii="宋体" w:hAnsi="宋体" w:eastAsia="宋体"/>
          <w:color w:val="auto"/>
        </w:rPr>
      </w:pPr>
      <w:r>
        <w:rPr>
          <w:rFonts w:ascii="宋体" w:hAnsi="宋体" w:eastAsia="宋体" w:cs="宋体"/>
          <w:color w:val="auto"/>
          <w:shd w:val="clear" w:color="auto" w:fill="FFFFFF"/>
        </w:rPr>
        <w:t>  </w:t>
      </w:r>
    </w:p>
    <w:p w14:paraId="0A78A074">
      <w:pPr>
        <w:spacing w:line="360" w:lineRule="auto"/>
        <w:jc w:val="center"/>
        <w:rPr>
          <w:rFonts w:ascii="宋体" w:hAnsi="宋体" w:eastAsia="宋体" w:cs="Segoe UI"/>
          <w:b/>
          <w:bCs/>
          <w:color w:val="auto"/>
          <w:sz w:val="32"/>
          <w:szCs w:val="32"/>
          <w:shd w:val="clear" w:color="auto" w:fill="FFFFFF"/>
        </w:rPr>
      </w:pPr>
      <w:r>
        <w:rPr>
          <w:rFonts w:ascii="宋体" w:hAnsi="宋体" w:eastAsia="宋体" w:cs="Segoe UI"/>
          <w:b/>
          <w:bCs/>
          <w:color w:val="auto"/>
          <w:sz w:val="32"/>
          <w:szCs w:val="32"/>
          <w:shd w:val="clear" w:color="auto" w:fill="FFFFFF"/>
        </w:rPr>
        <w:br w:type="page"/>
      </w:r>
      <w:r>
        <w:rPr>
          <w:rFonts w:hint="eastAsia" w:ascii="宋体" w:hAnsi="宋体" w:eastAsia="宋体" w:cs="Segoe UI"/>
          <w:b/>
          <w:bCs/>
          <w:color w:val="auto"/>
          <w:sz w:val="32"/>
          <w:szCs w:val="32"/>
          <w:shd w:val="clear" w:color="auto" w:fill="FFFFFF"/>
          <w:lang w:val="en-US" w:eastAsia="zh-CN"/>
        </w:rPr>
        <w:t>7.3</w:t>
      </w:r>
      <w:r>
        <w:rPr>
          <w:rFonts w:hint="eastAsia" w:ascii="宋体" w:hAnsi="宋体" w:eastAsia="宋体" w:cs="Segoe UI"/>
          <w:b/>
          <w:bCs/>
          <w:color w:val="auto"/>
          <w:sz w:val="32"/>
          <w:szCs w:val="32"/>
          <w:shd w:val="clear" w:color="auto" w:fill="FFFFFF"/>
        </w:rPr>
        <w:t>招标代理服务费承诺函</w:t>
      </w:r>
    </w:p>
    <w:p w14:paraId="69561F84">
      <w:pPr>
        <w:spacing w:line="360" w:lineRule="auto"/>
        <w:rPr>
          <w:rFonts w:ascii="宋体" w:hAnsi="宋体"/>
          <w:b/>
          <w:bCs/>
          <w:color w:val="auto"/>
        </w:rPr>
      </w:pPr>
      <w:r>
        <w:rPr>
          <w:rFonts w:hint="eastAsia" w:ascii="宋体" w:hAnsi="宋体"/>
          <w:b/>
          <w:bCs/>
          <w:color w:val="auto"/>
        </w:rPr>
        <w:t xml:space="preserve"> </w:t>
      </w:r>
    </w:p>
    <w:p w14:paraId="0F176A62">
      <w:pPr>
        <w:spacing w:line="360" w:lineRule="auto"/>
        <w:rPr>
          <w:rFonts w:ascii="宋体" w:hAnsi="宋体"/>
          <w:bCs/>
          <w:color w:val="auto"/>
          <w:szCs w:val="21"/>
        </w:rPr>
      </w:pPr>
      <w:r>
        <w:rPr>
          <w:rFonts w:hint="eastAsia" w:ascii="宋体" w:hAnsi="宋体"/>
          <w:bCs/>
          <w:color w:val="auto"/>
          <w:szCs w:val="21"/>
        </w:rPr>
        <w:t>致</w:t>
      </w:r>
      <w:r>
        <w:rPr>
          <w:rFonts w:hint="eastAsia" w:ascii="宋体" w:hAnsi="宋体"/>
          <w:bCs/>
          <w:color w:val="auto"/>
          <w:szCs w:val="21"/>
          <w:u w:val="single"/>
          <w:lang w:val="en-US" w:eastAsia="zh-CN"/>
        </w:rPr>
        <w:t xml:space="preserve">          （代理机构）</w:t>
      </w:r>
      <w:r>
        <w:rPr>
          <w:rFonts w:hint="eastAsia" w:ascii="宋体" w:hAnsi="宋体"/>
          <w:bCs/>
          <w:color w:val="auto"/>
          <w:szCs w:val="21"/>
        </w:rPr>
        <w:t>：</w:t>
      </w:r>
    </w:p>
    <w:p w14:paraId="325FB3BB">
      <w:pPr>
        <w:spacing w:line="360" w:lineRule="auto"/>
        <w:ind w:firstLine="420" w:firstLineChars="200"/>
        <w:rPr>
          <w:rFonts w:ascii="宋体" w:hAnsi="宋体"/>
          <w:bCs/>
          <w:color w:val="auto"/>
          <w:szCs w:val="21"/>
        </w:rPr>
      </w:pPr>
      <w:r>
        <w:rPr>
          <w:rFonts w:hint="eastAsia" w:ascii="宋体" w:hAnsi="宋体"/>
          <w:bCs/>
          <w:color w:val="auto"/>
          <w:szCs w:val="21"/>
        </w:rPr>
        <w:t>我单位在参加</w:t>
      </w:r>
      <w:r>
        <w:rPr>
          <w:rFonts w:hint="eastAsia" w:ascii="宋体" w:hAnsi="宋体"/>
          <w:bCs/>
          <w:color w:val="auto"/>
          <w:szCs w:val="21"/>
          <w:u w:val="single"/>
        </w:rPr>
        <w:t xml:space="preserve">       （项目名称）</w:t>
      </w:r>
      <w:r>
        <w:rPr>
          <w:rFonts w:hint="eastAsia" w:ascii="宋体" w:hAnsi="宋体"/>
          <w:bCs/>
          <w:color w:val="auto"/>
          <w:szCs w:val="21"/>
        </w:rPr>
        <w:t>的投标活动中，郑重承诺如下：</w:t>
      </w:r>
    </w:p>
    <w:p w14:paraId="06634C76">
      <w:pPr>
        <w:spacing w:line="360" w:lineRule="auto"/>
        <w:ind w:firstLine="420" w:firstLineChars="200"/>
        <w:rPr>
          <w:rFonts w:ascii="宋体" w:hAnsi="宋体"/>
          <w:bCs/>
          <w:color w:val="auto"/>
          <w:szCs w:val="21"/>
        </w:rPr>
      </w:pPr>
      <w:r>
        <w:rPr>
          <w:rFonts w:hint="eastAsia" w:ascii="宋体" w:hAnsi="宋体"/>
          <w:bCs/>
          <w:color w:val="auto"/>
          <w:szCs w:val="21"/>
        </w:rPr>
        <w:t>我单位若在本项目招标中获取中标，保证在成交公告发布后5个工作日内，按照磋商文件中的规定，向招标代理机构一次性足额支付招标代理服务费用。否则，由此产生的一切法律后果和责任有我单位承担。我单位声明放弃对此提出任何异议和追索的权利。</w:t>
      </w:r>
    </w:p>
    <w:p w14:paraId="50523D76">
      <w:pPr>
        <w:spacing w:line="360" w:lineRule="auto"/>
        <w:ind w:firstLine="420" w:firstLineChars="200"/>
        <w:rPr>
          <w:rFonts w:ascii="宋体" w:hAnsi="宋体"/>
          <w:bCs/>
          <w:color w:val="auto"/>
          <w:szCs w:val="21"/>
        </w:rPr>
      </w:pPr>
      <w:r>
        <w:rPr>
          <w:rFonts w:hint="eastAsia" w:ascii="宋体" w:hAnsi="宋体"/>
          <w:bCs/>
          <w:color w:val="auto"/>
          <w:szCs w:val="21"/>
        </w:rPr>
        <w:t>特此承诺。</w:t>
      </w:r>
    </w:p>
    <w:p w14:paraId="74CAF785">
      <w:pPr>
        <w:spacing w:line="360" w:lineRule="auto"/>
        <w:ind w:firstLine="420" w:firstLineChars="200"/>
        <w:rPr>
          <w:rFonts w:ascii="宋体" w:hAnsi="宋体"/>
          <w:bCs/>
          <w:color w:val="auto"/>
          <w:szCs w:val="21"/>
        </w:rPr>
      </w:pPr>
      <w:r>
        <w:rPr>
          <w:rFonts w:hint="eastAsia" w:ascii="宋体" w:hAnsi="宋体"/>
          <w:bCs/>
          <w:color w:val="auto"/>
          <w:szCs w:val="21"/>
        </w:rPr>
        <w:t xml:space="preserve"> </w:t>
      </w:r>
    </w:p>
    <w:p w14:paraId="2DF09C3A">
      <w:pPr>
        <w:spacing w:line="360" w:lineRule="auto"/>
        <w:rPr>
          <w:rFonts w:ascii="宋体" w:hAnsi="宋体"/>
          <w:b/>
          <w:bCs/>
          <w:color w:val="auto"/>
          <w:szCs w:val="21"/>
        </w:rPr>
      </w:pPr>
      <w:r>
        <w:rPr>
          <w:rFonts w:hint="eastAsia" w:ascii="宋体" w:hAnsi="宋体"/>
          <w:b/>
          <w:bCs/>
          <w:color w:val="auto"/>
          <w:szCs w:val="21"/>
        </w:rPr>
        <w:t xml:space="preserve"> </w:t>
      </w:r>
    </w:p>
    <w:p w14:paraId="43FF827A">
      <w:pPr>
        <w:spacing w:line="360" w:lineRule="auto"/>
        <w:rPr>
          <w:rFonts w:ascii="宋体" w:hAnsi="宋体"/>
          <w:b/>
          <w:bCs/>
          <w:color w:val="auto"/>
          <w:szCs w:val="21"/>
        </w:rPr>
      </w:pPr>
      <w:r>
        <w:rPr>
          <w:rFonts w:hint="eastAsia" w:ascii="宋体" w:hAnsi="宋体"/>
          <w:b/>
          <w:bCs/>
          <w:color w:val="auto"/>
          <w:szCs w:val="21"/>
        </w:rPr>
        <w:t xml:space="preserve"> </w:t>
      </w:r>
    </w:p>
    <w:p w14:paraId="589819F8">
      <w:pPr>
        <w:spacing w:line="360" w:lineRule="auto"/>
        <w:ind w:firstLine="420" w:firstLineChars="200"/>
        <w:rPr>
          <w:rFonts w:ascii="宋体" w:hAnsi="宋体"/>
          <w:color w:val="auto"/>
          <w:kern w:val="0"/>
          <w:szCs w:val="21"/>
          <w:u w:val="single"/>
        </w:rPr>
      </w:pPr>
      <w:r>
        <w:rPr>
          <w:rFonts w:hint="eastAsia" w:ascii="宋体" w:hAnsi="宋体"/>
          <w:color w:val="auto"/>
          <w:kern w:val="0"/>
          <w:szCs w:val="21"/>
        </w:rPr>
        <w:t xml:space="preserve">法定代表人或授权委托人： </w:t>
      </w:r>
      <w:r>
        <w:rPr>
          <w:rFonts w:hint="eastAsia" w:ascii="宋体" w:hAnsi="宋体"/>
          <w:color w:val="auto"/>
          <w:kern w:val="0"/>
          <w:szCs w:val="21"/>
          <w:u w:val="single"/>
        </w:rPr>
        <w:t xml:space="preserve">                </w:t>
      </w:r>
      <w:r>
        <w:rPr>
          <w:rFonts w:hint="eastAsia" w:ascii="宋体" w:hAnsi="宋体"/>
          <w:color w:val="auto"/>
          <w:spacing w:val="6"/>
          <w:kern w:val="0"/>
          <w:szCs w:val="21"/>
        </w:rPr>
        <w:t>（电子签章）</w:t>
      </w:r>
    </w:p>
    <w:p w14:paraId="69E4036B">
      <w:pPr>
        <w:spacing w:line="360" w:lineRule="auto"/>
        <w:rPr>
          <w:rFonts w:ascii="宋体" w:hAnsi="宋体"/>
          <w:color w:val="auto"/>
          <w:szCs w:val="21"/>
        </w:rPr>
      </w:pPr>
    </w:p>
    <w:p w14:paraId="797B0592">
      <w:pPr>
        <w:spacing w:line="360" w:lineRule="auto"/>
        <w:ind w:firstLine="420" w:firstLineChars="200"/>
        <w:rPr>
          <w:rFonts w:ascii="宋体" w:hAnsi="宋体"/>
          <w:color w:val="auto"/>
          <w:szCs w:val="21"/>
        </w:rPr>
      </w:pPr>
      <w:r>
        <w:rPr>
          <w:rFonts w:hint="eastAsia" w:ascii="宋体" w:hAnsi="宋体"/>
          <w:color w:val="auto"/>
          <w:szCs w:val="21"/>
        </w:rPr>
        <w:t>供应商：</w:t>
      </w:r>
      <w:r>
        <w:rPr>
          <w:rFonts w:hint="eastAsia" w:ascii="宋体" w:hAnsi="宋体"/>
          <w:color w:val="auto"/>
          <w:szCs w:val="21"/>
          <w:u w:val="single"/>
        </w:rPr>
        <w:t xml:space="preserve">                              </w:t>
      </w:r>
      <w:r>
        <w:rPr>
          <w:rFonts w:hint="eastAsia" w:ascii="宋体" w:hAnsi="宋体"/>
          <w:color w:val="auto"/>
          <w:szCs w:val="21"/>
        </w:rPr>
        <w:t>（全称并加盖</w:t>
      </w:r>
      <w:r>
        <w:rPr>
          <w:rFonts w:hint="eastAsia" w:ascii="宋体" w:hAnsi="宋体"/>
          <w:color w:val="auto"/>
          <w:spacing w:val="6"/>
          <w:kern w:val="0"/>
          <w:szCs w:val="21"/>
        </w:rPr>
        <w:t>电子签章</w:t>
      </w:r>
      <w:r>
        <w:rPr>
          <w:rFonts w:hint="eastAsia" w:ascii="宋体" w:hAnsi="宋体"/>
          <w:color w:val="auto"/>
          <w:szCs w:val="21"/>
        </w:rPr>
        <w:t>）</w:t>
      </w:r>
    </w:p>
    <w:p w14:paraId="2A50837F">
      <w:pPr>
        <w:spacing w:line="360" w:lineRule="auto"/>
        <w:rPr>
          <w:rFonts w:ascii="宋体" w:hAnsi="宋体"/>
          <w:color w:val="auto"/>
          <w:szCs w:val="21"/>
        </w:rPr>
      </w:pPr>
      <w:r>
        <w:rPr>
          <w:rFonts w:hint="eastAsia" w:ascii="宋体" w:hAnsi="宋体"/>
          <w:color w:val="auto"/>
          <w:szCs w:val="21"/>
        </w:rPr>
        <w:t xml:space="preserve">                                 </w:t>
      </w:r>
    </w:p>
    <w:p w14:paraId="67F9A26D">
      <w:pPr>
        <w:spacing w:line="360" w:lineRule="auto"/>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 xml:space="preserve">年 </w:t>
      </w:r>
      <w:r>
        <w:rPr>
          <w:rFonts w:hint="eastAsia" w:ascii="宋体" w:hAnsi="宋体"/>
          <w:color w:val="auto"/>
          <w:szCs w:val="21"/>
          <w:u w:val="single"/>
        </w:rPr>
        <w:t xml:space="preserve">   </w:t>
      </w:r>
      <w:r>
        <w:rPr>
          <w:rFonts w:hint="eastAsia" w:ascii="宋体" w:hAnsi="宋体"/>
          <w:color w:val="auto"/>
          <w:szCs w:val="21"/>
        </w:rPr>
        <w:t xml:space="preserve">月 </w:t>
      </w:r>
      <w:r>
        <w:rPr>
          <w:rFonts w:hint="eastAsia" w:ascii="宋体" w:hAnsi="宋体"/>
          <w:color w:val="auto"/>
          <w:szCs w:val="21"/>
          <w:u w:val="single"/>
        </w:rPr>
        <w:t xml:space="preserve">   </w:t>
      </w:r>
      <w:r>
        <w:rPr>
          <w:rFonts w:hint="eastAsia" w:ascii="宋体" w:hAnsi="宋体"/>
          <w:color w:val="auto"/>
          <w:szCs w:val="21"/>
        </w:rPr>
        <w:t>日</w:t>
      </w:r>
    </w:p>
    <w:p w14:paraId="6BF52140">
      <w:pPr>
        <w:spacing w:line="360" w:lineRule="auto"/>
        <w:rPr>
          <w:rFonts w:hint="eastAsia" w:ascii="宋体" w:hAnsi="宋体"/>
          <w:b/>
          <w:bCs/>
          <w:color w:val="auto"/>
        </w:rPr>
      </w:pPr>
      <w:r>
        <w:rPr>
          <w:rFonts w:hint="eastAsia" w:ascii="宋体" w:hAnsi="宋体"/>
          <w:b/>
          <w:bCs/>
          <w:color w:val="auto"/>
        </w:rPr>
        <w:t xml:space="preserve"> </w:t>
      </w:r>
    </w:p>
    <w:p w14:paraId="5DD164F8">
      <w:pPr>
        <w:spacing w:line="360" w:lineRule="auto"/>
        <w:jc w:val="center"/>
        <w:rPr>
          <w:rFonts w:hint="default" w:ascii="宋体" w:hAnsi="宋体" w:eastAsia="宋体"/>
          <w:b/>
          <w:bCs/>
          <w:color w:val="auto"/>
          <w:sz w:val="32"/>
          <w:szCs w:val="36"/>
          <w:lang w:val="en-US" w:eastAsia="zh-CN"/>
        </w:rPr>
      </w:pPr>
      <w:r>
        <w:rPr>
          <w:rFonts w:hint="eastAsia" w:ascii="宋体" w:hAnsi="宋体"/>
          <w:b/>
          <w:bCs/>
          <w:color w:val="auto"/>
        </w:rPr>
        <w:br w:type="page"/>
      </w:r>
      <w:r>
        <w:rPr>
          <w:rFonts w:hint="eastAsia" w:ascii="宋体" w:hAnsi="宋体"/>
          <w:b/>
          <w:bCs/>
          <w:color w:val="auto"/>
          <w:sz w:val="32"/>
          <w:szCs w:val="36"/>
          <w:lang w:val="en-US" w:eastAsia="zh-CN"/>
        </w:rPr>
        <w:t>7.4、其他资料</w:t>
      </w:r>
    </w:p>
    <w:p w14:paraId="1EE7FED7">
      <w:pPr>
        <w:spacing w:line="360" w:lineRule="auto"/>
        <w:rPr>
          <w:rFonts w:ascii="宋体" w:hAnsi="宋体" w:eastAsia="宋体" w:cs="Segoe UI"/>
          <w:b/>
          <w:bCs/>
          <w:color w:val="auto"/>
          <w:sz w:val="32"/>
          <w:szCs w:val="32"/>
          <w:shd w:val="clear" w:color="auto" w:fill="FFFFFF"/>
        </w:rPr>
      </w:pPr>
    </w:p>
    <w:p w14:paraId="3884A674">
      <w:pPr>
        <w:spacing w:line="360" w:lineRule="auto"/>
        <w:rPr>
          <w:rFonts w:ascii="宋体" w:hAnsi="宋体" w:eastAsia="宋体" w:cs="Segoe UI"/>
          <w:b/>
          <w:bCs/>
          <w:color w:val="auto"/>
          <w:sz w:val="32"/>
          <w:szCs w:val="32"/>
          <w:shd w:val="clear" w:color="auto" w:fill="FFFFFF"/>
        </w:rPr>
      </w:pPr>
    </w:p>
    <w:p w14:paraId="782139AE">
      <w:pPr>
        <w:spacing w:line="360" w:lineRule="auto"/>
        <w:rPr>
          <w:rFonts w:ascii="宋体" w:hAnsi="宋体" w:eastAsia="宋体" w:cs="宋体"/>
          <w:b/>
          <w:bCs/>
          <w:color w:val="auto"/>
          <w:sz w:val="28"/>
          <w:szCs w:val="28"/>
        </w:rPr>
      </w:pPr>
    </w:p>
    <w:p w14:paraId="46535BFE">
      <w:pPr>
        <w:widowControl/>
        <w:jc w:val="left"/>
        <w:rPr>
          <w:rFonts w:ascii="宋体" w:hAnsi="宋体" w:eastAsia="宋体" w:cs="Segoe UI"/>
          <w:color w:val="auto"/>
          <w:shd w:val="clear" w:color="auto" w:fill="FFFFFF"/>
        </w:rPr>
      </w:pPr>
      <w:bookmarkStart w:id="113" w:name="_Toc21091"/>
      <w:r>
        <w:rPr>
          <w:rFonts w:ascii="宋体" w:hAnsi="宋体" w:eastAsia="宋体" w:cs="Segoe UI"/>
          <w:color w:val="auto"/>
          <w:shd w:val="clear" w:color="auto" w:fill="FFFFFF"/>
        </w:rPr>
        <w:br w:type="page"/>
      </w:r>
    </w:p>
    <w:p w14:paraId="4FED21F4">
      <w:pPr>
        <w:spacing w:line="360" w:lineRule="auto"/>
        <w:jc w:val="center"/>
        <w:rPr>
          <w:rFonts w:ascii="宋体" w:hAnsi="宋体" w:eastAsia="宋体" w:cs="Segoe UI"/>
          <w:b/>
          <w:bCs/>
          <w:color w:val="auto"/>
          <w:sz w:val="32"/>
          <w:szCs w:val="32"/>
          <w:shd w:val="clear" w:color="auto" w:fill="FFFFFF"/>
        </w:rPr>
      </w:pPr>
      <w:r>
        <w:rPr>
          <w:rFonts w:hint="eastAsia" w:ascii="宋体" w:hAnsi="宋体" w:eastAsia="宋体" w:cs="Segoe UI"/>
          <w:b/>
          <w:bCs/>
          <w:color w:val="auto"/>
          <w:sz w:val="32"/>
          <w:szCs w:val="32"/>
          <w:shd w:val="clear" w:color="auto" w:fill="FFFFFF"/>
        </w:rPr>
        <w:t xml:space="preserve">政府采购政策 </w:t>
      </w:r>
    </w:p>
    <w:p w14:paraId="04CDE41B">
      <w:pPr>
        <w:spacing w:line="360" w:lineRule="auto"/>
        <w:rPr>
          <w:rFonts w:ascii="宋体" w:hAnsi="宋体"/>
          <w:color w:val="auto"/>
          <w:sz w:val="24"/>
          <w:szCs w:val="24"/>
        </w:rPr>
      </w:pPr>
      <w:r>
        <w:rPr>
          <w:rFonts w:hint="eastAsia" w:ascii="宋体" w:hAnsi="宋体"/>
          <w:color w:val="auto"/>
          <w:sz w:val="24"/>
          <w:szCs w:val="24"/>
        </w:rPr>
        <w:t>一、关于小、微企业及产品（如有）</w:t>
      </w:r>
    </w:p>
    <w:p w14:paraId="049B6050">
      <w:pPr>
        <w:spacing w:line="360" w:lineRule="auto"/>
        <w:rPr>
          <w:rFonts w:ascii="宋体" w:hAnsi="宋体"/>
          <w:bCs/>
          <w:color w:val="auto"/>
          <w:sz w:val="24"/>
        </w:rPr>
      </w:pPr>
      <w:r>
        <w:rPr>
          <w:rFonts w:hint="eastAsia" w:ascii="宋体" w:hAnsi="宋体"/>
          <w:bCs/>
          <w:color w:val="auto"/>
          <w:sz w:val="24"/>
        </w:rPr>
        <w:t>1、政府采购政策：</w:t>
      </w:r>
    </w:p>
    <w:p w14:paraId="60A75EB4">
      <w:pPr>
        <w:spacing w:line="360" w:lineRule="auto"/>
        <w:rPr>
          <w:rFonts w:ascii="宋体" w:hAnsi="宋体"/>
          <w:color w:val="auto"/>
          <w:sz w:val="24"/>
        </w:rPr>
      </w:pPr>
      <w:r>
        <w:rPr>
          <w:rFonts w:hint="eastAsia" w:ascii="宋体" w:hAnsi="宋体"/>
          <w:color w:val="auto"/>
          <w:sz w:val="24"/>
        </w:rPr>
        <w:t>1.1《政府采购促进中小企业发展管理办法》（财库﹝2020﹞46 号）</w:t>
      </w:r>
    </w:p>
    <w:p w14:paraId="78080E75">
      <w:pPr>
        <w:spacing w:line="360" w:lineRule="auto"/>
        <w:rPr>
          <w:color w:val="auto"/>
        </w:rPr>
      </w:pPr>
      <w:r>
        <w:rPr>
          <w:rFonts w:hint="eastAsia" w:ascii="宋体" w:hAnsi="宋体"/>
          <w:color w:val="auto"/>
          <w:sz w:val="24"/>
          <w:szCs w:val="24"/>
        </w:rPr>
        <w:t>1.2《关于进一步加大政府采购支持中小企业力度的通知》的通知（财库﹝2022﹞19号文件）</w:t>
      </w:r>
    </w:p>
    <w:p w14:paraId="28CC5996">
      <w:pPr>
        <w:spacing w:line="360" w:lineRule="auto"/>
        <w:rPr>
          <w:rFonts w:ascii="宋体" w:hAnsi="宋体"/>
          <w:bCs/>
          <w:color w:val="auto"/>
          <w:sz w:val="24"/>
        </w:rPr>
      </w:pPr>
      <w:r>
        <w:rPr>
          <w:rFonts w:hint="eastAsia" w:ascii="宋体" w:hAnsi="宋体"/>
          <w:bCs/>
          <w:color w:val="auto"/>
          <w:sz w:val="24"/>
        </w:rPr>
        <w:t>2、附声明函（</w:t>
      </w:r>
      <w:r>
        <w:rPr>
          <w:rFonts w:hint="eastAsia" w:ascii="宋体" w:hAnsi="宋体"/>
          <w:color w:val="auto"/>
          <w:sz w:val="24"/>
        </w:rPr>
        <w:t>无声明函投标报价评审时不予价格扣除优惠</w:t>
      </w:r>
      <w:r>
        <w:rPr>
          <w:rFonts w:hint="eastAsia" w:ascii="宋体" w:hAnsi="宋体"/>
          <w:bCs/>
          <w:color w:val="auto"/>
          <w:sz w:val="24"/>
        </w:rPr>
        <w:t>）</w:t>
      </w:r>
    </w:p>
    <w:p w14:paraId="415C3730">
      <w:pPr>
        <w:spacing w:line="360" w:lineRule="auto"/>
        <w:rPr>
          <w:color w:val="auto"/>
        </w:rPr>
      </w:pPr>
    </w:p>
    <w:p w14:paraId="50A189E7">
      <w:pPr>
        <w:spacing w:line="360" w:lineRule="auto"/>
        <w:jc w:val="center"/>
        <w:rPr>
          <w:rFonts w:ascii="宋体" w:hAnsi="宋体"/>
          <w:color w:val="auto"/>
          <w:sz w:val="30"/>
          <w:szCs w:val="30"/>
        </w:rPr>
      </w:pPr>
      <w:r>
        <w:rPr>
          <w:rFonts w:hint="eastAsia" w:ascii="宋体" w:hAnsi="宋体"/>
          <w:color w:val="auto"/>
          <w:sz w:val="30"/>
          <w:szCs w:val="30"/>
        </w:rPr>
        <w:t>中小企业声明函</w:t>
      </w:r>
    </w:p>
    <w:p w14:paraId="6587CF7C">
      <w:pPr>
        <w:spacing w:line="360" w:lineRule="auto"/>
        <w:ind w:firstLine="480" w:firstLineChars="200"/>
        <w:rPr>
          <w:rFonts w:ascii="宋体" w:hAnsi="宋体"/>
          <w:color w:val="auto"/>
          <w:sz w:val="24"/>
        </w:rPr>
      </w:pPr>
      <w:r>
        <w:rPr>
          <w:rFonts w:hint="eastAsia" w:ascii="宋体" w:hAnsi="宋体"/>
          <w:color w:val="auto"/>
          <w:sz w:val="24"/>
        </w:rPr>
        <w:t>本公司（联合体）郑重声明，根据《政府采购促进中小企业发展管理办法》（财库﹝2020﹞46 号）的规定，本公司（联合体）参加（单位名称）的（项目名称）采购活动，服务全部由符合政策要求的中小企业承接。相关企业（含联合体中的中小企业、签订分包意向协议的中小企业）的具体情况如下：</w:t>
      </w:r>
    </w:p>
    <w:p w14:paraId="77805AD2">
      <w:pPr>
        <w:spacing w:line="360" w:lineRule="auto"/>
        <w:ind w:firstLine="480" w:firstLineChars="200"/>
        <w:rPr>
          <w:rFonts w:ascii="宋体" w:hAnsi="宋体"/>
          <w:color w:val="auto"/>
          <w:sz w:val="24"/>
        </w:rPr>
      </w:pPr>
      <w:r>
        <w:rPr>
          <w:rFonts w:hint="eastAsia" w:ascii="宋体" w:hAnsi="宋体"/>
          <w:color w:val="auto"/>
          <w:sz w:val="24"/>
        </w:rPr>
        <w:t>1.</w:t>
      </w:r>
      <w:r>
        <w:rPr>
          <w:rFonts w:hint="eastAsia" w:ascii="宋体" w:hAnsi="宋体"/>
          <w:color w:val="auto"/>
          <w:sz w:val="24"/>
          <w:u w:val="single"/>
        </w:rPr>
        <w:t xml:space="preserve">（标的名称） </w:t>
      </w:r>
      <w:r>
        <w:rPr>
          <w:rFonts w:hint="eastAsia" w:ascii="宋体" w:hAnsi="宋体"/>
          <w:color w:val="auto"/>
          <w:sz w:val="24"/>
        </w:rPr>
        <w:t>，属于</w:t>
      </w:r>
      <w:r>
        <w:rPr>
          <w:rFonts w:hint="eastAsia" w:ascii="宋体" w:hAnsi="宋体"/>
          <w:color w:val="auto"/>
          <w:sz w:val="24"/>
          <w:u w:val="single"/>
        </w:rPr>
        <w:t>（采购文件中明确的所属行业）</w:t>
      </w:r>
      <w:r>
        <w:rPr>
          <w:rFonts w:hint="eastAsia" w:ascii="宋体" w:hAnsi="宋体"/>
          <w:color w:val="auto"/>
          <w:sz w:val="24"/>
        </w:rPr>
        <w:t>；承建（承接）企业为</w:t>
      </w:r>
      <w:r>
        <w:rPr>
          <w:rFonts w:hint="eastAsia" w:ascii="宋体" w:hAnsi="宋体"/>
          <w:color w:val="auto"/>
          <w:sz w:val="24"/>
          <w:u w:val="single"/>
        </w:rPr>
        <w:t>（企业名称）</w:t>
      </w:r>
      <w:r>
        <w:rPr>
          <w:rFonts w:hint="eastAsia" w:ascii="宋体" w:hAnsi="宋体"/>
          <w:color w:val="auto"/>
          <w:sz w:val="24"/>
        </w:rPr>
        <w:t>，从业人员</w:t>
      </w:r>
      <w:r>
        <w:rPr>
          <w:rFonts w:hint="eastAsia" w:ascii="宋体" w:hAnsi="宋体"/>
          <w:color w:val="auto"/>
          <w:sz w:val="24"/>
          <w:u w:val="single"/>
        </w:rPr>
        <w:t xml:space="preserve"> </w:t>
      </w:r>
      <w:r>
        <w:rPr>
          <w:rFonts w:hint="eastAsia" w:ascii="宋体" w:hAnsi="宋体"/>
          <w:color w:val="auto"/>
          <w:sz w:val="24"/>
        </w:rPr>
        <w:t>人，营业 收入为</w:t>
      </w:r>
      <w:r>
        <w:rPr>
          <w:rFonts w:hint="eastAsia" w:ascii="宋体" w:hAnsi="宋体"/>
          <w:color w:val="auto"/>
          <w:sz w:val="24"/>
          <w:u w:val="single"/>
        </w:rPr>
        <w:t xml:space="preserve"> </w:t>
      </w:r>
      <w:r>
        <w:rPr>
          <w:rFonts w:hint="eastAsia" w:ascii="宋体" w:hAnsi="宋体"/>
          <w:color w:val="auto"/>
          <w:sz w:val="24"/>
        </w:rPr>
        <w:t>万元，资产总额为</w:t>
      </w:r>
      <w:r>
        <w:rPr>
          <w:rFonts w:hint="eastAsia" w:ascii="宋体" w:hAnsi="宋体"/>
          <w:color w:val="auto"/>
          <w:sz w:val="24"/>
          <w:u w:val="single"/>
        </w:rPr>
        <w:t xml:space="preserve"> </w:t>
      </w:r>
      <w:r>
        <w:rPr>
          <w:rFonts w:hint="eastAsia" w:ascii="宋体" w:hAnsi="宋体"/>
          <w:color w:val="auto"/>
          <w:sz w:val="24"/>
        </w:rPr>
        <w:t>万元，属于</w:t>
      </w:r>
      <w:r>
        <w:rPr>
          <w:rFonts w:hint="eastAsia" w:ascii="宋体" w:hAnsi="宋体"/>
          <w:color w:val="auto"/>
          <w:sz w:val="24"/>
          <w:u w:val="single"/>
        </w:rPr>
        <w:t>（中型企业、 小型企业、微型企业）</w:t>
      </w:r>
      <w:r>
        <w:rPr>
          <w:rFonts w:hint="eastAsia" w:ascii="宋体" w:hAnsi="宋体"/>
          <w:color w:val="auto"/>
          <w:sz w:val="24"/>
        </w:rPr>
        <w:t xml:space="preserve">； </w:t>
      </w:r>
    </w:p>
    <w:p w14:paraId="079B8E06">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u w:val="single"/>
        </w:rPr>
        <w:t xml:space="preserve">（标的名称） </w:t>
      </w:r>
      <w:r>
        <w:rPr>
          <w:rFonts w:hint="eastAsia" w:ascii="宋体" w:hAnsi="宋体"/>
          <w:color w:val="auto"/>
          <w:sz w:val="24"/>
        </w:rPr>
        <w:t>，属于</w:t>
      </w:r>
      <w:r>
        <w:rPr>
          <w:rFonts w:hint="eastAsia" w:ascii="宋体" w:hAnsi="宋体"/>
          <w:color w:val="auto"/>
          <w:sz w:val="24"/>
          <w:u w:val="single"/>
        </w:rPr>
        <w:t>（采购文件中明确的所属行业）</w:t>
      </w:r>
      <w:r>
        <w:rPr>
          <w:rFonts w:hint="eastAsia" w:ascii="宋体" w:hAnsi="宋体"/>
          <w:color w:val="auto"/>
          <w:sz w:val="24"/>
        </w:rPr>
        <w:t>； 承建（承接）企业为</w:t>
      </w:r>
      <w:r>
        <w:rPr>
          <w:rFonts w:hint="eastAsia" w:ascii="宋体" w:hAnsi="宋体"/>
          <w:color w:val="auto"/>
          <w:sz w:val="24"/>
          <w:u w:val="single"/>
        </w:rPr>
        <w:t>（企业名称）</w:t>
      </w:r>
      <w:r>
        <w:rPr>
          <w:rFonts w:hint="eastAsia" w:ascii="宋体" w:hAnsi="宋体"/>
          <w:color w:val="auto"/>
          <w:sz w:val="24"/>
        </w:rPr>
        <w:t>，从业人员</w:t>
      </w:r>
      <w:r>
        <w:rPr>
          <w:rFonts w:hint="eastAsia" w:ascii="宋体" w:hAnsi="宋体"/>
          <w:color w:val="auto"/>
          <w:sz w:val="24"/>
          <w:u w:val="single"/>
        </w:rPr>
        <w:t xml:space="preserve"> </w:t>
      </w:r>
      <w:r>
        <w:rPr>
          <w:rFonts w:hint="eastAsia" w:ascii="宋体" w:hAnsi="宋体"/>
          <w:color w:val="auto"/>
          <w:sz w:val="24"/>
        </w:rPr>
        <w:t>人，营业 收入为</w:t>
      </w:r>
      <w:r>
        <w:rPr>
          <w:rFonts w:hint="eastAsia" w:ascii="宋体" w:hAnsi="宋体"/>
          <w:color w:val="auto"/>
          <w:sz w:val="24"/>
          <w:u w:val="single"/>
        </w:rPr>
        <w:t xml:space="preserve"> </w:t>
      </w:r>
      <w:r>
        <w:rPr>
          <w:rFonts w:hint="eastAsia" w:ascii="宋体" w:hAnsi="宋体"/>
          <w:color w:val="auto"/>
          <w:sz w:val="24"/>
        </w:rPr>
        <w:t>万元，资产总额为</w:t>
      </w:r>
      <w:r>
        <w:rPr>
          <w:rFonts w:hint="eastAsia" w:ascii="宋体" w:hAnsi="宋体"/>
          <w:color w:val="auto"/>
          <w:sz w:val="24"/>
          <w:u w:val="single"/>
        </w:rPr>
        <w:t xml:space="preserve"> </w:t>
      </w:r>
      <w:r>
        <w:rPr>
          <w:rFonts w:hint="eastAsia" w:ascii="宋体" w:hAnsi="宋体"/>
          <w:color w:val="auto"/>
          <w:sz w:val="24"/>
        </w:rPr>
        <w:t>万元，属于</w:t>
      </w:r>
      <w:r>
        <w:rPr>
          <w:rFonts w:hint="eastAsia" w:ascii="宋体" w:hAnsi="宋体"/>
          <w:color w:val="auto"/>
          <w:sz w:val="24"/>
          <w:u w:val="single"/>
        </w:rPr>
        <w:t>（中型企业、 小型企业、微型企业）</w:t>
      </w:r>
      <w:r>
        <w:rPr>
          <w:rFonts w:hint="eastAsia" w:ascii="宋体" w:hAnsi="宋体"/>
          <w:color w:val="auto"/>
          <w:sz w:val="24"/>
        </w:rPr>
        <w:t xml:space="preserve">； </w:t>
      </w:r>
    </w:p>
    <w:p w14:paraId="06E48327">
      <w:pPr>
        <w:spacing w:line="360" w:lineRule="auto"/>
        <w:rPr>
          <w:rFonts w:ascii="宋体" w:hAnsi="宋体"/>
          <w:color w:val="auto"/>
          <w:sz w:val="24"/>
        </w:rPr>
      </w:pPr>
      <w:r>
        <w:rPr>
          <w:rFonts w:hint="eastAsia" w:ascii="宋体" w:hAnsi="宋体"/>
          <w:color w:val="auto"/>
          <w:sz w:val="24"/>
        </w:rPr>
        <w:t>……</w:t>
      </w:r>
    </w:p>
    <w:p w14:paraId="68F649F1">
      <w:pPr>
        <w:spacing w:line="360" w:lineRule="auto"/>
        <w:ind w:firstLine="480" w:firstLineChars="200"/>
        <w:rPr>
          <w:rFonts w:ascii="宋体" w:hAnsi="宋体"/>
          <w:color w:val="auto"/>
          <w:sz w:val="24"/>
        </w:rPr>
      </w:pPr>
      <w:r>
        <w:rPr>
          <w:rFonts w:hint="eastAsia" w:ascii="宋体" w:hAnsi="宋体"/>
          <w:color w:val="auto"/>
          <w:sz w:val="24"/>
        </w:rPr>
        <w:t>以上企业，不属于大企业的分支机构，不存在控股股东为大企业的情形，也不存在与大企业的负责人为同一人的情形。本企业对上述声明内容的真实性负责。如有虚假，将依法承担相应责任。</w:t>
      </w:r>
    </w:p>
    <w:p w14:paraId="421DF45C">
      <w:pPr>
        <w:spacing w:line="360" w:lineRule="auto"/>
        <w:ind w:firstLine="5244" w:firstLineChars="2185"/>
        <w:rPr>
          <w:rFonts w:ascii="宋体" w:hAnsi="宋体"/>
          <w:color w:val="auto"/>
          <w:sz w:val="24"/>
        </w:rPr>
      </w:pPr>
      <w:r>
        <w:rPr>
          <w:rFonts w:hint="eastAsia" w:ascii="宋体" w:hAnsi="宋体"/>
          <w:color w:val="auto"/>
          <w:sz w:val="24"/>
        </w:rPr>
        <w:t xml:space="preserve">企业名称（盖电子签章）： </w:t>
      </w:r>
    </w:p>
    <w:p w14:paraId="2201F776">
      <w:pPr>
        <w:spacing w:line="360" w:lineRule="auto"/>
        <w:ind w:firstLine="5244" w:firstLineChars="2185"/>
        <w:rPr>
          <w:rFonts w:ascii="宋体" w:hAnsi="宋体"/>
          <w:color w:val="auto"/>
          <w:sz w:val="24"/>
        </w:rPr>
      </w:pPr>
      <w:r>
        <w:rPr>
          <w:rFonts w:hint="eastAsia" w:ascii="宋体" w:hAnsi="宋体"/>
          <w:color w:val="auto"/>
          <w:kern w:val="0"/>
          <w:sz w:val="24"/>
          <w:u w:val="single"/>
        </w:rPr>
        <w:t xml:space="preserve">   </w:t>
      </w:r>
      <w:r>
        <w:rPr>
          <w:rFonts w:hint="eastAsia" w:ascii="宋体" w:hAnsi="宋体"/>
          <w:color w:val="auto"/>
          <w:kern w:val="0"/>
          <w:sz w:val="24"/>
          <w:u w:val="single"/>
        </w:rPr>
        <w:tab/>
      </w:r>
      <w:r>
        <w:rPr>
          <w:rFonts w:hint="eastAsia" w:ascii="宋体" w:hAnsi="宋体"/>
          <w:color w:val="auto"/>
          <w:kern w:val="0"/>
          <w:sz w:val="24"/>
        </w:rPr>
        <w:t>年</w:t>
      </w:r>
      <w:r>
        <w:rPr>
          <w:rFonts w:hint="eastAsia" w:ascii="宋体" w:hAnsi="宋体"/>
          <w:color w:val="auto"/>
          <w:spacing w:val="43"/>
          <w:kern w:val="0"/>
          <w:sz w:val="24"/>
          <w:u w:val="single"/>
        </w:rPr>
        <w:t xml:space="preserve"> </w:t>
      </w:r>
      <w:r>
        <w:rPr>
          <w:rFonts w:hint="eastAsia" w:ascii="宋体" w:hAnsi="宋体"/>
          <w:color w:val="auto"/>
          <w:kern w:val="0"/>
          <w:sz w:val="24"/>
          <w:u w:val="single"/>
        </w:rPr>
        <w:tab/>
      </w:r>
      <w:r>
        <w:rPr>
          <w:rFonts w:hint="eastAsia" w:ascii="宋体" w:hAnsi="宋体"/>
          <w:color w:val="auto"/>
          <w:kern w:val="0"/>
          <w:sz w:val="24"/>
        </w:rPr>
        <w:t>月</w:t>
      </w:r>
      <w:r>
        <w:rPr>
          <w:rFonts w:hint="eastAsia" w:ascii="宋体" w:hAnsi="宋体"/>
          <w:color w:val="auto"/>
          <w:spacing w:val="43"/>
          <w:kern w:val="0"/>
          <w:sz w:val="24"/>
          <w:u w:val="single"/>
        </w:rPr>
        <w:t xml:space="preserve"> </w:t>
      </w:r>
      <w:r>
        <w:rPr>
          <w:rFonts w:hint="eastAsia" w:ascii="宋体" w:hAnsi="宋体"/>
          <w:color w:val="auto"/>
          <w:kern w:val="0"/>
          <w:sz w:val="24"/>
          <w:u w:val="single"/>
        </w:rPr>
        <w:tab/>
      </w:r>
      <w:r>
        <w:rPr>
          <w:rFonts w:hint="eastAsia" w:ascii="宋体" w:hAnsi="宋体"/>
          <w:color w:val="auto"/>
          <w:kern w:val="0"/>
          <w:sz w:val="24"/>
        </w:rPr>
        <w:t>日</w:t>
      </w:r>
    </w:p>
    <w:p w14:paraId="4656FA97">
      <w:pPr>
        <w:spacing w:line="360" w:lineRule="auto"/>
        <w:rPr>
          <w:rFonts w:ascii="宋体" w:hAnsi="宋体"/>
          <w:color w:val="auto"/>
          <w:sz w:val="24"/>
          <w:vertAlign w:val="superscript"/>
        </w:rPr>
      </w:pPr>
    </w:p>
    <w:p w14:paraId="4D576599">
      <w:pPr>
        <w:spacing w:line="360" w:lineRule="auto"/>
        <w:rPr>
          <w:rFonts w:ascii="宋体" w:hAnsi="宋体"/>
          <w:color w:val="auto"/>
          <w:sz w:val="24"/>
        </w:rPr>
      </w:pPr>
      <w:r>
        <w:rPr>
          <w:rFonts w:hint="eastAsia" w:ascii="宋体" w:hAnsi="宋体"/>
          <w:color w:val="auto"/>
          <w:sz w:val="24"/>
          <w:vertAlign w:val="superscript"/>
        </w:rPr>
        <w:t>1</w:t>
      </w:r>
      <w:r>
        <w:rPr>
          <w:rFonts w:hint="eastAsia" w:ascii="宋体" w:hAnsi="宋体"/>
          <w:color w:val="auto"/>
          <w:sz w:val="24"/>
        </w:rPr>
        <w:t>从业人员、营业收入、资产总额填报上一年度数据，无上一年度数据的新成立企业可不填报。</w:t>
      </w:r>
      <w:r>
        <w:rPr>
          <w:rFonts w:hint="eastAsia" w:ascii="宋体" w:hAnsi="宋体"/>
          <w:color w:val="auto"/>
          <w:sz w:val="24"/>
        </w:rPr>
        <w:br w:type="page"/>
      </w:r>
      <w:r>
        <w:rPr>
          <w:rFonts w:hint="eastAsia" w:ascii="宋体" w:hAnsi="宋体"/>
          <w:color w:val="auto"/>
          <w:sz w:val="24"/>
        </w:rPr>
        <w:t>二、关于节能产品、环境标志产品（如有）</w:t>
      </w:r>
    </w:p>
    <w:p w14:paraId="0BD7398A">
      <w:pPr>
        <w:spacing w:line="360" w:lineRule="auto"/>
        <w:rPr>
          <w:rFonts w:ascii="宋体" w:hAnsi="宋体"/>
          <w:b/>
          <w:bCs/>
          <w:color w:val="auto"/>
          <w:sz w:val="24"/>
        </w:rPr>
      </w:pPr>
      <w:r>
        <w:rPr>
          <w:rFonts w:hint="eastAsia" w:ascii="宋体" w:hAnsi="宋体"/>
          <w:b/>
          <w:bCs/>
          <w:color w:val="auto"/>
          <w:sz w:val="24"/>
        </w:rPr>
        <w:t>执行国家最新一期节能、环境标志产品清单及相关要求</w:t>
      </w:r>
    </w:p>
    <w:p w14:paraId="300B24C5">
      <w:pPr>
        <w:spacing w:line="360" w:lineRule="auto"/>
        <w:rPr>
          <w:rFonts w:ascii="宋体" w:hAnsi="宋体"/>
          <w:b/>
          <w:bCs/>
          <w:color w:val="auto"/>
        </w:rPr>
      </w:pPr>
      <w:r>
        <w:rPr>
          <w:rFonts w:hint="eastAsia" w:ascii="宋体" w:hAnsi="宋体"/>
          <w:b/>
          <w:bCs/>
          <w:color w:val="auto"/>
        </w:rPr>
        <w:t xml:space="preserve"> </w:t>
      </w:r>
    </w:p>
    <w:p w14:paraId="53B6D05D">
      <w:pPr>
        <w:spacing w:line="360" w:lineRule="auto"/>
        <w:rPr>
          <w:rFonts w:ascii="宋体" w:hAnsi="宋体"/>
          <w:b/>
          <w:bCs/>
          <w:color w:val="auto"/>
        </w:rPr>
      </w:pPr>
      <w:r>
        <w:rPr>
          <w:rFonts w:hint="eastAsia" w:ascii="宋体" w:hAnsi="宋体"/>
          <w:b/>
          <w:bCs/>
          <w:color w:val="auto"/>
        </w:rPr>
        <w:t xml:space="preserve"> </w:t>
      </w:r>
    </w:p>
    <w:p w14:paraId="174B4CF3">
      <w:pPr>
        <w:spacing w:line="360" w:lineRule="auto"/>
        <w:rPr>
          <w:rFonts w:ascii="宋体" w:hAnsi="宋体"/>
          <w:b/>
          <w:bCs/>
          <w:color w:val="auto"/>
        </w:rPr>
      </w:pPr>
      <w:r>
        <w:rPr>
          <w:rFonts w:hint="eastAsia" w:ascii="宋体" w:hAnsi="宋体"/>
          <w:b/>
          <w:bCs/>
          <w:color w:val="auto"/>
        </w:rPr>
        <w:t xml:space="preserve"> </w:t>
      </w:r>
    </w:p>
    <w:p w14:paraId="117415C8">
      <w:pPr>
        <w:spacing w:line="360" w:lineRule="auto"/>
        <w:rPr>
          <w:rFonts w:ascii="宋体" w:hAnsi="宋体"/>
          <w:b/>
          <w:bCs/>
          <w:color w:val="auto"/>
        </w:rPr>
      </w:pPr>
      <w:r>
        <w:rPr>
          <w:rFonts w:hint="eastAsia" w:ascii="宋体" w:hAnsi="宋体"/>
          <w:b/>
          <w:bCs/>
          <w:color w:val="auto"/>
        </w:rPr>
        <w:t xml:space="preserve"> </w:t>
      </w:r>
    </w:p>
    <w:p w14:paraId="175B28F8">
      <w:pPr>
        <w:spacing w:line="360" w:lineRule="auto"/>
        <w:rPr>
          <w:rFonts w:ascii="宋体" w:hAnsi="宋体"/>
          <w:color w:val="auto"/>
          <w:sz w:val="24"/>
          <w:szCs w:val="24"/>
        </w:rPr>
      </w:pPr>
      <w:r>
        <w:rPr>
          <w:rFonts w:hint="eastAsia" w:ascii="宋体" w:hAnsi="宋体"/>
          <w:color w:val="auto"/>
          <w:szCs w:val="21"/>
        </w:rPr>
        <w:br w:type="page"/>
      </w:r>
      <w:r>
        <w:rPr>
          <w:rFonts w:hint="eastAsia" w:ascii="宋体" w:hAnsi="宋体"/>
          <w:color w:val="auto"/>
          <w:sz w:val="24"/>
          <w:szCs w:val="24"/>
        </w:rPr>
        <w:t>三、关于监狱企业（如有）</w:t>
      </w:r>
    </w:p>
    <w:p w14:paraId="13431B96">
      <w:pPr>
        <w:spacing w:line="360" w:lineRule="auto"/>
        <w:rPr>
          <w:rFonts w:ascii="宋体" w:hAnsi="宋体"/>
          <w:b/>
          <w:bCs/>
          <w:color w:val="auto"/>
          <w:sz w:val="24"/>
        </w:rPr>
      </w:pPr>
      <w:r>
        <w:rPr>
          <w:rFonts w:hint="eastAsia" w:ascii="宋体" w:hAnsi="宋体"/>
          <w:b/>
          <w:bCs/>
          <w:color w:val="auto"/>
          <w:sz w:val="24"/>
        </w:rPr>
        <w:t>1、政府采购政策</w:t>
      </w:r>
    </w:p>
    <w:p w14:paraId="751FE619">
      <w:pPr>
        <w:spacing w:line="360" w:lineRule="auto"/>
        <w:ind w:firstLine="480" w:firstLineChars="200"/>
        <w:rPr>
          <w:rFonts w:ascii="宋体" w:hAnsi="宋体"/>
          <w:color w:val="auto"/>
          <w:kern w:val="0"/>
          <w:sz w:val="24"/>
        </w:rPr>
      </w:pPr>
      <w:r>
        <w:rPr>
          <w:rFonts w:hint="eastAsia" w:ascii="宋体" w:hAnsi="宋体"/>
          <w:color w:val="auto"/>
          <w:kern w:val="0"/>
          <w:sz w:val="24"/>
        </w:rPr>
        <w:t>财政部、司法部关于政府采购支持监狱企业发展有关问题的通知（财库【2014】68号）</w:t>
      </w:r>
    </w:p>
    <w:p w14:paraId="39598393">
      <w:pPr>
        <w:spacing w:line="360" w:lineRule="auto"/>
        <w:rPr>
          <w:rFonts w:ascii="宋体" w:hAnsi="宋体"/>
          <w:color w:val="auto"/>
          <w:kern w:val="0"/>
          <w:sz w:val="24"/>
        </w:rPr>
      </w:pPr>
      <w:r>
        <w:rPr>
          <w:rFonts w:hint="eastAsia" w:ascii="宋体" w:hAnsi="宋体"/>
          <w:color w:val="auto"/>
          <w:kern w:val="0"/>
          <w:sz w:val="24"/>
        </w:rPr>
        <w:t xml:space="preserve"> </w:t>
      </w:r>
    </w:p>
    <w:p w14:paraId="61D24D45">
      <w:pPr>
        <w:spacing w:line="360" w:lineRule="auto"/>
        <w:rPr>
          <w:rFonts w:ascii="宋体" w:hAnsi="宋体"/>
          <w:b/>
          <w:bCs/>
          <w:color w:val="auto"/>
          <w:sz w:val="24"/>
        </w:rPr>
      </w:pPr>
      <w:r>
        <w:rPr>
          <w:rFonts w:hint="eastAsia" w:ascii="宋体" w:hAnsi="宋体"/>
          <w:b/>
          <w:bCs/>
          <w:color w:val="auto"/>
          <w:sz w:val="24"/>
        </w:rPr>
        <w:t>2、附证明材料</w:t>
      </w:r>
    </w:p>
    <w:p w14:paraId="372B65C3">
      <w:pPr>
        <w:spacing w:line="360" w:lineRule="auto"/>
        <w:ind w:firstLine="480" w:firstLineChars="200"/>
        <w:rPr>
          <w:rFonts w:ascii="宋体" w:hAnsi="宋体"/>
          <w:color w:val="auto"/>
          <w:sz w:val="24"/>
        </w:rPr>
      </w:pPr>
      <w:r>
        <w:rPr>
          <w:rFonts w:hint="eastAsia" w:ascii="宋体" w:hAnsi="宋体"/>
          <w:color w:val="auto"/>
          <w:sz w:val="24"/>
        </w:rPr>
        <w:t>提供由省级以上监狱管理局、戒毒管理局（含新疆生产建设兵团）出具的属于监狱企业的证明文件，否则投标报价评审时不予价格扣除优惠。</w:t>
      </w:r>
    </w:p>
    <w:p w14:paraId="23137B80">
      <w:pPr>
        <w:spacing w:line="360" w:lineRule="auto"/>
        <w:rPr>
          <w:rFonts w:ascii="宋体" w:hAnsi="宋体"/>
          <w:color w:val="auto"/>
          <w:sz w:val="24"/>
          <w:szCs w:val="24"/>
        </w:rPr>
      </w:pPr>
      <w:r>
        <w:rPr>
          <w:rFonts w:hint="eastAsia" w:ascii="宋体" w:hAnsi="宋体"/>
          <w:color w:val="auto"/>
          <w:sz w:val="24"/>
          <w:szCs w:val="24"/>
        </w:rPr>
        <w:br w:type="page"/>
      </w:r>
      <w:r>
        <w:rPr>
          <w:rFonts w:hint="eastAsia" w:ascii="宋体" w:hAnsi="宋体"/>
          <w:color w:val="auto"/>
          <w:sz w:val="24"/>
          <w:szCs w:val="24"/>
        </w:rPr>
        <w:t>四、关于促进残疾人就业的政府采购政策（如有）</w:t>
      </w:r>
    </w:p>
    <w:p w14:paraId="5411E7F1">
      <w:pPr>
        <w:spacing w:line="360" w:lineRule="auto"/>
        <w:rPr>
          <w:rFonts w:ascii="宋体" w:hAnsi="宋体"/>
          <w:color w:val="auto"/>
          <w:sz w:val="24"/>
        </w:rPr>
      </w:pPr>
      <w:r>
        <w:rPr>
          <w:rFonts w:hint="eastAsia" w:ascii="宋体" w:hAnsi="宋体"/>
          <w:color w:val="auto"/>
          <w:sz w:val="24"/>
        </w:rPr>
        <w:t xml:space="preserve"> </w:t>
      </w:r>
    </w:p>
    <w:p w14:paraId="44979071">
      <w:pPr>
        <w:spacing w:line="360" w:lineRule="auto"/>
        <w:rPr>
          <w:rFonts w:ascii="宋体" w:hAnsi="宋体"/>
          <w:b/>
          <w:bCs/>
          <w:color w:val="auto"/>
          <w:sz w:val="24"/>
        </w:rPr>
      </w:pPr>
      <w:r>
        <w:rPr>
          <w:rFonts w:hint="eastAsia" w:ascii="宋体" w:hAnsi="宋体"/>
          <w:b/>
          <w:bCs/>
          <w:color w:val="auto"/>
          <w:sz w:val="24"/>
        </w:rPr>
        <w:t>政府采购政策</w:t>
      </w:r>
    </w:p>
    <w:p w14:paraId="4B5E195A">
      <w:pPr>
        <w:spacing w:line="360" w:lineRule="auto"/>
        <w:rPr>
          <w:rFonts w:ascii="宋体" w:hAnsi="宋体"/>
          <w:color w:val="auto"/>
          <w:spacing w:val="6"/>
          <w:sz w:val="24"/>
        </w:rPr>
      </w:pPr>
      <w:r>
        <w:rPr>
          <w:rFonts w:hint="eastAsia" w:ascii="宋体" w:hAnsi="宋体"/>
          <w:color w:val="auto"/>
          <w:spacing w:val="6"/>
          <w:sz w:val="24"/>
        </w:rPr>
        <w:t>关于促进残疾人就业政府采购政策的通知（财库〔2017〕141号）</w:t>
      </w:r>
    </w:p>
    <w:p w14:paraId="69BBC70B">
      <w:pPr>
        <w:spacing w:line="360" w:lineRule="auto"/>
        <w:rPr>
          <w:rFonts w:ascii="宋体" w:hAnsi="宋体"/>
          <w:color w:val="auto"/>
          <w:kern w:val="0"/>
          <w:sz w:val="24"/>
        </w:rPr>
      </w:pPr>
      <w:r>
        <w:rPr>
          <w:rFonts w:hint="eastAsia" w:ascii="宋体" w:hAnsi="宋体"/>
          <w:b/>
          <w:bCs/>
          <w:color w:val="auto"/>
          <w:kern w:val="0"/>
          <w:sz w:val="24"/>
        </w:rPr>
        <w:t xml:space="preserve"> </w:t>
      </w:r>
    </w:p>
    <w:p w14:paraId="7847677E">
      <w:pPr>
        <w:spacing w:line="360" w:lineRule="auto"/>
        <w:rPr>
          <w:rFonts w:ascii="宋体" w:hAnsi="宋体"/>
          <w:b/>
          <w:bCs/>
          <w:color w:val="auto"/>
          <w:kern w:val="0"/>
          <w:sz w:val="24"/>
        </w:rPr>
      </w:pPr>
      <w:r>
        <w:rPr>
          <w:rFonts w:hint="eastAsia" w:ascii="宋体" w:hAnsi="宋体"/>
          <w:b/>
          <w:bCs/>
          <w:color w:val="auto"/>
          <w:kern w:val="0"/>
          <w:sz w:val="24"/>
        </w:rPr>
        <w:t>2、附声明函（</w:t>
      </w:r>
      <w:r>
        <w:rPr>
          <w:rFonts w:hint="eastAsia" w:ascii="宋体" w:hAnsi="宋体"/>
          <w:color w:val="auto"/>
          <w:sz w:val="24"/>
        </w:rPr>
        <w:t>无声明函投标报价评审时不予价格扣除优惠</w:t>
      </w:r>
      <w:r>
        <w:rPr>
          <w:rFonts w:hint="eastAsia" w:ascii="宋体" w:hAnsi="宋体"/>
          <w:b/>
          <w:bCs/>
          <w:color w:val="auto"/>
          <w:kern w:val="0"/>
          <w:sz w:val="24"/>
        </w:rPr>
        <w:t>）</w:t>
      </w:r>
    </w:p>
    <w:p w14:paraId="54585AE8">
      <w:pPr>
        <w:spacing w:line="360" w:lineRule="auto"/>
        <w:rPr>
          <w:rFonts w:ascii="宋体" w:hAnsi="宋体"/>
          <w:color w:val="auto"/>
          <w:kern w:val="0"/>
          <w:sz w:val="24"/>
        </w:rPr>
      </w:pPr>
      <w:r>
        <w:rPr>
          <w:rFonts w:hint="eastAsia" w:ascii="宋体" w:hAnsi="宋体"/>
          <w:color w:val="auto"/>
          <w:kern w:val="0"/>
          <w:sz w:val="24"/>
        </w:rPr>
        <w:t xml:space="preserve"> </w:t>
      </w:r>
    </w:p>
    <w:p w14:paraId="2C8B80B6">
      <w:pPr>
        <w:spacing w:line="360" w:lineRule="auto"/>
        <w:rPr>
          <w:rFonts w:ascii="宋体" w:hAnsi="宋体"/>
          <w:b/>
          <w:bCs/>
          <w:color w:val="auto"/>
          <w:spacing w:val="6"/>
          <w:sz w:val="24"/>
        </w:rPr>
      </w:pPr>
      <w:r>
        <w:rPr>
          <w:rFonts w:hint="eastAsia" w:ascii="宋体" w:hAnsi="宋体"/>
          <w:b/>
          <w:bCs/>
          <w:color w:val="auto"/>
          <w:spacing w:val="6"/>
          <w:sz w:val="24"/>
        </w:rPr>
        <w:t xml:space="preserve"> </w:t>
      </w:r>
    </w:p>
    <w:p w14:paraId="30FB1EFA">
      <w:pPr>
        <w:spacing w:line="360" w:lineRule="auto"/>
        <w:jc w:val="center"/>
        <w:rPr>
          <w:rFonts w:hint="eastAsia" w:ascii="宋体" w:hAnsi="宋体" w:eastAsia="宋体"/>
          <w:b/>
          <w:bCs/>
          <w:color w:val="auto"/>
          <w:spacing w:val="6"/>
          <w:sz w:val="24"/>
          <w:lang w:eastAsia="zh-CN"/>
        </w:rPr>
      </w:pPr>
      <w:r>
        <w:rPr>
          <w:rFonts w:hint="eastAsia" w:ascii="宋体" w:hAnsi="宋体"/>
          <w:b/>
          <w:bCs/>
          <w:color w:val="auto"/>
          <w:spacing w:val="6"/>
          <w:sz w:val="24"/>
        </w:rPr>
        <w:t>残疾人福利性单位声明函</w:t>
      </w:r>
      <w:r>
        <w:rPr>
          <w:rFonts w:hint="eastAsia" w:ascii="宋体" w:hAnsi="宋体"/>
          <w:b/>
          <w:bCs/>
          <w:color w:val="auto"/>
          <w:spacing w:val="6"/>
          <w:sz w:val="24"/>
          <w:lang w:eastAsia="zh-CN"/>
        </w:rPr>
        <w:t>（如有）</w:t>
      </w:r>
    </w:p>
    <w:p w14:paraId="06A575A1">
      <w:pPr>
        <w:spacing w:line="360" w:lineRule="auto"/>
        <w:rPr>
          <w:color w:val="auto"/>
          <w:sz w:val="24"/>
        </w:rPr>
      </w:pPr>
    </w:p>
    <w:p w14:paraId="450F6AFA">
      <w:pPr>
        <w:spacing w:line="360" w:lineRule="auto"/>
        <w:rPr>
          <w:rFonts w:ascii="宋体" w:hAnsi="宋体"/>
          <w:b/>
          <w:bCs/>
          <w:color w:val="auto"/>
          <w:spacing w:val="6"/>
          <w:sz w:val="24"/>
        </w:rPr>
      </w:pPr>
      <w:r>
        <w:rPr>
          <w:rFonts w:hint="eastAsia" w:ascii="宋体" w:hAnsi="宋体"/>
          <w:b/>
          <w:bCs/>
          <w:color w:val="auto"/>
          <w:spacing w:val="6"/>
          <w:sz w:val="24"/>
        </w:rPr>
        <w:t xml:space="preserve"> </w:t>
      </w:r>
    </w:p>
    <w:p w14:paraId="4BC7D4A1">
      <w:pPr>
        <w:spacing w:line="360" w:lineRule="auto"/>
        <w:ind w:firstLine="504" w:firstLineChars="200"/>
        <w:rPr>
          <w:rFonts w:ascii="宋体" w:hAnsi="宋体"/>
          <w:color w:val="auto"/>
          <w:spacing w:val="6"/>
          <w:sz w:val="24"/>
        </w:rPr>
      </w:pPr>
      <w:r>
        <w:rPr>
          <w:rFonts w:hint="eastAsia" w:ascii="宋体" w:hAnsi="宋体"/>
          <w:color w:val="auto"/>
          <w:spacing w:val="6"/>
          <w:sz w:val="24"/>
        </w:rPr>
        <w:t>本单位郑重声明，根据《财政部 民政部 中国残疾人联合会关于促进残疾人就业政府采购政策的通知》（财库</w:t>
      </w:r>
      <w:r>
        <w:rPr>
          <w:rFonts w:hint="eastAsia" w:ascii="宋体" w:hAnsi="宋体"/>
          <w:color w:val="auto"/>
          <w:sz w:val="24"/>
        </w:rPr>
        <w:t>〔2017〕141</w:t>
      </w:r>
      <w:r>
        <w:rPr>
          <w:rFonts w:hint="eastAsia" w:ascii="宋体" w:hAnsi="宋体"/>
          <w:color w:val="auto"/>
          <w:spacing w:val="6"/>
          <w:sz w:val="24"/>
        </w:rPr>
        <w:t>号）的规定，本单位为符合条件的残疾人福利性单位，且本单位参加__________________单位的______________________项目采购活动提供本单位制造的货物（由本单位承担工程/提供服务），或者提供其他残疾人福利性单位制造的货物（不包括使用非残疾人福利性单位注册商标的货物）。</w:t>
      </w:r>
    </w:p>
    <w:p w14:paraId="3667C008">
      <w:pPr>
        <w:spacing w:line="360" w:lineRule="auto"/>
        <w:rPr>
          <w:rFonts w:ascii="宋体" w:hAnsi="宋体"/>
          <w:color w:val="auto"/>
          <w:spacing w:val="6"/>
          <w:sz w:val="24"/>
        </w:rPr>
      </w:pPr>
      <w:r>
        <w:rPr>
          <w:rFonts w:hint="eastAsia" w:ascii="宋体" w:hAnsi="宋体"/>
          <w:color w:val="auto"/>
          <w:spacing w:val="6"/>
          <w:sz w:val="24"/>
        </w:rPr>
        <w:t>本单位对上述声明的真实性负责。如有虚假，将依法承担相应责任。</w:t>
      </w:r>
    </w:p>
    <w:p w14:paraId="25ED6F83">
      <w:pPr>
        <w:spacing w:line="360" w:lineRule="auto"/>
        <w:rPr>
          <w:rFonts w:ascii="宋体" w:hAnsi="宋体"/>
          <w:color w:val="auto"/>
          <w:spacing w:val="6"/>
          <w:sz w:val="24"/>
        </w:rPr>
      </w:pPr>
      <w:r>
        <w:rPr>
          <w:rFonts w:hint="eastAsia" w:ascii="宋体" w:hAnsi="宋体"/>
          <w:color w:val="auto"/>
          <w:spacing w:val="6"/>
          <w:sz w:val="24"/>
        </w:rPr>
        <w:t xml:space="preserve"> </w:t>
      </w:r>
    </w:p>
    <w:p w14:paraId="128C3717">
      <w:pPr>
        <w:spacing w:line="360" w:lineRule="auto"/>
        <w:rPr>
          <w:rFonts w:ascii="宋体" w:hAnsi="宋体"/>
          <w:color w:val="auto"/>
          <w:kern w:val="0"/>
          <w:position w:val="-2"/>
          <w:sz w:val="24"/>
        </w:rPr>
      </w:pPr>
      <w:r>
        <w:rPr>
          <w:rFonts w:hint="eastAsia" w:ascii="宋体" w:hAnsi="宋体"/>
          <w:color w:val="auto"/>
          <w:kern w:val="0"/>
          <w:position w:val="-2"/>
          <w:sz w:val="24"/>
        </w:rPr>
        <w:t xml:space="preserve"> </w:t>
      </w:r>
    </w:p>
    <w:p w14:paraId="75FF3B92">
      <w:pPr>
        <w:spacing w:line="360" w:lineRule="auto"/>
        <w:rPr>
          <w:rFonts w:ascii="宋体" w:hAnsi="宋体"/>
          <w:color w:val="auto"/>
          <w:kern w:val="0"/>
          <w:position w:val="-2"/>
          <w:sz w:val="24"/>
        </w:rPr>
      </w:pPr>
      <w:r>
        <w:rPr>
          <w:rFonts w:hint="eastAsia" w:ascii="宋体" w:hAnsi="宋体"/>
          <w:color w:val="auto"/>
          <w:kern w:val="0"/>
          <w:position w:val="-2"/>
          <w:sz w:val="24"/>
        </w:rPr>
        <w:t xml:space="preserve"> </w:t>
      </w:r>
    </w:p>
    <w:p w14:paraId="7ADACB55">
      <w:pPr>
        <w:spacing w:line="360" w:lineRule="auto"/>
        <w:rPr>
          <w:rFonts w:ascii="宋体" w:hAnsi="宋体"/>
          <w:color w:val="auto"/>
          <w:kern w:val="0"/>
          <w:sz w:val="24"/>
        </w:rPr>
      </w:pPr>
      <w:r>
        <w:rPr>
          <w:rFonts w:hint="eastAsia" w:ascii="宋体" w:hAnsi="宋体"/>
          <w:color w:val="auto"/>
          <w:kern w:val="0"/>
          <w:position w:val="-2"/>
          <w:sz w:val="24"/>
        </w:rPr>
        <w:t>供应商</w:t>
      </w:r>
      <w:r>
        <w:rPr>
          <w:rFonts w:hint="eastAsia" w:ascii="宋体" w:hAnsi="宋体"/>
          <w:color w:val="auto"/>
          <w:spacing w:val="-2"/>
          <w:kern w:val="0"/>
          <w:position w:val="-2"/>
          <w:sz w:val="24"/>
        </w:rPr>
        <w:t>：</w:t>
      </w:r>
      <w:r>
        <w:rPr>
          <w:rFonts w:hint="eastAsia" w:ascii="宋体" w:hAnsi="宋体"/>
          <w:color w:val="auto"/>
          <w:spacing w:val="43"/>
          <w:kern w:val="0"/>
          <w:position w:val="-2"/>
          <w:sz w:val="24"/>
          <w:u w:val="single"/>
        </w:rPr>
        <w:t xml:space="preserve">         </w:t>
      </w:r>
      <w:r>
        <w:rPr>
          <w:rFonts w:hint="eastAsia" w:ascii="宋体" w:hAnsi="宋体"/>
          <w:color w:val="auto"/>
          <w:sz w:val="24"/>
        </w:rPr>
        <w:t>（盖电子签章）</w:t>
      </w:r>
    </w:p>
    <w:p w14:paraId="25F720CD">
      <w:pPr>
        <w:spacing w:line="360" w:lineRule="auto"/>
        <w:rPr>
          <w:rFonts w:ascii="宋体" w:hAnsi="宋体"/>
          <w:color w:val="auto"/>
          <w:kern w:val="0"/>
          <w:sz w:val="24"/>
        </w:rPr>
      </w:pPr>
      <w:r>
        <w:rPr>
          <w:rFonts w:hint="eastAsia" w:ascii="宋体" w:hAnsi="宋体"/>
          <w:color w:val="auto"/>
          <w:kern w:val="0"/>
          <w:sz w:val="24"/>
        </w:rPr>
        <w:t xml:space="preserve"> </w:t>
      </w:r>
    </w:p>
    <w:p w14:paraId="2CF57090">
      <w:pPr>
        <w:spacing w:line="360" w:lineRule="auto"/>
        <w:rPr>
          <w:rFonts w:ascii="宋体" w:hAnsi="宋体"/>
          <w:color w:val="auto"/>
          <w:kern w:val="0"/>
          <w:position w:val="-2"/>
          <w:sz w:val="24"/>
        </w:rPr>
      </w:pPr>
      <w:r>
        <w:rPr>
          <w:rFonts w:hint="eastAsia" w:ascii="宋体" w:hAnsi="宋体"/>
          <w:color w:val="auto"/>
          <w:kern w:val="0"/>
          <w:position w:val="-2"/>
          <w:sz w:val="24"/>
          <w:u w:val="single"/>
        </w:rPr>
        <w:t xml:space="preserve">      </w:t>
      </w:r>
      <w:r>
        <w:rPr>
          <w:rFonts w:hint="eastAsia" w:ascii="宋体" w:hAnsi="宋体"/>
          <w:color w:val="auto"/>
          <w:kern w:val="0"/>
          <w:position w:val="-2"/>
          <w:sz w:val="24"/>
        </w:rPr>
        <w:t>年</w:t>
      </w:r>
      <w:r>
        <w:rPr>
          <w:rFonts w:hint="eastAsia" w:ascii="宋体" w:hAnsi="宋体"/>
          <w:color w:val="auto"/>
          <w:kern w:val="0"/>
          <w:position w:val="-2"/>
          <w:sz w:val="24"/>
          <w:u w:val="single"/>
        </w:rPr>
        <w:t xml:space="preserve">     </w:t>
      </w:r>
      <w:r>
        <w:rPr>
          <w:rFonts w:hint="eastAsia" w:ascii="宋体" w:hAnsi="宋体"/>
          <w:color w:val="auto"/>
          <w:kern w:val="0"/>
          <w:position w:val="-2"/>
          <w:sz w:val="24"/>
        </w:rPr>
        <w:t>月</w:t>
      </w:r>
      <w:r>
        <w:rPr>
          <w:rFonts w:hint="eastAsia" w:ascii="宋体" w:hAnsi="宋体"/>
          <w:color w:val="auto"/>
          <w:kern w:val="0"/>
          <w:position w:val="-2"/>
          <w:sz w:val="24"/>
          <w:u w:val="single"/>
        </w:rPr>
        <w:t xml:space="preserve">    </w:t>
      </w:r>
      <w:r>
        <w:rPr>
          <w:rFonts w:hint="eastAsia" w:ascii="宋体" w:hAnsi="宋体"/>
          <w:color w:val="auto"/>
          <w:kern w:val="0"/>
          <w:position w:val="-2"/>
          <w:sz w:val="24"/>
        </w:rPr>
        <w:t>日</w:t>
      </w:r>
    </w:p>
    <w:p w14:paraId="4ED058B9">
      <w:pPr>
        <w:spacing w:line="360" w:lineRule="auto"/>
        <w:rPr>
          <w:rFonts w:ascii="宋体" w:hAnsi="宋体"/>
          <w:color w:val="auto"/>
          <w:sz w:val="24"/>
        </w:rPr>
      </w:pPr>
      <w:r>
        <w:rPr>
          <w:rFonts w:hint="eastAsia" w:ascii="宋体" w:hAnsi="宋体"/>
          <w:color w:val="auto"/>
          <w:sz w:val="24"/>
        </w:rPr>
        <w:t xml:space="preserve"> </w:t>
      </w:r>
    </w:p>
    <w:p w14:paraId="2E391125">
      <w:pPr>
        <w:spacing w:line="360" w:lineRule="auto"/>
        <w:rPr>
          <w:rFonts w:ascii="宋体" w:hAnsi="宋体"/>
          <w:color w:val="auto"/>
          <w:sz w:val="24"/>
        </w:rPr>
      </w:pPr>
      <w:r>
        <w:rPr>
          <w:rFonts w:hint="eastAsia" w:ascii="宋体" w:hAnsi="宋体"/>
          <w:color w:val="auto"/>
          <w:sz w:val="24"/>
        </w:rPr>
        <w:t xml:space="preserve"> </w:t>
      </w:r>
    </w:p>
    <w:p w14:paraId="017A188A">
      <w:pPr>
        <w:spacing w:line="360" w:lineRule="auto"/>
        <w:rPr>
          <w:rFonts w:ascii="宋体" w:hAnsi="宋体"/>
          <w:color w:val="auto"/>
          <w:sz w:val="24"/>
          <w:szCs w:val="24"/>
        </w:rPr>
      </w:pPr>
      <w:r>
        <w:rPr>
          <w:rFonts w:hint="eastAsia" w:ascii="宋体" w:hAnsi="宋体"/>
          <w:color w:val="auto"/>
          <w:szCs w:val="21"/>
        </w:rPr>
        <w:br w:type="page"/>
      </w:r>
      <w:r>
        <w:rPr>
          <w:rFonts w:hint="eastAsia" w:ascii="宋体" w:hAnsi="宋体"/>
          <w:color w:val="auto"/>
          <w:sz w:val="24"/>
          <w:szCs w:val="24"/>
        </w:rPr>
        <w:t>五、其他政府采购政策及证明材料（如有）</w:t>
      </w:r>
    </w:p>
    <w:p w14:paraId="13703B90">
      <w:pPr>
        <w:spacing w:line="360" w:lineRule="auto"/>
        <w:rPr>
          <w:rFonts w:ascii="宋体" w:hAnsi="宋体"/>
          <w:color w:val="auto"/>
        </w:rPr>
      </w:pPr>
      <w:r>
        <w:rPr>
          <w:rFonts w:hint="eastAsia" w:ascii="宋体" w:hAnsi="宋体"/>
          <w:color w:val="auto"/>
        </w:rPr>
        <w:t xml:space="preserve"> </w:t>
      </w:r>
    </w:p>
    <w:p w14:paraId="013659CB">
      <w:pPr>
        <w:spacing w:line="360" w:lineRule="auto"/>
        <w:rPr>
          <w:rFonts w:ascii="宋体" w:hAnsi="宋体"/>
          <w:color w:val="auto"/>
        </w:rPr>
      </w:pPr>
      <w:r>
        <w:rPr>
          <w:rFonts w:hint="eastAsia" w:ascii="宋体" w:hAnsi="宋体"/>
          <w:color w:val="auto"/>
        </w:rPr>
        <w:t xml:space="preserve"> </w:t>
      </w:r>
    </w:p>
    <w:p w14:paraId="27EA97FC">
      <w:pPr>
        <w:spacing w:line="360" w:lineRule="auto"/>
        <w:rPr>
          <w:rFonts w:ascii="宋体" w:hAnsi="宋体"/>
          <w:color w:val="auto"/>
        </w:rPr>
      </w:pPr>
      <w:r>
        <w:rPr>
          <w:rFonts w:hint="eastAsia" w:ascii="宋体" w:hAnsi="宋体"/>
          <w:color w:val="auto"/>
        </w:rPr>
        <w:t xml:space="preserve"> </w:t>
      </w:r>
    </w:p>
    <w:p w14:paraId="4624599F">
      <w:pPr>
        <w:spacing w:line="360" w:lineRule="auto"/>
        <w:rPr>
          <w:rFonts w:ascii="宋体" w:hAnsi="宋体"/>
          <w:color w:val="auto"/>
        </w:rPr>
      </w:pPr>
      <w:r>
        <w:rPr>
          <w:rFonts w:hint="eastAsia" w:ascii="宋体" w:hAnsi="宋体"/>
          <w:color w:val="auto"/>
        </w:rPr>
        <w:t xml:space="preserve"> </w:t>
      </w:r>
    </w:p>
    <w:p w14:paraId="5554ACF7">
      <w:pPr>
        <w:spacing w:line="360" w:lineRule="auto"/>
        <w:rPr>
          <w:rFonts w:ascii="宋体" w:hAnsi="宋体"/>
          <w:color w:val="auto"/>
        </w:rPr>
      </w:pPr>
      <w:r>
        <w:rPr>
          <w:rFonts w:hint="eastAsia" w:ascii="宋体" w:hAnsi="宋体"/>
          <w:color w:val="auto"/>
        </w:rPr>
        <w:t xml:space="preserve"> </w:t>
      </w:r>
    </w:p>
    <w:p w14:paraId="0BCDBE9A">
      <w:pPr>
        <w:spacing w:line="360" w:lineRule="auto"/>
        <w:rPr>
          <w:rFonts w:ascii="宋体" w:hAnsi="宋体"/>
          <w:color w:val="auto"/>
        </w:rPr>
      </w:pPr>
      <w:r>
        <w:rPr>
          <w:rFonts w:hint="eastAsia" w:ascii="宋体" w:hAnsi="宋体"/>
          <w:color w:val="auto"/>
        </w:rPr>
        <w:t xml:space="preserve"> </w:t>
      </w:r>
    </w:p>
    <w:p w14:paraId="516D52D3">
      <w:pPr>
        <w:spacing w:line="360" w:lineRule="auto"/>
        <w:rPr>
          <w:rFonts w:ascii="宋体" w:hAnsi="宋体"/>
          <w:color w:val="auto"/>
        </w:rPr>
      </w:pPr>
      <w:r>
        <w:rPr>
          <w:rFonts w:hint="eastAsia" w:ascii="宋体" w:hAnsi="宋体"/>
          <w:color w:val="auto"/>
        </w:rPr>
        <w:t xml:space="preserve"> </w:t>
      </w:r>
    </w:p>
    <w:p w14:paraId="6CED8160">
      <w:pPr>
        <w:spacing w:line="360" w:lineRule="auto"/>
        <w:rPr>
          <w:rFonts w:ascii="宋体" w:hAnsi="宋体"/>
          <w:color w:val="auto"/>
        </w:rPr>
      </w:pPr>
      <w:r>
        <w:rPr>
          <w:rFonts w:hint="eastAsia" w:ascii="宋体" w:hAnsi="宋体"/>
          <w:color w:val="auto"/>
        </w:rPr>
        <w:t xml:space="preserve"> </w:t>
      </w:r>
    </w:p>
    <w:p w14:paraId="44E006C7">
      <w:pPr>
        <w:spacing w:line="360" w:lineRule="auto"/>
        <w:rPr>
          <w:rFonts w:ascii="宋体" w:hAnsi="宋体"/>
          <w:b/>
          <w:bCs/>
          <w:color w:val="auto"/>
        </w:rPr>
      </w:pPr>
      <w:r>
        <w:rPr>
          <w:rFonts w:hint="eastAsia" w:ascii="宋体" w:hAnsi="宋体"/>
          <w:b/>
          <w:bCs/>
          <w:color w:val="auto"/>
        </w:rPr>
        <w:t xml:space="preserve"> </w:t>
      </w:r>
    </w:p>
    <w:p w14:paraId="7EC10750">
      <w:pPr>
        <w:spacing w:line="360" w:lineRule="auto"/>
        <w:rPr>
          <w:rFonts w:ascii="宋体" w:hAnsi="宋体"/>
          <w:color w:val="auto"/>
          <w:sz w:val="24"/>
          <w:szCs w:val="24"/>
        </w:rPr>
      </w:pPr>
      <w:r>
        <w:rPr>
          <w:rFonts w:hint="eastAsia" w:ascii="宋体" w:hAnsi="宋体"/>
          <w:color w:val="auto"/>
          <w:szCs w:val="21"/>
        </w:rPr>
        <w:br w:type="page"/>
      </w:r>
      <w:bookmarkEnd w:id="113"/>
      <w:r>
        <w:rPr>
          <w:rFonts w:hint="eastAsia" w:ascii="宋体" w:hAnsi="宋体"/>
          <w:color w:val="auto"/>
          <w:sz w:val="24"/>
          <w:szCs w:val="24"/>
        </w:rPr>
        <w:t xml:space="preserve">六、河南省政府采购合同融资政策告知函（投标文件无需附此项内容） </w:t>
      </w:r>
    </w:p>
    <w:p w14:paraId="39D48A40">
      <w:pPr>
        <w:spacing w:line="360" w:lineRule="auto"/>
        <w:rPr>
          <w:color w:val="auto"/>
        </w:rPr>
      </w:pPr>
    </w:p>
    <w:p w14:paraId="5EE38332">
      <w:pPr>
        <w:spacing w:line="360" w:lineRule="auto"/>
        <w:rPr>
          <w:color w:val="auto"/>
        </w:rPr>
      </w:pPr>
    </w:p>
    <w:p w14:paraId="2116455F">
      <w:pPr>
        <w:spacing w:line="360" w:lineRule="auto"/>
        <w:jc w:val="center"/>
        <w:rPr>
          <w:rFonts w:ascii="宋体" w:hAnsi="宋体"/>
          <w:b/>
          <w:bCs/>
          <w:color w:val="auto"/>
          <w:spacing w:val="6"/>
          <w:sz w:val="24"/>
        </w:rPr>
      </w:pPr>
      <w:r>
        <w:rPr>
          <w:rFonts w:hint="eastAsia" w:ascii="宋体" w:hAnsi="宋体"/>
          <w:b/>
          <w:bCs/>
          <w:color w:val="auto"/>
          <w:spacing w:val="6"/>
          <w:sz w:val="24"/>
        </w:rPr>
        <w:t>银政易贷</w:t>
      </w:r>
    </w:p>
    <w:p w14:paraId="2621D24C">
      <w:pPr>
        <w:spacing w:line="360" w:lineRule="auto"/>
        <w:rPr>
          <w:rFonts w:ascii="宋体" w:hAnsi="宋体"/>
          <w:color w:val="auto"/>
          <w:spacing w:val="6"/>
        </w:rPr>
      </w:pPr>
      <w:r>
        <w:rPr>
          <w:rFonts w:hint="eastAsia" w:ascii="宋体" w:hAnsi="宋体"/>
          <w:color w:val="auto"/>
          <w:spacing w:val="6"/>
        </w:rPr>
        <w:t xml:space="preserve"> </w:t>
      </w:r>
    </w:p>
    <w:p w14:paraId="307AC41F">
      <w:pPr>
        <w:kinsoku w:val="0"/>
        <w:overflowPunct w:val="0"/>
        <w:autoSpaceDE w:val="0"/>
        <w:autoSpaceDN w:val="0"/>
        <w:adjustRightInd w:val="0"/>
        <w:snapToGrid w:val="0"/>
        <w:spacing w:line="360" w:lineRule="auto"/>
        <w:ind w:firstLine="444" w:firstLineChars="200"/>
        <w:rPr>
          <w:rFonts w:hint="eastAsia" w:ascii="宋体" w:hAnsi="宋体"/>
          <w:color w:val="auto"/>
          <w:spacing w:val="6"/>
        </w:rPr>
      </w:pPr>
      <w:r>
        <w:rPr>
          <w:rFonts w:hint="eastAsia" w:ascii="宋体" w:hAnsi="宋体"/>
          <w:color w:val="auto"/>
          <w:spacing w:val="6"/>
        </w:rPr>
        <w:t xml:space="preserve"> </w:t>
      </w:r>
    </w:p>
    <w:p w14:paraId="03B91816">
      <w:pPr>
        <w:kinsoku w:val="0"/>
        <w:overflowPunct w:val="0"/>
        <w:autoSpaceDE w:val="0"/>
        <w:autoSpaceDN w:val="0"/>
        <w:adjustRightInd w:val="0"/>
        <w:snapToGrid w:val="0"/>
        <w:spacing w:line="360" w:lineRule="auto"/>
        <w:rPr>
          <w:rFonts w:hint="eastAsia" w:ascii="宋体" w:hAnsi="宋体"/>
          <w:color w:val="auto"/>
          <w:spacing w:val="6"/>
        </w:rPr>
      </w:pPr>
      <w:r>
        <w:rPr>
          <w:rFonts w:hint="eastAsia" w:ascii="宋体" w:hAnsi="宋体"/>
          <w:color w:val="auto"/>
          <w:spacing w:val="6"/>
        </w:rPr>
        <w:t xml:space="preserve">尊敬的政府采购供应商： </w:t>
      </w:r>
    </w:p>
    <w:p w14:paraId="432CB2AC">
      <w:pPr>
        <w:kinsoku w:val="0"/>
        <w:overflowPunct w:val="0"/>
        <w:autoSpaceDE w:val="0"/>
        <w:autoSpaceDN w:val="0"/>
        <w:adjustRightInd w:val="0"/>
        <w:snapToGrid w:val="0"/>
        <w:spacing w:line="360" w:lineRule="auto"/>
        <w:ind w:firstLine="444" w:firstLineChars="200"/>
        <w:rPr>
          <w:rFonts w:hint="eastAsia" w:ascii="宋体" w:hAnsi="宋体"/>
          <w:color w:val="auto"/>
          <w:spacing w:val="6"/>
        </w:rPr>
      </w:pPr>
      <w:r>
        <w:rPr>
          <w:rFonts w:hint="eastAsia" w:ascii="宋体" w:hAnsi="宋体"/>
          <w:color w:val="auto"/>
          <w:spacing w:val="6"/>
        </w:rPr>
        <w:t>您好！</w:t>
      </w:r>
    </w:p>
    <w:p w14:paraId="77E54B2B">
      <w:pPr>
        <w:kinsoku w:val="0"/>
        <w:overflowPunct w:val="0"/>
        <w:autoSpaceDE w:val="0"/>
        <w:autoSpaceDN w:val="0"/>
        <w:adjustRightInd w:val="0"/>
        <w:snapToGrid w:val="0"/>
        <w:spacing w:line="360" w:lineRule="auto"/>
        <w:ind w:firstLine="444" w:firstLineChars="200"/>
        <w:rPr>
          <w:rFonts w:hint="eastAsia" w:ascii="宋体" w:hAnsi="宋体"/>
          <w:color w:val="auto"/>
          <w:spacing w:val="6"/>
        </w:rPr>
      </w:pPr>
      <w:r>
        <w:rPr>
          <w:rFonts w:hint="eastAsia" w:ascii="宋体" w:hAnsi="宋体"/>
          <w:color w:val="auto"/>
          <w:spacing w:val="6"/>
        </w:rPr>
        <w:t>欢迎您参与平顶山市政府采购业务！感谢您对我区经济社会发展做出的贡献！</w:t>
      </w:r>
    </w:p>
    <w:p w14:paraId="4540F751">
      <w:pPr>
        <w:kinsoku w:val="0"/>
        <w:overflowPunct w:val="0"/>
        <w:autoSpaceDE w:val="0"/>
        <w:autoSpaceDN w:val="0"/>
        <w:adjustRightInd w:val="0"/>
        <w:snapToGrid w:val="0"/>
        <w:spacing w:line="360" w:lineRule="auto"/>
        <w:ind w:firstLine="444" w:firstLineChars="200"/>
        <w:rPr>
          <w:rFonts w:hint="eastAsia" w:ascii="宋体" w:hAnsi="宋体"/>
          <w:color w:val="auto"/>
          <w:spacing w:val="6"/>
        </w:rPr>
      </w:pPr>
      <w:r>
        <w:rPr>
          <w:rFonts w:hint="eastAsia" w:ascii="宋体" w:hAnsi="宋体"/>
          <w:color w:val="auto"/>
          <w:spacing w:val="6"/>
        </w:rPr>
        <w:t>为进一步优化平顶山市营商环境，切实缓解中小微企业融资难、融资贵的问题，2018年平顶山市财政局与平顶山银行签署战略合作协议，帮助在政府采购项目中中标的供应商解决融资问题，平顶山银行推出了用于借款人履行政府采购合同的 “银政易贷”贷款业务，开通了政府采购合同融资绿色通道，配备专业人员定向服务，提高融资服务效率。同时，依靠政府采购合同资金支付的保障，提供免评估、免抵押、免担保、低利率、授信额度在3000元-500万元的贷款业务，在融资审查、审批流程、利率优惠等方面切实给予中小微企业快捷高效融资支持。</w:t>
      </w:r>
    </w:p>
    <w:p w14:paraId="0D4A295C">
      <w:pPr>
        <w:kinsoku w:val="0"/>
        <w:overflowPunct w:val="0"/>
        <w:autoSpaceDE w:val="0"/>
        <w:autoSpaceDN w:val="0"/>
        <w:adjustRightInd w:val="0"/>
        <w:snapToGrid w:val="0"/>
        <w:spacing w:line="360" w:lineRule="auto"/>
        <w:ind w:firstLine="444" w:firstLineChars="200"/>
        <w:rPr>
          <w:rFonts w:hint="eastAsia" w:ascii="宋体" w:hAnsi="宋体"/>
          <w:color w:val="auto"/>
          <w:spacing w:val="6"/>
        </w:rPr>
      </w:pPr>
      <w:r>
        <w:rPr>
          <w:rFonts w:hint="eastAsia" w:ascii="宋体" w:hAnsi="宋体"/>
          <w:color w:val="auto"/>
          <w:spacing w:val="6"/>
        </w:rPr>
        <w:t>目前，平顶山银行和市政府采购合同融资工作已全面开始，如有意向享受我市政府采购合同融资政策，请登录平顶山市政府采购网（http：//pingdingshan.hngp.gov.cn）或拨打平顶山银行联系电话0375-2980538自主选择融资服务机构，按程序进行融资。</w:t>
      </w:r>
    </w:p>
    <w:p w14:paraId="3D139D63">
      <w:pPr>
        <w:kinsoku w:val="0"/>
        <w:overflowPunct w:val="0"/>
        <w:autoSpaceDE w:val="0"/>
        <w:autoSpaceDN w:val="0"/>
        <w:adjustRightInd w:val="0"/>
        <w:snapToGrid w:val="0"/>
        <w:spacing w:line="360" w:lineRule="auto"/>
        <w:ind w:firstLine="444" w:firstLineChars="200"/>
        <w:rPr>
          <w:rFonts w:hint="eastAsia" w:ascii="宋体" w:hAnsi="宋体"/>
          <w:color w:val="auto"/>
          <w:spacing w:val="6"/>
        </w:rPr>
      </w:pPr>
      <w:r>
        <w:rPr>
          <w:rFonts w:hint="eastAsia" w:ascii="宋体" w:hAnsi="宋体"/>
          <w:color w:val="auto"/>
          <w:spacing w:val="6"/>
        </w:rPr>
        <w:t>期待您一如既往支持平顶山市政府采购工作！</w:t>
      </w:r>
    </w:p>
    <w:p w14:paraId="051950F3">
      <w:pPr>
        <w:spacing w:line="360" w:lineRule="auto"/>
        <w:rPr>
          <w:color w:val="auto"/>
        </w:rPr>
      </w:pPr>
    </w:p>
    <w:p w14:paraId="43E72550">
      <w:pPr>
        <w:pStyle w:val="14"/>
        <w:rPr>
          <w:color w:val="auto"/>
        </w:rPr>
      </w:pPr>
    </w:p>
    <w:p w14:paraId="7D4A18C7">
      <w:pPr>
        <w:pStyle w:val="15"/>
        <w:rPr>
          <w:color w:val="auto"/>
        </w:rPr>
      </w:pPr>
    </w:p>
    <w:p w14:paraId="4FB8F776">
      <w:pPr>
        <w:pStyle w:val="3"/>
        <w:rPr>
          <w:color w:val="auto"/>
        </w:rPr>
      </w:pPr>
    </w:p>
    <w:p w14:paraId="754788B7">
      <w:pPr>
        <w:pStyle w:val="4"/>
        <w:rPr>
          <w:color w:val="auto"/>
        </w:rPr>
      </w:pPr>
    </w:p>
    <w:p w14:paraId="350EE64C">
      <w:pPr>
        <w:pStyle w:val="5"/>
        <w:rPr>
          <w:color w:val="auto"/>
        </w:rPr>
      </w:pPr>
    </w:p>
    <w:p w14:paraId="45CD51E5">
      <w:pPr>
        <w:pStyle w:val="4"/>
        <w:rPr>
          <w:color w:val="auto"/>
        </w:rPr>
      </w:pPr>
    </w:p>
    <w:p w14:paraId="47F6C5C7">
      <w:pPr>
        <w:pStyle w:val="5"/>
        <w:rPr>
          <w:color w:val="auto"/>
        </w:rPr>
      </w:pPr>
    </w:p>
    <w:p w14:paraId="258BCD31">
      <w:pPr>
        <w:pStyle w:val="4"/>
        <w:rPr>
          <w:color w:val="auto"/>
        </w:rPr>
      </w:pPr>
    </w:p>
    <w:p w14:paraId="78A95E09">
      <w:pPr>
        <w:pStyle w:val="5"/>
        <w:rPr>
          <w:color w:val="auto"/>
        </w:rPr>
      </w:pPr>
    </w:p>
    <w:p w14:paraId="09994C4D">
      <w:pPr>
        <w:pStyle w:val="4"/>
        <w:rPr>
          <w:color w:val="auto"/>
        </w:rPr>
      </w:pPr>
    </w:p>
    <w:p w14:paraId="04B807D3">
      <w:pPr>
        <w:pStyle w:val="5"/>
        <w:rPr>
          <w:color w:val="auto"/>
        </w:rPr>
      </w:pPr>
    </w:p>
    <w:p w14:paraId="2C31B605">
      <w:pPr>
        <w:spacing w:line="360" w:lineRule="auto"/>
        <w:jc w:val="center"/>
        <w:rPr>
          <w:rFonts w:ascii="宋体" w:hAnsi="宋体"/>
          <w:b/>
          <w:bCs/>
          <w:color w:val="auto"/>
          <w:sz w:val="24"/>
        </w:rPr>
      </w:pPr>
      <w:r>
        <w:rPr>
          <w:rFonts w:hint="eastAsia" w:ascii="宋体" w:hAnsi="宋体"/>
          <w:b/>
          <w:bCs/>
          <w:color w:val="auto"/>
          <w:sz w:val="24"/>
        </w:rPr>
        <w:t>河南省政府采购合同融资政策告知函</w:t>
      </w:r>
    </w:p>
    <w:p w14:paraId="2B46FB13">
      <w:pPr>
        <w:spacing w:line="360" w:lineRule="auto"/>
        <w:rPr>
          <w:rFonts w:ascii="宋体" w:hAnsi="宋体"/>
          <w:color w:val="auto"/>
        </w:rPr>
      </w:pPr>
      <w:r>
        <w:rPr>
          <w:rFonts w:hint="eastAsia" w:ascii="宋体" w:hAnsi="宋体"/>
          <w:color w:val="auto"/>
        </w:rPr>
        <w:t>各供应商：</w:t>
      </w:r>
    </w:p>
    <w:p w14:paraId="4839B03D">
      <w:pPr>
        <w:spacing w:line="360" w:lineRule="auto"/>
        <w:rPr>
          <w:rFonts w:ascii="宋体" w:hAnsi="宋体"/>
          <w:color w:val="auto"/>
        </w:rPr>
      </w:pPr>
      <w:r>
        <w:rPr>
          <w:rFonts w:hint="eastAsia" w:ascii="宋体" w:hAnsi="宋体"/>
          <w:color w:val="auto"/>
        </w:rPr>
        <w:t>欢迎贵公司参与河南省政府采购活动！</w:t>
      </w:r>
    </w:p>
    <w:p w14:paraId="32601FAD">
      <w:pPr>
        <w:spacing w:line="360" w:lineRule="auto"/>
        <w:rPr>
          <w:rFonts w:ascii="宋体" w:hAnsi="宋体"/>
          <w:color w:val="auto"/>
        </w:rPr>
      </w:pPr>
      <w:r>
        <w:rPr>
          <w:rFonts w:hint="eastAsia" w:ascii="宋体" w:hAnsi="宋体"/>
          <w:color w:val="auto"/>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0962E8F">
      <w:pPr>
        <w:spacing w:line="360" w:lineRule="auto"/>
        <w:rPr>
          <w:rFonts w:ascii="宋体" w:hAnsi="宋体"/>
          <w:color w:val="auto"/>
        </w:rPr>
      </w:pPr>
      <w:r>
        <w:rPr>
          <w:rFonts w:hint="eastAsia" w:ascii="宋体" w:hAnsi="宋体"/>
          <w:color w:val="auto"/>
        </w:rPr>
        <w:t>贷款渠道和提供贷款的金融机构，可在河南省政府采购网“河南省政府采购合同融资平台”查询联系。</w:t>
      </w:r>
    </w:p>
    <w:p w14:paraId="5F67A978">
      <w:pPr>
        <w:spacing w:line="360" w:lineRule="auto"/>
        <w:rPr>
          <w:rFonts w:ascii="宋体" w:hAnsi="宋体" w:eastAsia="宋体"/>
          <w:color w:val="auto"/>
        </w:rPr>
      </w:pPr>
      <w:r>
        <w:rPr>
          <w:rFonts w:hint="eastAsia" w:ascii="宋体" w:hAnsi="宋体"/>
          <w:color w:val="auto"/>
        </w:rPr>
        <w:t xml:space="preserve"> </w:t>
      </w:r>
    </w:p>
    <w:p w14:paraId="30CA0A3F">
      <w:pPr>
        <w:spacing w:line="360" w:lineRule="auto"/>
        <w:rPr>
          <w:rFonts w:ascii="宋体" w:hAnsi="宋体"/>
          <w:b/>
          <w:bCs/>
          <w:color w:val="auto"/>
          <w:sz w:val="30"/>
          <w:szCs w:val="30"/>
        </w:rPr>
      </w:pPr>
      <w:r>
        <w:rPr>
          <w:rFonts w:ascii="宋体" w:hAnsi="宋体"/>
          <w:b/>
          <w:bCs/>
          <w:color w:val="auto"/>
          <w:sz w:val="30"/>
          <w:szCs w:val="30"/>
        </w:rPr>
        <w:br w:type="page"/>
      </w:r>
    </w:p>
    <w:p w14:paraId="53DC9B5F">
      <w:pPr>
        <w:spacing w:line="360" w:lineRule="auto"/>
        <w:jc w:val="center"/>
        <w:rPr>
          <w:rFonts w:ascii="宋体" w:hAnsi="宋体"/>
          <w:b/>
          <w:bCs/>
          <w:color w:val="auto"/>
          <w:sz w:val="30"/>
          <w:szCs w:val="30"/>
        </w:rPr>
      </w:pPr>
      <w:r>
        <w:rPr>
          <w:rFonts w:hint="eastAsia" w:ascii="宋体" w:hAnsi="宋体"/>
          <w:b/>
          <w:bCs/>
          <w:color w:val="auto"/>
          <w:sz w:val="30"/>
          <w:szCs w:val="30"/>
        </w:rPr>
        <w:t>供应商成交公告主要内容汇总</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6C2C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2" w:hRule="atLeast"/>
        </w:trPr>
        <w:tc>
          <w:tcPr>
            <w:tcW w:w="9962" w:type="dxa"/>
            <w:tcBorders>
              <w:top w:val="single" w:color="auto" w:sz="4" w:space="0"/>
              <w:left w:val="single" w:color="auto" w:sz="4" w:space="0"/>
              <w:bottom w:val="single" w:color="auto" w:sz="4" w:space="0"/>
              <w:right w:val="single" w:color="auto" w:sz="4" w:space="0"/>
            </w:tcBorders>
            <w:noWrap w:val="0"/>
            <w:vAlign w:val="center"/>
          </w:tcPr>
          <w:p w14:paraId="0B695C76">
            <w:pPr>
              <w:spacing w:line="360" w:lineRule="auto"/>
              <w:rPr>
                <w:rFonts w:ascii="宋体" w:hAnsi="宋体"/>
                <w:b/>
                <w:bCs/>
                <w:color w:val="auto"/>
                <w:sz w:val="22"/>
              </w:rPr>
            </w:pPr>
            <w:r>
              <w:rPr>
                <w:rFonts w:hint="eastAsia" w:ascii="宋体" w:hAnsi="宋体"/>
                <w:b/>
                <w:bCs/>
                <w:color w:val="auto"/>
                <w:kern w:val="0"/>
                <w:sz w:val="22"/>
              </w:rPr>
              <w:t>供应商：</w:t>
            </w:r>
          </w:p>
          <w:p w14:paraId="1B7FE215">
            <w:pPr>
              <w:spacing w:line="360" w:lineRule="auto"/>
              <w:rPr>
                <w:rFonts w:ascii="宋体" w:hAnsi="宋体"/>
                <w:b/>
                <w:bCs/>
                <w:color w:val="auto"/>
                <w:kern w:val="0"/>
                <w:sz w:val="22"/>
              </w:rPr>
            </w:pPr>
            <w:r>
              <w:rPr>
                <w:rFonts w:hint="eastAsia" w:ascii="宋体" w:hAnsi="宋体"/>
                <w:b/>
                <w:bCs/>
                <w:color w:val="auto"/>
                <w:kern w:val="0"/>
                <w:sz w:val="22"/>
              </w:rPr>
              <w:t>统一社会信用代码：</w:t>
            </w:r>
          </w:p>
          <w:p w14:paraId="3B2E47AE">
            <w:pPr>
              <w:spacing w:line="360" w:lineRule="auto"/>
              <w:rPr>
                <w:rFonts w:ascii="宋体" w:hAnsi="宋体"/>
                <w:b/>
                <w:bCs/>
                <w:color w:val="auto"/>
                <w:kern w:val="0"/>
                <w:sz w:val="22"/>
              </w:rPr>
            </w:pPr>
            <w:r>
              <w:rPr>
                <w:rFonts w:hint="eastAsia" w:ascii="宋体" w:hAnsi="宋体"/>
                <w:b/>
                <w:bCs/>
                <w:color w:val="auto"/>
                <w:kern w:val="0"/>
                <w:sz w:val="22"/>
              </w:rPr>
              <w:t>投标报价：</w:t>
            </w:r>
          </w:p>
          <w:p w14:paraId="77D9D533">
            <w:pPr>
              <w:spacing w:line="360" w:lineRule="auto"/>
              <w:rPr>
                <w:rFonts w:ascii="宋体" w:hAnsi="宋体"/>
                <w:b/>
                <w:bCs/>
                <w:color w:val="auto"/>
                <w:kern w:val="0"/>
                <w:sz w:val="22"/>
              </w:rPr>
            </w:pPr>
            <w:r>
              <w:rPr>
                <w:rFonts w:hint="eastAsia" w:ascii="宋体" w:hAnsi="宋体"/>
                <w:b/>
                <w:bCs/>
                <w:color w:val="auto"/>
                <w:kern w:val="0"/>
                <w:sz w:val="22"/>
              </w:rPr>
              <w:t>投标范围：</w:t>
            </w:r>
            <w:r>
              <w:rPr>
                <w:rFonts w:ascii="宋体" w:hAnsi="宋体"/>
                <w:b/>
                <w:bCs/>
                <w:color w:val="auto"/>
                <w:kern w:val="0"/>
                <w:sz w:val="22"/>
              </w:rPr>
              <w:t xml:space="preserve"> </w:t>
            </w:r>
          </w:p>
          <w:p w14:paraId="37F8FEEA">
            <w:pPr>
              <w:spacing w:line="360" w:lineRule="auto"/>
              <w:rPr>
                <w:rFonts w:hint="eastAsia" w:ascii="宋体" w:hAnsi="宋体"/>
                <w:b/>
                <w:bCs/>
                <w:color w:val="auto"/>
                <w:kern w:val="0"/>
                <w:sz w:val="22"/>
              </w:rPr>
            </w:pPr>
            <w:r>
              <w:rPr>
                <w:rFonts w:hint="eastAsia" w:ascii="宋体" w:hAnsi="宋体"/>
                <w:b/>
                <w:bCs/>
                <w:color w:val="auto"/>
                <w:kern w:val="0"/>
                <w:sz w:val="22"/>
              </w:rPr>
              <w:t>服务期限：</w:t>
            </w:r>
          </w:p>
          <w:p w14:paraId="17F486A1">
            <w:pPr>
              <w:spacing w:line="360" w:lineRule="auto"/>
              <w:rPr>
                <w:rFonts w:hint="eastAsia" w:eastAsia="宋体"/>
                <w:color w:val="auto"/>
                <w:lang w:eastAsia="zh-CN"/>
              </w:rPr>
            </w:pPr>
            <w:r>
              <w:rPr>
                <w:rFonts w:hint="eastAsia" w:ascii="宋体" w:hAnsi="宋体"/>
                <w:b/>
                <w:bCs/>
                <w:color w:val="auto"/>
                <w:kern w:val="0"/>
                <w:sz w:val="22"/>
                <w:lang w:eastAsia="zh-CN"/>
              </w:rPr>
              <w:t>质量：</w:t>
            </w:r>
          </w:p>
          <w:p w14:paraId="0FE80FDF">
            <w:pPr>
              <w:spacing w:line="360" w:lineRule="auto"/>
              <w:rPr>
                <w:rFonts w:ascii="宋体" w:hAnsi="宋体"/>
                <w:b/>
                <w:bCs/>
                <w:color w:val="auto"/>
                <w:kern w:val="0"/>
                <w:sz w:val="22"/>
              </w:rPr>
            </w:pPr>
            <w:r>
              <w:rPr>
                <w:rFonts w:hint="eastAsia" w:ascii="宋体" w:hAnsi="宋体"/>
                <w:b/>
                <w:bCs/>
                <w:color w:val="auto"/>
                <w:kern w:val="0"/>
                <w:sz w:val="22"/>
              </w:rPr>
              <w:t>投报业绩：</w:t>
            </w:r>
          </w:p>
          <w:p w14:paraId="0B1154B1">
            <w:pPr>
              <w:spacing w:line="360" w:lineRule="auto"/>
              <w:rPr>
                <w:rFonts w:ascii="宋体" w:hAnsi="宋体"/>
                <w:color w:val="auto"/>
                <w:sz w:val="22"/>
              </w:rPr>
            </w:pPr>
            <w:r>
              <w:rPr>
                <w:rFonts w:hint="eastAsia" w:ascii="宋体" w:hAnsi="宋体"/>
                <w:color w:val="auto"/>
                <w:sz w:val="22"/>
              </w:rPr>
              <w:t>业绩一：</w:t>
            </w:r>
          </w:p>
          <w:p w14:paraId="5B9FEBB3">
            <w:pPr>
              <w:spacing w:line="360" w:lineRule="auto"/>
              <w:rPr>
                <w:rFonts w:ascii="宋体" w:hAnsi="宋体"/>
                <w:color w:val="auto"/>
                <w:sz w:val="22"/>
              </w:rPr>
            </w:pPr>
            <w:r>
              <w:rPr>
                <w:rFonts w:hint="eastAsia" w:ascii="宋体" w:hAnsi="宋体"/>
                <w:color w:val="auto"/>
                <w:sz w:val="22"/>
              </w:rPr>
              <w:t>项目名称：</w:t>
            </w:r>
            <w:r>
              <w:rPr>
                <w:rFonts w:ascii="宋体" w:hAnsi="宋体"/>
                <w:color w:val="auto"/>
                <w:sz w:val="22"/>
              </w:rPr>
              <w:t xml:space="preserve"> </w:t>
            </w:r>
          </w:p>
          <w:p w14:paraId="655DB0F2">
            <w:pPr>
              <w:spacing w:line="360" w:lineRule="auto"/>
              <w:rPr>
                <w:rFonts w:ascii="宋体" w:hAnsi="宋体"/>
                <w:color w:val="auto"/>
                <w:sz w:val="22"/>
              </w:rPr>
            </w:pPr>
            <w:r>
              <w:rPr>
                <w:rFonts w:hint="eastAsia" w:ascii="宋体" w:hAnsi="宋体"/>
                <w:color w:val="auto"/>
                <w:sz w:val="22"/>
              </w:rPr>
              <w:t>项目负责人：</w:t>
            </w:r>
            <w:r>
              <w:rPr>
                <w:rFonts w:ascii="宋体" w:hAnsi="宋体"/>
                <w:color w:val="auto"/>
                <w:sz w:val="22"/>
              </w:rPr>
              <w:t xml:space="preserve"> </w:t>
            </w:r>
          </w:p>
          <w:p w14:paraId="75D110A6">
            <w:pPr>
              <w:spacing w:line="360" w:lineRule="auto"/>
              <w:rPr>
                <w:rFonts w:ascii="宋体" w:hAnsi="宋体"/>
                <w:color w:val="auto"/>
                <w:sz w:val="22"/>
              </w:rPr>
            </w:pPr>
            <w:r>
              <w:rPr>
                <w:rFonts w:hint="eastAsia" w:ascii="宋体" w:hAnsi="宋体"/>
                <w:color w:val="auto"/>
                <w:sz w:val="22"/>
              </w:rPr>
              <w:t>中标公示查询媒体：</w:t>
            </w:r>
            <w:r>
              <w:rPr>
                <w:rFonts w:ascii="宋体" w:hAnsi="宋体"/>
                <w:color w:val="auto"/>
                <w:sz w:val="22"/>
              </w:rPr>
              <w:t xml:space="preserve"> </w:t>
            </w:r>
          </w:p>
          <w:p w14:paraId="10A11A07">
            <w:pPr>
              <w:spacing w:line="360" w:lineRule="auto"/>
              <w:rPr>
                <w:rFonts w:ascii="宋体" w:hAnsi="宋体"/>
                <w:color w:val="auto"/>
                <w:sz w:val="22"/>
              </w:rPr>
            </w:pPr>
            <w:r>
              <w:rPr>
                <w:rFonts w:hint="eastAsia" w:ascii="宋体" w:hAnsi="宋体"/>
                <w:color w:val="auto"/>
                <w:sz w:val="22"/>
              </w:rPr>
              <w:t>合同金额：元</w:t>
            </w:r>
          </w:p>
          <w:p w14:paraId="537948F9">
            <w:pPr>
              <w:spacing w:line="360" w:lineRule="auto"/>
              <w:rPr>
                <w:rFonts w:ascii="宋体" w:hAnsi="宋体"/>
                <w:color w:val="auto"/>
                <w:sz w:val="22"/>
              </w:rPr>
            </w:pPr>
            <w:r>
              <w:rPr>
                <w:rFonts w:hint="eastAsia" w:ascii="宋体" w:hAnsi="宋体"/>
                <w:color w:val="auto"/>
                <w:sz w:val="22"/>
              </w:rPr>
              <w:t>合同签订日期： 年 月 日</w:t>
            </w:r>
          </w:p>
          <w:p w14:paraId="1A119A3F">
            <w:pPr>
              <w:spacing w:line="360" w:lineRule="auto"/>
              <w:rPr>
                <w:rFonts w:ascii="宋体" w:hAnsi="宋体"/>
                <w:color w:val="auto"/>
                <w:sz w:val="22"/>
              </w:rPr>
            </w:pPr>
            <w:r>
              <w:rPr>
                <w:rFonts w:hint="eastAsia" w:ascii="宋体" w:hAnsi="宋体"/>
                <w:color w:val="auto"/>
                <w:sz w:val="22"/>
              </w:rPr>
              <w:t xml:space="preserve">验收日期： </w:t>
            </w:r>
          </w:p>
          <w:p w14:paraId="4A1C7FA2">
            <w:pPr>
              <w:spacing w:line="360" w:lineRule="auto"/>
              <w:rPr>
                <w:rFonts w:ascii="宋体" w:hAnsi="宋体"/>
                <w:color w:val="auto"/>
              </w:rPr>
            </w:pPr>
            <w:r>
              <w:rPr>
                <w:rFonts w:ascii="宋体" w:hAnsi="宋体"/>
                <w:color w:val="auto"/>
                <w:sz w:val="22"/>
              </w:rPr>
              <w:t>……</w:t>
            </w:r>
          </w:p>
        </w:tc>
      </w:tr>
    </w:tbl>
    <w:p w14:paraId="7FDCF87B">
      <w:pPr>
        <w:spacing w:line="360" w:lineRule="auto"/>
        <w:rPr>
          <w:rFonts w:ascii="宋体" w:hAnsi="宋体"/>
          <w:b/>
          <w:color w:val="auto"/>
          <w:sz w:val="24"/>
        </w:rPr>
      </w:pPr>
    </w:p>
    <w:p w14:paraId="3DC55006">
      <w:pPr>
        <w:spacing w:line="360" w:lineRule="auto"/>
        <w:rPr>
          <w:rFonts w:ascii="宋体" w:hAnsi="宋体" w:eastAsia="宋体"/>
          <w:color w:val="auto"/>
        </w:rPr>
      </w:pPr>
      <w:r>
        <w:rPr>
          <w:rFonts w:hint="eastAsia" w:ascii="宋体" w:hAnsi="宋体"/>
          <w:b/>
          <w:color w:val="auto"/>
          <w:sz w:val="24"/>
          <w:szCs w:val="24"/>
        </w:rPr>
        <w:t>注：供应商根据自身情况进行调整。</w:t>
      </w:r>
    </w:p>
    <w:p w14:paraId="7D41982B">
      <w:pPr>
        <w:spacing w:line="360" w:lineRule="auto"/>
        <w:rPr>
          <w:rFonts w:ascii="宋体" w:hAnsi="宋体" w:eastAsia="宋体" w:cs="宋体"/>
          <w:color w:val="auto"/>
        </w:rPr>
      </w:pPr>
    </w:p>
    <w:p w14:paraId="1B3BDC39">
      <w:pPr>
        <w:spacing w:line="360" w:lineRule="auto"/>
        <w:rPr>
          <w:rFonts w:ascii="宋体" w:hAnsi="宋体" w:eastAsia="宋体" w:cs="宋体"/>
          <w:color w:val="auto"/>
        </w:rPr>
      </w:pPr>
    </w:p>
    <w:p w14:paraId="1D0AFD57">
      <w:pPr>
        <w:rPr>
          <w:color w:val="auto"/>
        </w:rPr>
      </w:pPr>
    </w:p>
    <w:p w14:paraId="72229150">
      <w:pPr>
        <w:rPr>
          <w:color w:val="auto"/>
        </w:rPr>
      </w:pPr>
    </w:p>
    <w:p w14:paraId="6FCC3C81">
      <w:pPr>
        <w:rPr>
          <w:color w:val="auto"/>
        </w:rPr>
      </w:pPr>
    </w:p>
    <w:p w14:paraId="77759846">
      <w:pPr>
        <w:rPr>
          <w:color w:val="auto"/>
        </w:rPr>
      </w:pPr>
    </w:p>
    <w:sectPr>
      <w:footerReference r:id="rId10" w:type="first"/>
      <w:headerReference r:id="rId8" w:type="default"/>
      <w:footerReference r:id="rId9" w:type="default"/>
      <w:pgSz w:w="11905" w:h="16838"/>
      <w:pgMar w:top="1440" w:right="1080" w:bottom="1440" w:left="1080" w:header="720" w:footer="720"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方正小标宋简体">
    <w:altName w:val="黑体"/>
    <w:panose1 w:val="02010601030101010101"/>
    <w:charset w:val="86"/>
    <w:family w:val="script"/>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6A319">
    <w:pPr>
      <w:pStyle w:val="10"/>
    </w:pPr>
    <w:r>
      <w:rPr>
        <w:rFonts w:hint="eastAsia" w:ascii="宋体" w:hAnsi="宋体" w:eastAsia="宋体" w:cs="宋体"/>
        <w:color w:val="000000"/>
        <w:kern w:val="0"/>
        <w:u w:val="single"/>
      </w:rPr>
      <w:t xml:space="preserve">河南驰翔工程管理有限公司 </w:t>
    </w:r>
    <w:r>
      <w:rPr>
        <w:rFonts w:hint="eastAsia" w:ascii="宋体" w:hAnsi="宋体" w:cs="宋体"/>
        <w:color w:val="000000"/>
        <w:kern w:val="0"/>
        <w:u w:val="single"/>
      </w:rPr>
      <w:t xml:space="preserve">      </w:t>
    </w:r>
    <w:r>
      <w:rPr>
        <w:rFonts w:hint="eastAsia" w:ascii="宋体" w:hAnsi="宋体" w:cs="宋体"/>
        <w:color w:val="000000"/>
        <w:kern w:val="0"/>
        <w:u w:val="single"/>
        <w:lang w:val="en-US" w:eastAsia="zh-CN"/>
      </w:rPr>
      <w:t xml:space="preserve">                                                                       </w:t>
    </w:r>
    <w:r>
      <w:rPr>
        <w:rFonts w:hint="eastAsia" w:ascii="宋体" w:hAnsi="宋体" w:cs="宋体"/>
        <w:color w:val="000000"/>
        <w:kern w:val="0"/>
        <w:u w:val="singl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E2310">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8E6A1">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EB8E6A1">
                    <w:pPr>
                      <w:pStyle w:val="10"/>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宋体" w:hAnsi="宋体" w:eastAsia="宋体" w:cs="宋体"/>
        <w:color w:val="000000"/>
        <w:kern w:val="0"/>
        <w:u w:val="single"/>
      </w:rPr>
      <w:t xml:space="preserve">河南驰翔工程管理有限公司 </w:t>
    </w:r>
    <w:r>
      <w:rPr>
        <w:rFonts w:hint="eastAsia" w:ascii="宋体" w:hAnsi="宋体" w:cs="宋体"/>
        <w:color w:val="000000"/>
        <w:kern w:val="0"/>
        <w:u w:val="single"/>
      </w:rPr>
      <w:t xml:space="preserve">      </w:t>
    </w:r>
    <w:r>
      <w:rPr>
        <w:rFonts w:hint="eastAsia" w:ascii="宋体" w:hAnsi="宋体" w:cs="宋体"/>
        <w:color w:val="000000"/>
        <w:kern w:val="0"/>
        <w:u w:val="single"/>
        <w:lang w:val="en-US" w:eastAsia="zh-CN"/>
      </w:rPr>
      <w:t xml:space="preserve">                                                                       </w:t>
    </w:r>
    <w:r>
      <w:rPr>
        <w:rFonts w:hint="eastAsia" w:ascii="宋体" w:hAnsi="宋体" w:cs="宋体"/>
        <w:color w:val="000000"/>
        <w:kern w:val="0"/>
        <w:u w:val="singl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AE6C9">
    <w:pPr>
      <w:pStyle w:val="10"/>
      <w:rPr>
        <w:sz w:val="20"/>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7C4B1">
                          <w:pPr>
                            <w:pStyle w:val="1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1A7C4B1">
                    <w:pPr>
                      <w:pStyle w:val="10"/>
                    </w:pPr>
                    <w:r>
                      <w:fldChar w:fldCharType="begin"/>
                    </w:r>
                    <w:r>
                      <w:instrText xml:space="preserve"> PAGE  \* MERGEFORMAT </w:instrText>
                    </w:r>
                    <w:r>
                      <w:fldChar w:fldCharType="separate"/>
                    </w:r>
                    <w:r>
                      <w:t>27</w:t>
                    </w:r>
                    <w:r>
                      <w:fldChar w:fldCharType="end"/>
                    </w:r>
                  </w:p>
                </w:txbxContent>
              </v:textbox>
            </v:shape>
          </w:pict>
        </mc:Fallback>
      </mc:AlternateContent>
    </w:r>
    <w:r>
      <w:rPr>
        <w:rFonts w:hint="eastAsia" w:ascii="宋体" w:hAnsi="宋体" w:eastAsia="宋体" w:cs="宋体"/>
        <w:color w:val="000000"/>
        <w:kern w:val="0"/>
        <w:u w:val="single"/>
      </w:rPr>
      <w:t xml:space="preserve">河南驰翔工程管理有限公司 </w:t>
    </w:r>
    <w:r>
      <w:rPr>
        <w:rFonts w:hint="eastAsia" w:ascii="宋体" w:hAnsi="宋体" w:cs="宋体"/>
        <w:color w:val="000000"/>
        <w:kern w:val="0"/>
        <w:u w:val="single"/>
      </w:rPr>
      <w:t xml:space="preserve">      </w:t>
    </w:r>
    <w:r>
      <w:rPr>
        <w:rFonts w:hint="eastAsia" w:ascii="宋体" w:hAnsi="宋体" w:cs="宋体"/>
        <w:color w:val="000000"/>
        <w:kern w:val="0"/>
        <w:u w:val="single"/>
        <w:lang w:val="en-US" w:eastAsia="zh-CN"/>
      </w:rPr>
      <w:t xml:space="preserve">                                                                       </w:t>
    </w:r>
    <w:r>
      <w:rPr>
        <w:rFonts w:hint="eastAsia" w:ascii="宋体" w:hAnsi="宋体" w:cs="宋体"/>
        <w:color w:val="000000"/>
        <w:kern w:val="0"/>
        <w:u w:val="single"/>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7C29C">
    <w:pPr>
      <w:pStyle w:val="10"/>
      <w:rPr>
        <w:u w:val="single"/>
      </w:rP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88C8A">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B688C8A">
                    <w:pPr>
                      <w:pStyle w:val="10"/>
                    </w:pPr>
                    <w:r>
                      <w:fldChar w:fldCharType="begin"/>
                    </w:r>
                    <w:r>
                      <w:instrText xml:space="preserve"> PAGE  \* MERGEFORMAT </w:instrText>
                    </w:r>
                    <w:r>
                      <w:fldChar w:fldCharType="separate"/>
                    </w:r>
                    <w:r>
                      <w:t>32</w:t>
                    </w:r>
                    <w:r>
                      <w:fldChar w:fldCharType="end"/>
                    </w:r>
                  </w:p>
                </w:txbxContent>
              </v:textbox>
            </v:shape>
          </w:pict>
        </mc:Fallback>
      </mc:AlternateContent>
    </w:r>
    <w:r>
      <w:rPr>
        <w:rFonts w:hint="eastAsia" w:ascii="宋体" w:hAnsi="宋体" w:eastAsia="宋体" w:cs="宋体"/>
        <w:color w:val="000000"/>
        <w:kern w:val="0"/>
        <w:u w:val="single"/>
      </w:rPr>
      <w:t xml:space="preserve">河南驰翔工程管理有限公司 </w:t>
    </w:r>
    <w:r>
      <w:rPr>
        <w:rFonts w:hint="eastAsia" w:ascii="宋体" w:hAnsi="宋体" w:cs="宋体"/>
        <w:color w:val="000000"/>
        <w:kern w:val="0"/>
        <w:u w:val="single"/>
      </w:rPr>
      <w:t xml:space="preserve">                                                                       </w:t>
    </w:r>
    <w:r>
      <w:rPr>
        <w:rFonts w:hint="eastAsia" w:ascii="宋体" w:hAnsi="宋体" w:cs="宋体"/>
        <w:color w:val="000000"/>
        <w:kern w:val="0"/>
        <w:u w:val="single"/>
        <w:lang w:val="en-US" w:eastAsia="zh-CN"/>
      </w:rPr>
      <w:t xml:space="preserve">        </w:t>
    </w:r>
    <w:r>
      <w:rPr>
        <w:rFonts w:hint="eastAsia" w:ascii="宋体" w:hAnsi="宋体" w:cs="宋体"/>
        <w:color w:val="000000"/>
        <w:kern w:val="0"/>
        <w:u w:val="single"/>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31629">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7CDE222">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s84UPXAQAAsQ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1TssjLMOEkTmPvyYrDbpiI&#10;7lx7Qp49LkRDLe4/JfqTRb3T7sxGmI3dbBx8UPsuL1eqBf7DIWJzuedUYYRFrsnBSWbW09alVXnq&#10;56zHP23z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bPOFD1wEAALEDAAAOAAAAAAAAAAEA&#10;IAAAACIBAABkcnMvZTJvRG9jLnhtbFBLBQYAAAAABgAGAFkBAABrBQAAAAA=&#10;">
              <v:fill on="f" focussize="0,0"/>
              <v:stroke on="f" weight="1.25pt"/>
              <v:imagedata o:title=""/>
              <o:lock v:ext="edit" aspectratio="f"/>
              <v:textbox inset="0mm,0mm,0mm,0mm" style="mso-fit-shape-to-text:t;">
                <w:txbxContent>
                  <w:p w14:paraId="17CDE222">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48694">
    <w:pPr>
      <w:pStyle w:val="11"/>
      <w:jc w:val="left"/>
    </w:pPr>
    <w:r>
      <w:rPr>
        <w:rFonts w:hint="eastAsia" w:ascii="宋体" w:hAnsi="宋体" w:eastAsia="宋体" w:cs="宋体"/>
        <w:sz w:val="16"/>
        <w:szCs w:val="16"/>
        <w:u w:val="single"/>
        <w:lang w:val="en-US" w:eastAsia="zh-CN"/>
      </w:rPr>
      <w:t>平顶山市生态环境局2025年颗粒物组分站（合建交通站）和挥发性有机物站（合建交通站）运维及站点保障项目</w:t>
    </w:r>
    <w:r>
      <w:rPr>
        <w:rFonts w:hint="eastAsia" w:ascii="宋体" w:hAnsi="宋体" w:cs="宋体"/>
        <w:sz w:val="16"/>
        <w:szCs w:val="16"/>
        <w:u w:val="single"/>
        <w:lang w:val="en-US" w:eastAsia="zh-CN"/>
      </w:rPr>
      <w:t>三次</w:t>
    </w:r>
    <w:r>
      <w:rPr>
        <w:rFonts w:hint="eastAsia" w:ascii="宋体" w:hAnsi="宋体" w:eastAsia="宋体" w:cs="宋体"/>
        <w:sz w:val="16"/>
        <w:szCs w:val="16"/>
        <w:u w:val="single"/>
        <w:lang w:val="en-US" w:eastAsia="zh-CN"/>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FAAF3">
    <w:pPr>
      <w:pStyle w:val="11"/>
      <w:jc w:val="left"/>
    </w:pPr>
    <w:r>
      <w:rPr>
        <w:rFonts w:hint="eastAsia" w:ascii="宋体" w:hAnsi="宋体" w:eastAsia="宋体" w:cs="宋体"/>
        <w:sz w:val="16"/>
        <w:szCs w:val="16"/>
        <w:u w:val="single"/>
        <w:lang w:val="en-US" w:eastAsia="zh-CN"/>
      </w:rPr>
      <w:t>平顶山市生态环境局2025年颗粒物组分站（合建交通站）和挥发性有机物站（合建交通站）运维及站点保障项目</w:t>
    </w:r>
    <w:r>
      <w:rPr>
        <w:rFonts w:hint="eastAsia" w:ascii="宋体" w:hAnsi="宋体" w:cs="宋体"/>
        <w:sz w:val="16"/>
        <w:szCs w:val="16"/>
        <w:u w:val="single"/>
        <w:lang w:val="en-US" w:eastAsia="zh-CN"/>
      </w:rPr>
      <w:t>三次</w:t>
    </w:r>
    <w:r>
      <w:rPr>
        <w:rFonts w:hint="eastAsia" w:ascii="宋体" w:hAnsi="宋体" w:eastAsia="宋体" w:cs="宋体"/>
        <w:sz w:val="16"/>
        <w:szCs w:val="16"/>
        <w:u w:val="single"/>
        <w:lang w:val="en-US" w:eastAsia="zh-CN"/>
      </w:rPr>
      <w:t xml:space="preserve">     竞争性磋商文件</w:t>
    </w:r>
  </w:p>
  <w:p w14:paraId="24B320B2">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1130300</wp:posOffset>
              </wp:positionH>
              <wp:positionV relativeFrom="page">
                <wp:posOffset>553085</wp:posOffset>
              </wp:positionV>
              <wp:extent cx="1809750" cy="152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09750" cy="152400"/>
                      </a:xfrm>
                      <a:prstGeom prst="rect">
                        <a:avLst/>
                      </a:prstGeom>
                      <a:noFill/>
                      <a:ln>
                        <a:noFill/>
                      </a:ln>
                      <a:effectLst/>
                    </wps:spPr>
                    <wps:txbx>
                      <w:txbxContent>
                        <w:p w14:paraId="2E5D80CD">
                          <w:pPr>
                            <w:spacing w:before="0"/>
                            <w:ind w:left="20" w:right="0" w:firstLine="0"/>
                            <w:jc w:val="left"/>
                            <w:rPr>
                              <w:rFonts w:ascii="Times New Roman" w:eastAsia="Times New Roman"/>
                              <w:sz w:val="18"/>
                            </w:rPr>
                          </w:pPr>
                        </w:p>
                      </w:txbxContent>
                    </wps:txbx>
                    <wps:bodyPr lIns="0" tIns="0" rIns="0" bIns="0" upright="1"/>
                  </wps:wsp>
                </a:graphicData>
              </a:graphic>
            </wp:anchor>
          </w:drawing>
        </mc:Choice>
        <mc:Fallback>
          <w:pict>
            <v:shape id="_x0000_s1026" o:spid="_x0000_s1026" o:spt="202" type="#_x0000_t202" style="position:absolute;left:0pt;margin-left:89pt;margin-top:43.55pt;height:12pt;width:142.5pt;mso-position-horizontal-relative:page;mso-position-vertical-relative:page;z-index:-251657216;mso-width-relative:page;mso-height-relative:page;" filled="f" stroked="f" coordsize="21600,21600" o:gfxdata="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76gjH1gAAAAoBAAAPAAAAAAAAAAEAIAAAACIAAABkcnMvZG93bnJldi54bWxQ&#10;SwECFAAUAAAACACHTuJAyxJyNMABAACAAwAADgAAAAAAAAABACAAAAAlAQAAZHJzL2Uyb0RvYy54&#10;bWxQSwUGAAAAAAYABgBZAQAAVwUAAAAA&#10;">
              <v:fill on="f" focussize="0,0"/>
              <v:stroke on="f"/>
              <v:imagedata o:title=""/>
              <o:lock v:ext="edit" aspectratio="f"/>
              <v:textbox inset="0mm,0mm,0mm,0mm">
                <w:txbxContent>
                  <w:p w14:paraId="2E5D80CD">
                    <w:pPr>
                      <w:spacing w:before="0"/>
                      <w:ind w:left="20" w:right="0" w:firstLine="0"/>
                      <w:jc w:val="left"/>
                      <w:rPr>
                        <w:rFonts w:ascii="Times New Roman" w:eastAsia="Times New Roman"/>
                        <w:sz w:val="18"/>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B4332">
    <w:pPr>
      <w:pStyle w:val="11"/>
      <w:jc w:val="left"/>
      <w:rPr>
        <w:rFonts w:hint="default" w:eastAsia="宋体"/>
        <w:sz w:val="21"/>
        <w:szCs w:val="28"/>
        <w:u w:val="single"/>
        <w:lang w:val="en-US" w:eastAsia="zh-CN"/>
      </w:rPr>
    </w:pPr>
    <w:r>
      <w:rPr>
        <w:rFonts w:hint="eastAsia" w:ascii="宋体" w:hAnsi="宋体" w:eastAsia="宋体" w:cs="宋体"/>
        <w:sz w:val="16"/>
        <w:szCs w:val="16"/>
        <w:u w:val="single"/>
        <w:lang w:val="en-US" w:eastAsia="zh-CN"/>
      </w:rPr>
      <w:t>平顶山市生态环境局2025年颗粒物组分站（合建交通站）和挥发性有机物站（合建交通站）运维及站点保障项目</w:t>
    </w:r>
    <w:r>
      <w:rPr>
        <w:rFonts w:hint="eastAsia" w:ascii="宋体" w:hAnsi="宋体" w:cs="宋体"/>
        <w:sz w:val="16"/>
        <w:szCs w:val="16"/>
        <w:u w:val="single"/>
        <w:lang w:val="en-US" w:eastAsia="zh-CN"/>
      </w:rPr>
      <w:t>三次</w:t>
    </w:r>
    <w:r>
      <w:rPr>
        <w:rFonts w:hint="eastAsia" w:ascii="宋体" w:hAnsi="宋体" w:eastAsia="宋体" w:cs="宋体"/>
        <w:sz w:val="16"/>
        <w:szCs w:val="16"/>
        <w:u w:val="single"/>
        <w:lang w:val="en-US" w:eastAsia="zh-CN"/>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84C5A"/>
    <w:multiLevelType w:val="singleLevel"/>
    <w:tmpl w:val="FDF84C5A"/>
    <w:lvl w:ilvl="0" w:tentative="0">
      <w:start w:val="1"/>
      <w:numFmt w:val="chineseCounting"/>
      <w:suff w:val="nothing"/>
      <w:lvlText w:val="%1、"/>
      <w:lvlJc w:val="left"/>
      <w:rPr>
        <w:rFonts w:hint="eastAsia"/>
      </w:rPr>
    </w:lvl>
  </w:abstractNum>
  <w:abstractNum w:abstractNumId="1">
    <w:nsid w:val="00000009"/>
    <w:multiLevelType w:val="singleLevel"/>
    <w:tmpl w:val="00000009"/>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781B"/>
    <w:rsid w:val="009D76C4"/>
    <w:rsid w:val="065374FA"/>
    <w:rsid w:val="07B05592"/>
    <w:rsid w:val="09860E8F"/>
    <w:rsid w:val="0BCD3768"/>
    <w:rsid w:val="0D142E6F"/>
    <w:rsid w:val="0EF40828"/>
    <w:rsid w:val="0F130CAE"/>
    <w:rsid w:val="0FEA5429"/>
    <w:rsid w:val="1006318D"/>
    <w:rsid w:val="105C0FAD"/>
    <w:rsid w:val="13473661"/>
    <w:rsid w:val="16505110"/>
    <w:rsid w:val="186D28F1"/>
    <w:rsid w:val="1DCD471E"/>
    <w:rsid w:val="284E28FF"/>
    <w:rsid w:val="2C874F6F"/>
    <w:rsid w:val="34884EAC"/>
    <w:rsid w:val="38DE1A7D"/>
    <w:rsid w:val="39195E55"/>
    <w:rsid w:val="39C81A1E"/>
    <w:rsid w:val="3A6A181A"/>
    <w:rsid w:val="3C2435E3"/>
    <w:rsid w:val="3C3E46FD"/>
    <w:rsid w:val="414048E7"/>
    <w:rsid w:val="42FA63BA"/>
    <w:rsid w:val="4617195A"/>
    <w:rsid w:val="498126DD"/>
    <w:rsid w:val="51B83CC3"/>
    <w:rsid w:val="523873D2"/>
    <w:rsid w:val="589C176E"/>
    <w:rsid w:val="59710ACB"/>
    <w:rsid w:val="5F8B6D2D"/>
    <w:rsid w:val="664E0145"/>
    <w:rsid w:val="6784541A"/>
    <w:rsid w:val="681A5D7E"/>
    <w:rsid w:val="68DD1751"/>
    <w:rsid w:val="6CB00F70"/>
    <w:rsid w:val="74602D6B"/>
    <w:rsid w:val="74D83161"/>
    <w:rsid w:val="770A5210"/>
    <w:rsid w:val="7D5F05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pPr>
    <w:rPr>
      <w:szCs w:val="20"/>
    </w:rPr>
  </w:style>
  <w:style w:type="paragraph" w:styleId="4">
    <w:name w:val="Body Text 2"/>
    <w:basedOn w:val="1"/>
    <w:next w:val="5"/>
    <w:qFormat/>
    <w:uiPriority w:val="0"/>
    <w:pPr>
      <w:spacing w:after="120" w:afterLines="0" w:line="480" w:lineRule="auto"/>
    </w:pPr>
  </w:style>
  <w:style w:type="paragraph" w:styleId="5">
    <w:name w:val="Body Text"/>
    <w:basedOn w:val="1"/>
    <w:qFormat/>
    <w:uiPriority w:val="0"/>
    <w:pPr>
      <w:spacing w:before="100" w:beforeLines="0" w:beforeAutospacing="1" w:after="120" w:afterLines="0"/>
    </w:pPr>
  </w:style>
  <w:style w:type="paragraph" w:styleId="6">
    <w:name w:val="Body Text Indent"/>
    <w:basedOn w:val="1"/>
    <w:next w:val="7"/>
    <w:qFormat/>
    <w:uiPriority w:val="0"/>
    <w:pPr>
      <w:spacing w:before="100" w:beforeLines="0" w:beforeAutospacing="1" w:after="120" w:afterLines="0"/>
      <w:ind w:left="420" w:leftChars="200"/>
    </w:pPr>
  </w:style>
  <w:style w:type="paragraph" w:styleId="7">
    <w:name w:val="envelope return"/>
    <w:basedOn w:val="1"/>
    <w:qFormat/>
    <w:uiPriority w:val="0"/>
    <w:pPr>
      <w:snapToGrid w:val="0"/>
    </w:pPr>
    <w:rPr>
      <w:rFonts w:ascii="Arial" w:hAnsi="Arial"/>
    </w:rPr>
  </w:style>
  <w:style w:type="paragraph" w:styleId="8">
    <w:name w:val="List 2"/>
    <w:basedOn w:val="1"/>
    <w:qFormat/>
    <w:uiPriority w:val="0"/>
    <w:pPr>
      <w:spacing w:before="100" w:beforeLines="0" w:beforeAutospacing="1" w:after="100" w:afterLines="0" w:afterAutospacing="1"/>
      <w:ind w:left="100" w:leftChars="200" w:hanging="200" w:hangingChars="200"/>
      <w:contextualSpacing/>
    </w:pPr>
  </w:style>
  <w:style w:type="paragraph" w:styleId="9">
    <w:name w:val="Plain Text"/>
    <w:basedOn w:val="1"/>
    <w:qFormat/>
    <w:uiPriority w:val="0"/>
    <w:pPr>
      <w:widowControl/>
      <w:spacing w:before="100" w:beforeLines="0" w:beforeAutospacing="1" w:after="100" w:afterLines="0" w:afterAutospacing="1"/>
      <w:jc w:val="left"/>
    </w:pPr>
    <w:rPr>
      <w:rFonts w:ascii="宋体" w:hAnsi="宋体" w:eastAsia="Times New Roman"/>
      <w:kern w:val="0"/>
      <w:sz w:val="24"/>
    </w:rPr>
  </w:style>
  <w:style w:type="paragraph" w:styleId="10">
    <w:name w:val="footer"/>
    <w:basedOn w:val="1"/>
    <w:qFormat/>
    <w:uiPriority w:val="0"/>
    <w:pPr>
      <w:widowControl/>
      <w:tabs>
        <w:tab w:val="center" w:pos="4153"/>
        <w:tab w:val="right" w:pos="8306"/>
      </w:tabs>
      <w:snapToGrid w:val="0"/>
      <w:jc w:val="left"/>
    </w:pPr>
    <w:rPr>
      <w:rFonts w:ascii="仿宋" w:hAnsi="仿宋" w:eastAsia="仿宋" w:cs="Times New Roman"/>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Normal (Web)"/>
    <w:basedOn w:val="1"/>
    <w:qFormat/>
    <w:uiPriority w:val="0"/>
    <w:pPr>
      <w:widowControl/>
      <w:spacing w:before="100" w:beforeLines="0" w:beforeAutospacing="1" w:after="100" w:afterLines="0" w:afterAutospacing="1"/>
      <w:jc w:val="left"/>
    </w:pPr>
    <w:rPr>
      <w:rFonts w:ascii="宋体" w:hAnsi="宋体"/>
      <w:kern w:val="0"/>
      <w:sz w:val="24"/>
      <w:szCs w:val="20"/>
    </w:rPr>
  </w:style>
  <w:style w:type="paragraph" w:styleId="14">
    <w:name w:val="Body Text First Indent"/>
    <w:basedOn w:val="5"/>
    <w:next w:val="15"/>
    <w:qFormat/>
    <w:uiPriority w:val="0"/>
    <w:pPr>
      <w:spacing w:after="0" w:afterLines="0"/>
      <w:ind w:firstLine="420" w:firstLineChars="100"/>
    </w:pPr>
    <w:rPr>
      <w:rFonts w:ascii="宋体" w:hAnsi="宋体"/>
    </w:rPr>
  </w:style>
  <w:style w:type="paragraph" w:styleId="15">
    <w:name w:val="Body Text First Indent 2"/>
    <w:basedOn w:val="6"/>
    <w:next w:val="3"/>
    <w:qFormat/>
    <w:uiPriority w:val="0"/>
    <w:pPr>
      <w:spacing w:after="0" w:afterLines="0"/>
      <w:ind w:left="0" w:leftChars="0" w:firstLine="420" w:firstLineChars="200"/>
    </w:pPr>
    <w:rPr>
      <w:rFonts w:ascii="Times New Roman" w:hAnsi="Times New Roman" w:cs="Times New Roman"/>
    </w:rPr>
  </w:style>
  <w:style w:type="character" w:styleId="18">
    <w:name w:val="Hyperlink"/>
    <w:basedOn w:val="17"/>
    <w:qFormat/>
    <w:uiPriority w:val="0"/>
    <w:rPr>
      <w:color w:val="444444"/>
      <w:sz w:val="21"/>
      <w:szCs w:val="21"/>
      <w:u w:val="none"/>
    </w:rPr>
  </w:style>
  <w:style w:type="paragraph" w:customStyle="1" w:styleId="19">
    <w:name w:val="Default"/>
    <w:basedOn w:val="1"/>
    <w:next w:val="1"/>
    <w:qFormat/>
    <w:uiPriority w:val="0"/>
    <w:pPr>
      <w:widowControl/>
    </w:pPr>
    <w:rPr>
      <w:color w:val="000000"/>
      <w:kern w:val="0"/>
      <w:sz w:val="24"/>
      <w:szCs w:val="24"/>
    </w:rPr>
  </w:style>
  <w:style w:type="paragraph" w:customStyle="1" w:styleId="20">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18408</Words>
  <Characters>19305</Characters>
  <Lines>0</Lines>
  <Paragraphs>0</Paragraphs>
  <TotalTime>1</TotalTime>
  <ScaleCrop>false</ScaleCrop>
  <LinksUpToDate>false</LinksUpToDate>
  <CharactersWithSpaces>19523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2025-06-12T06:55:00Z</dcterms:created>
  <dc:creator>张士奇</dc:creator>
  <cp:lastModifiedBy>张士奇</cp:lastModifiedBy>
  <cp:lastPrinted>2025-07-09T04:42:00Z</cp:lastPrinted>
  <dcterms:modified xsi:type="dcterms:W3CDTF">2025-12-12T09:54:12Z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eyJoZGlkIjoiMzliN2NjMTVlN2IxMzY2ZWJhYTBlOTM4MmVhZWQ4MzciLCJ1c2VySWQiOiI0NDE0MDg3MTQifQ==</vt:lpwstr>
  </property>
  <property fmtid="{D5CDD505-2E9C-101B-9397-08002B2CF9AE}" pid="4" name="ICV">
    <vt:lpwstr>29D2870AF1B8462D91DBD615B6B2A519_13</vt:lpwstr>
  </property>
</Properties>
</file>