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5F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highlight w:val="none"/>
          <w:lang w:val="en-US" w:eastAsia="zh-CN"/>
        </w:rPr>
      </w:pPr>
    </w:p>
    <w:p w14:paraId="36D1F3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highlight w:val="none"/>
          <w:lang w:val="en-US" w:eastAsia="zh-CN"/>
        </w:rPr>
      </w:pPr>
    </w:p>
    <w:p w14:paraId="74921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荥阳市林业局城郊生态廊道养护项目</w:t>
      </w:r>
    </w:p>
    <w:p w14:paraId="1C997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一至八标段</w:t>
      </w:r>
    </w:p>
    <w:p w14:paraId="60CDF445">
      <w:pPr>
        <w:pageBreakBefore w:val="0"/>
        <w:widowControl w:val="0"/>
        <w:tabs>
          <w:tab w:val="center" w:pos="4819"/>
          <w:tab w:val="left" w:pos="7905"/>
        </w:tabs>
        <w:kinsoku/>
        <w:wordWrap/>
        <w:overflowPunct/>
        <w:topLinePunct w:val="0"/>
        <w:bidi w:val="0"/>
        <w:adjustRightInd w:val="0"/>
        <w:snapToGrid w:val="0"/>
        <w:spacing w:line="360" w:lineRule="auto"/>
        <w:textAlignment w:val="auto"/>
        <w:rPr>
          <w:rFonts w:hint="eastAsia" w:ascii="宋体" w:hAnsi="宋体" w:eastAsia="宋体" w:cs="宋体"/>
          <w:b/>
          <w:sz w:val="40"/>
          <w:szCs w:val="40"/>
          <w:highlight w:val="none"/>
        </w:rPr>
      </w:pPr>
    </w:p>
    <w:p w14:paraId="0E1D8619">
      <w:pPr>
        <w:pageBreakBefore w:val="0"/>
        <w:widowControl w:val="0"/>
        <w:tabs>
          <w:tab w:val="center" w:pos="4819"/>
          <w:tab w:val="left" w:pos="7905"/>
        </w:tabs>
        <w:kinsoku/>
        <w:wordWrap/>
        <w:overflowPunct/>
        <w:topLinePunct w:val="0"/>
        <w:bidi w:val="0"/>
        <w:adjustRightInd w:val="0"/>
        <w:snapToGrid w:val="0"/>
        <w:spacing w:line="360" w:lineRule="auto"/>
        <w:jc w:val="center"/>
        <w:textAlignment w:val="auto"/>
        <w:rPr>
          <w:rFonts w:hint="eastAsia" w:ascii="宋体" w:hAnsi="宋体" w:eastAsia="宋体" w:cs="宋体"/>
          <w:b/>
          <w:sz w:val="40"/>
          <w:szCs w:val="40"/>
          <w:highlight w:val="none"/>
        </w:rPr>
      </w:pPr>
    </w:p>
    <w:p w14:paraId="7B22452B">
      <w:pPr>
        <w:pStyle w:val="26"/>
        <w:rPr>
          <w:rFonts w:hint="eastAsia" w:ascii="宋体" w:hAnsi="宋体" w:eastAsia="宋体" w:cs="宋体"/>
          <w:highlight w:val="none"/>
        </w:rPr>
      </w:pPr>
    </w:p>
    <w:p w14:paraId="6412F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96"/>
          <w:highlight w:val="none"/>
        </w:rPr>
      </w:pPr>
      <w:r>
        <w:rPr>
          <w:rFonts w:hint="eastAsia" w:ascii="宋体" w:hAnsi="宋体" w:eastAsia="宋体" w:cs="宋体"/>
          <w:b/>
          <w:bCs/>
          <w:sz w:val="96"/>
          <w:szCs w:val="96"/>
          <w:highlight w:val="none"/>
        </w:rPr>
        <w:t>招标文件</w:t>
      </w:r>
    </w:p>
    <w:p w14:paraId="5924AF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eastAsia="zh-CN"/>
        </w:rPr>
        <w:t>荥财公开-202</w:t>
      </w:r>
      <w:r>
        <w:rPr>
          <w:rFonts w:hint="eastAsia" w:ascii="宋体" w:hAnsi="宋体" w:cs="宋体"/>
          <w:b/>
          <w:sz w:val="28"/>
          <w:szCs w:val="28"/>
          <w:highlight w:val="none"/>
          <w:lang w:val="en-US" w:eastAsia="zh-CN"/>
        </w:rPr>
        <w:t>5-13</w:t>
      </w:r>
    </w:p>
    <w:p w14:paraId="68B64DE5">
      <w:pPr>
        <w:pageBreakBefore w:val="0"/>
        <w:widowControl w:val="0"/>
        <w:kinsoku/>
        <w:wordWrap/>
        <w:overflowPunct/>
        <w:topLinePunct w:val="0"/>
        <w:bidi w:val="0"/>
        <w:spacing w:line="360" w:lineRule="auto"/>
        <w:textAlignment w:val="auto"/>
        <w:rPr>
          <w:rFonts w:hint="eastAsia" w:ascii="宋体" w:hAnsi="宋体" w:eastAsia="宋体" w:cs="宋体"/>
          <w:sz w:val="21"/>
          <w:szCs w:val="18"/>
          <w:highlight w:val="none"/>
        </w:rPr>
      </w:pPr>
    </w:p>
    <w:p w14:paraId="5BE24C78">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eastAsia="宋体" w:cs="宋体"/>
          <w:b/>
          <w:sz w:val="32"/>
          <w:szCs w:val="32"/>
          <w:highlight w:val="none"/>
        </w:rPr>
      </w:pPr>
    </w:p>
    <w:p w14:paraId="1EA59F02">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eastAsia="宋体" w:cs="宋体"/>
          <w:b/>
          <w:sz w:val="32"/>
          <w:szCs w:val="32"/>
          <w:highlight w:val="none"/>
        </w:rPr>
      </w:pPr>
    </w:p>
    <w:p w14:paraId="0DBAC731">
      <w:pPr>
        <w:pStyle w:val="3"/>
        <w:pageBreakBefore w:val="0"/>
        <w:widowControl w:val="0"/>
        <w:kinsoku/>
        <w:wordWrap/>
        <w:overflowPunct/>
        <w:topLinePunct w:val="0"/>
        <w:bidi w:val="0"/>
        <w:spacing w:line="360" w:lineRule="auto"/>
        <w:textAlignment w:val="auto"/>
        <w:rPr>
          <w:rFonts w:hint="eastAsia" w:ascii="宋体" w:hAnsi="宋体" w:eastAsia="宋体" w:cs="宋体"/>
          <w:b/>
          <w:sz w:val="32"/>
          <w:szCs w:val="32"/>
          <w:highlight w:val="none"/>
        </w:rPr>
      </w:pPr>
    </w:p>
    <w:p w14:paraId="7A79758E">
      <w:pPr>
        <w:pageBreakBefore w:val="0"/>
        <w:widowControl w:val="0"/>
        <w:kinsoku/>
        <w:wordWrap/>
        <w:overflowPunct/>
        <w:topLinePunct w:val="0"/>
        <w:bidi w:val="0"/>
        <w:spacing w:line="360" w:lineRule="auto"/>
        <w:textAlignment w:val="auto"/>
        <w:rPr>
          <w:rFonts w:hint="eastAsia" w:ascii="宋体" w:hAnsi="宋体" w:eastAsia="宋体" w:cs="宋体"/>
          <w:b/>
          <w:sz w:val="32"/>
          <w:szCs w:val="32"/>
          <w:highlight w:val="none"/>
        </w:rPr>
      </w:pPr>
    </w:p>
    <w:p w14:paraId="5DD58C77">
      <w:pPr>
        <w:pStyle w:val="3"/>
        <w:pageBreakBefore w:val="0"/>
        <w:widowControl w:val="0"/>
        <w:kinsoku/>
        <w:wordWrap/>
        <w:overflowPunct/>
        <w:topLinePunct w:val="0"/>
        <w:bidi w:val="0"/>
        <w:spacing w:line="360" w:lineRule="auto"/>
        <w:textAlignment w:val="auto"/>
        <w:rPr>
          <w:rFonts w:hint="eastAsia" w:ascii="宋体" w:hAnsi="宋体" w:eastAsia="宋体" w:cs="宋体"/>
          <w:highlight w:val="none"/>
        </w:rPr>
      </w:pPr>
    </w:p>
    <w:p w14:paraId="18D43456">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采   购   人：</w:t>
      </w:r>
      <w:r>
        <w:rPr>
          <w:rFonts w:hint="eastAsia" w:ascii="宋体" w:hAnsi="宋体" w:eastAsia="宋体" w:cs="宋体"/>
          <w:b/>
          <w:sz w:val="32"/>
          <w:szCs w:val="32"/>
          <w:highlight w:val="none"/>
          <w:lang w:val="en-US" w:eastAsia="zh-CN"/>
        </w:rPr>
        <w:t>荥阳市林业局</w:t>
      </w:r>
    </w:p>
    <w:p w14:paraId="3EEFB5F9">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采购代理机构：</w:t>
      </w:r>
      <w:bookmarkStart w:id="0" w:name="_Toc23740"/>
      <w:bookmarkStart w:id="1" w:name="_Toc5900"/>
      <w:r>
        <w:rPr>
          <w:rFonts w:hint="eastAsia" w:ascii="宋体" w:hAnsi="宋体" w:eastAsia="宋体" w:cs="宋体"/>
          <w:b/>
          <w:sz w:val="32"/>
          <w:szCs w:val="32"/>
          <w:highlight w:val="none"/>
          <w:lang w:val="en-US" w:eastAsia="zh-CN"/>
        </w:rPr>
        <w:t>河南保利招标咨询有限公司</w:t>
      </w:r>
      <w:bookmarkEnd w:id="0"/>
      <w:bookmarkEnd w:id="1"/>
    </w:p>
    <w:p w14:paraId="16AE12F5">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日        期：</w:t>
      </w:r>
      <w:r>
        <w:rPr>
          <w:rFonts w:hint="eastAsia" w:ascii="宋体" w:hAnsi="宋体" w:cs="宋体"/>
          <w:b/>
          <w:sz w:val="32"/>
          <w:szCs w:val="32"/>
          <w:highlight w:val="none"/>
          <w:lang w:eastAsia="zh-CN"/>
        </w:rPr>
        <w:t>二〇</w:t>
      </w:r>
      <w:r>
        <w:rPr>
          <w:rFonts w:hint="eastAsia" w:ascii="宋体" w:hAnsi="宋体" w:eastAsia="宋体" w:cs="宋体"/>
          <w:b/>
          <w:sz w:val="32"/>
          <w:szCs w:val="32"/>
          <w:highlight w:val="none"/>
        </w:rPr>
        <w:t>二</w:t>
      </w:r>
      <w:r>
        <w:rPr>
          <w:rFonts w:hint="eastAsia" w:ascii="宋体" w:hAnsi="宋体" w:cs="宋体"/>
          <w:b/>
          <w:sz w:val="32"/>
          <w:szCs w:val="32"/>
          <w:highlight w:val="none"/>
          <w:lang w:val="en-US" w:eastAsia="zh-CN"/>
        </w:rPr>
        <w:t>五</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七</w:t>
      </w:r>
      <w:r>
        <w:rPr>
          <w:rFonts w:hint="eastAsia" w:ascii="宋体" w:hAnsi="宋体" w:eastAsia="宋体" w:cs="宋体"/>
          <w:b/>
          <w:sz w:val="32"/>
          <w:szCs w:val="32"/>
          <w:highlight w:val="none"/>
        </w:rPr>
        <w:t>月</w:t>
      </w:r>
    </w:p>
    <w:p w14:paraId="11DA23DE">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b/>
          <w:bCs/>
          <w:kern w:val="2"/>
          <w:sz w:val="28"/>
          <w:szCs w:val="28"/>
          <w:highlight w:val="none"/>
          <w:lang w:val="en-US" w:eastAsia="zh-CN" w:bidi="ar-SA"/>
        </w:rPr>
        <w:sectPr>
          <w:pgSz w:w="11906" w:h="16838"/>
          <w:pgMar w:top="1304" w:right="1588" w:bottom="1304" w:left="1588" w:header="851" w:footer="992" w:gutter="0"/>
          <w:pgNumType w:fmt="decimal" w:start="1"/>
          <w:cols w:space="425" w:num="1"/>
          <w:docGrid w:type="lines" w:linePitch="312" w:charSpace="0"/>
        </w:sectPr>
      </w:pPr>
    </w:p>
    <w:p w14:paraId="212CF347">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b/>
          <w:bCs/>
          <w:kern w:val="2"/>
          <w:sz w:val="28"/>
          <w:szCs w:val="28"/>
          <w:highlight w:val="none"/>
          <w:lang w:val="en-US" w:eastAsia="zh-CN" w:bidi="ar-SA"/>
        </w:rPr>
      </w:pPr>
    </w:p>
    <w:sdt>
      <w:sdtPr>
        <w:rPr>
          <w:rFonts w:ascii="宋体" w:hAnsi="宋体" w:eastAsia="宋体" w:cs="Times New Roman"/>
          <w:b/>
          <w:bCs/>
          <w:kern w:val="2"/>
          <w:sz w:val="28"/>
          <w:szCs w:val="28"/>
          <w:highlight w:val="none"/>
          <w:lang w:val="en-US" w:eastAsia="zh-CN" w:bidi="ar-SA"/>
        </w:rPr>
        <w:id w:val="147476581"/>
        <w15:color w:val="DBDBDB"/>
        <w:docPartObj>
          <w:docPartGallery w:val="Table of Contents"/>
          <w:docPartUnique/>
        </w:docPartObj>
      </w:sdtPr>
      <w:sdtEndPr>
        <w:rPr>
          <w:rFonts w:ascii="宋体" w:hAnsi="宋体" w:eastAsia="宋体" w:cs="Times New Roman"/>
          <w:b/>
          <w:bCs/>
          <w:kern w:val="2"/>
          <w:sz w:val="24"/>
          <w:szCs w:val="24"/>
          <w:highlight w:val="none"/>
          <w:lang w:val="en-US" w:eastAsia="zh-CN" w:bidi="ar-SA"/>
        </w:rPr>
      </w:sdtEndPr>
      <w:sdtContent>
        <w:p w14:paraId="6B17EE76">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28"/>
              <w:szCs w:val="28"/>
              <w:highlight w:val="none"/>
            </w:rPr>
          </w:pPr>
          <w:r>
            <w:rPr>
              <w:rFonts w:ascii="宋体" w:hAnsi="宋体" w:eastAsia="宋体"/>
              <w:b/>
              <w:bCs/>
              <w:sz w:val="28"/>
              <w:szCs w:val="28"/>
              <w:highlight w:val="none"/>
            </w:rPr>
            <w:t>目</w:t>
          </w:r>
          <w:r>
            <w:rPr>
              <w:rFonts w:hint="eastAsia" w:ascii="宋体" w:hAnsi="宋体" w:eastAsia="宋体"/>
              <w:b/>
              <w:bCs/>
              <w:sz w:val="28"/>
              <w:szCs w:val="28"/>
              <w:highlight w:val="none"/>
              <w:lang w:val="en-US" w:eastAsia="zh-CN"/>
            </w:rPr>
            <w:t xml:space="preserve"> </w:t>
          </w:r>
          <w:r>
            <w:rPr>
              <w:rFonts w:ascii="宋体" w:hAnsi="宋体" w:eastAsia="宋体"/>
              <w:b/>
              <w:bCs/>
              <w:sz w:val="28"/>
              <w:szCs w:val="28"/>
              <w:highlight w:val="none"/>
            </w:rPr>
            <w:t>录</w:t>
          </w:r>
        </w:p>
        <w:p w14:paraId="16139F28">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_Toc16523 </w:instrText>
          </w:r>
          <w:r>
            <w:rPr>
              <w:sz w:val="24"/>
              <w:szCs w:val="24"/>
              <w:highlight w:val="none"/>
            </w:rPr>
            <w:fldChar w:fldCharType="separate"/>
          </w:r>
          <w:r>
            <w:rPr>
              <w:rFonts w:hint="eastAsia" w:ascii="宋体" w:hAnsi="宋体" w:eastAsia="宋体" w:cs="宋体"/>
              <w:sz w:val="24"/>
              <w:szCs w:val="24"/>
              <w:highlight w:val="none"/>
              <w:lang w:val="en-US" w:eastAsia="zh-CN"/>
            </w:rPr>
            <w:t xml:space="preserve">第一章 </w:t>
          </w:r>
          <w:r>
            <w:rPr>
              <w:rFonts w:hint="eastAsia" w:ascii="宋体" w:hAnsi="宋体" w:eastAsia="宋体"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_Toc16523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14:paraId="70B753AA">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_Toc16540 </w:instrText>
          </w:r>
          <w:r>
            <w:rPr>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w:t>
          </w:r>
          <w:r>
            <w:rPr>
              <w:sz w:val="24"/>
              <w:szCs w:val="24"/>
              <w:highlight w:val="none"/>
            </w:rPr>
            <w:tab/>
          </w:r>
          <w:r>
            <w:rPr>
              <w:sz w:val="24"/>
              <w:szCs w:val="24"/>
              <w:highlight w:val="none"/>
            </w:rPr>
            <w:fldChar w:fldCharType="begin"/>
          </w:r>
          <w:r>
            <w:rPr>
              <w:sz w:val="24"/>
              <w:szCs w:val="24"/>
              <w:highlight w:val="none"/>
            </w:rPr>
            <w:instrText xml:space="preserve"> PAGEREF _Toc16540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69DC242A">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_Toc12621 </w:instrText>
          </w:r>
          <w:r>
            <w:rPr>
              <w:sz w:val="24"/>
              <w:szCs w:val="24"/>
              <w:highlight w:val="none"/>
            </w:rPr>
            <w:fldChar w:fldCharType="separate"/>
          </w:r>
          <w:r>
            <w:rPr>
              <w:rFonts w:hint="eastAsia" w:ascii="宋体" w:hAnsi="宋体" w:eastAsia="宋体" w:cs="宋体"/>
              <w:sz w:val="24"/>
              <w:szCs w:val="24"/>
              <w:highlight w:val="none"/>
            </w:rPr>
            <w:t>第三章 评标</w:t>
          </w:r>
          <w:r>
            <w:rPr>
              <w:rFonts w:hint="eastAsia" w:ascii="宋体" w:hAnsi="宋体" w:eastAsia="宋体" w:cs="宋体"/>
              <w:sz w:val="24"/>
              <w:szCs w:val="24"/>
              <w:highlight w:val="none"/>
              <w:lang w:val="en-US" w:eastAsia="zh-CN"/>
            </w:rPr>
            <w:t>办法</w:t>
          </w:r>
          <w:r>
            <w:rPr>
              <w:rFonts w:hint="eastAsia" w:ascii="宋体" w:hAnsi="宋体" w:eastAsia="宋体" w:cs="宋体"/>
              <w:sz w:val="24"/>
              <w:szCs w:val="24"/>
              <w:highlight w:val="none"/>
            </w:rPr>
            <w:t>（综合评分法）</w:t>
          </w:r>
          <w:r>
            <w:rPr>
              <w:sz w:val="24"/>
              <w:szCs w:val="24"/>
              <w:highlight w:val="none"/>
            </w:rPr>
            <w:tab/>
          </w:r>
          <w:r>
            <w:rPr>
              <w:sz w:val="24"/>
              <w:szCs w:val="24"/>
              <w:highlight w:val="none"/>
            </w:rPr>
            <w:fldChar w:fldCharType="begin"/>
          </w:r>
          <w:r>
            <w:rPr>
              <w:sz w:val="24"/>
              <w:szCs w:val="24"/>
              <w:highlight w:val="none"/>
            </w:rPr>
            <w:instrText xml:space="preserve"> PAGEREF _Toc12621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4"/>
              <w:highlight w:val="none"/>
            </w:rPr>
            <w:fldChar w:fldCharType="end"/>
          </w:r>
        </w:p>
        <w:p w14:paraId="16C98A77">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_Toc19837 </w:instrText>
          </w:r>
          <w:r>
            <w:rPr>
              <w:sz w:val="24"/>
              <w:szCs w:val="24"/>
              <w:highlight w:val="none"/>
            </w:rPr>
            <w:fldChar w:fldCharType="separate"/>
          </w:r>
          <w:r>
            <w:rPr>
              <w:rFonts w:hint="eastAsia" w:ascii="宋体" w:hAnsi="宋体" w:eastAsia="宋体" w:cs="宋体"/>
              <w:sz w:val="24"/>
              <w:szCs w:val="24"/>
              <w:highlight w:val="none"/>
              <w:lang w:val="en-US" w:eastAsia="zh-CN"/>
            </w:rPr>
            <w:t>第四章 合同条款及格式</w:t>
          </w:r>
          <w:r>
            <w:rPr>
              <w:sz w:val="24"/>
              <w:szCs w:val="24"/>
              <w:highlight w:val="none"/>
            </w:rPr>
            <w:tab/>
          </w:r>
          <w:r>
            <w:rPr>
              <w:sz w:val="24"/>
              <w:szCs w:val="24"/>
              <w:highlight w:val="none"/>
            </w:rPr>
            <w:fldChar w:fldCharType="begin"/>
          </w:r>
          <w:r>
            <w:rPr>
              <w:sz w:val="24"/>
              <w:szCs w:val="24"/>
              <w:highlight w:val="none"/>
            </w:rPr>
            <w:instrText xml:space="preserve"> PAGEREF _Toc19837 \h </w:instrText>
          </w:r>
          <w:r>
            <w:rPr>
              <w:sz w:val="24"/>
              <w:szCs w:val="24"/>
              <w:highlight w:val="none"/>
            </w:rPr>
            <w:fldChar w:fldCharType="separate"/>
          </w:r>
          <w:r>
            <w:rPr>
              <w:sz w:val="24"/>
              <w:szCs w:val="24"/>
              <w:highlight w:val="none"/>
            </w:rPr>
            <w:t>30</w:t>
          </w:r>
          <w:r>
            <w:rPr>
              <w:sz w:val="24"/>
              <w:szCs w:val="24"/>
              <w:highlight w:val="none"/>
            </w:rPr>
            <w:fldChar w:fldCharType="end"/>
          </w:r>
          <w:r>
            <w:rPr>
              <w:sz w:val="24"/>
              <w:szCs w:val="24"/>
              <w:highlight w:val="none"/>
            </w:rPr>
            <w:fldChar w:fldCharType="end"/>
          </w:r>
        </w:p>
        <w:p w14:paraId="40F8B85D">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_Toc23375 </w:instrText>
          </w:r>
          <w:r>
            <w:rPr>
              <w:sz w:val="24"/>
              <w:szCs w:val="24"/>
              <w:highlight w:val="none"/>
            </w:rPr>
            <w:fldChar w:fldCharType="separate"/>
          </w:r>
          <w:r>
            <w:rPr>
              <w:rFonts w:hint="eastAsia" w:ascii="宋体" w:hAnsi="宋体" w:cs="宋体"/>
              <w:sz w:val="24"/>
              <w:szCs w:val="24"/>
              <w:highlight w:val="none"/>
              <w:lang w:val="en-US" w:eastAsia="zh-CN"/>
            </w:rPr>
            <w:t xml:space="preserve">第五章 </w:t>
          </w:r>
          <w:r>
            <w:rPr>
              <w:rFonts w:hint="eastAsia" w:ascii="宋体" w:hAnsi="宋体" w:eastAsia="宋体" w:cs="宋体"/>
              <w:sz w:val="24"/>
              <w:szCs w:val="24"/>
              <w:highlight w:val="none"/>
              <w:lang w:val="en-US" w:eastAsia="zh-CN"/>
            </w:rPr>
            <w:t>服务需求</w:t>
          </w:r>
          <w:r>
            <w:rPr>
              <w:sz w:val="24"/>
              <w:szCs w:val="24"/>
              <w:highlight w:val="none"/>
            </w:rPr>
            <w:tab/>
          </w:r>
          <w:r>
            <w:rPr>
              <w:sz w:val="24"/>
              <w:szCs w:val="24"/>
              <w:highlight w:val="none"/>
            </w:rPr>
            <w:fldChar w:fldCharType="begin"/>
          </w:r>
          <w:r>
            <w:rPr>
              <w:sz w:val="24"/>
              <w:szCs w:val="24"/>
              <w:highlight w:val="none"/>
            </w:rPr>
            <w:instrText xml:space="preserve"> PAGEREF _Toc23375 \h </w:instrText>
          </w:r>
          <w:r>
            <w:rPr>
              <w:sz w:val="24"/>
              <w:szCs w:val="24"/>
              <w:highlight w:val="none"/>
            </w:rPr>
            <w:fldChar w:fldCharType="separate"/>
          </w:r>
          <w:r>
            <w:rPr>
              <w:sz w:val="24"/>
              <w:szCs w:val="24"/>
              <w:highlight w:val="none"/>
            </w:rPr>
            <w:t>37</w:t>
          </w:r>
          <w:r>
            <w:rPr>
              <w:sz w:val="24"/>
              <w:szCs w:val="24"/>
              <w:highlight w:val="none"/>
            </w:rPr>
            <w:fldChar w:fldCharType="end"/>
          </w:r>
          <w:r>
            <w:rPr>
              <w:sz w:val="24"/>
              <w:szCs w:val="24"/>
              <w:highlight w:val="none"/>
            </w:rPr>
            <w:fldChar w:fldCharType="end"/>
          </w:r>
        </w:p>
        <w:p w14:paraId="22453568">
          <w:pPr>
            <w:pStyle w:val="16"/>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_Toc2138 </w:instrText>
          </w:r>
          <w:r>
            <w:rPr>
              <w:sz w:val="24"/>
              <w:szCs w:val="24"/>
              <w:highlight w:val="none"/>
            </w:rPr>
            <w:fldChar w:fldCharType="separate"/>
          </w:r>
          <w:r>
            <w:rPr>
              <w:rFonts w:hint="eastAsia" w:ascii="宋体" w:hAnsi="宋体" w:eastAsia="宋体" w:cs="宋体"/>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_Toc2138 \h </w:instrText>
          </w:r>
          <w:r>
            <w:rPr>
              <w:sz w:val="24"/>
              <w:szCs w:val="24"/>
              <w:highlight w:val="none"/>
            </w:rPr>
            <w:fldChar w:fldCharType="separate"/>
          </w:r>
          <w:r>
            <w:rPr>
              <w:sz w:val="24"/>
              <w:szCs w:val="24"/>
              <w:highlight w:val="none"/>
            </w:rPr>
            <w:t>40</w:t>
          </w:r>
          <w:r>
            <w:rPr>
              <w:sz w:val="24"/>
              <w:szCs w:val="24"/>
              <w:highlight w:val="none"/>
            </w:rPr>
            <w:fldChar w:fldCharType="end"/>
          </w:r>
          <w:r>
            <w:rPr>
              <w:sz w:val="24"/>
              <w:szCs w:val="24"/>
              <w:highlight w:val="none"/>
            </w:rPr>
            <w:fldChar w:fldCharType="end"/>
          </w:r>
        </w:p>
        <w:p w14:paraId="3D3F4678">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_Toc3489 </w:instrText>
          </w:r>
          <w:r>
            <w:rPr>
              <w:sz w:val="24"/>
              <w:szCs w:val="24"/>
              <w:highlight w:val="none"/>
            </w:rPr>
            <w:fldChar w:fldCharType="separate"/>
          </w:r>
          <w:r>
            <w:rPr>
              <w:rFonts w:hint="eastAsia" w:ascii="宋体" w:hAnsi="宋体" w:eastAsia="宋体" w:cs="宋体"/>
              <w:sz w:val="24"/>
              <w:szCs w:val="24"/>
              <w:highlight w:val="none"/>
              <w:lang w:val="en-US" w:eastAsia="zh-CN"/>
            </w:rPr>
            <w:t>一、投标函及投标函附录</w:t>
          </w:r>
          <w:r>
            <w:rPr>
              <w:sz w:val="24"/>
              <w:szCs w:val="24"/>
              <w:highlight w:val="none"/>
            </w:rPr>
            <w:tab/>
          </w:r>
          <w:r>
            <w:rPr>
              <w:sz w:val="24"/>
              <w:szCs w:val="24"/>
              <w:highlight w:val="none"/>
            </w:rPr>
            <w:fldChar w:fldCharType="begin"/>
          </w:r>
          <w:r>
            <w:rPr>
              <w:sz w:val="24"/>
              <w:szCs w:val="24"/>
              <w:highlight w:val="none"/>
            </w:rPr>
            <w:instrText xml:space="preserve"> PAGEREF _Toc3489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14:paraId="32C0CCBB">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_Toc5390 </w:instrText>
          </w:r>
          <w:r>
            <w:rPr>
              <w:sz w:val="24"/>
              <w:szCs w:val="24"/>
              <w:highlight w:val="none"/>
            </w:rPr>
            <w:fldChar w:fldCharType="separate"/>
          </w:r>
          <w:r>
            <w:rPr>
              <w:rFonts w:hint="eastAsia" w:ascii="宋体" w:hAnsi="宋体" w:eastAsia="宋体" w:cs="宋体"/>
              <w:sz w:val="24"/>
              <w:szCs w:val="24"/>
              <w:highlight w:val="none"/>
            </w:rPr>
            <w:t>二、法定代表人身份证明</w:t>
          </w:r>
          <w:r>
            <w:rPr>
              <w:sz w:val="24"/>
              <w:szCs w:val="24"/>
              <w:highlight w:val="none"/>
            </w:rPr>
            <w:tab/>
          </w:r>
          <w:r>
            <w:rPr>
              <w:sz w:val="24"/>
              <w:szCs w:val="24"/>
              <w:highlight w:val="none"/>
            </w:rPr>
            <w:fldChar w:fldCharType="begin"/>
          </w:r>
          <w:r>
            <w:rPr>
              <w:sz w:val="24"/>
              <w:szCs w:val="24"/>
              <w:highlight w:val="none"/>
            </w:rPr>
            <w:instrText xml:space="preserve"> PAGEREF _Toc5390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14:paraId="6432927A">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_Toc24415 </w:instrText>
          </w:r>
          <w:r>
            <w:rPr>
              <w:sz w:val="24"/>
              <w:szCs w:val="24"/>
              <w:highlight w:val="none"/>
            </w:rPr>
            <w:fldChar w:fldCharType="separate"/>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授权委托书</w:t>
          </w:r>
          <w:r>
            <w:rPr>
              <w:sz w:val="24"/>
              <w:szCs w:val="24"/>
              <w:highlight w:val="none"/>
            </w:rPr>
            <w:tab/>
          </w:r>
          <w:r>
            <w:rPr>
              <w:sz w:val="24"/>
              <w:szCs w:val="24"/>
              <w:highlight w:val="none"/>
            </w:rPr>
            <w:fldChar w:fldCharType="begin"/>
          </w:r>
          <w:r>
            <w:rPr>
              <w:sz w:val="24"/>
              <w:szCs w:val="24"/>
              <w:highlight w:val="none"/>
            </w:rPr>
            <w:instrText xml:space="preserve"> PAGEREF _Toc24415 \h </w:instrText>
          </w:r>
          <w:r>
            <w:rPr>
              <w:sz w:val="24"/>
              <w:szCs w:val="24"/>
              <w:highlight w:val="none"/>
            </w:rPr>
            <w:fldChar w:fldCharType="separate"/>
          </w:r>
          <w:r>
            <w:rPr>
              <w:sz w:val="24"/>
              <w:szCs w:val="24"/>
              <w:highlight w:val="none"/>
            </w:rPr>
            <w:t>45</w:t>
          </w:r>
          <w:r>
            <w:rPr>
              <w:sz w:val="24"/>
              <w:szCs w:val="24"/>
              <w:highlight w:val="none"/>
            </w:rPr>
            <w:fldChar w:fldCharType="end"/>
          </w:r>
          <w:r>
            <w:rPr>
              <w:sz w:val="24"/>
              <w:szCs w:val="24"/>
              <w:highlight w:val="none"/>
            </w:rPr>
            <w:fldChar w:fldCharType="end"/>
          </w:r>
        </w:p>
        <w:p w14:paraId="6A0BC6D0">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_Toc22339 </w:instrText>
          </w:r>
          <w:r>
            <w:rPr>
              <w:sz w:val="24"/>
              <w:szCs w:val="24"/>
              <w:highlight w:val="none"/>
            </w:rPr>
            <w:fldChar w:fldCharType="separate"/>
          </w:r>
          <w:r>
            <w:rPr>
              <w:rFonts w:hint="eastAsia" w:ascii="宋体" w:hAnsi="宋体" w:eastAsia="宋体" w:cs="宋体"/>
              <w:sz w:val="24"/>
              <w:szCs w:val="24"/>
              <w:highlight w:val="none"/>
              <w:lang w:val="en-US" w:eastAsia="zh-CN"/>
            </w:rPr>
            <w:t>四、资格审查资料</w:t>
          </w:r>
          <w:r>
            <w:rPr>
              <w:sz w:val="24"/>
              <w:szCs w:val="24"/>
              <w:highlight w:val="none"/>
            </w:rPr>
            <w:tab/>
          </w:r>
          <w:r>
            <w:rPr>
              <w:sz w:val="24"/>
              <w:szCs w:val="24"/>
              <w:highlight w:val="none"/>
            </w:rPr>
            <w:fldChar w:fldCharType="begin"/>
          </w:r>
          <w:r>
            <w:rPr>
              <w:sz w:val="24"/>
              <w:szCs w:val="24"/>
              <w:highlight w:val="none"/>
            </w:rPr>
            <w:instrText xml:space="preserve"> PAGEREF _Toc22339 \h </w:instrText>
          </w:r>
          <w:r>
            <w:rPr>
              <w:sz w:val="24"/>
              <w:szCs w:val="24"/>
              <w:highlight w:val="none"/>
            </w:rPr>
            <w:fldChar w:fldCharType="separate"/>
          </w:r>
          <w:r>
            <w:rPr>
              <w:sz w:val="24"/>
              <w:szCs w:val="24"/>
              <w:highlight w:val="none"/>
            </w:rPr>
            <w:t>46</w:t>
          </w:r>
          <w:r>
            <w:rPr>
              <w:sz w:val="24"/>
              <w:szCs w:val="24"/>
              <w:highlight w:val="none"/>
            </w:rPr>
            <w:fldChar w:fldCharType="end"/>
          </w:r>
          <w:r>
            <w:rPr>
              <w:sz w:val="24"/>
              <w:szCs w:val="24"/>
              <w:highlight w:val="none"/>
            </w:rPr>
            <w:fldChar w:fldCharType="end"/>
          </w:r>
        </w:p>
        <w:p w14:paraId="08DF0DA9">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_Toc27042 </w:instrText>
          </w:r>
          <w:r>
            <w:rPr>
              <w:sz w:val="24"/>
              <w:szCs w:val="24"/>
              <w:highlight w:val="none"/>
            </w:rPr>
            <w:fldChar w:fldCharType="separate"/>
          </w:r>
          <w:r>
            <w:rPr>
              <w:rFonts w:hint="eastAsia" w:ascii="宋体" w:hAnsi="宋体" w:eastAsia="宋体" w:cs="宋体"/>
              <w:sz w:val="24"/>
              <w:szCs w:val="24"/>
              <w:highlight w:val="none"/>
              <w:lang w:val="en-US" w:eastAsia="zh-CN"/>
            </w:rPr>
            <w:t>五、服务方案</w:t>
          </w:r>
          <w:r>
            <w:rPr>
              <w:sz w:val="24"/>
              <w:szCs w:val="24"/>
              <w:highlight w:val="none"/>
            </w:rPr>
            <w:tab/>
          </w:r>
          <w:r>
            <w:rPr>
              <w:sz w:val="24"/>
              <w:szCs w:val="24"/>
              <w:highlight w:val="none"/>
            </w:rPr>
            <w:fldChar w:fldCharType="begin"/>
          </w:r>
          <w:r>
            <w:rPr>
              <w:sz w:val="24"/>
              <w:szCs w:val="24"/>
              <w:highlight w:val="none"/>
            </w:rPr>
            <w:instrText xml:space="preserve"> PAGEREF _Toc27042 \h </w:instrText>
          </w:r>
          <w:r>
            <w:rPr>
              <w:sz w:val="24"/>
              <w:szCs w:val="24"/>
              <w:highlight w:val="none"/>
            </w:rPr>
            <w:fldChar w:fldCharType="separate"/>
          </w:r>
          <w:r>
            <w:rPr>
              <w:sz w:val="24"/>
              <w:szCs w:val="24"/>
              <w:highlight w:val="none"/>
            </w:rPr>
            <w:t>47</w:t>
          </w:r>
          <w:r>
            <w:rPr>
              <w:sz w:val="24"/>
              <w:szCs w:val="24"/>
              <w:highlight w:val="none"/>
            </w:rPr>
            <w:fldChar w:fldCharType="end"/>
          </w:r>
          <w:r>
            <w:rPr>
              <w:sz w:val="24"/>
              <w:szCs w:val="24"/>
              <w:highlight w:val="none"/>
            </w:rPr>
            <w:fldChar w:fldCharType="end"/>
          </w:r>
        </w:p>
        <w:p w14:paraId="13FB15B8">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_Toc3725 </w:instrText>
          </w:r>
          <w:r>
            <w:rPr>
              <w:sz w:val="24"/>
              <w:szCs w:val="24"/>
              <w:highlight w:val="none"/>
            </w:rPr>
            <w:fldChar w:fldCharType="separate"/>
          </w:r>
          <w:r>
            <w:rPr>
              <w:rFonts w:hint="eastAsia" w:ascii="宋体" w:hAnsi="宋体" w:eastAsia="宋体" w:cs="宋体"/>
              <w:sz w:val="24"/>
              <w:szCs w:val="24"/>
              <w:highlight w:val="none"/>
              <w:lang w:val="en-US" w:eastAsia="zh-CN"/>
            </w:rPr>
            <w:t>六、服务业绩</w:t>
          </w:r>
          <w:r>
            <w:rPr>
              <w:sz w:val="24"/>
              <w:szCs w:val="24"/>
              <w:highlight w:val="none"/>
            </w:rPr>
            <w:tab/>
          </w:r>
          <w:r>
            <w:rPr>
              <w:sz w:val="24"/>
              <w:szCs w:val="24"/>
              <w:highlight w:val="none"/>
            </w:rPr>
            <w:fldChar w:fldCharType="begin"/>
          </w:r>
          <w:r>
            <w:rPr>
              <w:sz w:val="24"/>
              <w:szCs w:val="24"/>
              <w:highlight w:val="none"/>
            </w:rPr>
            <w:instrText xml:space="preserve"> PAGEREF _Toc3725 \h </w:instrText>
          </w:r>
          <w:r>
            <w:rPr>
              <w:sz w:val="24"/>
              <w:szCs w:val="24"/>
              <w:highlight w:val="none"/>
            </w:rPr>
            <w:fldChar w:fldCharType="separate"/>
          </w:r>
          <w:r>
            <w:rPr>
              <w:sz w:val="24"/>
              <w:szCs w:val="24"/>
              <w:highlight w:val="none"/>
            </w:rPr>
            <w:t>48</w:t>
          </w:r>
          <w:r>
            <w:rPr>
              <w:sz w:val="24"/>
              <w:szCs w:val="24"/>
              <w:highlight w:val="none"/>
            </w:rPr>
            <w:fldChar w:fldCharType="end"/>
          </w:r>
          <w:r>
            <w:rPr>
              <w:sz w:val="24"/>
              <w:szCs w:val="24"/>
              <w:highlight w:val="none"/>
            </w:rPr>
            <w:fldChar w:fldCharType="end"/>
          </w:r>
        </w:p>
        <w:p w14:paraId="783E3684">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_Toc4663 </w:instrText>
          </w:r>
          <w:r>
            <w:rPr>
              <w:sz w:val="24"/>
              <w:szCs w:val="24"/>
              <w:highlight w:val="none"/>
            </w:rPr>
            <w:fldChar w:fldCharType="separate"/>
          </w:r>
          <w:r>
            <w:rPr>
              <w:rFonts w:hint="eastAsia" w:ascii="宋体" w:hAnsi="宋体" w:eastAsia="宋体" w:cs="宋体"/>
              <w:sz w:val="24"/>
              <w:szCs w:val="24"/>
              <w:highlight w:val="none"/>
              <w:lang w:val="en-US" w:eastAsia="zh-CN"/>
            </w:rPr>
            <w:t>七、供应商认为有必要的其他资料</w:t>
          </w:r>
          <w:r>
            <w:rPr>
              <w:sz w:val="24"/>
              <w:szCs w:val="24"/>
              <w:highlight w:val="none"/>
            </w:rPr>
            <w:tab/>
          </w:r>
          <w:r>
            <w:rPr>
              <w:sz w:val="24"/>
              <w:szCs w:val="24"/>
              <w:highlight w:val="none"/>
            </w:rPr>
            <w:fldChar w:fldCharType="begin"/>
          </w:r>
          <w:r>
            <w:rPr>
              <w:sz w:val="24"/>
              <w:szCs w:val="24"/>
              <w:highlight w:val="none"/>
            </w:rPr>
            <w:instrText xml:space="preserve"> PAGEREF _Toc4663 \h </w:instrText>
          </w:r>
          <w:r>
            <w:rPr>
              <w:sz w:val="24"/>
              <w:szCs w:val="24"/>
              <w:highlight w:val="none"/>
            </w:rPr>
            <w:fldChar w:fldCharType="separate"/>
          </w:r>
          <w:r>
            <w:rPr>
              <w:sz w:val="24"/>
              <w:szCs w:val="24"/>
              <w:highlight w:val="none"/>
            </w:rPr>
            <w:t>49</w:t>
          </w:r>
          <w:r>
            <w:rPr>
              <w:sz w:val="24"/>
              <w:szCs w:val="24"/>
              <w:highlight w:val="none"/>
            </w:rPr>
            <w:fldChar w:fldCharType="end"/>
          </w:r>
          <w:r>
            <w:rPr>
              <w:sz w:val="24"/>
              <w:szCs w:val="24"/>
              <w:highlight w:val="none"/>
            </w:rPr>
            <w:fldChar w:fldCharType="end"/>
          </w:r>
        </w:p>
        <w:p w14:paraId="03859ECD">
          <w:pPr>
            <w:pStyle w:val="17"/>
            <w:tabs>
              <w:tab w:val="right" w:leader="dot" w:pos="873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_Toc16369 </w:instrText>
          </w:r>
          <w:r>
            <w:rPr>
              <w:sz w:val="24"/>
              <w:szCs w:val="24"/>
              <w:highlight w:val="none"/>
            </w:rPr>
            <w:fldChar w:fldCharType="separate"/>
          </w:r>
          <w:r>
            <w:rPr>
              <w:rFonts w:hint="eastAsia" w:ascii="宋体" w:hAnsi="宋体" w:eastAsia="宋体" w:cs="宋体"/>
              <w:sz w:val="24"/>
              <w:szCs w:val="24"/>
              <w:highlight w:val="none"/>
              <w:lang w:val="en-US" w:eastAsia="zh-CN"/>
            </w:rPr>
            <w:t>八、享受政府采购政策扶持的证明材料</w:t>
          </w:r>
          <w:r>
            <w:rPr>
              <w:sz w:val="24"/>
              <w:szCs w:val="24"/>
              <w:highlight w:val="none"/>
            </w:rPr>
            <w:tab/>
          </w:r>
          <w:r>
            <w:rPr>
              <w:sz w:val="24"/>
              <w:szCs w:val="24"/>
              <w:highlight w:val="none"/>
            </w:rPr>
            <w:fldChar w:fldCharType="begin"/>
          </w:r>
          <w:r>
            <w:rPr>
              <w:sz w:val="24"/>
              <w:szCs w:val="24"/>
              <w:highlight w:val="none"/>
            </w:rPr>
            <w:instrText xml:space="preserve"> PAGEREF _Toc16369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14:paraId="6F15DA88">
          <w:pPr>
            <w:keepNext w:val="0"/>
            <w:keepLines w:val="0"/>
            <w:pageBreakBefore w:val="0"/>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end"/>
          </w:r>
        </w:p>
      </w:sdtContent>
    </w:sdt>
    <w:p w14:paraId="6C2EA5EC">
      <w:pPr>
        <w:rPr>
          <w:highlight w:val="none"/>
        </w:rPr>
      </w:pPr>
    </w:p>
    <w:p w14:paraId="0F7B8260">
      <w:pPr>
        <w:rPr>
          <w:highlight w:val="none"/>
        </w:rPr>
      </w:pPr>
      <w:r>
        <w:rPr>
          <w:highlight w:val="none"/>
        </w:rPr>
        <w:br w:type="page"/>
      </w:r>
    </w:p>
    <w:p w14:paraId="625080F5">
      <w:pPr>
        <w:pStyle w:val="2"/>
        <w:bidi w:val="0"/>
        <w:jc w:val="center"/>
        <w:rPr>
          <w:rFonts w:hint="eastAsia" w:ascii="宋体" w:hAnsi="宋体" w:eastAsia="宋体" w:cs="宋体"/>
          <w:highlight w:val="none"/>
        </w:rPr>
      </w:pPr>
      <w:bookmarkStart w:id="2" w:name="_Toc16523"/>
      <w:bookmarkStart w:id="3" w:name="_Toc345178445"/>
      <w:bookmarkStart w:id="4" w:name="_Hlk64536696"/>
      <w:bookmarkStart w:id="5" w:name="_Toc3598"/>
      <w:bookmarkStart w:id="6" w:name="_Toc184635052"/>
      <w:bookmarkStart w:id="7" w:name="_Toc371"/>
      <w:bookmarkStart w:id="8" w:name="_Toc667"/>
      <w:r>
        <w:rPr>
          <w:rFonts w:hint="eastAsia" w:ascii="宋体" w:hAnsi="宋体" w:eastAsia="宋体" w:cs="宋体"/>
          <w:highlight w:val="none"/>
          <w:lang w:val="en-US" w:eastAsia="zh-CN"/>
        </w:rPr>
        <w:t xml:space="preserve">第一章 </w:t>
      </w:r>
      <w:r>
        <w:rPr>
          <w:rFonts w:hint="eastAsia" w:ascii="宋体" w:hAnsi="宋体" w:eastAsia="宋体" w:cs="宋体"/>
          <w:highlight w:val="none"/>
        </w:rPr>
        <w:t>招标公告</w:t>
      </w:r>
      <w:bookmarkEnd w:id="2"/>
      <w:bookmarkEnd w:id="3"/>
      <w:bookmarkEnd w:id="4"/>
      <w:bookmarkEnd w:id="5"/>
      <w:bookmarkEnd w:id="6"/>
      <w:bookmarkEnd w:id="7"/>
      <w:bookmarkEnd w:id="8"/>
      <w:bookmarkStart w:id="9" w:name="OLE_LINK1"/>
      <w:bookmarkStart w:id="10" w:name="_Toc38808734"/>
    </w:p>
    <w:bookmarkEnd w:id="9"/>
    <w:bookmarkEnd w:id="10"/>
    <w:p w14:paraId="4230C862">
      <w:pPr>
        <w:pageBreakBefore w:val="0"/>
        <w:widowControl/>
        <w:kinsoku/>
        <w:wordWrap/>
        <w:overflowPunct/>
        <w:topLinePunct w:val="0"/>
        <w:autoSpaceDN w:val="0"/>
        <w:bidi w:val="0"/>
        <w:adjustRightInd/>
        <w:snapToGrid/>
        <w:spacing w:line="360" w:lineRule="auto"/>
        <w:ind w:firstLine="562" w:firstLineChars="200"/>
        <w:jc w:val="center"/>
        <w:rPr>
          <w:rFonts w:hint="eastAsia" w:ascii="宋体" w:hAnsi="宋体" w:eastAsia="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荥阳市林业局城郊生态廊道养护项目-公开</w:t>
      </w:r>
      <w:r>
        <w:rPr>
          <w:rFonts w:hint="eastAsia" w:ascii="宋体" w:hAnsi="宋体" w:eastAsia="宋体" w:cs="宋体"/>
          <w:b/>
          <w:bCs/>
          <w:color w:val="000000"/>
          <w:kern w:val="0"/>
          <w:sz w:val="28"/>
          <w:szCs w:val="28"/>
          <w:highlight w:val="none"/>
          <w:lang w:val="en-US" w:eastAsia="zh-CN"/>
        </w:rPr>
        <w:t>招标公告</w:t>
      </w:r>
    </w:p>
    <w:p w14:paraId="336CD9E8">
      <w:pPr>
        <w:pageBreakBefore w:val="0"/>
        <w:widowControl/>
        <w:kinsoku/>
        <w:wordWrap/>
        <w:overflowPunct/>
        <w:topLinePunct w:val="0"/>
        <w:autoSpaceDN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项目概况</w:t>
      </w:r>
    </w:p>
    <w:p w14:paraId="13595A94">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highlight w:val="none"/>
          <w:u w:val="single"/>
          <w:lang w:val="en-US" w:eastAsia="zh-CN"/>
        </w:rPr>
        <w:t>荥阳市林业局城郊生态廊道养护项目</w:t>
      </w:r>
      <w:r>
        <w:rPr>
          <w:rFonts w:hint="eastAsia" w:ascii="宋体" w:hAnsi="宋体" w:eastAsia="宋体" w:cs="宋体"/>
          <w:b w:val="0"/>
          <w:bCs w:val="0"/>
          <w:i w:val="0"/>
          <w:iCs w:val="0"/>
          <w:color w:val="000000"/>
          <w:sz w:val="21"/>
          <w:szCs w:val="21"/>
          <w:highlight w:val="none"/>
          <w:u w:val="none"/>
          <w:lang w:val="en-US" w:eastAsia="zh-CN"/>
        </w:rPr>
        <w:t>招标项目的潜在投标人应</w:t>
      </w:r>
      <w:r>
        <w:rPr>
          <w:rFonts w:hint="eastAsia" w:ascii="宋体" w:hAnsi="宋体" w:eastAsia="宋体" w:cs="宋体"/>
          <w:b w:val="0"/>
          <w:bCs w:val="0"/>
          <w:i w:val="0"/>
          <w:iCs w:val="0"/>
          <w:color w:val="000000"/>
          <w:sz w:val="21"/>
          <w:szCs w:val="21"/>
          <w:highlight w:val="none"/>
          <w:u w:val="none"/>
        </w:rPr>
        <w:t>在</w:t>
      </w:r>
      <w:r>
        <w:rPr>
          <w:rFonts w:hint="eastAsia" w:ascii="宋体" w:hAnsi="宋体" w:eastAsia="宋体" w:cs="宋体"/>
          <w:b/>
          <w:bCs/>
          <w:i w:val="0"/>
          <w:iCs w:val="0"/>
          <w:color w:val="000000"/>
          <w:sz w:val="21"/>
          <w:szCs w:val="21"/>
          <w:highlight w:val="none"/>
          <w:u w:val="single"/>
        </w:rPr>
        <w:t>荥阳市公共资源交易平台</w:t>
      </w:r>
      <w:r>
        <w:rPr>
          <w:rFonts w:hint="eastAsia" w:ascii="宋体" w:hAnsi="宋体" w:cs="宋体"/>
          <w:b/>
          <w:bCs/>
          <w:i w:val="0"/>
          <w:iCs w:val="0"/>
          <w:color w:val="000000"/>
          <w:sz w:val="21"/>
          <w:szCs w:val="21"/>
          <w:highlight w:val="none"/>
          <w:u w:val="single"/>
          <w:lang w:eastAsia="zh-CN"/>
        </w:rPr>
        <w:t>。</w:t>
      </w:r>
      <w:r>
        <w:rPr>
          <w:rFonts w:hint="eastAsia" w:ascii="宋体" w:hAnsi="宋体" w:eastAsia="宋体" w:cs="宋体"/>
          <w:b w:val="0"/>
          <w:bCs w:val="0"/>
          <w:i w:val="0"/>
          <w:iCs w:val="0"/>
          <w:color w:val="000000"/>
          <w:sz w:val="21"/>
          <w:szCs w:val="21"/>
          <w:highlight w:val="none"/>
        </w:rPr>
        <w:t>获取招标文件，并于</w:t>
      </w:r>
      <w:r>
        <w:rPr>
          <w:rFonts w:hint="eastAsia" w:ascii="宋体" w:hAnsi="宋体" w:eastAsia="宋体" w:cs="宋体"/>
          <w:b/>
          <w:bCs/>
          <w:i w:val="0"/>
          <w:iCs w:val="0"/>
          <w:color w:val="000000"/>
          <w:sz w:val="21"/>
          <w:szCs w:val="21"/>
          <w:highlight w:val="none"/>
          <w:u w:val="single"/>
        </w:rPr>
        <w:t>202</w:t>
      </w:r>
      <w:r>
        <w:rPr>
          <w:rFonts w:hint="eastAsia" w:ascii="宋体" w:hAnsi="宋体" w:cs="宋体"/>
          <w:b/>
          <w:bCs/>
          <w:i w:val="0"/>
          <w:iCs w:val="0"/>
          <w:color w:val="000000"/>
          <w:sz w:val="21"/>
          <w:szCs w:val="21"/>
          <w:highlight w:val="none"/>
          <w:u w:val="single"/>
          <w:lang w:val="en-US" w:eastAsia="zh-CN"/>
        </w:rPr>
        <w:t>5</w:t>
      </w:r>
      <w:r>
        <w:rPr>
          <w:rFonts w:hint="eastAsia" w:ascii="宋体" w:hAnsi="宋体" w:eastAsia="宋体" w:cs="宋体"/>
          <w:b/>
          <w:bCs/>
          <w:i w:val="0"/>
          <w:iCs w:val="0"/>
          <w:color w:val="000000"/>
          <w:sz w:val="21"/>
          <w:szCs w:val="21"/>
          <w:highlight w:val="none"/>
          <w:u w:val="single"/>
        </w:rPr>
        <w:t>年</w:t>
      </w:r>
      <w:r>
        <w:rPr>
          <w:rFonts w:hint="eastAsia" w:ascii="宋体" w:hAnsi="宋体" w:cs="宋体"/>
          <w:b/>
          <w:bCs/>
          <w:i w:val="0"/>
          <w:iCs w:val="0"/>
          <w:color w:val="000000"/>
          <w:sz w:val="21"/>
          <w:szCs w:val="21"/>
          <w:highlight w:val="none"/>
          <w:u w:val="single"/>
          <w:lang w:val="en-US" w:eastAsia="zh-CN"/>
        </w:rPr>
        <w:t>08</w:t>
      </w:r>
      <w:r>
        <w:rPr>
          <w:rFonts w:hint="eastAsia" w:ascii="宋体" w:hAnsi="宋体" w:eastAsia="宋体" w:cs="宋体"/>
          <w:b/>
          <w:bCs/>
          <w:i w:val="0"/>
          <w:iCs w:val="0"/>
          <w:color w:val="000000"/>
          <w:sz w:val="21"/>
          <w:szCs w:val="21"/>
          <w:highlight w:val="none"/>
          <w:u w:val="single"/>
        </w:rPr>
        <w:t>月</w:t>
      </w:r>
      <w:r>
        <w:rPr>
          <w:rFonts w:hint="eastAsia" w:ascii="宋体" w:hAnsi="宋体" w:cs="宋体"/>
          <w:b/>
          <w:bCs/>
          <w:i w:val="0"/>
          <w:iCs w:val="0"/>
          <w:color w:val="000000"/>
          <w:sz w:val="21"/>
          <w:szCs w:val="21"/>
          <w:highlight w:val="none"/>
          <w:u w:val="single"/>
          <w:lang w:val="en-US" w:eastAsia="zh-CN"/>
        </w:rPr>
        <w:t>20</w:t>
      </w:r>
      <w:r>
        <w:rPr>
          <w:rFonts w:hint="eastAsia" w:ascii="宋体" w:hAnsi="宋体" w:eastAsia="宋体" w:cs="宋体"/>
          <w:b/>
          <w:bCs/>
          <w:i w:val="0"/>
          <w:iCs w:val="0"/>
          <w:color w:val="000000"/>
          <w:sz w:val="21"/>
          <w:szCs w:val="21"/>
          <w:highlight w:val="none"/>
          <w:u w:val="single"/>
        </w:rPr>
        <w:t>日09时</w:t>
      </w:r>
      <w:r>
        <w:rPr>
          <w:rFonts w:hint="eastAsia" w:ascii="宋体" w:hAnsi="宋体" w:cs="宋体"/>
          <w:b/>
          <w:bCs/>
          <w:i w:val="0"/>
          <w:iCs w:val="0"/>
          <w:color w:val="000000"/>
          <w:sz w:val="21"/>
          <w:szCs w:val="21"/>
          <w:highlight w:val="none"/>
          <w:u w:val="single"/>
          <w:lang w:val="en-US" w:eastAsia="zh-CN"/>
        </w:rPr>
        <w:t>3</w:t>
      </w:r>
      <w:r>
        <w:rPr>
          <w:rFonts w:hint="eastAsia" w:ascii="宋体" w:hAnsi="宋体" w:eastAsia="宋体" w:cs="宋体"/>
          <w:b/>
          <w:bCs/>
          <w:i w:val="0"/>
          <w:iCs w:val="0"/>
          <w:color w:val="000000"/>
          <w:sz w:val="21"/>
          <w:szCs w:val="21"/>
          <w:highlight w:val="none"/>
          <w:u w:val="single"/>
        </w:rPr>
        <w:t>0分</w:t>
      </w:r>
      <w:r>
        <w:rPr>
          <w:rFonts w:hint="eastAsia" w:ascii="宋体" w:hAnsi="宋体" w:eastAsia="宋体" w:cs="宋体"/>
          <w:b w:val="0"/>
          <w:bCs w:val="0"/>
          <w:i w:val="0"/>
          <w:iCs w:val="0"/>
          <w:color w:val="000000"/>
          <w:sz w:val="21"/>
          <w:szCs w:val="21"/>
          <w:highlight w:val="none"/>
        </w:rPr>
        <w:t>（北京时间）前递交投标文件</w:t>
      </w:r>
      <w:r>
        <w:rPr>
          <w:rFonts w:hint="eastAsia" w:ascii="宋体" w:hAnsi="宋体" w:eastAsia="宋体" w:cs="宋体"/>
          <w:kern w:val="0"/>
          <w:szCs w:val="21"/>
          <w:highlight w:val="none"/>
        </w:rPr>
        <w:t>。</w:t>
      </w:r>
    </w:p>
    <w:p w14:paraId="45388FFB">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一、项目基本情况</w:t>
      </w:r>
    </w:p>
    <w:p w14:paraId="3A9AB16D">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lang w:eastAsia="zh-CN"/>
        </w:rPr>
        <w:t>荥财公开-202</w:t>
      </w:r>
      <w:r>
        <w:rPr>
          <w:rFonts w:hint="eastAsia" w:ascii="宋体" w:hAnsi="宋体" w:cs="宋体"/>
          <w:kern w:val="0"/>
          <w:szCs w:val="21"/>
          <w:highlight w:val="none"/>
          <w:lang w:val="en-US" w:eastAsia="zh-CN"/>
        </w:rPr>
        <w:t>5-13</w:t>
      </w:r>
    </w:p>
    <w:p w14:paraId="4701801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项目名称：</w:t>
      </w:r>
      <w:r>
        <w:rPr>
          <w:rFonts w:hint="eastAsia" w:ascii="宋体" w:hAnsi="宋体" w:eastAsia="宋体" w:cs="宋体"/>
          <w:kern w:val="0"/>
          <w:szCs w:val="21"/>
          <w:highlight w:val="none"/>
          <w:lang w:val="en-US" w:eastAsia="zh-CN"/>
        </w:rPr>
        <w:t>荥阳市林业局城郊生态廊道养护项目</w:t>
      </w:r>
    </w:p>
    <w:p w14:paraId="22442A9D">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采购方式：公开招标</w:t>
      </w:r>
    </w:p>
    <w:p w14:paraId="3162605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预算金额：</w:t>
      </w:r>
      <w:r>
        <w:rPr>
          <w:rFonts w:hint="eastAsia" w:ascii="宋体" w:hAnsi="宋体" w:cs="宋体"/>
          <w:kern w:val="0"/>
          <w:szCs w:val="21"/>
          <w:highlight w:val="none"/>
          <w:lang w:val="en-US" w:eastAsia="zh-CN"/>
        </w:rPr>
        <w:t>5231</w:t>
      </w:r>
      <w:r>
        <w:rPr>
          <w:rFonts w:hint="eastAsia" w:ascii="宋体" w:hAnsi="宋体" w:eastAsia="宋体" w:cs="宋体"/>
          <w:kern w:val="0"/>
          <w:szCs w:val="21"/>
          <w:highlight w:val="none"/>
          <w:lang w:val="en-US" w:eastAsia="zh-CN"/>
        </w:rPr>
        <w:t>000.00</w:t>
      </w:r>
      <w:r>
        <w:rPr>
          <w:rFonts w:hint="eastAsia" w:ascii="宋体" w:hAnsi="宋体" w:eastAsia="宋体" w:cs="宋体"/>
          <w:kern w:val="0"/>
          <w:szCs w:val="21"/>
          <w:highlight w:val="none"/>
        </w:rPr>
        <w:t xml:space="preserve">元 </w:t>
      </w:r>
    </w:p>
    <w:p w14:paraId="7CF86150">
      <w:pPr>
        <w:pageBreakBefore w:val="0"/>
        <w:widowControl/>
        <w:kinsoku/>
        <w:wordWrap/>
        <w:overflowPunct/>
        <w:topLinePunct w:val="0"/>
        <w:bidi w:val="0"/>
        <w:adjustRightInd/>
        <w:snapToGrid/>
        <w:spacing w:line="360" w:lineRule="auto"/>
        <w:ind w:firstLine="840" w:firstLineChars="400"/>
        <w:rPr>
          <w:rFonts w:hint="eastAsia" w:ascii="宋体" w:hAnsi="宋体" w:eastAsia="宋体" w:cs="宋体"/>
          <w:kern w:val="0"/>
          <w:szCs w:val="21"/>
          <w:highlight w:val="none"/>
        </w:rPr>
      </w:pPr>
      <w:r>
        <w:rPr>
          <w:rFonts w:hint="eastAsia" w:ascii="宋体" w:hAnsi="宋体" w:eastAsia="宋体" w:cs="宋体"/>
          <w:kern w:val="0"/>
          <w:szCs w:val="21"/>
          <w:highlight w:val="none"/>
        </w:rPr>
        <w:t>最高限价：</w:t>
      </w:r>
      <w:r>
        <w:rPr>
          <w:rFonts w:hint="eastAsia" w:ascii="宋体" w:hAnsi="宋体" w:eastAsia="宋体" w:cs="宋体"/>
          <w:kern w:val="0"/>
          <w:szCs w:val="21"/>
          <w:highlight w:val="none"/>
          <w:lang w:val="en-US" w:eastAsia="zh-CN"/>
        </w:rPr>
        <w:t>5231000.00</w:t>
      </w:r>
      <w:r>
        <w:rPr>
          <w:rFonts w:hint="eastAsia" w:ascii="宋体" w:hAnsi="宋体" w:eastAsia="宋体" w:cs="宋体"/>
          <w:kern w:val="0"/>
          <w:szCs w:val="21"/>
          <w:highlight w:val="none"/>
        </w:rPr>
        <w:t>元</w:t>
      </w:r>
    </w:p>
    <w:tbl>
      <w:tblPr>
        <w:tblStyle w:val="20"/>
        <w:tblpPr w:leftFromText="180" w:rightFromText="180" w:vertAnchor="text" w:tblpXSpec="center" w:tblpY="1"/>
        <w:tblOverlap w:val="never"/>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60"/>
        <w:gridCol w:w="2546"/>
        <w:gridCol w:w="1251"/>
        <w:gridCol w:w="1317"/>
        <w:gridCol w:w="1078"/>
        <w:gridCol w:w="1740"/>
      </w:tblGrid>
      <w:tr w14:paraId="2DE1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434A2A05">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60" w:type="dxa"/>
            <w:noWrap w:val="0"/>
            <w:vAlign w:val="center"/>
          </w:tcPr>
          <w:p w14:paraId="0104A037">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包号</w:t>
            </w:r>
          </w:p>
        </w:tc>
        <w:tc>
          <w:tcPr>
            <w:tcW w:w="2546" w:type="dxa"/>
            <w:noWrap w:val="0"/>
            <w:vAlign w:val="center"/>
          </w:tcPr>
          <w:p w14:paraId="73D9690C">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包名称</w:t>
            </w:r>
          </w:p>
        </w:tc>
        <w:tc>
          <w:tcPr>
            <w:tcW w:w="1251" w:type="dxa"/>
            <w:noWrap w:val="0"/>
            <w:vAlign w:val="center"/>
          </w:tcPr>
          <w:p w14:paraId="1B90A4B4">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包预算</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c>
          <w:tcPr>
            <w:tcW w:w="1317" w:type="dxa"/>
            <w:noWrap w:val="0"/>
            <w:vAlign w:val="center"/>
          </w:tcPr>
          <w:p w14:paraId="7D2CACA9">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包最高限价</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c>
          <w:tcPr>
            <w:tcW w:w="1078" w:type="dxa"/>
            <w:noWrap w:val="0"/>
            <w:vAlign w:val="center"/>
          </w:tcPr>
          <w:p w14:paraId="6B9049DE">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是否专门面向中小企业</w:t>
            </w:r>
          </w:p>
        </w:tc>
        <w:tc>
          <w:tcPr>
            <w:tcW w:w="1740" w:type="dxa"/>
            <w:noWrap w:val="0"/>
            <w:vAlign w:val="center"/>
          </w:tcPr>
          <w:p w14:paraId="113FF0F9">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采购预留金额（</w:t>
            </w:r>
            <w:r>
              <w:rPr>
                <w:rFonts w:hint="eastAsia" w:ascii="宋体" w:hAnsi="宋体" w:eastAsia="宋体" w:cs="宋体"/>
                <w:szCs w:val="21"/>
                <w:highlight w:val="none"/>
                <w:lang w:val="en-US" w:eastAsia="zh-CN"/>
              </w:rPr>
              <w:t>元</w:t>
            </w:r>
            <w:r>
              <w:rPr>
                <w:rFonts w:hint="eastAsia" w:ascii="宋体" w:hAnsi="宋体" w:eastAsia="宋体" w:cs="宋体"/>
                <w:szCs w:val="21"/>
                <w:highlight w:val="none"/>
                <w:lang w:eastAsia="zh-CN"/>
              </w:rPr>
              <w:t>）</w:t>
            </w:r>
          </w:p>
        </w:tc>
      </w:tr>
      <w:tr w14:paraId="53EF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73A12436">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460" w:type="dxa"/>
            <w:noWrap w:val="0"/>
            <w:vAlign w:val="center"/>
          </w:tcPr>
          <w:p w14:paraId="57D21053">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荥财公开-2025-13-1</w:t>
            </w:r>
          </w:p>
        </w:tc>
        <w:tc>
          <w:tcPr>
            <w:tcW w:w="2546" w:type="dxa"/>
            <w:noWrap w:val="0"/>
            <w:vAlign w:val="center"/>
          </w:tcPr>
          <w:p w14:paraId="7C390441">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荥阳市林业局城郊生态廊道养护项目一标段</w:t>
            </w:r>
          </w:p>
        </w:tc>
        <w:tc>
          <w:tcPr>
            <w:tcW w:w="1251" w:type="dxa"/>
            <w:noWrap w:val="0"/>
            <w:vAlign w:val="center"/>
          </w:tcPr>
          <w:p w14:paraId="0974092E">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632000.00</w:t>
            </w:r>
          </w:p>
        </w:tc>
        <w:tc>
          <w:tcPr>
            <w:tcW w:w="1317" w:type="dxa"/>
            <w:noWrap w:val="0"/>
            <w:vAlign w:val="center"/>
          </w:tcPr>
          <w:p w14:paraId="2355FDA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632000.00</w:t>
            </w:r>
          </w:p>
        </w:tc>
        <w:tc>
          <w:tcPr>
            <w:tcW w:w="1078" w:type="dxa"/>
            <w:noWrap w:val="0"/>
            <w:vAlign w:val="center"/>
          </w:tcPr>
          <w:p w14:paraId="4F26C40E">
            <w:pPr>
              <w:pageBreakBefore w:val="0"/>
              <w:widowControl/>
              <w:kinsoku/>
              <w:wordWrap/>
              <w:overflowPunct/>
              <w:topLinePunct w:val="0"/>
              <w:bidi w:val="0"/>
              <w:adjustRightInd/>
              <w:snapToGrid/>
              <w:spacing w:line="360" w:lineRule="auto"/>
              <w:jc w:val="center"/>
              <w:textAlignment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3D06F81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632000.00</w:t>
            </w:r>
            <w:r>
              <w:rPr>
                <w:rFonts w:hint="eastAsia" w:ascii="宋体" w:hAnsi="宋体" w:eastAsia="宋体" w:cs="宋体"/>
                <w:szCs w:val="21"/>
                <w:highlight w:val="none"/>
                <w:lang w:val="en-US"/>
              </w:rPr>
              <w:t>，其中小微企业采购金额：</w:t>
            </w:r>
            <w:r>
              <w:rPr>
                <w:rFonts w:hint="eastAsia" w:ascii="宋体" w:hAnsi="宋体" w:eastAsia="宋体" w:cs="宋体"/>
                <w:szCs w:val="21"/>
                <w:highlight w:val="none"/>
                <w:lang w:val="en-US" w:eastAsia="zh-CN"/>
              </w:rPr>
              <w:t>632000.00</w:t>
            </w:r>
          </w:p>
        </w:tc>
      </w:tr>
      <w:tr w14:paraId="405C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7495E905">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460" w:type="dxa"/>
            <w:noWrap w:val="0"/>
            <w:vAlign w:val="center"/>
          </w:tcPr>
          <w:p w14:paraId="5DE112DB">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荥财公开-2025-13-2</w:t>
            </w:r>
          </w:p>
        </w:tc>
        <w:tc>
          <w:tcPr>
            <w:tcW w:w="2546" w:type="dxa"/>
            <w:noWrap w:val="0"/>
            <w:vAlign w:val="center"/>
          </w:tcPr>
          <w:p w14:paraId="16BDE92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荥阳市林业局城郊生态廊道养护项目二标段</w:t>
            </w:r>
          </w:p>
        </w:tc>
        <w:tc>
          <w:tcPr>
            <w:tcW w:w="1251" w:type="dxa"/>
            <w:noWrap w:val="0"/>
            <w:vAlign w:val="center"/>
          </w:tcPr>
          <w:p w14:paraId="3FB80ABC">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6240</w:t>
            </w:r>
            <w:r>
              <w:rPr>
                <w:rFonts w:hint="eastAsia" w:ascii="宋体" w:hAnsi="宋体" w:cs="宋体"/>
                <w:szCs w:val="21"/>
                <w:highlight w:val="none"/>
                <w:lang w:val="en-US" w:eastAsia="zh-CN"/>
              </w:rPr>
              <w:t>00.00</w:t>
            </w:r>
          </w:p>
        </w:tc>
        <w:tc>
          <w:tcPr>
            <w:tcW w:w="1317" w:type="dxa"/>
            <w:noWrap w:val="0"/>
            <w:vAlign w:val="center"/>
          </w:tcPr>
          <w:p w14:paraId="6092B9EF">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6240</w:t>
            </w:r>
            <w:r>
              <w:rPr>
                <w:rFonts w:hint="eastAsia" w:ascii="宋体" w:hAnsi="宋体" w:cs="宋体"/>
                <w:szCs w:val="21"/>
                <w:highlight w:val="none"/>
                <w:lang w:val="en-US" w:eastAsia="zh-CN"/>
              </w:rPr>
              <w:t>00.00</w:t>
            </w:r>
          </w:p>
        </w:tc>
        <w:tc>
          <w:tcPr>
            <w:tcW w:w="1078" w:type="dxa"/>
            <w:noWrap w:val="0"/>
            <w:vAlign w:val="center"/>
          </w:tcPr>
          <w:p w14:paraId="15931686">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70CE8682">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624000.00，其中小微企业采购金额：624000.00</w:t>
            </w:r>
          </w:p>
        </w:tc>
      </w:tr>
      <w:tr w14:paraId="3BBB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4" w:type="dxa"/>
            <w:noWrap w:val="0"/>
            <w:vAlign w:val="center"/>
          </w:tcPr>
          <w:p w14:paraId="5913348D">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460" w:type="dxa"/>
            <w:noWrap w:val="0"/>
            <w:vAlign w:val="center"/>
          </w:tcPr>
          <w:p w14:paraId="1FD3637C">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荥财公开-2025-13-3</w:t>
            </w:r>
          </w:p>
        </w:tc>
        <w:tc>
          <w:tcPr>
            <w:tcW w:w="2546" w:type="dxa"/>
            <w:noWrap w:val="0"/>
            <w:vAlign w:val="center"/>
          </w:tcPr>
          <w:p w14:paraId="3E71CBC4">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荥阳市林业局城郊生态廊道养护项目三标段</w:t>
            </w:r>
          </w:p>
        </w:tc>
        <w:tc>
          <w:tcPr>
            <w:tcW w:w="1251" w:type="dxa"/>
            <w:noWrap w:val="0"/>
            <w:vAlign w:val="center"/>
          </w:tcPr>
          <w:p w14:paraId="26DA99F7">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624000.00</w:t>
            </w:r>
          </w:p>
        </w:tc>
        <w:tc>
          <w:tcPr>
            <w:tcW w:w="1317" w:type="dxa"/>
            <w:noWrap w:val="0"/>
            <w:vAlign w:val="center"/>
          </w:tcPr>
          <w:p w14:paraId="4D67A91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624000.00</w:t>
            </w:r>
          </w:p>
        </w:tc>
        <w:tc>
          <w:tcPr>
            <w:tcW w:w="1078" w:type="dxa"/>
            <w:noWrap w:val="0"/>
            <w:vAlign w:val="center"/>
          </w:tcPr>
          <w:p w14:paraId="4A4FF4D2">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1E604D1C">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624000.00，其中小微企业采购金额：624000.00</w:t>
            </w:r>
          </w:p>
        </w:tc>
      </w:tr>
      <w:tr w14:paraId="700F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5027274">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460" w:type="dxa"/>
            <w:noWrap w:val="0"/>
            <w:vAlign w:val="center"/>
          </w:tcPr>
          <w:p w14:paraId="4E769D1A">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荥财公开-2025-13-4</w:t>
            </w:r>
          </w:p>
        </w:tc>
        <w:tc>
          <w:tcPr>
            <w:tcW w:w="2546" w:type="dxa"/>
            <w:noWrap w:val="0"/>
            <w:vAlign w:val="center"/>
          </w:tcPr>
          <w:p w14:paraId="1E3713D6">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荥阳市林业局城郊生态廊道养护项目四标段</w:t>
            </w:r>
          </w:p>
        </w:tc>
        <w:tc>
          <w:tcPr>
            <w:tcW w:w="1251" w:type="dxa"/>
            <w:noWrap w:val="0"/>
            <w:vAlign w:val="center"/>
          </w:tcPr>
          <w:p w14:paraId="65498EFC">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288000.00</w:t>
            </w:r>
          </w:p>
        </w:tc>
        <w:tc>
          <w:tcPr>
            <w:tcW w:w="1317" w:type="dxa"/>
            <w:noWrap w:val="0"/>
            <w:vAlign w:val="center"/>
          </w:tcPr>
          <w:p w14:paraId="6C2AF742">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288000.00</w:t>
            </w:r>
          </w:p>
        </w:tc>
        <w:tc>
          <w:tcPr>
            <w:tcW w:w="1078" w:type="dxa"/>
            <w:noWrap w:val="0"/>
            <w:vAlign w:val="center"/>
          </w:tcPr>
          <w:p w14:paraId="21AF9FBA">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42619C5A">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288000.00，其中小微企业采购金额：288000.00</w:t>
            </w:r>
          </w:p>
        </w:tc>
      </w:tr>
      <w:tr w14:paraId="05F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9CB3085">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460" w:type="dxa"/>
            <w:noWrap w:val="0"/>
            <w:vAlign w:val="center"/>
          </w:tcPr>
          <w:p w14:paraId="7B1D39B0">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荥财公开-2025-13-5</w:t>
            </w:r>
          </w:p>
        </w:tc>
        <w:tc>
          <w:tcPr>
            <w:tcW w:w="2546" w:type="dxa"/>
            <w:noWrap w:val="0"/>
            <w:vAlign w:val="center"/>
          </w:tcPr>
          <w:p w14:paraId="778FA52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荥阳市林业局城郊生态廊道养护项目五标段</w:t>
            </w:r>
          </w:p>
        </w:tc>
        <w:tc>
          <w:tcPr>
            <w:tcW w:w="1251" w:type="dxa"/>
            <w:noWrap w:val="0"/>
            <w:vAlign w:val="center"/>
          </w:tcPr>
          <w:p w14:paraId="498E2692">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891000.00</w:t>
            </w:r>
          </w:p>
        </w:tc>
        <w:tc>
          <w:tcPr>
            <w:tcW w:w="1317" w:type="dxa"/>
            <w:noWrap w:val="0"/>
            <w:vAlign w:val="center"/>
          </w:tcPr>
          <w:p w14:paraId="004DAB7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891000.00</w:t>
            </w:r>
          </w:p>
        </w:tc>
        <w:tc>
          <w:tcPr>
            <w:tcW w:w="1078" w:type="dxa"/>
            <w:noWrap w:val="0"/>
            <w:vAlign w:val="center"/>
          </w:tcPr>
          <w:p w14:paraId="03620B44">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1E303C1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891000.00，其中小微企业采购金额：891000.00</w:t>
            </w:r>
          </w:p>
        </w:tc>
      </w:tr>
      <w:tr w14:paraId="03D8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0D29424E">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60" w:type="dxa"/>
            <w:noWrap w:val="0"/>
            <w:vAlign w:val="center"/>
          </w:tcPr>
          <w:p w14:paraId="39EF89EC">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荥财公开-2025-13-6</w:t>
            </w:r>
          </w:p>
        </w:tc>
        <w:tc>
          <w:tcPr>
            <w:tcW w:w="2546" w:type="dxa"/>
            <w:noWrap w:val="0"/>
            <w:vAlign w:val="center"/>
          </w:tcPr>
          <w:p w14:paraId="3296468E">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荥阳市林业局城郊生态廊道养护项目六标段</w:t>
            </w:r>
          </w:p>
        </w:tc>
        <w:tc>
          <w:tcPr>
            <w:tcW w:w="1251" w:type="dxa"/>
            <w:noWrap w:val="0"/>
            <w:vAlign w:val="center"/>
          </w:tcPr>
          <w:p w14:paraId="144DBCF0">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900000.00</w:t>
            </w:r>
          </w:p>
        </w:tc>
        <w:tc>
          <w:tcPr>
            <w:tcW w:w="1317" w:type="dxa"/>
            <w:noWrap w:val="0"/>
            <w:vAlign w:val="center"/>
          </w:tcPr>
          <w:p w14:paraId="20B73C55">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900000.00</w:t>
            </w:r>
          </w:p>
        </w:tc>
        <w:tc>
          <w:tcPr>
            <w:tcW w:w="1078" w:type="dxa"/>
            <w:noWrap w:val="0"/>
            <w:vAlign w:val="center"/>
          </w:tcPr>
          <w:p w14:paraId="033A7D6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457029D1">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900000.00，其中小微企业采购金额：900000.00</w:t>
            </w:r>
          </w:p>
        </w:tc>
      </w:tr>
      <w:tr w14:paraId="029F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4A2BA10B">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460" w:type="dxa"/>
            <w:noWrap w:val="0"/>
            <w:vAlign w:val="center"/>
          </w:tcPr>
          <w:p w14:paraId="3145F1B5">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荥财公开-2025-13-7</w:t>
            </w:r>
          </w:p>
        </w:tc>
        <w:tc>
          <w:tcPr>
            <w:tcW w:w="2546" w:type="dxa"/>
            <w:noWrap w:val="0"/>
            <w:vAlign w:val="center"/>
          </w:tcPr>
          <w:p w14:paraId="2D300682">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荥阳市林业局城郊生态廊道养护项目七标段</w:t>
            </w:r>
          </w:p>
        </w:tc>
        <w:tc>
          <w:tcPr>
            <w:tcW w:w="1251" w:type="dxa"/>
            <w:noWrap w:val="0"/>
            <w:vAlign w:val="center"/>
          </w:tcPr>
          <w:p w14:paraId="42553D37">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900000.00</w:t>
            </w:r>
          </w:p>
        </w:tc>
        <w:tc>
          <w:tcPr>
            <w:tcW w:w="1317" w:type="dxa"/>
            <w:noWrap w:val="0"/>
            <w:vAlign w:val="center"/>
          </w:tcPr>
          <w:p w14:paraId="48A56D7F">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900000.00</w:t>
            </w:r>
          </w:p>
        </w:tc>
        <w:tc>
          <w:tcPr>
            <w:tcW w:w="1078" w:type="dxa"/>
            <w:noWrap w:val="0"/>
            <w:vAlign w:val="center"/>
          </w:tcPr>
          <w:p w14:paraId="2E0794B3">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08C25D0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900000.00，其中小微企业采购金额：900000.00</w:t>
            </w:r>
          </w:p>
        </w:tc>
      </w:tr>
      <w:tr w14:paraId="2446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4" w:type="dxa"/>
            <w:noWrap w:val="0"/>
            <w:vAlign w:val="center"/>
          </w:tcPr>
          <w:p w14:paraId="37E893BD">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460" w:type="dxa"/>
            <w:noWrap w:val="0"/>
            <w:vAlign w:val="center"/>
          </w:tcPr>
          <w:p w14:paraId="3922B06D">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荥财公开-2025-13-8</w:t>
            </w:r>
          </w:p>
        </w:tc>
        <w:tc>
          <w:tcPr>
            <w:tcW w:w="2546" w:type="dxa"/>
            <w:noWrap w:val="0"/>
            <w:vAlign w:val="center"/>
          </w:tcPr>
          <w:p w14:paraId="5E411DB9">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荥阳市林业局城郊生态廊道养护项目八标段</w:t>
            </w:r>
          </w:p>
        </w:tc>
        <w:tc>
          <w:tcPr>
            <w:tcW w:w="1251" w:type="dxa"/>
            <w:noWrap w:val="0"/>
            <w:vAlign w:val="center"/>
          </w:tcPr>
          <w:p w14:paraId="4F8A134D">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372000.00</w:t>
            </w:r>
          </w:p>
        </w:tc>
        <w:tc>
          <w:tcPr>
            <w:tcW w:w="1317" w:type="dxa"/>
            <w:noWrap w:val="0"/>
            <w:vAlign w:val="center"/>
          </w:tcPr>
          <w:p w14:paraId="66DE2110">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372000.00</w:t>
            </w:r>
          </w:p>
        </w:tc>
        <w:tc>
          <w:tcPr>
            <w:tcW w:w="1078" w:type="dxa"/>
            <w:noWrap w:val="0"/>
            <w:vAlign w:val="center"/>
          </w:tcPr>
          <w:p w14:paraId="39B46456">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是</w:t>
            </w:r>
          </w:p>
        </w:tc>
        <w:tc>
          <w:tcPr>
            <w:tcW w:w="1740" w:type="dxa"/>
            <w:noWrap w:val="0"/>
            <w:vAlign w:val="center"/>
          </w:tcPr>
          <w:p w14:paraId="342DEFE3">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372000.00，其中小微企业采购金额：372000.00</w:t>
            </w:r>
          </w:p>
        </w:tc>
      </w:tr>
    </w:tbl>
    <w:p w14:paraId="46DDE392">
      <w:pPr>
        <w:pageBreakBefore w:val="0"/>
        <w:kinsoku/>
        <w:wordWrap/>
        <w:overflowPunct/>
        <w:topLinePunct w:val="0"/>
        <w:autoSpaceDE w:val="0"/>
        <w:autoSpaceDN w:val="0"/>
        <w:bidi w:val="0"/>
        <w:adjustRightInd/>
        <w:snapToGrid/>
        <w:spacing w:after="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采购需求：（包括但不限于标的的名称、数量、简要技术需求或服务要求等）</w:t>
      </w:r>
    </w:p>
    <w:p w14:paraId="47B2A31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5.1采购内容:本项目为荥阳市林业局城郊生态廊道养护项目，其廊道长度约74.35公里，管护绿化面积约为312.5万平方米。本项目共划分</w:t>
      </w:r>
      <w:r>
        <w:rPr>
          <w:rFonts w:hint="eastAsia" w:ascii="宋体" w:hAnsi="宋体" w:cs="宋体"/>
          <w:szCs w:val="21"/>
          <w:highlight w:val="none"/>
          <w:lang w:val="en-US" w:eastAsia="zh-CN"/>
        </w:rPr>
        <w:t>八</w:t>
      </w:r>
      <w:r>
        <w:rPr>
          <w:rFonts w:hint="eastAsia" w:ascii="宋体" w:hAnsi="宋体" w:eastAsia="宋体" w:cs="宋体"/>
          <w:szCs w:val="21"/>
          <w:highlight w:val="none"/>
          <w:lang w:val="en-US" w:eastAsia="zh-CN"/>
        </w:rPr>
        <w:t>个标段：</w:t>
      </w:r>
    </w:p>
    <w:p w14:paraId="50944979">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一标段：2015年沿黄快速通道（桩号1-2）生态廊道建设项目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廊道长度约12.30公里，两侧绿化宽度各18米，需管护绿化面积约42.133万平方米；</w:t>
      </w:r>
    </w:p>
    <w:p w14:paraId="201BE2C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二标段：2015年沿黄快速通道（桩号2-3）生态廊道建设项目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2F0FAB0D">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三标段：2015年沿黄快速通道（桩号3-4）生态廊道建设项目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455AD32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四标段：2015年荥阳市石化北路生态廊道建设项目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廊道长度约3.3公里，两侧绿化宽度各30米，需管护绿化面积约19.20万平方米；</w:t>
      </w:r>
    </w:p>
    <w:p w14:paraId="6FC07AE7">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五标段：2015年荥阳市环翠峪旅游大道生态廊道建设项目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廊道长度约14.85公里，两侧绿化宽度各3-30米，需管护绿化面积约59.40万平方米；</w:t>
      </w:r>
    </w:p>
    <w:p w14:paraId="50CC234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六标段：2018年荥阳市G234（郑上路至黄河大桥引桥南端桩号1-2）生态廊道建设项目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4B3943DB">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七标段：2018年荥阳市G234（郑上路至黄河大桥引桥南端，桩号2-3）生态廊道建设项目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493E5911">
      <w:pPr>
        <w:pageBreakBefore w:val="0"/>
        <w:widowControl/>
        <w:kinsoku/>
        <w:wordWrap/>
        <w:overflowPunct/>
        <w:topLinePunct w:val="0"/>
        <w:bidi w:val="0"/>
        <w:adjustRightInd/>
        <w:snapToGrid/>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八标段：2020年X036（枯河桥—沿黄快速通道）生态廊道建设项目：廊道长度约5公里，两侧绿化宽度各30米，需管护绿化面积约18.6</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万平方米。</w:t>
      </w:r>
    </w:p>
    <w:p w14:paraId="5B9FC9B9">
      <w:pPr>
        <w:pageBreakBefore w:val="0"/>
        <w:kinsoku/>
        <w:wordWrap/>
        <w:overflowPunct/>
        <w:topLinePunct w:val="0"/>
        <w:bidi w:val="0"/>
        <w:adjustRightInd/>
        <w:snapToGrid/>
        <w:spacing w:line="360" w:lineRule="auto"/>
        <w:ind w:left="210"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5.2</w:t>
      </w:r>
      <w:r>
        <w:rPr>
          <w:rFonts w:hint="eastAsia" w:ascii="宋体" w:hAnsi="宋体" w:eastAsia="宋体" w:cs="宋体"/>
          <w:szCs w:val="21"/>
          <w:highlight w:val="none"/>
          <w:lang w:val="en-US" w:eastAsia="zh-CN"/>
        </w:rPr>
        <w:t>服务期限</w:t>
      </w:r>
      <w:r>
        <w:rPr>
          <w:rFonts w:hint="eastAsia" w:ascii="宋体" w:hAnsi="宋体" w:eastAsia="宋体" w:cs="宋体"/>
          <w:szCs w:val="21"/>
          <w:highlight w:val="none"/>
        </w:rPr>
        <w:t>：</w:t>
      </w:r>
      <w:r>
        <w:rPr>
          <w:rFonts w:hint="eastAsia" w:ascii="宋体" w:hAnsi="宋体" w:cs="宋体"/>
          <w:szCs w:val="21"/>
          <w:highlight w:val="none"/>
          <w:lang w:val="en-US" w:eastAsia="zh-CN"/>
        </w:rPr>
        <w:t>一年/标段</w:t>
      </w:r>
      <w:r>
        <w:rPr>
          <w:rFonts w:hint="eastAsia" w:ascii="宋体" w:hAnsi="宋体" w:eastAsia="宋体" w:cs="宋体"/>
          <w:szCs w:val="21"/>
          <w:highlight w:val="none"/>
        </w:rPr>
        <w:t>；</w:t>
      </w:r>
    </w:p>
    <w:p w14:paraId="66FF79C6">
      <w:pPr>
        <w:pageBreakBefore w:val="0"/>
        <w:kinsoku/>
        <w:wordWrap/>
        <w:overflowPunct/>
        <w:topLinePunct w:val="0"/>
        <w:bidi w:val="0"/>
        <w:adjustRightInd/>
        <w:snapToGrid/>
        <w:spacing w:line="360" w:lineRule="auto"/>
        <w:ind w:left="210"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5.3质量要求：符合国家、行业相关规范，满足采购人要求；</w:t>
      </w:r>
    </w:p>
    <w:p w14:paraId="07BA178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6、合同履行期限：同服务期限</w:t>
      </w:r>
    </w:p>
    <w:p w14:paraId="4F74082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7、本项目是否接受联合体投标：否</w:t>
      </w:r>
    </w:p>
    <w:p w14:paraId="661458AD">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8、是否接受进口产品：否</w:t>
      </w:r>
    </w:p>
    <w:p w14:paraId="25AC0A8A">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9、是否专门面向中小企业：</w:t>
      </w:r>
      <w:r>
        <w:rPr>
          <w:rFonts w:hint="eastAsia" w:ascii="宋体" w:hAnsi="宋体" w:cs="宋体"/>
          <w:color w:val="000000"/>
          <w:kern w:val="0"/>
          <w:szCs w:val="21"/>
          <w:highlight w:val="none"/>
          <w:lang w:val="en-US" w:eastAsia="zh-CN"/>
        </w:rPr>
        <w:t>是</w:t>
      </w:r>
    </w:p>
    <w:p w14:paraId="5EA78267">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二、申请人的资格要求</w:t>
      </w:r>
    </w:p>
    <w:p w14:paraId="7E4230D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1、满足《中华人民共和国政府采购法》第二十二条规定</w:t>
      </w:r>
      <w:r>
        <w:rPr>
          <w:rFonts w:hint="eastAsia" w:ascii="宋体" w:hAnsi="宋体" w:eastAsia="宋体" w:cs="宋体"/>
          <w:kern w:val="0"/>
          <w:szCs w:val="21"/>
          <w:highlight w:val="none"/>
          <w:lang w:eastAsia="zh-CN"/>
        </w:rPr>
        <w:t>；</w:t>
      </w:r>
    </w:p>
    <w:p w14:paraId="50593E71">
      <w:pPr>
        <w:pageBreakBefore w:val="0"/>
        <w:widowControl/>
        <w:kinsoku/>
        <w:wordWrap/>
        <w:overflowPunct/>
        <w:topLinePunct w:val="0"/>
        <w:bidi w:val="0"/>
        <w:adjustRightInd/>
        <w:snapToGrid/>
        <w:spacing w:line="360" w:lineRule="auto"/>
        <w:ind w:firstLine="420" w:firstLineChars="200"/>
        <w:rPr>
          <w:rFonts w:hint="eastAsia" w:eastAsia="宋体"/>
          <w:highlight w:val="none"/>
          <w:lang w:eastAsia="zh-CN"/>
        </w:rPr>
      </w:pPr>
      <w:r>
        <w:rPr>
          <w:rFonts w:hint="eastAsia" w:ascii="宋体" w:hAnsi="宋体" w:eastAsia="宋体" w:cs="宋体"/>
          <w:kern w:val="0"/>
          <w:szCs w:val="21"/>
          <w:highlight w:val="none"/>
        </w:rPr>
        <w:t>2、落实政府采购政策满足的资格要求</w:t>
      </w:r>
      <w:r>
        <w:rPr>
          <w:rFonts w:hint="eastAsia" w:ascii="宋体" w:hAnsi="宋体" w:eastAsia="宋体" w:cs="宋体"/>
          <w:color w:val="auto"/>
          <w:kern w:val="0"/>
          <w:szCs w:val="21"/>
          <w:highlight w:val="none"/>
        </w:rPr>
        <w:t>：本项目属于专门面向中小企业采购的项目。供应商应为中小微企业（监狱企业、残疾人福利性企业视同小微企业），须提供《中小企业声明函》或残疾人福利性单位声明函或监狱企业证明材料</w:t>
      </w:r>
      <w:r>
        <w:rPr>
          <w:rFonts w:hint="eastAsia" w:ascii="宋体" w:hAnsi="宋体" w:eastAsia="宋体" w:cs="宋体"/>
          <w:color w:val="auto"/>
          <w:kern w:val="0"/>
          <w:szCs w:val="21"/>
          <w:highlight w:val="none"/>
          <w:lang w:eastAsia="zh-CN"/>
        </w:rPr>
        <w:t>；</w:t>
      </w:r>
    </w:p>
    <w:p w14:paraId="4B48D6C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w:t>
      </w:r>
    </w:p>
    <w:p w14:paraId="1EB8F3F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b w:val="0"/>
          <w:bCs w:val="0"/>
          <w:kern w:val="0"/>
          <w:szCs w:val="21"/>
          <w:highlight w:val="none"/>
          <w:lang w:eastAsia="zh-CN"/>
        </w:rPr>
      </w:pPr>
      <w:r>
        <w:rPr>
          <w:rFonts w:hint="eastAsia" w:ascii="宋体" w:hAnsi="宋体" w:eastAsia="宋体" w:cs="宋体"/>
          <w:b w:val="0"/>
          <w:bCs w:val="0"/>
          <w:kern w:val="0"/>
          <w:szCs w:val="21"/>
          <w:highlight w:val="none"/>
        </w:rPr>
        <w:t>3.1</w:t>
      </w:r>
      <w:r>
        <w:rPr>
          <w:rFonts w:hint="eastAsia" w:ascii="宋体" w:hAnsi="宋体" w:eastAsia="宋体" w:cs="宋体"/>
          <w:b w:val="0"/>
          <w:bCs w:val="0"/>
          <w:kern w:val="0"/>
          <w:szCs w:val="21"/>
          <w:highlight w:val="none"/>
          <w:lang w:val="en-US" w:eastAsia="zh-CN"/>
        </w:rPr>
        <w:t>供应商须具有有效的营业执照</w:t>
      </w:r>
      <w:r>
        <w:rPr>
          <w:rFonts w:hint="eastAsia" w:ascii="宋体" w:hAnsi="宋体" w:cs="宋体"/>
          <w:b w:val="0"/>
          <w:bCs w:val="0"/>
          <w:kern w:val="0"/>
          <w:szCs w:val="21"/>
          <w:highlight w:val="none"/>
          <w:lang w:val="en-US" w:eastAsia="zh-CN"/>
        </w:rPr>
        <w:t>；</w:t>
      </w:r>
    </w:p>
    <w:p w14:paraId="272454DF">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3.2</w:t>
      </w:r>
      <w:r>
        <w:rPr>
          <w:rFonts w:hint="eastAsia" w:ascii="宋体" w:hAnsi="宋体" w:eastAsia="宋体" w:cs="宋体"/>
          <w:kern w:val="0"/>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highlight w:val="none"/>
        </w:rPr>
        <w:t>注：采购代理机构在开标当天将对所有参与本项目投标的供应商的信用情况进行查询、打印留存。若在开标当天查询到供应商有相关负面信息的，则该供应商不能通过资格性审查。</w:t>
      </w:r>
    </w:p>
    <w:p w14:paraId="4C9286A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40D6E827">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为采购项目提供整体设计、规范编制或者项目管理、监理、检测等服务的</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，不得再参加该采购项目的其他采购活动</w:t>
      </w:r>
      <w:r>
        <w:rPr>
          <w:rFonts w:hint="eastAsia" w:ascii="宋体" w:hAnsi="宋体" w:eastAsia="宋体" w:cs="宋体"/>
          <w:kern w:val="0"/>
          <w:szCs w:val="21"/>
          <w:highlight w:val="none"/>
          <w:lang w:eastAsia="zh-CN"/>
        </w:rPr>
        <w:t>。</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提供</w:t>
      </w:r>
      <w:r>
        <w:rPr>
          <w:rFonts w:hint="eastAsia" w:ascii="宋体" w:hAnsi="宋体" w:eastAsia="宋体" w:cs="宋体"/>
          <w:bCs/>
          <w:szCs w:val="21"/>
          <w:highlight w:val="none"/>
        </w:rPr>
        <w:t>承诺书格式自拟）</w:t>
      </w:r>
    </w:p>
    <w:p w14:paraId="0401316B">
      <w:pPr>
        <w:pageBreakBefore w:val="0"/>
        <w:widowControl/>
        <w:kinsoku/>
        <w:wordWrap/>
        <w:overflowPunct/>
        <w:topLinePunct w:val="0"/>
        <w:bidi w:val="0"/>
        <w:adjustRightInd/>
        <w:snapToGrid/>
        <w:spacing w:line="360" w:lineRule="auto"/>
        <w:ind w:firstLine="422" w:firstLineChars="200"/>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注：各供应商仅允许就本采购项目上述标段中的其中1个标段投标，仅允许中标1个标段。若供应商对多个标段进行投报，其所投标段均按无效投标处理</w:t>
      </w:r>
      <w:r>
        <w:rPr>
          <w:rFonts w:hint="default" w:ascii="宋体" w:hAnsi="宋体" w:eastAsia="宋体" w:cs="宋体"/>
          <w:b/>
          <w:bCs/>
          <w:kern w:val="0"/>
          <w:szCs w:val="21"/>
          <w:highlight w:val="none"/>
          <w:lang w:val="en-US" w:eastAsia="zh-CN"/>
        </w:rPr>
        <w:t>。</w:t>
      </w:r>
    </w:p>
    <w:p w14:paraId="6C2A0F1B">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三、获取招标文件</w:t>
      </w:r>
    </w:p>
    <w:p w14:paraId="53D8685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时间：202</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07</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29</w:t>
      </w:r>
      <w:r>
        <w:rPr>
          <w:rFonts w:hint="eastAsia" w:ascii="宋体" w:hAnsi="宋体" w:eastAsia="宋体" w:cs="宋体"/>
          <w:kern w:val="0"/>
          <w:szCs w:val="21"/>
          <w:highlight w:val="none"/>
        </w:rPr>
        <w:t>日至20</w:t>
      </w:r>
      <w:r>
        <w:rPr>
          <w:rFonts w:hint="eastAsia" w:ascii="宋体" w:hAnsi="宋体" w:eastAsia="宋体" w:cs="宋体"/>
          <w:kern w:val="0"/>
          <w:szCs w:val="21"/>
          <w:highlight w:val="none"/>
          <w:lang w:val="en-US" w:eastAsia="zh-CN"/>
        </w:rPr>
        <w:t>2</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04</w:t>
      </w:r>
      <w:r>
        <w:rPr>
          <w:rFonts w:hint="eastAsia" w:ascii="宋体" w:hAnsi="宋体" w:eastAsia="宋体" w:cs="宋体"/>
          <w:kern w:val="0"/>
          <w:szCs w:val="21"/>
          <w:highlight w:val="none"/>
        </w:rPr>
        <w:t xml:space="preserve">日，每天上午00:00至12:00，下午12:00至23:59（北京时间，法定节假日除外） </w:t>
      </w:r>
    </w:p>
    <w:p w14:paraId="56E9A2D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地点：荥阳市公共资源交易平台。 </w:t>
      </w:r>
    </w:p>
    <w:p w14:paraId="4DCF6BC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14:paraId="54767C1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售价：0元 </w:t>
      </w:r>
    </w:p>
    <w:p w14:paraId="3D8AE895">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四、投标截止时间及地点</w:t>
      </w:r>
    </w:p>
    <w:p w14:paraId="30E88475">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时间：202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日09时</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0分（北京时间） </w:t>
      </w:r>
    </w:p>
    <w:p w14:paraId="6E36588A">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地点：荥阳市公共资源交易平台</w:t>
      </w:r>
    </w:p>
    <w:p w14:paraId="7142CB50">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xml:space="preserve">五、开标时间及地点 </w:t>
      </w:r>
    </w:p>
    <w:p w14:paraId="25CCF224">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时间：202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日09时</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0分（北京时间） </w:t>
      </w:r>
    </w:p>
    <w:p w14:paraId="2B4DAEC0">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地点：荥阳市公共资源交易中心（荥阳市中原路与飞龙路西北角政务服务中心七楼）第</w:t>
      </w:r>
      <w:r>
        <w:rPr>
          <w:rFonts w:hint="eastAsia" w:ascii="宋体" w:hAnsi="宋体" w:cs="宋体"/>
          <w:kern w:val="0"/>
          <w:szCs w:val="21"/>
          <w:highlight w:val="none"/>
          <w:lang w:val="en-US" w:eastAsia="zh-CN"/>
        </w:rPr>
        <w:t>三</w:t>
      </w:r>
      <w:r>
        <w:rPr>
          <w:rFonts w:hint="eastAsia" w:ascii="宋体" w:hAnsi="宋体" w:eastAsia="宋体" w:cs="宋体"/>
          <w:kern w:val="0"/>
          <w:szCs w:val="21"/>
          <w:highlight w:val="none"/>
        </w:rPr>
        <w:t xml:space="preserve">开标室 </w:t>
      </w:r>
    </w:p>
    <w:p w14:paraId="198F56FA">
      <w:pPr>
        <w:pageBreakBefore w:val="0"/>
        <w:widowControl/>
        <w:kinsoku/>
        <w:wordWrap/>
        <w:overflowPunct/>
        <w:topLinePunct w:val="0"/>
        <w:bidi w:val="0"/>
        <w:adjustRightInd/>
        <w:snapToGrid/>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 xml:space="preserve">六、发布公告的媒介及招标公告期限 </w:t>
      </w:r>
    </w:p>
    <w:p w14:paraId="635A9291">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本次招标公告在《河南省政府采购网》《中国招标投标公共服务平台》《荥阳市政府采购网》《荥阳市公共资源交易中心网站》上发布，招标公告期限为五个工作日。</w:t>
      </w:r>
    </w:p>
    <w:p w14:paraId="257B973A">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七、其他补充事宜</w:t>
      </w:r>
    </w:p>
    <w:p w14:paraId="7E120353">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文件制作及上传：</w:t>
      </w:r>
    </w:p>
    <w:p w14:paraId="6C6275E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1.1、获取</w:t>
      </w:r>
      <w:r>
        <w:rPr>
          <w:rFonts w:hint="eastAsia" w:ascii="宋体" w:hAnsi="宋体" w:cs="宋体"/>
          <w:color w:val="000000"/>
          <w:kern w:val="0"/>
          <w:szCs w:val="21"/>
          <w:highlight w:val="none"/>
          <w:lang w:val="en-US" w:eastAsia="zh-CN"/>
        </w:rPr>
        <w:t>招标</w:t>
      </w:r>
      <w:r>
        <w:rPr>
          <w:rFonts w:hint="eastAsia" w:ascii="宋体" w:hAnsi="宋体" w:eastAsia="宋体" w:cs="宋体"/>
          <w:color w:val="000000"/>
          <w:kern w:val="0"/>
          <w:szCs w:val="21"/>
          <w:highlight w:val="none"/>
          <w:lang w:val="en-US" w:eastAsia="zh-CN"/>
        </w:rPr>
        <w:t>文件后，投标人（供应商）请登陆荥阳市公共资源交易中心网站—下载中心—下载最新版本“</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文件制作软件”制作电子响应文件（具体制作手册请查询交易中心网站-办事指南-《</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文件制作操作手册》）。</w:t>
      </w:r>
    </w:p>
    <w:p w14:paraId="45DF5550">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1.2、投标人（供应商）须在投标截止时间前登陆荥阳市公共资源交易平台上传加密的电子</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w:t>
      </w:r>
    </w:p>
    <w:p w14:paraId="2823F945">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w:t>
      </w:r>
    </w:p>
    <w:p w14:paraId="3D9858B2">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3、注意事项：</w:t>
      </w:r>
    </w:p>
    <w:p w14:paraId="6F4B0636">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3.1、请供应商务必按照“荥阳市公共资源交易中心不见面开标大厅操作手册（投标人）”的要求设置参与不见面开标的电脑环境，否则由此可能引起的签到失败、解密失败或无法解密等问题由供应商自行承担。</w:t>
      </w:r>
    </w:p>
    <w:p w14:paraId="730C4BEA">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3.2、所有供应商应提前30分钟，登录开标大厅进行不见面开标准备工作。所有供应商登录开标大厅后，须在投标截止时间前完成签到，其后应一直保持在线状态，保证能准时参加开标大会、响应文件的解密、现场答疑澄清等活动。</w:t>
      </w:r>
    </w:p>
    <w:p w14:paraId="2FC9F27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3.3、供应商应在解密时间内插入CA锁，输入密码进行解密。如在解密时间内解密失败，可再次解密，供应商应在规定时间内完成解密，否则采购人不予受理。</w:t>
      </w:r>
    </w:p>
    <w:p w14:paraId="26CAFE09">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3.4、逾期上传的或者未上传指定地点的</w:t>
      </w:r>
      <w:r>
        <w:rPr>
          <w:rFonts w:hint="eastAsia" w:ascii="宋体" w:hAnsi="宋体" w:cs="宋体"/>
          <w:color w:val="000000"/>
          <w:kern w:val="0"/>
          <w:szCs w:val="21"/>
          <w:highlight w:val="none"/>
          <w:lang w:val="en-US" w:eastAsia="zh-CN"/>
        </w:rPr>
        <w:t>投标</w:t>
      </w:r>
      <w:r>
        <w:rPr>
          <w:rFonts w:hint="eastAsia" w:ascii="宋体" w:hAnsi="宋体" w:eastAsia="宋体" w:cs="宋体"/>
          <w:color w:val="000000"/>
          <w:kern w:val="0"/>
          <w:szCs w:val="21"/>
          <w:highlight w:val="none"/>
          <w:lang w:val="en-US" w:eastAsia="zh-CN"/>
        </w:rPr>
        <w:t>文件，采购人不予受理。</w:t>
      </w:r>
    </w:p>
    <w:p w14:paraId="3D607561">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3.5、如遇问题，请拨打技术服务单位（国泰新点）电话：4009980000。</w:t>
      </w:r>
    </w:p>
    <w:p w14:paraId="12D891DB">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注：请各供应商密切关注《荥阳市公共资源交易中心网站》，以便及时了解项目最新进展情况。</w:t>
      </w:r>
    </w:p>
    <w:p w14:paraId="4FB26F0E">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4、本次采购招标代理服务费，参考河南省招标投标协会（豫招协[2023]002号）文规定的计费方式，向</w:t>
      </w:r>
      <w:r>
        <w:rPr>
          <w:rFonts w:hint="eastAsia" w:ascii="宋体" w:hAnsi="宋体" w:cs="宋体"/>
          <w:color w:val="000000"/>
          <w:kern w:val="0"/>
          <w:szCs w:val="21"/>
          <w:highlight w:val="none"/>
          <w:lang w:val="en-US" w:eastAsia="zh-CN"/>
        </w:rPr>
        <w:t>中标人</w:t>
      </w:r>
      <w:r>
        <w:rPr>
          <w:rFonts w:hint="eastAsia" w:ascii="宋体" w:hAnsi="宋体" w:eastAsia="宋体" w:cs="宋体"/>
          <w:color w:val="000000"/>
          <w:kern w:val="0"/>
          <w:szCs w:val="21"/>
          <w:highlight w:val="none"/>
          <w:lang w:val="en-US" w:eastAsia="zh-CN"/>
        </w:rPr>
        <w:t>收取代理服务费。</w:t>
      </w:r>
    </w:p>
    <w:p w14:paraId="4F1BF010">
      <w:pPr>
        <w:pageBreakBefore w:val="0"/>
        <w:widowControl/>
        <w:kinsoku/>
        <w:wordWrap/>
        <w:overflowPunct/>
        <w:topLinePunct w:val="0"/>
        <w:bidi w:val="0"/>
        <w:adjustRightInd/>
        <w:snapToGrid/>
        <w:spacing w:line="360" w:lineRule="auto"/>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5、本项目采购监督部门为：荥阳市财政局</w:t>
      </w:r>
      <w:r>
        <w:rPr>
          <w:rFonts w:hint="eastAsia" w:ascii="宋体" w:hAnsi="宋体" w:eastAsia="宋体" w:cs="宋体"/>
          <w:color w:val="000000"/>
          <w:kern w:val="0"/>
          <w:szCs w:val="21"/>
          <w:highlight w:val="none"/>
        </w:rPr>
        <w:t>。</w:t>
      </w:r>
    </w:p>
    <w:p w14:paraId="122F43CA">
      <w:pPr>
        <w:pageBreakBefore w:val="0"/>
        <w:widowControl/>
        <w:kinsoku/>
        <w:wordWrap/>
        <w:overflowPunct/>
        <w:topLinePunct w:val="0"/>
        <w:bidi w:val="0"/>
        <w:adjustRightInd/>
        <w:snapToGrid/>
        <w:spacing w:line="360" w:lineRule="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八、对本次招标提出询问，请按以下方式联系</w:t>
      </w:r>
    </w:p>
    <w:p w14:paraId="518CAFF2">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 xml:space="preserve">采购人信息 </w:t>
      </w:r>
    </w:p>
    <w:p w14:paraId="13971FA8">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eastAsia="zh-CN"/>
        </w:rPr>
        <w:t>荥阳市</w:t>
      </w:r>
      <w:r>
        <w:rPr>
          <w:rFonts w:hint="eastAsia" w:ascii="宋体" w:hAnsi="宋体" w:eastAsia="宋体" w:cs="宋体"/>
          <w:highlight w:val="none"/>
          <w:lang w:val="en-US" w:eastAsia="zh-CN"/>
        </w:rPr>
        <w:t>林业局</w:t>
      </w:r>
    </w:p>
    <w:p w14:paraId="6177BF05">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rPr>
        <w:t>地址：荥阳市惠民路</w:t>
      </w:r>
      <w:r>
        <w:rPr>
          <w:rFonts w:hint="eastAsia" w:ascii="宋体" w:hAnsi="宋体" w:cs="宋体"/>
          <w:highlight w:val="none"/>
          <w:lang w:val="en-US" w:eastAsia="zh-CN"/>
        </w:rPr>
        <w:t>28号</w:t>
      </w:r>
    </w:p>
    <w:p w14:paraId="487B4137">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rPr>
        <w:t>联系人：王旭照</w:t>
      </w:r>
    </w:p>
    <w:p w14:paraId="3C997DC6">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联系方式</w:t>
      </w:r>
      <w:r>
        <w:rPr>
          <w:rFonts w:hint="eastAsia" w:ascii="宋体" w:hAnsi="宋体" w:eastAsia="宋体" w:cs="宋体"/>
          <w:highlight w:val="none"/>
        </w:rPr>
        <w:t>：0371-852958</w:t>
      </w:r>
      <w:r>
        <w:rPr>
          <w:rFonts w:hint="eastAsia" w:ascii="宋体" w:hAnsi="宋体" w:cs="宋体"/>
          <w:highlight w:val="none"/>
          <w:lang w:val="en-US" w:eastAsia="zh-CN"/>
        </w:rPr>
        <w:t>11</w:t>
      </w:r>
    </w:p>
    <w:p w14:paraId="62CAD9C1">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采购代理机构信息（如有） </w:t>
      </w:r>
    </w:p>
    <w:p w14:paraId="6DE9E0F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val="en-US" w:eastAsia="zh-CN"/>
        </w:rPr>
        <w:t>河南保利招标咨询有限公司</w:t>
      </w:r>
    </w:p>
    <w:p w14:paraId="792E194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rPr>
        <w:t>地址：郑州市高新区迎春街企业总部基地二期72号楼10楼</w:t>
      </w:r>
    </w:p>
    <w:p w14:paraId="3A18E20D">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val="en-US" w:eastAsia="zh-CN"/>
        </w:rPr>
      </w:pPr>
      <w:r>
        <w:rPr>
          <w:rFonts w:hint="eastAsia" w:ascii="宋体" w:hAnsi="宋体" w:eastAsia="宋体" w:cs="宋体"/>
          <w:highlight w:val="none"/>
        </w:rPr>
        <w:t>联系人：崔梦圆</w:t>
      </w:r>
    </w:p>
    <w:p w14:paraId="3EFF6AA4">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val="en-US" w:eastAsia="zh-CN"/>
        </w:rPr>
      </w:pPr>
      <w:r>
        <w:rPr>
          <w:rFonts w:hint="eastAsia" w:ascii="宋体" w:hAnsi="宋体" w:eastAsia="宋体" w:cs="宋体"/>
          <w:highlight w:val="none"/>
        </w:rPr>
        <w:t>联系方式：15093100065</w:t>
      </w:r>
    </w:p>
    <w:p w14:paraId="6BC06D27">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 xml:space="preserve">项目联系方式 </w:t>
      </w:r>
    </w:p>
    <w:p w14:paraId="1E0BD264">
      <w:pPr>
        <w:pageBreakBefore w:val="0"/>
        <w:widowControl/>
        <w:kinsoku/>
        <w:wordWrap/>
        <w:overflowPunct/>
        <w:topLinePunct w:val="0"/>
        <w:bidi w:val="0"/>
        <w:adjustRightInd/>
        <w:snapToGrid/>
        <w:spacing w:line="360" w:lineRule="auto"/>
        <w:ind w:firstLine="525" w:firstLineChars="250"/>
        <w:rPr>
          <w:rFonts w:hint="default" w:ascii="宋体" w:hAnsi="宋体" w:eastAsia="宋体" w:cs="宋体"/>
          <w:highlight w:val="none"/>
          <w:lang w:val="en-US" w:eastAsia="zh-CN"/>
        </w:rPr>
      </w:pPr>
      <w:r>
        <w:rPr>
          <w:rFonts w:hint="eastAsia" w:ascii="宋体" w:hAnsi="宋体" w:eastAsia="宋体" w:cs="宋体"/>
          <w:highlight w:val="none"/>
          <w:lang w:eastAsia="zh-CN"/>
        </w:rPr>
        <w:t>联系人：崔梦圆</w:t>
      </w:r>
    </w:p>
    <w:p w14:paraId="4D351D38">
      <w:pPr>
        <w:pageBreakBefore w:val="0"/>
        <w:widowControl/>
        <w:kinsoku/>
        <w:wordWrap/>
        <w:overflowPunct/>
        <w:topLinePunct w:val="0"/>
        <w:bidi w:val="0"/>
        <w:adjustRightInd/>
        <w:snapToGrid/>
        <w:spacing w:line="360" w:lineRule="auto"/>
        <w:ind w:firstLine="525" w:firstLineChars="250"/>
        <w:rPr>
          <w:rFonts w:hint="eastAsia" w:ascii="宋体" w:hAnsi="宋体" w:eastAsia="宋体" w:cs="宋体"/>
          <w:highlight w:val="none"/>
          <w:lang w:val="en-US" w:eastAsia="zh-CN"/>
        </w:rPr>
      </w:pPr>
      <w:r>
        <w:rPr>
          <w:rFonts w:hint="eastAsia" w:ascii="宋体" w:hAnsi="宋体" w:eastAsia="宋体" w:cs="宋体"/>
          <w:highlight w:val="none"/>
          <w:lang w:eastAsia="zh-CN"/>
        </w:rPr>
        <w:t>联系方式：15093100065</w:t>
      </w:r>
    </w:p>
    <w:p w14:paraId="72B33D4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2FDFD9C">
      <w:pPr>
        <w:pStyle w:val="2"/>
        <w:bidi w:val="0"/>
        <w:jc w:val="center"/>
        <w:rPr>
          <w:rFonts w:hint="eastAsia" w:ascii="宋体" w:hAnsi="宋体" w:eastAsia="宋体" w:cs="宋体"/>
          <w:highlight w:val="none"/>
        </w:rPr>
      </w:pPr>
      <w:bookmarkStart w:id="11" w:name="_Toc78373436"/>
      <w:bookmarkStart w:id="12" w:name="_Toc16860"/>
      <w:bookmarkStart w:id="13" w:name="_Toc16540"/>
      <w:bookmarkStart w:id="14" w:name="_Toc26632"/>
      <w:bookmarkStart w:id="15" w:name="_Toc184635073"/>
      <w:r>
        <w:rPr>
          <w:rFonts w:hint="eastAsia" w:ascii="宋体" w:hAnsi="宋体" w:eastAsia="宋体" w:cs="宋体"/>
          <w:highlight w:val="none"/>
        </w:rPr>
        <w:t xml:space="preserve">第二章 </w:t>
      </w:r>
      <w:r>
        <w:rPr>
          <w:rFonts w:hint="eastAsia" w:ascii="宋体" w:hAnsi="宋体" w:cs="宋体"/>
          <w:highlight w:val="none"/>
          <w:lang w:eastAsia="zh-CN"/>
        </w:rPr>
        <w:t>供应商</w:t>
      </w:r>
      <w:r>
        <w:rPr>
          <w:rFonts w:hint="eastAsia" w:ascii="宋体" w:hAnsi="宋体" w:eastAsia="宋体" w:cs="宋体"/>
          <w:highlight w:val="none"/>
        </w:rPr>
        <w:t>须知</w:t>
      </w:r>
      <w:bookmarkEnd w:id="11"/>
      <w:bookmarkEnd w:id="12"/>
      <w:bookmarkEnd w:id="13"/>
      <w:bookmarkEnd w:id="14"/>
    </w:p>
    <w:p w14:paraId="14CC9633">
      <w:pPr>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须知前附表</w:t>
      </w:r>
    </w:p>
    <w:tbl>
      <w:tblPr>
        <w:tblStyle w:val="21"/>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573"/>
        <w:gridCol w:w="5787"/>
      </w:tblGrid>
      <w:tr w14:paraId="66B9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dxa"/>
            <w:vAlign w:val="center"/>
          </w:tcPr>
          <w:p w14:paraId="5BD795F4">
            <w:pPr>
              <w:pStyle w:val="2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573" w:type="dxa"/>
            <w:vAlign w:val="center"/>
          </w:tcPr>
          <w:p w14:paraId="2850B898">
            <w:pPr>
              <w:pStyle w:val="2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5787" w:type="dxa"/>
            <w:vAlign w:val="center"/>
          </w:tcPr>
          <w:p w14:paraId="4550784A">
            <w:pPr>
              <w:pStyle w:val="2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14:paraId="19BD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680400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73" w:type="dxa"/>
            <w:vAlign w:val="center"/>
          </w:tcPr>
          <w:p w14:paraId="6498F06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5787" w:type="dxa"/>
            <w:vAlign w:val="center"/>
          </w:tcPr>
          <w:p w14:paraId="5BB7DAFD">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荥阳市</w:t>
            </w:r>
            <w:r>
              <w:rPr>
                <w:rFonts w:hint="eastAsia" w:ascii="宋体" w:hAnsi="宋体" w:eastAsia="宋体" w:cs="宋体"/>
                <w:color w:val="auto"/>
                <w:sz w:val="21"/>
                <w:szCs w:val="21"/>
                <w:highlight w:val="none"/>
                <w:lang w:val="en-US" w:eastAsia="zh-CN"/>
              </w:rPr>
              <w:t>林业局</w:t>
            </w:r>
          </w:p>
          <w:p w14:paraId="0EE59366">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地址：荥阳市惠民路</w:t>
            </w:r>
            <w:r>
              <w:rPr>
                <w:rFonts w:hint="eastAsia" w:ascii="宋体" w:hAnsi="宋体" w:eastAsia="宋体" w:cs="宋体"/>
                <w:color w:val="auto"/>
                <w:sz w:val="21"/>
                <w:szCs w:val="21"/>
                <w:highlight w:val="none"/>
                <w:lang w:val="en-US" w:eastAsia="zh-CN"/>
              </w:rPr>
              <w:t>28号</w:t>
            </w:r>
          </w:p>
          <w:p w14:paraId="5E9654FE">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联系人：王旭照</w:t>
            </w:r>
          </w:p>
          <w:p w14:paraId="2C01DE8B">
            <w:pPr>
              <w:pStyle w:val="27"/>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rPr>
              <w:t>：0371-852958</w:t>
            </w:r>
            <w:r>
              <w:rPr>
                <w:rFonts w:hint="eastAsia" w:ascii="宋体" w:hAnsi="宋体" w:cs="宋体"/>
                <w:color w:val="auto"/>
                <w:sz w:val="21"/>
                <w:szCs w:val="21"/>
                <w:highlight w:val="none"/>
                <w:lang w:val="en-US" w:eastAsia="zh-CN"/>
              </w:rPr>
              <w:t>11</w:t>
            </w:r>
          </w:p>
        </w:tc>
      </w:tr>
      <w:tr w14:paraId="576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DB84105">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73" w:type="dxa"/>
            <w:vAlign w:val="center"/>
          </w:tcPr>
          <w:p w14:paraId="3244D61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5787" w:type="dxa"/>
            <w:vAlign w:val="center"/>
          </w:tcPr>
          <w:p w14:paraId="3FD27EC8">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名称：河南保利招标咨询有限公司</w:t>
            </w:r>
          </w:p>
          <w:p w14:paraId="65CC2AA1">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地址：郑州市高新区迎春街企业总部基地二期72号楼10楼</w:t>
            </w:r>
          </w:p>
          <w:p w14:paraId="001B3350">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联系人：崔梦圆</w:t>
            </w:r>
          </w:p>
          <w:p w14:paraId="2854BBAB">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联系方式：15093100065</w:t>
            </w:r>
          </w:p>
        </w:tc>
      </w:tr>
      <w:tr w14:paraId="7734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1802C2A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73" w:type="dxa"/>
            <w:vAlign w:val="center"/>
          </w:tcPr>
          <w:p w14:paraId="5E473F3B">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87" w:type="dxa"/>
            <w:vAlign w:val="center"/>
          </w:tcPr>
          <w:p w14:paraId="2A0A52B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荥阳市林业局城郊生态廊道养护项目</w:t>
            </w:r>
          </w:p>
        </w:tc>
      </w:tr>
      <w:tr w14:paraId="0724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11310D80">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w:t>
            </w:r>
          </w:p>
        </w:tc>
        <w:tc>
          <w:tcPr>
            <w:tcW w:w="2573" w:type="dxa"/>
            <w:vAlign w:val="center"/>
          </w:tcPr>
          <w:p w14:paraId="730D5969">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p>
        </w:tc>
        <w:tc>
          <w:tcPr>
            <w:tcW w:w="5787" w:type="dxa"/>
            <w:vAlign w:val="center"/>
          </w:tcPr>
          <w:p w14:paraId="45A13B6D">
            <w:pPr>
              <w:pStyle w:val="27"/>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荥财公开-202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13</w:t>
            </w:r>
          </w:p>
        </w:tc>
      </w:tr>
      <w:tr w14:paraId="35D9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37330D67">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w:t>
            </w:r>
          </w:p>
        </w:tc>
        <w:tc>
          <w:tcPr>
            <w:tcW w:w="2573" w:type="dxa"/>
            <w:vAlign w:val="center"/>
          </w:tcPr>
          <w:p w14:paraId="34AEC8BD">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采购项目属性</w:t>
            </w:r>
          </w:p>
        </w:tc>
        <w:tc>
          <w:tcPr>
            <w:tcW w:w="5787" w:type="dxa"/>
            <w:vAlign w:val="center"/>
          </w:tcPr>
          <w:p w14:paraId="5E327D9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服务类</w:t>
            </w:r>
          </w:p>
        </w:tc>
      </w:tr>
      <w:tr w14:paraId="6E97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50" w:type="dxa"/>
            <w:vAlign w:val="center"/>
          </w:tcPr>
          <w:p w14:paraId="270E8B6E">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73" w:type="dxa"/>
            <w:vAlign w:val="center"/>
          </w:tcPr>
          <w:p w14:paraId="5008929F">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787" w:type="dxa"/>
            <w:vAlign w:val="center"/>
          </w:tcPr>
          <w:p w14:paraId="3CD9832D">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0938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962669D">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73" w:type="dxa"/>
            <w:vAlign w:val="center"/>
          </w:tcPr>
          <w:p w14:paraId="2A8A9AF1">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出资比例</w:t>
            </w:r>
          </w:p>
        </w:tc>
        <w:tc>
          <w:tcPr>
            <w:tcW w:w="5787" w:type="dxa"/>
            <w:vAlign w:val="center"/>
          </w:tcPr>
          <w:p w14:paraId="34DB8A04">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5F4A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57816BB">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573" w:type="dxa"/>
            <w:vAlign w:val="center"/>
          </w:tcPr>
          <w:p w14:paraId="577C5CF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787" w:type="dxa"/>
            <w:vAlign w:val="center"/>
          </w:tcPr>
          <w:p w14:paraId="28A647FF">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7AA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11F54CC">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73" w:type="dxa"/>
            <w:vAlign w:val="center"/>
          </w:tcPr>
          <w:p w14:paraId="07301201">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787" w:type="dxa"/>
            <w:vAlign w:val="center"/>
          </w:tcPr>
          <w:p w14:paraId="527AE0A6">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一标段：</w:t>
            </w:r>
            <w:r>
              <w:rPr>
                <w:rFonts w:hint="eastAsia" w:ascii="宋体" w:hAnsi="宋体" w:eastAsia="宋体" w:cs="宋体"/>
                <w:szCs w:val="21"/>
                <w:highlight w:val="none"/>
                <w:lang w:val="en-US" w:eastAsia="zh-CN"/>
              </w:rPr>
              <w:t>2015年沿黄快速通道（桩号1-2）生态廊道建设项目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廊道长度约12.30公里，两侧绿化宽度各18米，需管护绿化面积约42.133万平方米；</w:t>
            </w:r>
          </w:p>
          <w:p w14:paraId="506E3B3D">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二标段：</w:t>
            </w:r>
            <w:r>
              <w:rPr>
                <w:rFonts w:hint="eastAsia" w:ascii="宋体" w:hAnsi="宋体" w:eastAsia="宋体" w:cs="宋体"/>
                <w:szCs w:val="21"/>
                <w:highlight w:val="none"/>
                <w:lang w:val="en-US" w:eastAsia="zh-CN"/>
              </w:rPr>
              <w:t>2015年沿黄快速通道（桩号2-3）生态廊道建设项目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06D78C90">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三标段：</w:t>
            </w:r>
            <w:r>
              <w:rPr>
                <w:rFonts w:hint="eastAsia" w:ascii="宋体" w:hAnsi="宋体" w:eastAsia="宋体" w:cs="宋体"/>
                <w:szCs w:val="21"/>
                <w:highlight w:val="none"/>
                <w:lang w:val="en-US" w:eastAsia="zh-CN"/>
              </w:rPr>
              <w:t>2015年沿黄快速通道（桩号3-4）生态廊道建设项目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廊道长度约12.20公里，两侧绿化宽度各18米，需管护绿化面积约41.60万平方米；</w:t>
            </w:r>
          </w:p>
          <w:p w14:paraId="7668A7DD">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四标段：</w:t>
            </w:r>
            <w:r>
              <w:rPr>
                <w:rFonts w:hint="eastAsia" w:ascii="宋体" w:hAnsi="宋体" w:eastAsia="宋体" w:cs="宋体"/>
                <w:szCs w:val="21"/>
                <w:highlight w:val="none"/>
                <w:lang w:val="en-US" w:eastAsia="zh-CN"/>
              </w:rPr>
              <w:t>2015年荥阳市石化北路生态廊道建设项目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廊道长度约3.3公里，两侧绿化宽度各30米，需管护绿化面积约19.20万平方米；</w:t>
            </w:r>
          </w:p>
          <w:p w14:paraId="2779AFD6">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五标段：</w:t>
            </w:r>
            <w:r>
              <w:rPr>
                <w:rFonts w:hint="eastAsia" w:ascii="宋体" w:hAnsi="宋体" w:eastAsia="宋体" w:cs="宋体"/>
                <w:szCs w:val="21"/>
                <w:highlight w:val="none"/>
                <w:lang w:val="en-US" w:eastAsia="zh-CN"/>
              </w:rPr>
              <w:t>2015年荥阳市环翠峪旅游大道生态廊道建设项目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廊道长度约14.85公里，两侧绿化宽度各3-30米，需管护绿化面积约59.40万平方米；</w:t>
            </w:r>
          </w:p>
          <w:p w14:paraId="7252E753">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六标段：</w:t>
            </w:r>
            <w:r>
              <w:rPr>
                <w:rFonts w:hint="eastAsia" w:ascii="宋体" w:hAnsi="宋体" w:eastAsia="宋体" w:cs="宋体"/>
                <w:szCs w:val="21"/>
                <w:highlight w:val="none"/>
                <w:lang w:val="en-US" w:eastAsia="zh-CN"/>
              </w:rPr>
              <w:t>2018年荥阳市G234（郑上路至黄河大桥引桥南端桩号1-2）生态廊道建设项目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13E8CC74">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七标段：</w:t>
            </w:r>
            <w:r>
              <w:rPr>
                <w:rFonts w:hint="eastAsia" w:ascii="宋体" w:hAnsi="宋体" w:eastAsia="宋体" w:cs="宋体"/>
                <w:szCs w:val="21"/>
                <w:highlight w:val="none"/>
                <w:lang w:val="en-US" w:eastAsia="zh-CN"/>
              </w:rPr>
              <w:t>2018年荥阳市G234（郑上路至黄河大桥引桥南端，桩号2-3）生态廊道建设项目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廊道长度约7.25公里，两侧绿化宽度各10-50米，需管护绿化面积约45万平方米；</w:t>
            </w:r>
          </w:p>
          <w:p w14:paraId="733348AD">
            <w:pPr>
              <w:pStyle w:val="27"/>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sz w:val="21"/>
                <w:szCs w:val="21"/>
                <w:highlight w:val="none"/>
                <w:lang w:val="en-US" w:eastAsia="zh-CN"/>
              </w:rPr>
              <w:t>八标段：</w:t>
            </w:r>
            <w:r>
              <w:rPr>
                <w:rFonts w:hint="eastAsia" w:ascii="宋体" w:hAnsi="宋体" w:eastAsia="宋体" w:cs="宋体"/>
                <w:sz w:val="21"/>
                <w:szCs w:val="21"/>
                <w:highlight w:val="none"/>
                <w:lang w:val="en-US" w:eastAsia="zh-CN"/>
              </w:rPr>
              <w:t>2020年X036（枯河桥—沿黄快速通道）生态廊道建设项目：廊道长度约5公里，两侧绿化宽度各30米，需管护绿化面积约18.6</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万平方米。</w:t>
            </w:r>
          </w:p>
        </w:tc>
      </w:tr>
      <w:tr w14:paraId="1FF3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49D879F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73" w:type="dxa"/>
            <w:vAlign w:val="center"/>
          </w:tcPr>
          <w:p w14:paraId="5DF4092A">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w:t>
            </w:r>
          </w:p>
        </w:tc>
        <w:tc>
          <w:tcPr>
            <w:tcW w:w="5787" w:type="dxa"/>
            <w:vAlign w:val="center"/>
          </w:tcPr>
          <w:p w14:paraId="539A7705">
            <w:pPr>
              <w:pStyle w:val="27"/>
              <w:spacing w:line="360" w:lineRule="auto"/>
              <w:rPr>
                <w:rFonts w:hint="default" w:ascii="宋体" w:hAnsi="宋体" w:eastAsia="宋体" w:cs="宋体"/>
                <w:color w:val="auto"/>
                <w:sz w:val="21"/>
                <w:szCs w:val="21"/>
                <w:highlight w:val="none"/>
                <w:lang w:val="en-US"/>
              </w:rPr>
            </w:pPr>
            <w:r>
              <w:rPr>
                <w:rFonts w:hint="eastAsia" w:ascii="宋体" w:hAnsi="宋体" w:cs="宋体"/>
                <w:b w:val="0"/>
                <w:bCs w:val="0"/>
                <w:color w:val="auto"/>
                <w:sz w:val="21"/>
                <w:szCs w:val="21"/>
                <w:highlight w:val="none"/>
                <w:lang w:val="en-US" w:eastAsia="zh-CN"/>
              </w:rPr>
              <w:t>一年/标段</w:t>
            </w:r>
          </w:p>
        </w:tc>
      </w:tr>
      <w:tr w14:paraId="4169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78FA2B2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73" w:type="dxa"/>
            <w:vAlign w:val="center"/>
          </w:tcPr>
          <w:p w14:paraId="6C2A6401">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5787" w:type="dxa"/>
            <w:vAlign w:val="center"/>
          </w:tcPr>
          <w:p w14:paraId="2AAD58C9">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2D70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481B98C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573" w:type="dxa"/>
            <w:vAlign w:val="center"/>
          </w:tcPr>
          <w:p w14:paraId="4AF66389">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2"/>
                <w:highlight w:val="none"/>
              </w:rPr>
              <w:t>质量要求</w:t>
            </w:r>
          </w:p>
        </w:tc>
        <w:tc>
          <w:tcPr>
            <w:tcW w:w="5787" w:type="dxa"/>
            <w:vAlign w:val="center"/>
          </w:tcPr>
          <w:p w14:paraId="5D857B78">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符合国家、行业相关规范，满足采购人要求</w:t>
            </w:r>
          </w:p>
        </w:tc>
      </w:tr>
      <w:tr w14:paraId="03C7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7D178896">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73" w:type="dxa"/>
            <w:vAlign w:val="center"/>
          </w:tcPr>
          <w:p w14:paraId="481F487D">
            <w:pPr>
              <w:pStyle w:val="27"/>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条件</w:t>
            </w:r>
          </w:p>
        </w:tc>
        <w:tc>
          <w:tcPr>
            <w:tcW w:w="5787" w:type="dxa"/>
            <w:vAlign w:val="center"/>
          </w:tcPr>
          <w:p w14:paraId="7B2441D6">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1、满足《中华人民共和国政府采购法》第二十二条规定</w:t>
            </w:r>
            <w:r>
              <w:rPr>
                <w:rFonts w:hint="eastAsia" w:ascii="宋体" w:hAnsi="宋体" w:eastAsia="宋体" w:cs="宋体"/>
                <w:kern w:val="0"/>
                <w:szCs w:val="21"/>
                <w:highlight w:val="none"/>
                <w:lang w:eastAsia="zh-CN"/>
              </w:rPr>
              <w:t>；</w:t>
            </w:r>
          </w:p>
          <w:p w14:paraId="71F034F3">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2、落实政府采购政策满足的资格要求：</w:t>
            </w:r>
            <w:r>
              <w:rPr>
                <w:highlight w:val="none"/>
              </w:rPr>
              <w:t>本项目属于专门面向中小企业采购的项目。供应商应为中小微企业（监狱企业、残疾人福利性企业视同小微企业），须提供《中小企业声明函》或残疾人福利性单位声明函或监狱企业证明材料</w:t>
            </w:r>
            <w:r>
              <w:rPr>
                <w:rFonts w:hint="eastAsia" w:ascii="宋体" w:hAnsi="宋体" w:eastAsia="宋体" w:cs="宋体"/>
                <w:kern w:val="0"/>
                <w:szCs w:val="21"/>
                <w:highlight w:val="none"/>
              </w:rPr>
              <w:t xml:space="preserve">； </w:t>
            </w:r>
          </w:p>
          <w:p w14:paraId="13DDAF98">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3、本项目的特定资格要求 </w:t>
            </w:r>
          </w:p>
          <w:p w14:paraId="02C78FAE">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b w:val="0"/>
                <w:bCs w:val="0"/>
                <w:kern w:val="0"/>
                <w:szCs w:val="21"/>
                <w:highlight w:val="none"/>
                <w:lang w:eastAsia="zh-CN"/>
              </w:rPr>
            </w:pPr>
            <w:r>
              <w:rPr>
                <w:rFonts w:hint="eastAsia" w:ascii="宋体" w:hAnsi="宋体" w:eastAsia="宋体" w:cs="宋体"/>
                <w:b w:val="0"/>
                <w:bCs w:val="0"/>
                <w:kern w:val="0"/>
                <w:szCs w:val="21"/>
                <w:highlight w:val="none"/>
              </w:rPr>
              <w:t>3.1</w:t>
            </w:r>
            <w:r>
              <w:rPr>
                <w:rFonts w:hint="eastAsia" w:ascii="宋体" w:hAnsi="宋体" w:eastAsia="宋体" w:cs="宋体"/>
                <w:b w:val="0"/>
                <w:bCs w:val="0"/>
                <w:kern w:val="0"/>
                <w:szCs w:val="21"/>
                <w:highlight w:val="none"/>
                <w:lang w:val="en-US" w:eastAsia="zh-CN"/>
              </w:rPr>
              <w:t>供应商须具有有效的营业执照</w:t>
            </w:r>
            <w:r>
              <w:rPr>
                <w:rFonts w:hint="eastAsia" w:ascii="宋体" w:hAnsi="宋体" w:cs="宋体"/>
                <w:b w:val="0"/>
                <w:bCs w:val="0"/>
                <w:kern w:val="0"/>
                <w:szCs w:val="21"/>
                <w:highlight w:val="none"/>
                <w:lang w:val="en-US" w:eastAsia="zh-CN"/>
              </w:rPr>
              <w:t>；</w:t>
            </w:r>
          </w:p>
          <w:p w14:paraId="587F9C5D">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3.2</w:t>
            </w:r>
            <w:r>
              <w:rPr>
                <w:rFonts w:hint="eastAsia" w:ascii="宋体" w:hAnsi="宋体" w:eastAsia="宋体" w:cs="宋体"/>
                <w:kern w:val="0"/>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highlight w:val="none"/>
              </w:rPr>
              <w:t>注：采购代理机构在开标当天将对所有参与本项目投标的供应商的信用情况进行查询、打印留存。若在开标当天查询到供应商有相关负面信息的，则该供应商不能通过资格性审查。</w:t>
            </w:r>
          </w:p>
          <w:p w14:paraId="1500526F">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1B0B5839">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kern w:val="0"/>
                <w:szCs w:val="21"/>
                <w:highlight w:val="none"/>
              </w:rPr>
              <w:t>3.</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为采购项目提供整体设计、规范编制或者项目管理、监理、检测等服务的</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，不得再参加该采购项目的其他采购活动</w:t>
            </w:r>
            <w:r>
              <w:rPr>
                <w:rFonts w:hint="eastAsia" w:ascii="宋体" w:hAnsi="宋体" w:eastAsia="宋体" w:cs="宋体"/>
                <w:kern w:val="0"/>
                <w:szCs w:val="21"/>
                <w:highlight w:val="none"/>
                <w:lang w:eastAsia="zh-CN"/>
              </w:rPr>
              <w:t>。</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提供</w:t>
            </w:r>
            <w:r>
              <w:rPr>
                <w:rFonts w:hint="eastAsia" w:ascii="宋体" w:hAnsi="宋体" w:eastAsia="宋体" w:cs="宋体"/>
                <w:bCs/>
                <w:szCs w:val="21"/>
                <w:highlight w:val="none"/>
              </w:rPr>
              <w:t>承诺书格式自拟）</w:t>
            </w:r>
          </w:p>
        </w:tc>
      </w:tr>
      <w:tr w14:paraId="0D36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Align w:val="center"/>
          </w:tcPr>
          <w:p w14:paraId="6131ADF4">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73" w:type="dxa"/>
            <w:vAlign w:val="center"/>
          </w:tcPr>
          <w:p w14:paraId="072B0AF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787" w:type="dxa"/>
            <w:vAlign w:val="center"/>
          </w:tcPr>
          <w:p w14:paraId="49BC0C62">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w:t>
            </w:r>
          </w:p>
        </w:tc>
      </w:tr>
      <w:tr w14:paraId="1B55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113DB69A">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73" w:type="dxa"/>
            <w:vAlign w:val="center"/>
          </w:tcPr>
          <w:p w14:paraId="1ABD968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787" w:type="dxa"/>
            <w:vAlign w:val="center"/>
          </w:tcPr>
          <w:p w14:paraId="5FC07124">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4716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AE3A78E">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573" w:type="dxa"/>
            <w:vAlign w:val="center"/>
          </w:tcPr>
          <w:p w14:paraId="302C1E65">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787" w:type="dxa"/>
            <w:vAlign w:val="center"/>
          </w:tcPr>
          <w:p w14:paraId="05159111">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780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466BC94">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573" w:type="dxa"/>
            <w:vAlign w:val="center"/>
          </w:tcPr>
          <w:p w14:paraId="590AD005">
            <w:pPr>
              <w:pStyle w:val="27"/>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w:t>
            </w:r>
          </w:p>
          <w:p w14:paraId="7E06DD6F">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p>
        </w:tc>
        <w:tc>
          <w:tcPr>
            <w:tcW w:w="5787" w:type="dxa"/>
            <w:vAlign w:val="center"/>
          </w:tcPr>
          <w:p w14:paraId="7C29F77C">
            <w:pPr>
              <w:pStyle w:val="27"/>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时间：</w:t>
            </w:r>
            <w:r>
              <w:rPr>
                <w:rFonts w:hint="eastAsia" w:ascii="宋体" w:hAnsi="宋体" w:eastAsia="宋体" w:cs="宋体"/>
                <w:color w:val="auto"/>
                <w:sz w:val="21"/>
                <w:szCs w:val="21"/>
                <w:highlight w:val="none"/>
                <w:vertAlign w:val="baseline"/>
              </w:rPr>
              <w:t>递交投标文件的截止之日</w:t>
            </w:r>
            <w:r>
              <w:rPr>
                <w:rFonts w:hint="eastAsia" w:ascii="宋体" w:hAnsi="宋体" w:eastAsia="宋体" w:cs="宋体"/>
                <w:color w:val="auto"/>
                <w:sz w:val="21"/>
                <w:szCs w:val="21"/>
                <w:highlight w:val="none"/>
                <w:vertAlign w:val="baseline"/>
                <w:lang w:val="en-US" w:eastAsia="zh-CN"/>
              </w:rPr>
              <w:t>15</w:t>
            </w:r>
            <w:r>
              <w:rPr>
                <w:rFonts w:hint="eastAsia" w:ascii="宋体" w:hAnsi="宋体" w:eastAsia="宋体" w:cs="宋体"/>
                <w:color w:val="auto"/>
                <w:sz w:val="21"/>
                <w:szCs w:val="21"/>
                <w:highlight w:val="none"/>
                <w:vertAlign w:val="baseline"/>
              </w:rPr>
              <w:t>日前</w:t>
            </w:r>
          </w:p>
        </w:tc>
      </w:tr>
      <w:tr w14:paraId="11E4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0A8E20D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73" w:type="dxa"/>
            <w:vAlign w:val="center"/>
          </w:tcPr>
          <w:p w14:paraId="125B209A">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787" w:type="dxa"/>
            <w:vAlign w:val="center"/>
          </w:tcPr>
          <w:p w14:paraId="343AEF6A">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6065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4715FBF">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73" w:type="dxa"/>
            <w:vAlign w:val="center"/>
          </w:tcPr>
          <w:p w14:paraId="319D968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5787" w:type="dxa"/>
            <w:vAlign w:val="center"/>
          </w:tcPr>
          <w:p w14:paraId="04E6F26A">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112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89C5D7A">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73" w:type="dxa"/>
            <w:vAlign w:val="center"/>
          </w:tcPr>
          <w:p w14:paraId="215ADF13">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w:t>
            </w:r>
          </w:p>
          <w:p w14:paraId="3E328F2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其他材料</w:t>
            </w:r>
          </w:p>
        </w:tc>
        <w:tc>
          <w:tcPr>
            <w:tcW w:w="5787" w:type="dxa"/>
            <w:vAlign w:val="center"/>
          </w:tcPr>
          <w:p w14:paraId="4C9A175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除招标文件外，采购人在招标期间发出澄清、修改、变更、补充、补遗和其它有效正式函件等内容均是招标文件组成部分。</w:t>
            </w:r>
          </w:p>
        </w:tc>
      </w:tr>
      <w:tr w14:paraId="1F2D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904A6C4">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2.2.1</w:t>
            </w:r>
          </w:p>
        </w:tc>
        <w:tc>
          <w:tcPr>
            <w:tcW w:w="2573" w:type="dxa"/>
            <w:vAlign w:val="center"/>
          </w:tcPr>
          <w:p w14:paraId="2C7CE4AB">
            <w:pPr>
              <w:pStyle w:val="27"/>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rPr>
              <w:t>要求澄清招标</w:t>
            </w:r>
          </w:p>
          <w:p w14:paraId="395589A9">
            <w:pPr>
              <w:pStyle w:val="27"/>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文件的截止时间</w:t>
            </w:r>
          </w:p>
        </w:tc>
        <w:tc>
          <w:tcPr>
            <w:tcW w:w="5787" w:type="dxa"/>
            <w:vAlign w:val="center"/>
          </w:tcPr>
          <w:p w14:paraId="0E9F5131">
            <w:pPr>
              <w:pStyle w:val="2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时间:投标时间截止15日前</w:t>
            </w:r>
          </w:p>
          <w:p w14:paraId="7B5B1C5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形式:在荥阳电子招投标交易平台系统中提出</w:t>
            </w:r>
          </w:p>
        </w:tc>
      </w:tr>
      <w:tr w14:paraId="59CF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72E607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73" w:type="dxa"/>
            <w:vAlign w:val="center"/>
          </w:tcPr>
          <w:p w14:paraId="27BF5932">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投标截止时间</w:t>
            </w:r>
          </w:p>
        </w:tc>
        <w:tc>
          <w:tcPr>
            <w:tcW w:w="5787" w:type="dxa"/>
            <w:vAlign w:val="center"/>
          </w:tcPr>
          <w:p w14:paraId="3FBEB16C">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日09时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tc>
      </w:tr>
      <w:tr w14:paraId="1A33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35E89B99">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2.2.3</w:t>
            </w:r>
          </w:p>
        </w:tc>
        <w:tc>
          <w:tcPr>
            <w:tcW w:w="2573" w:type="dxa"/>
            <w:vAlign w:val="center"/>
          </w:tcPr>
          <w:p w14:paraId="4F4959CE">
            <w:pPr>
              <w:pStyle w:val="27"/>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w:t>
            </w:r>
          </w:p>
          <w:p w14:paraId="0DA05E21">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文件澄清的时间</w:t>
            </w:r>
          </w:p>
        </w:tc>
        <w:tc>
          <w:tcPr>
            <w:tcW w:w="5787" w:type="dxa"/>
            <w:vAlign w:val="center"/>
          </w:tcPr>
          <w:p w14:paraId="2BABE3EA">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在收到相应澄清文件后24小时内</w:t>
            </w:r>
          </w:p>
        </w:tc>
      </w:tr>
      <w:tr w14:paraId="0C82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09B1EE56">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73" w:type="dxa"/>
            <w:vAlign w:val="center"/>
          </w:tcPr>
          <w:p w14:paraId="4DB5152C">
            <w:pPr>
              <w:pStyle w:val="27"/>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w:t>
            </w:r>
          </w:p>
          <w:p w14:paraId="742EC4C8">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文件修改的时间</w:t>
            </w:r>
          </w:p>
        </w:tc>
        <w:tc>
          <w:tcPr>
            <w:tcW w:w="5787" w:type="dxa"/>
            <w:vAlign w:val="center"/>
          </w:tcPr>
          <w:p w14:paraId="6ED8E018">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在收到相应澄清文件后24小时内</w:t>
            </w:r>
          </w:p>
        </w:tc>
      </w:tr>
      <w:tr w14:paraId="22C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6C1134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573" w:type="dxa"/>
            <w:vAlign w:val="center"/>
          </w:tcPr>
          <w:p w14:paraId="0E75EF82">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w:t>
            </w:r>
          </w:p>
          <w:p w14:paraId="399BA469">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其他材料</w:t>
            </w:r>
          </w:p>
        </w:tc>
        <w:tc>
          <w:tcPr>
            <w:tcW w:w="5787" w:type="dxa"/>
            <w:vAlign w:val="center"/>
          </w:tcPr>
          <w:p w14:paraId="5E135799">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招标文件中要求提交的其他资料以及</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认为有利于其投标的其他资料。</w:t>
            </w:r>
          </w:p>
        </w:tc>
      </w:tr>
      <w:tr w14:paraId="0C6C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3EA8E02D">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573" w:type="dxa"/>
            <w:vAlign w:val="center"/>
          </w:tcPr>
          <w:p w14:paraId="0072C90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787" w:type="dxa"/>
            <w:vAlign w:val="center"/>
          </w:tcPr>
          <w:p w14:paraId="024688FF">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0日历天（投标截止之日起）</w:t>
            </w:r>
          </w:p>
        </w:tc>
      </w:tr>
      <w:tr w14:paraId="686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766A2DAA">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573" w:type="dxa"/>
            <w:vAlign w:val="center"/>
          </w:tcPr>
          <w:p w14:paraId="0979A3AE">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787" w:type="dxa"/>
            <w:vAlign w:val="center"/>
          </w:tcPr>
          <w:p w14:paraId="5761B42F">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p>
        </w:tc>
      </w:tr>
      <w:tr w14:paraId="4350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726A34E">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p>
        </w:tc>
        <w:tc>
          <w:tcPr>
            <w:tcW w:w="2573" w:type="dxa"/>
            <w:vAlign w:val="center"/>
          </w:tcPr>
          <w:p w14:paraId="5D55C23B">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p>
          <w:p w14:paraId="041FC8F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投标方案</w:t>
            </w:r>
          </w:p>
        </w:tc>
        <w:tc>
          <w:tcPr>
            <w:tcW w:w="5787" w:type="dxa"/>
            <w:vAlign w:val="center"/>
          </w:tcPr>
          <w:p w14:paraId="69E5ED34">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718B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0DA66E1">
            <w:pPr>
              <w:pStyle w:val="27"/>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p>
        </w:tc>
        <w:tc>
          <w:tcPr>
            <w:tcW w:w="2573" w:type="dxa"/>
            <w:vAlign w:val="center"/>
          </w:tcPr>
          <w:p w14:paraId="67F3FF3F">
            <w:pPr>
              <w:pStyle w:val="27"/>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5787" w:type="dxa"/>
            <w:vAlign w:val="center"/>
          </w:tcPr>
          <w:p w14:paraId="4B8FC8F6">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w:t>
            </w:r>
          </w:p>
          <w:p w14:paraId="6E49706C">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加盖公章的地方都应盖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单位的CA印章。</w:t>
            </w:r>
          </w:p>
          <w:p w14:paraId="6E05CCAA">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（2）所有要求法定代表人或其委托代理人签字的地方都应盖法定代表人或其委托代理人的CA印章。</w:t>
            </w:r>
          </w:p>
          <w:p w14:paraId="562CB720">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（3）联合体投标的除联合体协议书和投标文件格式要求中明确要求联合体成员签字盖章外，其他签字或盖章处均可以由联合体牵头人签字盖章。</w:t>
            </w:r>
          </w:p>
        </w:tc>
      </w:tr>
      <w:tr w14:paraId="5D1E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739E28F">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573" w:type="dxa"/>
            <w:vAlign w:val="center"/>
          </w:tcPr>
          <w:p w14:paraId="6DC194DB">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纸质投标文件份数</w:t>
            </w:r>
          </w:p>
        </w:tc>
        <w:tc>
          <w:tcPr>
            <w:tcW w:w="5787" w:type="dxa"/>
            <w:vAlign w:val="center"/>
          </w:tcPr>
          <w:p w14:paraId="0C1B6746">
            <w:pPr>
              <w:pStyle w:val="27"/>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无需提供纸质投标文件</w:t>
            </w:r>
          </w:p>
        </w:tc>
      </w:tr>
      <w:tr w14:paraId="3F1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0E08A7B">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573" w:type="dxa"/>
            <w:vAlign w:val="center"/>
          </w:tcPr>
          <w:p w14:paraId="12AEA4C2">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5787" w:type="dxa"/>
            <w:vAlign w:val="center"/>
          </w:tcPr>
          <w:p w14:paraId="3B65C9F4">
            <w:pPr>
              <w:pStyle w:val="27"/>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r w14:paraId="71F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758B3EE2">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4.2.2</w:t>
            </w:r>
          </w:p>
        </w:tc>
        <w:tc>
          <w:tcPr>
            <w:tcW w:w="2573" w:type="dxa"/>
            <w:vAlign w:val="center"/>
          </w:tcPr>
          <w:p w14:paraId="24DD79CB">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递交（上传）投标文件地点</w:t>
            </w:r>
          </w:p>
        </w:tc>
        <w:tc>
          <w:tcPr>
            <w:tcW w:w="5787" w:type="dxa"/>
            <w:vAlign w:val="center"/>
          </w:tcPr>
          <w:p w14:paraId="47C8D09D">
            <w:pPr>
              <w:pStyle w:val="27"/>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荥阳市公共资源交易平台</w:t>
            </w:r>
          </w:p>
        </w:tc>
      </w:tr>
      <w:tr w14:paraId="014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7A5354D7">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573" w:type="dxa"/>
            <w:vAlign w:val="center"/>
          </w:tcPr>
          <w:p w14:paraId="272DE9F4">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5787" w:type="dxa"/>
            <w:vAlign w:val="center"/>
          </w:tcPr>
          <w:p w14:paraId="62B777FA">
            <w:pPr>
              <w:pStyle w:val="27"/>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CA1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4109CAA">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573" w:type="dxa"/>
            <w:vAlign w:val="center"/>
          </w:tcPr>
          <w:p w14:paraId="033F0D15">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787" w:type="dxa"/>
            <w:vAlign w:val="center"/>
          </w:tcPr>
          <w:p w14:paraId="53EC4333">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开标时间：同投标截止日期</w:t>
            </w:r>
          </w:p>
          <w:p w14:paraId="6E9B598C">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开标地点：荥阳市公共资源交易中心（荥阳市中原路与飞龙路西北角政务服务中心七楼）第</w:t>
            </w:r>
            <w:r>
              <w:rPr>
                <w:rFonts w:hint="eastAsia" w:ascii="宋体" w:hAnsi="宋体" w:cs="宋体"/>
                <w:color w:val="auto"/>
                <w:sz w:val="21"/>
                <w:szCs w:val="21"/>
                <w:highlight w:val="none"/>
                <w:vertAlign w:val="baseline"/>
                <w:lang w:val="en-US" w:eastAsia="zh-CN"/>
              </w:rPr>
              <w:t>三</w:t>
            </w:r>
            <w:r>
              <w:rPr>
                <w:rFonts w:hint="eastAsia" w:ascii="宋体" w:hAnsi="宋体" w:eastAsia="宋体" w:cs="宋体"/>
                <w:color w:val="auto"/>
                <w:sz w:val="21"/>
                <w:szCs w:val="21"/>
                <w:highlight w:val="none"/>
                <w:vertAlign w:val="baseline"/>
              </w:rPr>
              <w:t>开标室</w:t>
            </w:r>
          </w:p>
          <w:p w14:paraId="4F4E28AA">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本项目采用“远程不见面”开标方式。</w:t>
            </w:r>
            <w:r>
              <w:rPr>
                <w:rFonts w:hint="eastAsia" w:ascii="宋体" w:hAnsi="宋体" w:cs="宋体"/>
                <w:color w:val="auto"/>
                <w:sz w:val="21"/>
                <w:szCs w:val="21"/>
                <w:highlight w:val="none"/>
                <w:vertAlign w:val="baseline"/>
                <w:lang w:eastAsia="zh-CN"/>
              </w:rPr>
              <w:t>供应商</w:t>
            </w:r>
            <w:r>
              <w:rPr>
                <w:rFonts w:hint="eastAsia" w:ascii="宋体" w:hAnsi="宋体" w:eastAsia="宋体" w:cs="宋体"/>
                <w:color w:val="auto"/>
                <w:sz w:val="21"/>
                <w:szCs w:val="21"/>
                <w:highlight w:val="none"/>
                <w:vertAlign w:val="baseline"/>
              </w:rPr>
              <w:t>无需到荥阳市公共资源交易中心现场参加开标会议，不再要求</w:t>
            </w:r>
            <w:r>
              <w:rPr>
                <w:rFonts w:hint="eastAsia" w:ascii="宋体" w:hAnsi="宋体" w:cs="宋体"/>
                <w:color w:val="auto"/>
                <w:sz w:val="21"/>
                <w:szCs w:val="21"/>
                <w:highlight w:val="none"/>
                <w:vertAlign w:val="baseline"/>
                <w:lang w:eastAsia="zh-CN"/>
              </w:rPr>
              <w:t>供应商</w:t>
            </w:r>
            <w:r>
              <w:rPr>
                <w:rFonts w:hint="eastAsia" w:ascii="宋体" w:hAnsi="宋体" w:eastAsia="宋体" w:cs="宋体"/>
                <w:color w:val="auto"/>
                <w:sz w:val="21"/>
                <w:szCs w:val="21"/>
                <w:highlight w:val="none"/>
                <w:vertAlign w:val="baseline"/>
              </w:rPr>
              <w:t>到达现场提交任何资料。</w:t>
            </w:r>
            <w:r>
              <w:rPr>
                <w:rFonts w:hint="eastAsia" w:ascii="宋体" w:hAnsi="宋体" w:cs="宋体"/>
                <w:color w:val="auto"/>
                <w:sz w:val="21"/>
                <w:szCs w:val="21"/>
                <w:highlight w:val="none"/>
                <w:vertAlign w:val="baseline"/>
                <w:lang w:eastAsia="zh-CN"/>
              </w:rPr>
              <w:t>供应商</w:t>
            </w:r>
            <w:r>
              <w:rPr>
                <w:rFonts w:hint="eastAsia" w:ascii="宋体" w:hAnsi="宋体" w:eastAsia="宋体" w:cs="宋体"/>
                <w:color w:val="auto"/>
                <w:sz w:val="21"/>
                <w:szCs w:val="21"/>
                <w:highlight w:val="none"/>
                <w:vertAlign w:val="baseline"/>
              </w:rPr>
              <w:t>应当在招标文件确定的投标截止时间前，登录“荥阳市公共资源交易中心不见面开标大厅”，在线准时参加开标活动。</w:t>
            </w:r>
          </w:p>
        </w:tc>
      </w:tr>
      <w:tr w14:paraId="5A7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899C695">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lang w:val="en-US" w:eastAsia="zh-CN"/>
              </w:rPr>
              <w:t>.1</w:t>
            </w:r>
          </w:p>
        </w:tc>
        <w:tc>
          <w:tcPr>
            <w:tcW w:w="2573" w:type="dxa"/>
            <w:vAlign w:val="center"/>
          </w:tcPr>
          <w:p w14:paraId="1ABF5ABF">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评标委员会的</w:t>
            </w:r>
            <w:r>
              <w:rPr>
                <w:rFonts w:hint="eastAsia" w:ascii="宋体" w:hAnsi="宋体" w:eastAsia="宋体" w:cs="宋体"/>
                <w:color w:val="auto"/>
                <w:sz w:val="21"/>
                <w:szCs w:val="21"/>
                <w:highlight w:val="none"/>
                <w:lang w:eastAsia="zh-CN"/>
              </w:rPr>
              <w:t>组建</w:t>
            </w:r>
          </w:p>
        </w:tc>
        <w:tc>
          <w:tcPr>
            <w:tcW w:w="5787" w:type="dxa"/>
            <w:vAlign w:val="center"/>
          </w:tcPr>
          <w:p w14:paraId="19CC6561">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人，有关经济、技术专家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p w14:paraId="68AE7DFF">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有关技术、经济等方面的专家不少于评委会人数的三分之二，按有关规定从政府采购专家库中随机抽取。</w:t>
            </w:r>
          </w:p>
        </w:tc>
      </w:tr>
      <w:tr w14:paraId="52D1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18F60C77">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573" w:type="dxa"/>
            <w:vAlign w:val="center"/>
          </w:tcPr>
          <w:p w14:paraId="4AC68BC1">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5787" w:type="dxa"/>
            <w:vAlign w:val="center"/>
          </w:tcPr>
          <w:p w14:paraId="254574BA">
            <w:pPr>
              <w:pStyle w:val="27"/>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否，推荐的中标候选人数：3名</w:t>
            </w:r>
            <w:r>
              <w:rPr>
                <w:rFonts w:hint="eastAsia" w:ascii="宋体" w:hAnsi="宋体" w:cs="宋体"/>
                <w:color w:val="auto"/>
                <w:sz w:val="21"/>
                <w:szCs w:val="21"/>
                <w:highlight w:val="none"/>
                <w:lang w:val="en-US" w:eastAsia="zh-CN"/>
              </w:rPr>
              <w:t>/标段</w:t>
            </w:r>
          </w:p>
        </w:tc>
      </w:tr>
      <w:tr w14:paraId="11FC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1784682">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573" w:type="dxa"/>
            <w:vAlign w:val="center"/>
          </w:tcPr>
          <w:p w14:paraId="0500F636">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5787" w:type="dxa"/>
            <w:vAlign w:val="center"/>
          </w:tcPr>
          <w:p w14:paraId="56956D14">
            <w:pPr>
              <w:pStyle w:val="27"/>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履约担保的形式：转账或者金融机构、担保机构出具的保函</w:t>
            </w:r>
          </w:p>
          <w:p w14:paraId="308F6697">
            <w:pPr>
              <w:pStyle w:val="27"/>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履约担保的金额：中标价的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5864F51D">
            <w:pPr>
              <w:pStyle w:val="27"/>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履约保证金的交纳时间：中标人与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签订合同前，由中标人交至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指定账户</w:t>
            </w:r>
          </w:p>
        </w:tc>
      </w:tr>
      <w:tr w14:paraId="599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65EF0B01">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360" w:type="dxa"/>
            <w:gridSpan w:val="2"/>
            <w:vAlign w:val="center"/>
          </w:tcPr>
          <w:p w14:paraId="52142920">
            <w:pPr>
              <w:pStyle w:val="2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需要补充的其他内容</w:t>
            </w:r>
          </w:p>
        </w:tc>
      </w:tr>
      <w:tr w14:paraId="23A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Align w:val="center"/>
          </w:tcPr>
          <w:p w14:paraId="64A89D9B">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p>
        </w:tc>
        <w:tc>
          <w:tcPr>
            <w:tcW w:w="2573" w:type="dxa"/>
            <w:vAlign w:val="center"/>
          </w:tcPr>
          <w:p w14:paraId="00B93D23">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招标控制价</w:t>
            </w:r>
          </w:p>
        </w:tc>
        <w:tc>
          <w:tcPr>
            <w:tcW w:w="5787" w:type="dxa"/>
            <w:vAlign w:val="center"/>
          </w:tcPr>
          <w:p w14:paraId="5B01DAD5">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一标段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大写：人民币陆拾叁万贰仟元整</w:t>
            </w:r>
          </w:p>
          <w:p w14:paraId="014B816C">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小写：¥632000.00元</w:t>
            </w:r>
          </w:p>
          <w:p w14:paraId="2F2CCFBF">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二标段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陆拾贰万肆仟元整</w:t>
            </w:r>
          </w:p>
          <w:p w14:paraId="36150B34">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小写：¥6</w:t>
            </w:r>
            <w:r>
              <w:rPr>
                <w:rFonts w:hint="eastAsia" w:ascii="宋体" w:hAnsi="宋体" w:cs="宋体"/>
                <w:b/>
                <w:bCs w:val="0"/>
                <w:color w:val="auto"/>
                <w:sz w:val="21"/>
                <w:szCs w:val="21"/>
                <w:highlight w:val="none"/>
                <w:lang w:val="en-US" w:eastAsia="zh-CN"/>
              </w:rPr>
              <w:t>24</w:t>
            </w:r>
            <w:r>
              <w:rPr>
                <w:rFonts w:hint="eastAsia" w:ascii="宋体" w:hAnsi="宋体" w:eastAsia="宋体" w:cs="宋体"/>
                <w:b/>
                <w:bCs w:val="0"/>
                <w:color w:val="auto"/>
                <w:sz w:val="21"/>
                <w:szCs w:val="21"/>
                <w:highlight w:val="none"/>
                <w:lang w:val="en-US" w:eastAsia="zh-CN"/>
              </w:rPr>
              <w:t>000.00元</w:t>
            </w:r>
          </w:p>
          <w:p w14:paraId="32437604">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三标段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陆拾贰万肆仟元整</w:t>
            </w:r>
          </w:p>
          <w:p w14:paraId="5898A9ED">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小写：¥6</w:t>
            </w:r>
            <w:r>
              <w:rPr>
                <w:rFonts w:hint="eastAsia" w:ascii="宋体" w:hAnsi="宋体" w:cs="宋体"/>
                <w:b/>
                <w:bCs w:val="0"/>
                <w:color w:val="auto"/>
                <w:sz w:val="21"/>
                <w:szCs w:val="21"/>
                <w:highlight w:val="none"/>
                <w:lang w:val="en-US" w:eastAsia="zh-CN"/>
              </w:rPr>
              <w:t>24</w:t>
            </w:r>
            <w:r>
              <w:rPr>
                <w:rFonts w:hint="eastAsia" w:ascii="宋体" w:hAnsi="宋体" w:eastAsia="宋体" w:cs="宋体"/>
                <w:b/>
                <w:bCs w:val="0"/>
                <w:color w:val="auto"/>
                <w:sz w:val="21"/>
                <w:szCs w:val="21"/>
                <w:highlight w:val="none"/>
                <w:lang w:val="en-US" w:eastAsia="zh-CN"/>
              </w:rPr>
              <w:t>000.00元</w:t>
            </w:r>
          </w:p>
          <w:p w14:paraId="6FADD768">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四标段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贰拾捌万捌仟元整</w:t>
            </w:r>
          </w:p>
          <w:p w14:paraId="0835B42F">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w:t>
            </w:r>
            <w:r>
              <w:rPr>
                <w:rFonts w:hint="eastAsia" w:ascii="宋体" w:hAnsi="宋体" w:cs="宋体"/>
                <w:b/>
                <w:bCs w:val="0"/>
                <w:color w:val="auto"/>
                <w:sz w:val="21"/>
                <w:szCs w:val="21"/>
                <w:highlight w:val="none"/>
                <w:lang w:val="en-US" w:eastAsia="zh-CN"/>
              </w:rPr>
              <w:t>288</w:t>
            </w:r>
            <w:r>
              <w:rPr>
                <w:rFonts w:hint="eastAsia" w:ascii="宋体" w:hAnsi="宋体" w:eastAsia="宋体" w:cs="宋体"/>
                <w:b/>
                <w:bCs w:val="0"/>
                <w:color w:val="auto"/>
                <w:sz w:val="21"/>
                <w:szCs w:val="21"/>
                <w:highlight w:val="none"/>
                <w:lang w:val="en-US" w:eastAsia="zh-CN"/>
              </w:rPr>
              <w:t>000.00元</w:t>
            </w:r>
          </w:p>
          <w:p w14:paraId="50338A7E">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五标段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捌拾玖万壹仟元整</w:t>
            </w:r>
          </w:p>
          <w:p w14:paraId="30724001">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w:t>
            </w:r>
            <w:r>
              <w:rPr>
                <w:rFonts w:hint="eastAsia" w:ascii="宋体" w:hAnsi="宋体" w:cs="宋体"/>
                <w:b/>
                <w:bCs w:val="0"/>
                <w:color w:val="auto"/>
                <w:sz w:val="21"/>
                <w:szCs w:val="21"/>
                <w:highlight w:val="none"/>
                <w:lang w:val="en-US" w:eastAsia="zh-CN"/>
              </w:rPr>
              <w:t>891</w:t>
            </w:r>
            <w:r>
              <w:rPr>
                <w:rFonts w:hint="eastAsia" w:ascii="宋体" w:hAnsi="宋体" w:eastAsia="宋体" w:cs="宋体"/>
                <w:b/>
                <w:bCs w:val="0"/>
                <w:color w:val="auto"/>
                <w:sz w:val="21"/>
                <w:szCs w:val="21"/>
                <w:highlight w:val="none"/>
                <w:lang w:val="en-US" w:eastAsia="zh-CN"/>
              </w:rPr>
              <w:t>000.00元</w:t>
            </w:r>
          </w:p>
          <w:p w14:paraId="3B32FA30">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六标段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玖拾万元整</w:t>
            </w:r>
          </w:p>
          <w:p w14:paraId="7D122C8C">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w:t>
            </w:r>
            <w:r>
              <w:rPr>
                <w:rFonts w:hint="eastAsia" w:ascii="宋体" w:hAnsi="宋体" w:cs="宋体"/>
                <w:b/>
                <w:bCs w:val="0"/>
                <w:color w:val="auto"/>
                <w:sz w:val="21"/>
                <w:szCs w:val="21"/>
                <w:highlight w:val="none"/>
                <w:lang w:val="en-US" w:eastAsia="zh-CN"/>
              </w:rPr>
              <w:t>900</w:t>
            </w:r>
            <w:r>
              <w:rPr>
                <w:rFonts w:hint="eastAsia" w:ascii="宋体" w:hAnsi="宋体" w:eastAsia="宋体" w:cs="宋体"/>
                <w:b/>
                <w:bCs w:val="0"/>
                <w:color w:val="auto"/>
                <w:sz w:val="21"/>
                <w:szCs w:val="21"/>
                <w:highlight w:val="none"/>
                <w:lang w:val="en-US" w:eastAsia="zh-CN"/>
              </w:rPr>
              <w:t>000.00元</w:t>
            </w:r>
          </w:p>
          <w:p w14:paraId="5036DAF0">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七标段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玖拾万元整</w:t>
            </w:r>
          </w:p>
          <w:p w14:paraId="24387B0D">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w:t>
            </w:r>
            <w:r>
              <w:rPr>
                <w:rFonts w:hint="eastAsia" w:ascii="宋体" w:hAnsi="宋体" w:cs="宋体"/>
                <w:b/>
                <w:bCs w:val="0"/>
                <w:color w:val="auto"/>
                <w:sz w:val="21"/>
                <w:szCs w:val="21"/>
                <w:highlight w:val="none"/>
                <w:lang w:val="en-US" w:eastAsia="zh-CN"/>
              </w:rPr>
              <w:t>900</w:t>
            </w:r>
            <w:r>
              <w:rPr>
                <w:rFonts w:hint="eastAsia" w:ascii="宋体" w:hAnsi="宋体" w:eastAsia="宋体" w:cs="宋体"/>
                <w:b/>
                <w:bCs w:val="0"/>
                <w:color w:val="auto"/>
                <w:sz w:val="21"/>
                <w:szCs w:val="21"/>
                <w:highlight w:val="none"/>
                <w:lang w:val="en-US" w:eastAsia="zh-CN"/>
              </w:rPr>
              <w:t>000.00元</w:t>
            </w:r>
          </w:p>
          <w:p w14:paraId="2F25685D">
            <w:pPr>
              <w:pStyle w:val="27"/>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1"/>
                <w:szCs w:val="21"/>
                <w:highlight w:val="none"/>
                <w:lang w:val="en-US" w:eastAsia="zh-CN"/>
              </w:rPr>
              <w:t>八标段</w:t>
            </w:r>
            <w:r>
              <w:rPr>
                <w:rFonts w:hint="eastAsia" w:ascii="宋体" w:hAnsi="宋体" w:eastAsia="宋体" w:cs="宋体"/>
                <w:b w:val="0"/>
                <w:bCs/>
                <w:color w:val="auto"/>
                <w:sz w:val="21"/>
                <w:szCs w:val="21"/>
                <w:highlight w:val="none"/>
                <w:lang w:val="en-US" w:eastAsia="zh-CN"/>
              </w:rPr>
              <w:t>招标控制价：</w:t>
            </w:r>
            <w:r>
              <w:rPr>
                <w:rFonts w:hint="eastAsia" w:ascii="宋体" w:hAnsi="宋体" w:eastAsia="宋体" w:cs="宋体"/>
                <w:b/>
                <w:bCs w:val="0"/>
                <w:color w:val="auto"/>
                <w:sz w:val="21"/>
                <w:szCs w:val="21"/>
                <w:highlight w:val="none"/>
                <w:lang w:val="en-US" w:eastAsia="zh-CN"/>
              </w:rPr>
              <w:t>大写：人民币</w:t>
            </w:r>
            <w:r>
              <w:rPr>
                <w:rFonts w:hint="eastAsia" w:ascii="宋体" w:hAnsi="宋体" w:cs="宋体"/>
                <w:b/>
                <w:bCs w:val="0"/>
                <w:color w:val="auto"/>
                <w:sz w:val="21"/>
                <w:szCs w:val="21"/>
                <w:highlight w:val="none"/>
                <w:lang w:val="en-US" w:eastAsia="zh-CN"/>
              </w:rPr>
              <w:t>叁拾柒万贰仟元整</w:t>
            </w:r>
          </w:p>
          <w:p w14:paraId="2F469EE3">
            <w:pPr>
              <w:pStyle w:val="27"/>
              <w:spacing w:line="360" w:lineRule="auto"/>
              <w:ind w:firstLine="1897" w:firstLineChars="9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小写：¥</w:t>
            </w:r>
            <w:r>
              <w:rPr>
                <w:rFonts w:hint="eastAsia" w:ascii="宋体" w:hAnsi="宋体" w:cs="宋体"/>
                <w:b/>
                <w:bCs w:val="0"/>
                <w:color w:val="auto"/>
                <w:sz w:val="21"/>
                <w:szCs w:val="21"/>
                <w:highlight w:val="none"/>
                <w:lang w:val="en-US" w:eastAsia="zh-CN"/>
              </w:rPr>
              <w:t>372000</w:t>
            </w:r>
            <w:r>
              <w:rPr>
                <w:rFonts w:hint="eastAsia" w:ascii="宋体" w:hAnsi="宋体" w:eastAsia="宋体" w:cs="宋体"/>
                <w:b/>
                <w:bCs w:val="0"/>
                <w:color w:val="auto"/>
                <w:sz w:val="21"/>
                <w:szCs w:val="21"/>
                <w:highlight w:val="none"/>
                <w:lang w:val="en-US" w:eastAsia="zh-CN"/>
              </w:rPr>
              <w:t>.00元</w:t>
            </w:r>
          </w:p>
          <w:p w14:paraId="4C6C5FB3">
            <w:pPr>
              <w:pStyle w:val="27"/>
              <w:spacing w:line="360" w:lineRule="auto"/>
              <w:rPr>
                <w:rFonts w:hint="eastAsia" w:ascii="宋体" w:hAnsi="宋体" w:eastAsia="宋体" w:cs="宋体"/>
                <w:b/>
                <w:color w:val="auto"/>
                <w:sz w:val="21"/>
                <w:szCs w:val="21"/>
                <w:highlight w:val="none"/>
                <w:lang w:eastAsia="zh-CN"/>
              </w:rPr>
            </w:pP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的投标报价不得高于</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提供的招标控制价，高于招标控制价者视为无效标，按废标处理</w:t>
            </w:r>
            <w:r>
              <w:rPr>
                <w:rFonts w:hint="eastAsia" w:ascii="宋体" w:hAnsi="宋体" w:eastAsia="宋体" w:cs="宋体"/>
                <w:b w:val="0"/>
                <w:bCs/>
                <w:color w:val="auto"/>
                <w:sz w:val="21"/>
                <w:szCs w:val="21"/>
                <w:highlight w:val="none"/>
                <w:lang w:eastAsia="zh-CN"/>
              </w:rPr>
              <w:t>。</w:t>
            </w:r>
          </w:p>
        </w:tc>
      </w:tr>
      <w:tr w14:paraId="6A91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4525040B">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c>
          <w:tcPr>
            <w:tcW w:w="2573" w:type="dxa"/>
            <w:vAlign w:val="center"/>
          </w:tcPr>
          <w:p w14:paraId="63AF4D86">
            <w:pPr>
              <w:pStyle w:val="27"/>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代理服务费</w:t>
            </w:r>
          </w:p>
        </w:tc>
        <w:tc>
          <w:tcPr>
            <w:tcW w:w="5787" w:type="dxa"/>
            <w:vAlign w:val="center"/>
          </w:tcPr>
          <w:p w14:paraId="210F374C">
            <w:pPr>
              <w:pStyle w:val="27"/>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代理费用收取方式及标准：本次招标代理服务费参考《河南省招标代理服务收费指导意见》【豫招协（2023）002号】由中标单位支付。</w:t>
            </w:r>
          </w:p>
        </w:tc>
      </w:tr>
      <w:tr w14:paraId="0F6E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0D5D25BF">
            <w:pPr>
              <w:pStyle w:val="27"/>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w:t>
            </w:r>
          </w:p>
        </w:tc>
        <w:tc>
          <w:tcPr>
            <w:tcW w:w="2573" w:type="dxa"/>
            <w:vAlign w:val="center"/>
          </w:tcPr>
          <w:p w14:paraId="21C34A20">
            <w:pPr>
              <w:pStyle w:val="27"/>
              <w:spacing w:line="36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中小企业有关政策：</w:t>
            </w:r>
          </w:p>
        </w:tc>
        <w:tc>
          <w:tcPr>
            <w:tcW w:w="5787" w:type="dxa"/>
            <w:vAlign w:val="center"/>
          </w:tcPr>
          <w:p w14:paraId="424220A7">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根据财政部工业和信息化部《政府采购促进中小企业发展管理办法》（财库〔2020〕46号）的规定，供应商须提供《中小企业声明函》，否则投标将不被接受。</w:t>
            </w:r>
          </w:p>
          <w:p w14:paraId="1834FF7D">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中小企业划型标准详见</w:t>
            </w:r>
            <w:r>
              <w:rPr>
                <w:rFonts w:hint="eastAsia" w:ascii="宋体" w:hAnsi="宋体" w:eastAsia="宋体" w:cs="宋体"/>
                <w:color w:val="auto"/>
                <w:sz w:val="21"/>
                <w:szCs w:val="21"/>
                <w:highlight w:val="none"/>
                <w:lang w:val="zh-CN"/>
              </w:rPr>
              <w:t>中小企业划型标准规定（工信部联企业[2011]300号）和国家统计局关于印发《统计上大中小微型企业划分办法（2017）》的通知。</w:t>
            </w:r>
          </w:p>
          <w:p w14:paraId="0E41CF76">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2、根据财政部司法部《关于政府采购支持监狱企业发展有关问题的通知》（财库〔2014〕68号）规定，监狱企业视同小型、微型企业，享受政府采购促进中小企业发展的政府采购政策。</w:t>
            </w:r>
          </w:p>
          <w:p w14:paraId="30D7366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3、根据财政部民政部中国残疾人联合会《关于促进残疾人就业政府采购政策的通知》（财库〔2017〕141号）规定，残疾人福利性单位视同小型、微型企业，享受政府采购促进中小企业发展的政府采购政策。</w:t>
            </w:r>
          </w:p>
          <w:p w14:paraId="5956FEFA">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4、本项目所属行业：</w:t>
            </w:r>
            <w:r>
              <w:rPr>
                <w:rFonts w:hint="eastAsia" w:ascii="宋体" w:hAnsi="宋体" w:eastAsia="宋体" w:cs="宋体"/>
                <w:b/>
                <w:bCs/>
                <w:color w:val="auto"/>
                <w:sz w:val="21"/>
                <w:szCs w:val="21"/>
                <w:highlight w:val="none"/>
              </w:rPr>
              <w:t>农、林、牧、渔业。</w:t>
            </w:r>
          </w:p>
        </w:tc>
      </w:tr>
      <w:tr w14:paraId="052D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3AE66A9">
            <w:pPr>
              <w:pStyle w:val="27"/>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11.4</w:t>
            </w:r>
          </w:p>
        </w:tc>
        <w:tc>
          <w:tcPr>
            <w:tcW w:w="2573" w:type="dxa"/>
            <w:vAlign w:val="center"/>
          </w:tcPr>
          <w:p w14:paraId="5EE09A80">
            <w:pPr>
              <w:pStyle w:val="27"/>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荥阳市政府采购合同融资政策告知函</w:t>
            </w:r>
          </w:p>
        </w:tc>
        <w:tc>
          <w:tcPr>
            <w:tcW w:w="5787" w:type="dxa"/>
            <w:vAlign w:val="center"/>
          </w:tcPr>
          <w:p w14:paraId="18C5DF5F">
            <w:pPr>
              <w:pStyle w:val="27"/>
              <w:spacing w:line="360" w:lineRule="auto"/>
              <w:jc w:val="center"/>
              <w:rPr>
                <w:rFonts w:hint="eastAsia" w:ascii="宋体" w:hAnsi="宋体" w:eastAsia="宋体" w:cs="宋体"/>
                <w:color w:val="auto"/>
                <w:sz w:val="21"/>
                <w:szCs w:val="21"/>
                <w:highlight w:val="none"/>
                <w:lang w:val="en-US" w:eastAsia="zh-CN"/>
              </w:rPr>
            </w:pPr>
            <w:bookmarkStart w:id="16" w:name="_Toc5219"/>
            <w:bookmarkStart w:id="17" w:name="_Toc12258"/>
            <w:bookmarkStart w:id="18" w:name="_Toc7779"/>
            <w:bookmarkStart w:id="19" w:name="_Toc21936"/>
            <w:bookmarkStart w:id="20" w:name="_Toc27878"/>
            <w:r>
              <w:rPr>
                <w:rFonts w:hint="eastAsia" w:ascii="宋体" w:hAnsi="宋体" w:eastAsia="宋体" w:cs="宋体"/>
                <w:color w:val="auto"/>
                <w:sz w:val="21"/>
                <w:szCs w:val="21"/>
                <w:highlight w:val="none"/>
                <w:lang w:val="en-US" w:eastAsia="zh-CN"/>
              </w:rPr>
              <w:t>荥阳市政府采购合同融资政策告知函</w:t>
            </w:r>
            <w:bookmarkEnd w:id="16"/>
            <w:bookmarkEnd w:id="17"/>
            <w:bookmarkEnd w:id="18"/>
            <w:bookmarkEnd w:id="19"/>
            <w:bookmarkEnd w:id="20"/>
          </w:p>
          <w:p w14:paraId="7193E1F7">
            <w:pPr>
              <w:pStyle w:val="27"/>
              <w:spacing w:line="360" w:lineRule="auto"/>
              <w:rPr>
                <w:rFonts w:hint="eastAsia" w:ascii="宋体" w:hAnsi="宋体" w:eastAsia="宋体" w:cs="宋体"/>
                <w:color w:val="auto"/>
                <w:sz w:val="21"/>
                <w:szCs w:val="21"/>
                <w:highlight w:val="none"/>
              </w:rPr>
            </w:pPr>
            <w:bookmarkStart w:id="21" w:name="_Toc13396"/>
            <w:bookmarkStart w:id="22" w:name="_Toc19919"/>
            <w:bookmarkStart w:id="23" w:name="_Toc8399"/>
            <w:bookmarkStart w:id="24" w:name="_Toc15873"/>
            <w:bookmarkStart w:id="25" w:name="_Toc11484"/>
            <w:r>
              <w:rPr>
                <w:rFonts w:hint="eastAsia" w:ascii="宋体" w:hAnsi="宋体" w:eastAsia="宋体" w:cs="宋体"/>
                <w:color w:val="auto"/>
                <w:sz w:val="21"/>
                <w:szCs w:val="21"/>
                <w:highlight w:val="none"/>
                <w:lang w:val="en-US" w:eastAsia="zh-CN"/>
              </w:rPr>
              <w:t>各供应商：</w:t>
            </w:r>
            <w:bookmarkEnd w:id="21"/>
            <w:bookmarkEnd w:id="22"/>
            <w:bookmarkEnd w:id="23"/>
            <w:bookmarkEnd w:id="24"/>
            <w:bookmarkEnd w:id="25"/>
          </w:p>
          <w:p w14:paraId="329FBD57">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欢迎贵公司参与荥阳市政府采购活动！</w:t>
            </w:r>
          </w:p>
          <w:p w14:paraId="2C177907">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270A2B64">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贷款渠道和提供贷款的金融机构，可在荥阳市政府采购网“荥阳市政府采购合同融资入口”或工作动态栏查询联系。</w:t>
            </w:r>
          </w:p>
        </w:tc>
      </w:tr>
      <w:tr w14:paraId="46C8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19F21555">
            <w:pPr>
              <w:pStyle w:val="27"/>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p>
        </w:tc>
        <w:tc>
          <w:tcPr>
            <w:tcW w:w="2573" w:type="dxa"/>
            <w:vAlign w:val="center"/>
          </w:tcPr>
          <w:p w14:paraId="1A5C551E">
            <w:pPr>
              <w:pStyle w:val="27"/>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5787" w:type="dxa"/>
            <w:vAlign w:val="center"/>
          </w:tcPr>
          <w:p w14:paraId="64233A90">
            <w:pPr>
              <w:pStyle w:val="27"/>
              <w:spacing w:line="360" w:lineRule="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9E5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2F0267FA">
            <w:pPr>
              <w:pStyle w:val="2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6</w:t>
            </w:r>
          </w:p>
        </w:tc>
        <w:tc>
          <w:tcPr>
            <w:tcW w:w="2573" w:type="dxa"/>
            <w:vAlign w:val="center"/>
          </w:tcPr>
          <w:p w14:paraId="4CF87EF2">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其它未尽事宜</w:t>
            </w:r>
          </w:p>
        </w:tc>
        <w:tc>
          <w:tcPr>
            <w:tcW w:w="5787" w:type="dxa"/>
            <w:vAlign w:val="center"/>
          </w:tcPr>
          <w:p w14:paraId="1170A799">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按国家有关法律、法规执行。</w:t>
            </w:r>
          </w:p>
        </w:tc>
      </w:tr>
      <w:tr w14:paraId="41A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0" w:type="dxa"/>
            <w:gridSpan w:val="3"/>
            <w:vAlign w:val="center"/>
          </w:tcPr>
          <w:p w14:paraId="2659AF5C">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备注：运用计算机硬件特征码识别技术、标书编制系统证书识别技术、标书制作系统与计价软件特征码关联识别技术，发现</w:t>
            </w:r>
            <w:r>
              <w:rPr>
                <w:rFonts w:hint="eastAsia" w:ascii="宋体" w:hAnsi="宋体" w:cs="宋体"/>
                <w:color w:val="auto"/>
                <w:sz w:val="21"/>
                <w:szCs w:val="21"/>
                <w:highlight w:val="none"/>
                <w:vertAlign w:val="baseline"/>
                <w:lang w:val="en-US" w:eastAsia="zh-CN"/>
              </w:rPr>
              <w:t>供应商</w:t>
            </w:r>
            <w:r>
              <w:rPr>
                <w:rFonts w:hint="eastAsia" w:ascii="宋体" w:hAnsi="宋体" w:eastAsia="宋体" w:cs="宋体"/>
                <w:color w:val="auto"/>
                <w:sz w:val="21"/>
                <w:szCs w:val="21"/>
                <w:highlight w:val="none"/>
                <w:vertAlign w:val="baseline"/>
                <w:lang w:val="en-US" w:eastAsia="zh-CN"/>
              </w:rPr>
              <w:t>的投标文件出自同一台计算机的；通过电子评标系统雷同性分析技术，发现</w:t>
            </w:r>
            <w:r>
              <w:rPr>
                <w:rFonts w:hint="eastAsia" w:ascii="宋体" w:hAnsi="宋体" w:cs="宋体"/>
                <w:color w:val="auto"/>
                <w:sz w:val="21"/>
                <w:szCs w:val="21"/>
                <w:highlight w:val="none"/>
                <w:vertAlign w:val="baseline"/>
                <w:lang w:val="en-US" w:eastAsia="zh-CN"/>
              </w:rPr>
              <w:t>供应商</w:t>
            </w:r>
            <w:r>
              <w:rPr>
                <w:rFonts w:hint="eastAsia" w:ascii="宋体" w:hAnsi="宋体" w:eastAsia="宋体" w:cs="宋体"/>
                <w:color w:val="auto"/>
                <w:sz w:val="21"/>
                <w:szCs w:val="21"/>
                <w:highlight w:val="none"/>
                <w:vertAlign w:val="baseline"/>
                <w:lang w:val="en-US" w:eastAsia="zh-CN"/>
              </w:rPr>
              <w:t>的投标文件相互之间存在非正常雷同现象的；投标单位用相同IP地址上传投标文件的予以废标。</w:t>
            </w:r>
          </w:p>
          <w:p w14:paraId="76D45236">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不同</w:t>
            </w:r>
            <w:r>
              <w:rPr>
                <w:rFonts w:hint="eastAsia" w:ascii="宋体" w:hAnsi="宋体" w:cs="宋体"/>
                <w:color w:val="auto"/>
                <w:sz w:val="21"/>
                <w:szCs w:val="21"/>
                <w:highlight w:val="none"/>
                <w:vertAlign w:val="baseline"/>
                <w:lang w:val="en-US" w:eastAsia="zh-CN"/>
              </w:rPr>
              <w:t>供应商</w:t>
            </w:r>
            <w:r>
              <w:rPr>
                <w:rFonts w:hint="eastAsia" w:ascii="宋体" w:hAnsi="宋体" w:eastAsia="宋体" w:cs="宋体"/>
                <w:color w:val="auto"/>
                <w:sz w:val="21"/>
                <w:szCs w:val="21"/>
                <w:highlight w:val="none"/>
                <w:vertAlign w:val="baseline"/>
                <w:lang w:val="en-US" w:eastAsia="zh-CN"/>
              </w:rPr>
              <w:t>的电子投标文件制作机器码一致作废标处理。</w:t>
            </w:r>
          </w:p>
        </w:tc>
      </w:tr>
    </w:tbl>
    <w:p w14:paraId="2D64A3D6">
      <w:pPr>
        <w:pStyle w:val="9"/>
        <w:rPr>
          <w:rFonts w:hint="eastAsia" w:ascii="宋体" w:hAnsi="宋体" w:eastAsia="宋体" w:cs="宋体"/>
          <w:color w:val="auto"/>
          <w:highlight w:val="none"/>
        </w:rPr>
        <w:sectPr>
          <w:footerReference r:id="rId3" w:type="default"/>
          <w:pgSz w:w="11906" w:h="16838"/>
          <w:pgMar w:top="1304" w:right="1588" w:bottom="1304" w:left="1588" w:header="851" w:footer="992" w:gutter="0"/>
          <w:pgNumType w:fmt="decimal" w:start="1"/>
          <w:cols w:space="425" w:num="1"/>
          <w:docGrid w:type="lines" w:linePitch="312" w:charSpace="0"/>
        </w:sectPr>
      </w:pPr>
    </w:p>
    <w:p w14:paraId="052EF68C">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1．总则</w:t>
      </w:r>
    </w:p>
    <w:p w14:paraId="5F1AF73E">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1.1项目概况</w:t>
      </w:r>
    </w:p>
    <w:p w14:paraId="4E83419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1.1.1参照《中华人民共和国政府采购法》等有关法律、法规和规章的规定，本招标项目</w:t>
      </w:r>
      <w:r>
        <w:rPr>
          <w:rFonts w:hint="eastAsia" w:ascii="宋体" w:hAnsi="宋体" w:cs="宋体"/>
          <w:color w:val="auto"/>
          <w:kern w:val="2"/>
          <w:sz w:val="21"/>
          <w:szCs w:val="21"/>
          <w:highlight w:val="none"/>
          <w:lang w:val="en-US" w:eastAsia="zh-CN" w:bidi="ar-SA"/>
        </w:rPr>
        <w:t>已</w:t>
      </w:r>
      <w:r>
        <w:rPr>
          <w:rFonts w:hint="eastAsia" w:ascii="宋体" w:hAnsi="宋体" w:eastAsia="宋体" w:cs="宋体"/>
          <w:color w:val="auto"/>
          <w:kern w:val="2"/>
          <w:sz w:val="21"/>
          <w:szCs w:val="21"/>
          <w:highlight w:val="none"/>
          <w:lang w:val="en-US" w:eastAsia="zh-CN" w:bidi="ar-SA"/>
        </w:rPr>
        <w:t>具备招标条件，现对本项目进行招标。</w:t>
      </w:r>
    </w:p>
    <w:p w14:paraId="52E8F36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1.1.2本招标项目采购人：见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71F1B33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1.1.3本招标项目采购代理机构：见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7F002B0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1.1.4本招标项目名称：见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7C47E97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1.1.5本招标项目编号：见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77B8669E">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1.1.6本招标项目属性：见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476100AF">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1.2资金来源和落实情况</w:t>
      </w:r>
    </w:p>
    <w:p w14:paraId="21086D7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1.2.1本招标项目资金来源：见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609E39B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1.2.2本招标项目出资比例：见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5FA5511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1.2.3本招标项目资金落实情况：见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63B8BBEA">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1.3采购内容、服务期限、服务地点和质量要求</w:t>
      </w:r>
    </w:p>
    <w:p w14:paraId="045A0FD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1.3.1本招标项目采购内容：见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051C5A9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1.3.2本招标项目服务期限：见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0F7236F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1.3.3本招标项目服务地点：见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0FCE46E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1.3.4本招标项目</w:t>
      </w:r>
      <w:r>
        <w:rPr>
          <w:rFonts w:hint="eastAsia" w:ascii="宋体" w:hAnsi="宋体" w:cs="宋体"/>
          <w:color w:val="auto"/>
          <w:kern w:val="2"/>
          <w:sz w:val="21"/>
          <w:szCs w:val="21"/>
          <w:highlight w:val="none"/>
          <w:lang w:val="en-US" w:eastAsia="zh-CN" w:bidi="ar-SA"/>
        </w:rPr>
        <w:t>服务质量</w:t>
      </w:r>
      <w:r>
        <w:rPr>
          <w:rFonts w:hint="eastAsia" w:ascii="宋体" w:hAnsi="宋体" w:eastAsia="宋体" w:cs="宋体"/>
          <w:color w:val="auto"/>
          <w:kern w:val="2"/>
          <w:sz w:val="21"/>
          <w:szCs w:val="21"/>
          <w:highlight w:val="none"/>
          <w:lang w:val="en-US" w:eastAsia="zh-CN" w:bidi="ar-SA"/>
        </w:rPr>
        <w:t>：见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2AD48AC4">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1.4</w:t>
      </w:r>
      <w:r>
        <w:rPr>
          <w:rFonts w:hint="eastAsia" w:ascii="宋体" w:hAnsi="宋体" w:cs="宋体"/>
          <w:b/>
          <w:color w:val="auto"/>
          <w:kern w:val="2"/>
          <w:sz w:val="21"/>
          <w:szCs w:val="21"/>
          <w:highlight w:val="none"/>
          <w:lang w:val="en-US" w:eastAsia="zh-CN" w:bidi="ar-SA"/>
        </w:rPr>
        <w:t>供应商</w:t>
      </w:r>
      <w:r>
        <w:rPr>
          <w:rFonts w:hint="eastAsia" w:ascii="宋体" w:hAnsi="宋体" w:eastAsia="宋体" w:cs="宋体"/>
          <w:b/>
          <w:color w:val="auto"/>
          <w:kern w:val="2"/>
          <w:sz w:val="21"/>
          <w:szCs w:val="21"/>
          <w:highlight w:val="none"/>
          <w:lang w:val="en-US" w:eastAsia="zh-CN" w:bidi="ar-SA"/>
        </w:rPr>
        <w:t>资格要求</w:t>
      </w:r>
    </w:p>
    <w:p w14:paraId="0C7EDAC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应具备承担本项目的资格条件：见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552502E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1.4.2本项目不接受联合体投标。</w:t>
      </w:r>
    </w:p>
    <w:p w14:paraId="060781A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1.4.3</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不得存在下列情形之一：</w:t>
      </w:r>
    </w:p>
    <w:p w14:paraId="754E109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（1）为采购人不具有独立法人资格的附属机构（单位）；</w:t>
      </w:r>
    </w:p>
    <w:p w14:paraId="7763F1F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（2）为本项目提供采购代理服务的；</w:t>
      </w:r>
    </w:p>
    <w:p w14:paraId="75EF074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（3）与本项目的采购代理机构同为一个法定代表人的；</w:t>
      </w:r>
    </w:p>
    <w:p w14:paraId="64B0325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（4）与本项目的采购代理机构相互控股或参股的；</w:t>
      </w:r>
    </w:p>
    <w:p w14:paraId="1BEBB0A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26" w:name="page16"/>
      <w:bookmarkEnd w:id="26"/>
      <w:r>
        <w:rPr>
          <w:rFonts w:hint="eastAsia" w:ascii="宋体" w:hAnsi="宋体" w:eastAsia="宋体" w:cs="宋体"/>
          <w:color w:val="auto"/>
          <w:kern w:val="2"/>
          <w:sz w:val="21"/>
          <w:szCs w:val="21"/>
          <w:highlight w:val="none"/>
          <w:lang w:val="en-US" w:eastAsia="zh-CN" w:bidi="ar-SA"/>
        </w:rPr>
        <w:t>（5）与本项目的采购代理机构相互任职或工作的；</w:t>
      </w:r>
    </w:p>
    <w:p w14:paraId="79B6A24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（6）被责令停业的；</w:t>
      </w:r>
    </w:p>
    <w:p w14:paraId="51A6D78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（7）被暂停或取消投标资格的；</w:t>
      </w:r>
    </w:p>
    <w:p w14:paraId="0427F7A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（8）财产被接管或冻结的；</w:t>
      </w:r>
    </w:p>
    <w:p w14:paraId="2634115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（9）在最近三年内有骗取中标或严重违约或重大质量问题的。</w:t>
      </w:r>
    </w:p>
    <w:p w14:paraId="114CF4D6">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1.5费用承担</w:t>
      </w:r>
    </w:p>
    <w:p w14:paraId="095D0E2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准备和参加投标活动发生的费用自理。</w:t>
      </w:r>
    </w:p>
    <w:p w14:paraId="5041436E">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1.6保密</w:t>
      </w:r>
    </w:p>
    <w:p w14:paraId="688F350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参与招标投标活动的各方应对招标文件和投标文件中的商业和技术等秘密保密，违者应对由此造成的后果承担法律责任。</w:t>
      </w:r>
    </w:p>
    <w:p w14:paraId="5C62D132">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1.7语言文字</w:t>
      </w:r>
    </w:p>
    <w:p w14:paraId="0331FB9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除专用术语外，与招标投标有关的语言均使用中文。必要时专用术语应附有中文注释。</w:t>
      </w:r>
    </w:p>
    <w:p w14:paraId="18C730A7">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1.8计量单位</w:t>
      </w:r>
    </w:p>
    <w:p w14:paraId="6505828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所有计量均采用中华人民共和国法定计量单位。</w:t>
      </w:r>
    </w:p>
    <w:p w14:paraId="1BA189CA">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1.9踏勘现场</w:t>
      </w:r>
    </w:p>
    <w:p w14:paraId="111D040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须知前附表规定组织踏勘现场的，采购人按</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须知前附表规定的时间、地点组织</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踏勘项目现场。</w:t>
      </w:r>
    </w:p>
    <w:p w14:paraId="3AEFF75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1.9.2</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踏勘现场发生的费用自理。</w:t>
      </w:r>
    </w:p>
    <w:p w14:paraId="3E9CCF3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1.9.3除采购人的原因外，</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自行负责在踏勘现场中所发生的人员伤亡和财产损失。</w:t>
      </w:r>
    </w:p>
    <w:p w14:paraId="1A48964E">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1.9.4采购人在踏勘现场中介绍的项目场地和相关的周边环境情况，供</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在编制投标文件时参考，采购人不对</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据此作出的判断和决策负责。</w:t>
      </w:r>
    </w:p>
    <w:p w14:paraId="61C4FB68">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1.10投标预备会</w:t>
      </w:r>
    </w:p>
    <w:p w14:paraId="1AB5629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须知前附表规定召开投标预备会的，采购人按</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须知前附表规定的时间和地点召开投标预备会，澄清</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提出的问题。</w:t>
      </w:r>
    </w:p>
    <w:p w14:paraId="3C656F7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1.10.2</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应按</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须知前附表规定的时间和形式将提出的问题送达采购人。</w:t>
      </w:r>
    </w:p>
    <w:p w14:paraId="375DED79">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1.11分包</w:t>
      </w:r>
    </w:p>
    <w:p w14:paraId="48A7959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不允许。</w:t>
      </w:r>
    </w:p>
    <w:p w14:paraId="42220A36">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1.12偏离</w:t>
      </w:r>
    </w:p>
    <w:p w14:paraId="56687EC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须知前附表允许投标文件偏离招标文件某些要求的，偏离应当符合招标文件规定的偏离范围和幅度。</w:t>
      </w:r>
    </w:p>
    <w:p w14:paraId="43583BCB">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2．招标文件</w:t>
      </w:r>
    </w:p>
    <w:p w14:paraId="2CEAC4FA">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2.招标文件的组成</w:t>
      </w:r>
    </w:p>
    <w:p w14:paraId="7C749B1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本招标文件包括：</w:t>
      </w:r>
    </w:p>
    <w:p w14:paraId="1B4C8C3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（1）招标公告</w:t>
      </w:r>
    </w:p>
    <w:p w14:paraId="3257FC9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须知；</w:t>
      </w:r>
    </w:p>
    <w:p w14:paraId="722516D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（3）评标办法；</w:t>
      </w:r>
    </w:p>
    <w:p w14:paraId="2E77FEF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（4）合同条款及格式；</w:t>
      </w:r>
    </w:p>
    <w:p w14:paraId="08B9D1D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（5）服务需求；</w:t>
      </w:r>
    </w:p>
    <w:p w14:paraId="3C2B480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（6）投标文件格式。</w:t>
      </w:r>
    </w:p>
    <w:p w14:paraId="7869317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根据本章第1.10款、第2.2款和第2.3款对招标文件所作的澄清、修改，构成招标文件的组成部分。</w:t>
      </w:r>
    </w:p>
    <w:p w14:paraId="719EDC1D">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2.2招标文件的澄清</w:t>
      </w:r>
    </w:p>
    <w:p w14:paraId="4655A747">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2.2.1</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应仔细阅读和检查招标文件的全部内容。如发现缺页或附件不全，应及时向采购人提出，以便补齐。如有疑问，应在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须知前附表规定的时间前在交易平台上进行提问，要求采购人对招标文件予以澄清。</w:t>
      </w:r>
    </w:p>
    <w:p w14:paraId="6DCCA03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2.2.2招标文件的澄清将在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须知前附表规定的投标截止时间15天前在交易平台上发给所有下载招标文件的</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，但不指明澄清问题的来源。</w:t>
      </w:r>
    </w:p>
    <w:p w14:paraId="2B028D8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在收到澄清后，应在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须知前附表规定的时间内在交易平台上回复确认已收到该澄清。</w:t>
      </w:r>
    </w:p>
    <w:p w14:paraId="62CA5807">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2.3招标文件的修改</w:t>
      </w:r>
    </w:p>
    <w:p w14:paraId="06DF8BB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2.3.1在投标截止时间15天前，</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有权对发出的招标文件进行必要的澄清或修改。并将澄清或修改的内容上传至“荥阳电子招投标交易平台”，</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凭企业身份认证锁（CA</w:t>
      </w:r>
      <w:r>
        <w:rPr>
          <w:rFonts w:hint="eastAsia" w:ascii="宋体" w:hAnsi="宋体" w:cs="宋体"/>
          <w:color w:val="auto"/>
          <w:kern w:val="2"/>
          <w:sz w:val="21"/>
          <w:szCs w:val="21"/>
          <w:highlight w:val="none"/>
          <w:lang w:val="en-US" w:eastAsia="zh-CN" w:bidi="ar-SA"/>
        </w:rPr>
        <w:t>密</w:t>
      </w:r>
      <w:r>
        <w:rPr>
          <w:rFonts w:hint="eastAsia" w:ascii="宋体" w:hAnsi="宋体" w:eastAsia="宋体" w:cs="宋体"/>
          <w:color w:val="auto"/>
          <w:kern w:val="2"/>
          <w:sz w:val="21"/>
          <w:szCs w:val="21"/>
          <w:highlight w:val="none"/>
          <w:lang w:val="en-US" w:eastAsia="zh-CN" w:bidi="ar-SA"/>
        </w:rPr>
        <w:t>钥）进行网上下载，该澄清或修改的内容为招标文件的组成部分。如果修改招标文件的时间距投标截止时间不足15天，相应延长投标截止时间。</w:t>
      </w:r>
    </w:p>
    <w:p w14:paraId="6ACB18F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收到修改内容后，应在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须知前附表规定的时间及形式通知</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，确认已收到该修改。</w:t>
      </w:r>
    </w:p>
    <w:p w14:paraId="468D946B">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3．投标文件</w:t>
      </w:r>
    </w:p>
    <w:p w14:paraId="784F12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3.1投标文件的组成</w:t>
      </w:r>
    </w:p>
    <w:p w14:paraId="68CACC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3.1.1投标文件应包括下列内容：</w:t>
      </w:r>
    </w:p>
    <w:p w14:paraId="35C4FF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_Toc12923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（1）投标函及投标函附录</w:t>
      </w:r>
      <w:r>
        <w:rPr>
          <w:rFonts w:hint="eastAsia" w:ascii="宋体" w:hAnsi="宋体" w:eastAsia="宋体" w:cs="宋体"/>
          <w:color w:val="auto"/>
          <w:kern w:val="2"/>
          <w:sz w:val="21"/>
          <w:szCs w:val="21"/>
          <w:highlight w:val="none"/>
          <w:lang w:val="en-US" w:eastAsia="zh-CN" w:bidi="ar-SA"/>
        </w:rPr>
        <w:fldChar w:fldCharType="end"/>
      </w:r>
    </w:p>
    <w:p w14:paraId="2F5061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_Toc29886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kern w:val="2"/>
          <w:sz w:val="21"/>
          <w:szCs w:val="21"/>
          <w:highlight w:val="none"/>
          <w:lang w:val="en-US" w:eastAsia="zh-CN" w:bidi="ar-SA"/>
        </w:rPr>
        <w:fldChar w:fldCharType="end"/>
      </w:r>
    </w:p>
    <w:p w14:paraId="74BF89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_Toc9347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（3）授权委托书</w:t>
      </w:r>
      <w:r>
        <w:rPr>
          <w:rFonts w:hint="eastAsia" w:ascii="宋体" w:hAnsi="宋体" w:eastAsia="宋体" w:cs="宋体"/>
          <w:color w:val="auto"/>
          <w:kern w:val="2"/>
          <w:sz w:val="21"/>
          <w:szCs w:val="21"/>
          <w:highlight w:val="none"/>
          <w:lang w:val="en-US" w:eastAsia="zh-CN" w:bidi="ar-SA"/>
        </w:rPr>
        <w:fldChar w:fldCharType="end"/>
      </w:r>
    </w:p>
    <w:p w14:paraId="137F47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_Toc8420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（4）资格审查资料</w:t>
      </w:r>
      <w:r>
        <w:rPr>
          <w:rFonts w:hint="eastAsia" w:ascii="宋体" w:hAnsi="宋体" w:eastAsia="宋体" w:cs="宋体"/>
          <w:color w:val="auto"/>
          <w:kern w:val="2"/>
          <w:sz w:val="21"/>
          <w:szCs w:val="21"/>
          <w:highlight w:val="none"/>
          <w:lang w:val="en-US" w:eastAsia="zh-CN" w:bidi="ar-SA"/>
        </w:rPr>
        <w:fldChar w:fldCharType="end"/>
      </w:r>
    </w:p>
    <w:p w14:paraId="7EA917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_Toc7402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（5）服务方案</w:t>
      </w:r>
      <w:r>
        <w:rPr>
          <w:rFonts w:hint="eastAsia" w:ascii="宋体" w:hAnsi="宋体" w:eastAsia="宋体" w:cs="宋体"/>
          <w:color w:val="auto"/>
          <w:kern w:val="2"/>
          <w:sz w:val="21"/>
          <w:szCs w:val="21"/>
          <w:highlight w:val="none"/>
          <w:lang w:val="en-US" w:eastAsia="zh-CN" w:bidi="ar-SA"/>
        </w:rPr>
        <w:fldChar w:fldCharType="end"/>
      </w:r>
    </w:p>
    <w:p w14:paraId="0ACBC6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_Toc17265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（6）服务业绩</w:t>
      </w:r>
      <w:r>
        <w:rPr>
          <w:rFonts w:hint="eastAsia" w:ascii="宋体" w:hAnsi="宋体" w:eastAsia="宋体" w:cs="宋体"/>
          <w:color w:val="auto"/>
          <w:kern w:val="2"/>
          <w:sz w:val="21"/>
          <w:szCs w:val="21"/>
          <w:highlight w:val="none"/>
          <w:lang w:val="en-US" w:eastAsia="zh-CN" w:bidi="ar-SA"/>
        </w:rPr>
        <w:fldChar w:fldCharType="end"/>
      </w:r>
    </w:p>
    <w:p w14:paraId="5BD3D3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_Toc5128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认为有必要的其他资料</w:t>
      </w:r>
      <w:r>
        <w:rPr>
          <w:rFonts w:hint="eastAsia" w:ascii="宋体" w:hAnsi="宋体" w:eastAsia="宋体" w:cs="宋体"/>
          <w:color w:val="auto"/>
          <w:kern w:val="2"/>
          <w:sz w:val="21"/>
          <w:szCs w:val="21"/>
          <w:highlight w:val="none"/>
          <w:lang w:val="en-US" w:eastAsia="zh-CN" w:bidi="ar-SA"/>
        </w:rPr>
        <w:fldChar w:fldCharType="end"/>
      </w:r>
    </w:p>
    <w:p w14:paraId="4F0DFE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_Toc16312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（8）享受政府采购政策扶持的证明材料</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fldChar w:fldCharType="end"/>
      </w:r>
    </w:p>
    <w:p w14:paraId="0BB11C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在评标过程中作出的符合法律法规和招标文件规定的澄清确认，构成投标文件的组成部分。</w:t>
      </w:r>
    </w:p>
    <w:p w14:paraId="3A50A1B9">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3.2投标报价</w:t>
      </w:r>
    </w:p>
    <w:p w14:paraId="71B34787">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的投标报价应综合考虑完成本项目全部采购内容进行报价，采购人额外不再支付任何费用，</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不得以任何理由要求采购人增加合同价款。</w:t>
      </w:r>
    </w:p>
    <w:p w14:paraId="3DAFE62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的报价应根据招标要求由</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结合市场行情、本项目实际情况和自身实力，自主合理报价；</w:t>
      </w:r>
    </w:p>
    <w:p w14:paraId="01B3B9D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在报价时应考虑服务期间的物价上涨、政策性调整等诸多因素以及由此引起的费用变动并计入报价；</w:t>
      </w:r>
    </w:p>
    <w:p w14:paraId="4E5630A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只能提交一个报价，采购人不接受任何选择报价。</w:t>
      </w:r>
    </w:p>
    <w:p w14:paraId="43C20BE3">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3.3投标有效期</w:t>
      </w:r>
    </w:p>
    <w:p w14:paraId="2F761F1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须知前附表规定的投标有效期内，</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不得要求撤销或修改其投标文件。</w:t>
      </w:r>
    </w:p>
    <w:p w14:paraId="140786E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3.3.2出现特殊情况需要延长投标有效期的，采购人以书面形式通知所有</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延长投标有效期。</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应予以书面答复，同意延长的，应相应延长其投标保证金（如有）的有效期，但不得要求或被允许修改其投标文件；</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拒绝延长的，其投标失效。</w:t>
      </w:r>
    </w:p>
    <w:p w14:paraId="3EFFE336">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3.4投标保证金</w:t>
      </w:r>
    </w:p>
    <w:p w14:paraId="0EED50D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38C3F24D">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3.5资格审查资料</w:t>
      </w:r>
    </w:p>
    <w:p w14:paraId="2A5C42F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须知前附表第1.4.1项。</w:t>
      </w:r>
    </w:p>
    <w:p w14:paraId="25041641">
      <w:pPr>
        <w:widowControl w:val="0"/>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3.6备选投标方案</w:t>
      </w:r>
    </w:p>
    <w:p w14:paraId="156159E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须知前附表另有规定外，</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不得递交备选投标方案。允许</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递交备选投标方案的，只有中标人所递交的备选投标方案方可予以考虑。评标委员会认为中标人的备选投标方案优于其按照招标文件要求编制的投标方案的，采购人可以接受该备选投标方案。</w:t>
      </w:r>
    </w:p>
    <w:p w14:paraId="123341D3">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3.7投标文件的编制</w:t>
      </w:r>
    </w:p>
    <w:p w14:paraId="455DCF1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27" w:name="_Toc221950175"/>
      <w:r>
        <w:rPr>
          <w:rFonts w:hint="eastAsia" w:ascii="宋体" w:hAnsi="宋体" w:eastAsia="宋体" w:cs="宋体"/>
          <w:color w:val="auto"/>
          <w:kern w:val="2"/>
          <w:sz w:val="21"/>
          <w:szCs w:val="21"/>
          <w:highlight w:val="none"/>
          <w:lang w:val="en-US" w:eastAsia="zh-CN" w:bidi="ar-SA"/>
        </w:rPr>
        <w:t>3.7.1投标文件应按“投标文件格式”进行编写，如有必要，可以增加附页，作为投标文件的组成部分。其中，投标函附录在满足招标文件实质性要求的基础上，可以提出比招标文件要求更有利于</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的承诺。</w:t>
      </w:r>
    </w:p>
    <w:bookmarkEnd w:id="27"/>
    <w:p w14:paraId="5C1F351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3.7.2投标文件应当对招标文件有关服务期、投标有效期、质量要求、采购范围等实质性内容作出响应。</w:t>
      </w:r>
    </w:p>
    <w:p w14:paraId="3ED1268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3.7.3投标文件上传的电子文档，除</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须知前附表另有规定外，投标文件所附证书证件均为原件扫描件，按招标文件要求在相应位置加盖电子签章。由</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的法定代表人签字或加盖电子签章的，应附法定代表人身份证明，由代理人签字或加盖电子签章的，应附由法定代表人签署的授权委托书。签字或盖章的具体要求见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11353572">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4．投标</w:t>
      </w:r>
    </w:p>
    <w:p w14:paraId="32692DE9">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4.1投标文件的加密</w:t>
      </w:r>
    </w:p>
    <w:p w14:paraId="530FFA6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4.1.1上传的电子版</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应当按照招标文件和电子招标投标交易平台的要求加密投标文件，具体要求见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6277CE2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4.1.2未按本章第4.1.1项要求的投标文件，</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不予受理。</w:t>
      </w:r>
    </w:p>
    <w:p w14:paraId="1A14C490">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4.2投标文件的递交</w:t>
      </w:r>
    </w:p>
    <w:p w14:paraId="0C7ECE9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4.2.1</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应在第2.2.2项规定的投标截止时间前递交投标文件。</w:t>
      </w:r>
    </w:p>
    <w:p w14:paraId="5AAB26E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4.2.2投标文件制作及上传：请</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在制作投标文件中的“生成投标文件”时，必须使用本单位CA锁进行生成投标文件；</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在投标截止时间前企业身份认证锁（CA密钥）登陆荥阳市公共资源交易中心网站上传加密的电子投标文件到系统的指定位置。上传时必须得到电脑“上传成功”的确认回复，上传时要认真检查上传投标文件是否完整、正确。</w:t>
      </w:r>
    </w:p>
    <w:p w14:paraId="77C0A5A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在交易中心投标系统无法上传电子投标文件或投标文件制作遇到问题时，请在工作时间及时与网站公布的新点软件公司技术或荥阳市公共资源交易中心联系。</w:t>
      </w:r>
    </w:p>
    <w:p w14:paraId="7746A97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4.2.3</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完成电子投标文件上传后，电子招标投标交易平台即时向</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发出递交回执通知，递交时间以递交回执通知载明的传输完成时间为准。</w:t>
      </w:r>
    </w:p>
    <w:p w14:paraId="58241F0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4.2.4逾期递交的电子投标文件，电子招标投标交易平台将予以拒收。</w:t>
      </w:r>
    </w:p>
    <w:p w14:paraId="18B116A6">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4.3投标文件的修改与撤回</w:t>
      </w:r>
    </w:p>
    <w:p w14:paraId="78C010C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4.3.1在本章第2.2.2项规定的投标截止时间前，</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可以修改或撤回已递交的投标文件，但应以书面形式通知</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应当在投标截止时间前完成电子投标文件的提交，可以补充、修改或撤回。投标截止时间前未完成电子投标文件提交、取得“投标文件提交回执单”的，视为撤回投标文件。</w:t>
      </w:r>
    </w:p>
    <w:p w14:paraId="7ECFBB6E">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4.3.2</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修改或撤回已递交投标文件的书面通知应按照本章第3.7.3项的要求签字或盖章。</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收到书面通知后，向</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出具签收凭证。</w:t>
      </w:r>
    </w:p>
    <w:p w14:paraId="636E818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4.3.3修改的内容为投标文件的组成部分。修改的投标文件应按照本章第3条、第4条规定进行编制、密封、标记和递交，并标明“修改”字样。</w:t>
      </w:r>
    </w:p>
    <w:p w14:paraId="3EEED044">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5．开标</w:t>
      </w:r>
    </w:p>
    <w:p w14:paraId="755664CE">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5.1开标时间和地点</w:t>
      </w:r>
    </w:p>
    <w:p w14:paraId="33573FF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5.1.1采购人在</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须知前附表第2.2.2项规定的投标截止时间（开标时间）和</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须知前附表规定的地点通过远程进行公开开标。</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不需要到开标现场，只需根据要求进行远程解密。</w:t>
      </w:r>
    </w:p>
    <w:p w14:paraId="30893AC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5.1.2</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须在系统规定的解密时间内完成解密。</w:t>
      </w:r>
    </w:p>
    <w:p w14:paraId="4B8D8341">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5.2开标程序</w:t>
      </w:r>
    </w:p>
    <w:p w14:paraId="470EF9D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28" w:name="_Toc5847"/>
      <w:bookmarkStart w:id="29" w:name="_Toc5557"/>
      <w:r>
        <w:rPr>
          <w:rFonts w:hint="eastAsia" w:ascii="宋体" w:hAnsi="宋体" w:eastAsia="宋体" w:cs="宋体"/>
          <w:color w:val="auto"/>
          <w:kern w:val="2"/>
          <w:sz w:val="21"/>
          <w:szCs w:val="21"/>
          <w:highlight w:val="none"/>
          <w:lang w:val="en-US" w:eastAsia="zh-CN" w:bidi="ar-SA"/>
        </w:rPr>
        <w:t>（1）公布在投标截止时间前递交投标文件的</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名称，</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在投标截止时间前未上传电子投标文件的将视为放弃投标；</w:t>
      </w:r>
      <w:bookmarkEnd w:id="28"/>
      <w:bookmarkEnd w:id="29"/>
    </w:p>
    <w:p w14:paraId="4EB186F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30" w:name="_Toc22603"/>
      <w:bookmarkStart w:id="31" w:name="_Toc25084"/>
      <w:r>
        <w:rPr>
          <w:rFonts w:hint="eastAsia" w:ascii="宋体" w:hAnsi="宋体" w:eastAsia="宋体" w:cs="宋体"/>
          <w:color w:val="auto"/>
          <w:kern w:val="2"/>
          <w:sz w:val="21"/>
          <w:szCs w:val="21"/>
          <w:highlight w:val="none"/>
          <w:lang w:val="en-US" w:eastAsia="zh-CN" w:bidi="ar-SA"/>
        </w:rPr>
        <w:t>（2）按规定组织相关人员进行验标（检查网上招标系统正常与否），确认无误后开标；</w:t>
      </w:r>
      <w:bookmarkEnd w:id="30"/>
      <w:bookmarkEnd w:id="31"/>
    </w:p>
    <w:p w14:paraId="7E92429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32" w:name="_Toc12075"/>
      <w:bookmarkStart w:id="33" w:name="_Toc19678"/>
      <w:r>
        <w:rPr>
          <w:rFonts w:hint="eastAsia" w:ascii="宋体" w:hAnsi="宋体" w:eastAsia="宋体" w:cs="宋体"/>
          <w:color w:val="auto"/>
          <w:kern w:val="2"/>
          <w:sz w:val="21"/>
          <w:szCs w:val="21"/>
          <w:highlight w:val="none"/>
          <w:lang w:val="en-US" w:eastAsia="zh-CN" w:bidi="ar-SA"/>
        </w:rPr>
        <w:t>（3）本项目采用远程不见面开标，各</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应在规定时间内对本单位的投标文件进行解密；</w:t>
      </w:r>
      <w:bookmarkEnd w:id="32"/>
      <w:bookmarkEnd w:id="33"/>
    </w:p>
    <w:p w14:paraId="7352E44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34" w:name="_Toc22678"/>
      <w:bookmarkStart w:id="35" w:name="_Toc32631"/>
      <w:r>
        <w:rPr>
          <w:rFonts w:hint="eastAsia" w:ascii="宋体" w:hAnsi="宋体" w:eastAsia="宋体" w:cs="宋体"/>
          <w:color w:val="auto"/>
          <w:kern w:val="2"/>
          <w:sz w:val="21"/>
          <w:szCs w:val="21"/>
          <w:highlight w:val="none"/>
          <w:lang w:val="en-US" w:eastAsia="zh-CN" w:bidi="ar-SA"/>
        </w:rPr>
        <w:t>（4）由代理机构进行解密，并将解密后的投标文件导入系统；</w:t>
      </w:r>
      <w:bookmarkEnd w:id="34"/>
      <w:bookmarkEnd w:id="35"/>
    </w:p>
    <w:p w14:paraId="5C44854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36" w:name="_Toc24008"/>
      <w:bookmarkStart w:id="37" w:name="_Toc23545"/>
      <w:r>
        <w:rPr>
          <w:rFonts w:hint="eastAsia" w:ascii="宋体" w:hAnsi="宋体" w:eastAsia="宋体" w:cs="宋体"/>
          <w:color w:val="auto"/>
          <w:kern w:val="2"/>
          <w:sz w:val="21"/>
          <w:szCs w:val="21"/>
          <w:highlight w:val="none"/>
          <w:lang w:val="en-US" w:eastAsia="zh-CN" w:bidi="ar-SA"/>
        </w:rPr>
        <w:t>（5）解密完成后公布各</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名称、投标报价、工程要求、质量标准及其他内容，并记录在案；</w:t>
      </w:r>
      <w:bookmarkEnd w:id="36"/>
      <w:bookmarkEnd w:id="37"/>
    </w:p>
    <w:p w14:paraId="13336E87">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bookmarkStart w:id="38" w:name="_Toc26383"/>
      <w:bookmarkStart w:id="39" w:name="_Toc16240"/>
      <w:r>
        <w:rPr>
          <w:rFonts w:hint="eastAsia" w:ascii="宋体" w:hAnsi="宋体" w:eastAsia="宋体" w:cs="宋体"/>
          <w:color w:val="auto"/>
          <w:kern w:val="2"/>
          <w:sz w:val="21"/>
          <w:szCs w:val="21"/>
          <w:highlight w:val="none"/>
          <w:lang w:val="en-US" w:eastAsia="zh-CN" w:bidi="ar-SA"/>
        </w:rPr>
        <w:t>（6）异议处理；</w:t>
      </w:r>
      <w:bookmarkEnd w:id="38"/>
      <w:bookmarkEnd w:id="39"/>
    </w:p>
    <w:p w14:paraId="79714BA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（7）开标结束。</w:t>
      </w:r>
    </w:p>
    <w:p w14:paraId="327A5D89">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6．资格审查</w:t>
      </w:r>
    </w:p>
    <w:p w14:paraId="40FB1CB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采购人将根据招标内容和特点组建资格审查小组，由采购人委托授权代表负责对</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资格进行审查。</w:t>
      </w:r>
    </w:p>
    <w:p w14:paraId="33582E06">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7．评标</w:t>
      </w:r>
    </w:p>
    <w:p w14:paraId="05C4268C">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7.1评标委员会</w:t>
      </w:r>
    </w:p>
    <w:p w14:paraId="496C2BD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7.1.1评标委员会由采购人代表和评审专家组成，评标委员会成员人数以及技术、经济等方面专家的确定方式见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25F9B30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7.1.2评标委员会成员有下列情形之一的，应当回避：</w:t>
      </w:r>
    </w:p>
    <w:p w14:paraId="619E13A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（1）采购人或</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的主要负责人的近亲属；</w:t>
      </w:r>
    </w:p>
    <w:p w14:paraId="63BE785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（2）项目主管部门或者行政监督部门的人员：</w:t>
      </w:r>
    </w:p>
    <w:p w14:paraId="7FB28DA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（3）与</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有经济利益关系，可能影响对投标公正评审的；</w:t>
      </w:r>
    </w:p>
    <w:p w14:paraId="5F4DB45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（4）曾因在招标、评标以及其他与招标投标有关活动中从事违法行为而受过行政处罚或刑事处罚的。</w:t>
      </w:r>
    </w:p>
    <w:p w14:paraId="210251AE">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7.2评标原则</w:t>
      </w:r>
    </w:p>
    <w:p w14:paraId="491FF9D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评标活动遵循公平、公正、科学和择优的原则。</w:t>
      </w:r>
    </w:p>
    <w:p w14:paraId="0053BF6F">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7.3评标</w:t>
      </w:r>
    </w:p>
    <w:p w14:paraId="5280F25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评标委员会按照第三章“评标办法”规定的方法、评审因素、标准和程序对投标文件进行评审。第三章“评标办法”没有规定的方法、评审因素和标准，不作为评标依据。</w:t>
      </w:r>
    </w:p>
    <w:p w14:paraId="576CA127">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8．合同授予</w:t>
      </w:r>
    </w:p>
    <w:p w14:paraId="2E699A9B">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8.1定标方式</w:t>
      </w:r>
    </w:p>
    <w:p w14:paraId="40C7953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须知前附表规定评标委员会直接确定中标人外，采购人依据评标委员会推荐的中标候选人确定中标人，评标委员会推荐中标候选人的人数见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p>
    <w:p w14:paraId="17169165">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8.2中标通知</w:t>
      </w:r>
    </w:p>
    <w:p w14:paraId="0F14ED5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在本章第3.3款规定的投标有效期内，采购人以书面形式向中标人发出中标通知书，同时将中标结果通知未中标的</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。中标通知书将作为进行合同谈判和签订的依据。</w:t>
      </w:r>
    </w:p>
    <w:p w14:paraId="12A3CF86">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8.3履约保证金</w:t>
      </w:r>
    </w:p>
    <w:p w14:paraId="1C04541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8.3.1在签订合同前，中标人应按</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须知前附表规定的金额、担保形式向采购人提交履约保证金。联合体中标的，其履约保证金由牵头人递交，并应符合</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须知前附表规定的金额、担保形式要求。</w:t>
      </w:r>
    </w:p>
    <w:p w14:paraId="02A30CE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8.3.2中标人不能按本章第8.3.1项要求提交履约保证金的，视为放弃中标。</w:t>
      </w:r>
    </w:p>
    <w:p w14:paraId="762579B3">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8.4签订合同</w:t>
      </w:r>
    </w:p>
    <w:p w14:paraId="4823414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采购人和中标人应当自中标通知书发出之日起</w:t>
      </w:r>
      <w:r>
        <w:rPr>
          <w:rFonts w:hint="eastAsia" w:ascii="宋体" w:hAnsi="宋体" w:cs="宋体"/>
          <w:color w:val="auto"/>
          <w:kern w:val="2"/>
          <w:sz w:val="21"/>
          <w:szCs w:val="21"/>
          <w:highlight w:val="none"/>
          <w:lang w:val="en-US" w:eastAsia="zh-CN" w:bidi="ar-SA"/>
        </w:rPr>
        <w:t>2个工作日内</w:t>
      </w:r>
      <w:r>
        <w:rPr>
          <w:rFonts w:hint="eastAsia" w:ascii="宋体" w:hAnsi="宋体" w:eastAsia="宋体" w:cs="宋体"/>
          <w:color w:val="auto"/>
          <w:kern w:val="2"/>
          <w:sz w:val="21"/>
          <w:szCs w:val="21"/>
          <w:highlight w:val="none"/>
          <w:lang w:val="en-US" w:eastAsia="zh-CN" w:bidi="ar-SA"/>
        </w:rPr>
        <w:t>，根据招标文件和中标人的投标文件订立书面合同。中标人无正当理由拒签合同的，采购人取消其中标资格；给采购人造成的损失成交人还应当予以赔偿。</w:t>
      </w:r>
    </w:p>
    <w:p w14:paraId="60EBE1F4">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9．废标和重新招标</w:t>
      </w:r>
    </w:p>
    <w:p w14:paraId="01A4AC09">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9.1有出现下列情形之一，将导致项目废标：</w:t>
      </w:r>
    </w:p>
    <w:p w14:paraId="5ED3A77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（1）符合专业条件的</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或者对招标文件做实质性响应的</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不足三家；</w:t>
      </w:r>
    </w:p>
    <w:p w14:paraId="297112D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（2）出现影响采购公正的违法、违规行为的；</w:t>
      </w:r>
    </w:p>
    <w:p w14:paraId="50E9101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的报价均超过了采购预算，采购人不能支付的；</w:t>
      </w:r>
    </w:p>
    <w:p w14:paraId="5035F83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（4）因重大变故，采购任务取消的。</w:t>
      </w:r>
    </w:p>
    <w:p w14:paraId="4D0DE953">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9.2重新招标</w:t>
      </w:r>
    </w:p>
    <w:p w14:paraId="5682201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废标后，除采购任务取消情形外，应当重新组织招标。</w:t>
      </w:r>
    </w:p>
    <w:p w14:paraId="0DEF17CC">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10．纪律和监督</w:t>
      </w:r>
    </w:p>
    <w:p w14:paraId="7395B702">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10.1对采购人的纪律要求</w:t>
      </w:r>
    </w:p>
    <w:p w14:paraId="3BD0410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参照《中华人民共和国政府采购法》第二十五条规定：采购人不得相互串通损害国家利益、社会公共利益和其他当事人的合法权益；不得以任何手段排斥其他</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参与竞争。</w:t>
      </w:r>
    </w:p>
    <w:p w14:paraId="7042DFB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参照《中华人民共和国政府采购法实施条例》第九条规定：在采购活动中，采购人与</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有下列利害关系之一的，应当回避：</w:t>
      </w:r>
    </w:p>
    <w:p w14:paraId="427FF7FB">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（一）参加采购活动前3年内与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存在劳动关系；</w:t>
      </w:r>
    </w:p>
    <w:p w14:paraId="5E504C6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（二）参加采购活动前3年内担任</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的董事、监事；</w:t>
      </w:r>
    </w:p>
    <w:p w14:paraId="01689AC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（三）参加采购活动前3年内是</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的控股股东或者实际控制人；</w:t>
      </w:r>
    </w:p>
    <w:p w14:paraId="5AFA518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的法定代表人或者负责人有夫妻、直系血亲、三代以内旁系血亲或者近姻亲关系；</w:t>
      </w:r>
    </w:p>
    <w:p w14:paraId="3C004B12">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有其他可能影响采购活动公平、公正进行的关系。</w:t>
      </w:r>
    </w:p>
    <w:p w14:paraId="07B3CF8E">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10.2对</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的纪律要求</w:t>
      </w:r>
    </w:p>
    <w:p w14:paraId="48FC275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参照《政府采购货物和服务招标投标管理办法》第三十六条规定：</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应当遵循公平竞争的原则，不得恶意串通，不得妨碍其他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的竞争行为，不得损害采购人或者其他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的合法权益。</w:t>
      </w:r>
    </w:p>
    <w:p w14:paraId="0F05B83E">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10.2.1参照《中华人民共和国政府采购法实施条例》第七十四条规定有下列情形之一的，属于恶意串通：</w:t>
      </w:r>
    </w:p>
    <w:p w14:paraId="5A7A9777">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直接或者间接从采购人或者采购代理机构处获得其他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的相关情况并修改其投标文件或者响应文件；</w:t>
      </w:r>
    </w:p>
    <w:p w14:paraId="6F4C45B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按照采购人或者采购代理机构的授意撤换、修改投标文件或者响应文件；</w:t>
      </w:r>
    </w:p>
    <w:p w14:paraId="78EFCD9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之间协商报价、技术方案等投标文件或者响应文件的实质性内容；</w:t>
      </w:r>
    </w:p>
    <w:p w14:paraId="24F538E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（4）属于同一集团、协会、商会等组织成员的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按照该组织要求协同参加采购活动；</w:t>
      </w:r>
    </w:p>
    <w:p w14:paraId="2E719FB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之间事先约定由某一特定</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中标、成交；</w:t>
      </w:r>
    </w:p>
    <w:p w14:paraId="756CE73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之间商定部分</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放弃参加采购活动或者放弃中标、成交；</w:t>
      </w:r>
    </w:p>
    <w:p w14:paraId="6AF0C60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与采购人或者采购代理机构之间、</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相互之间，为谋求特定</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中标、成交或者排斥其他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的其他串通行为。</w:t>
      </w:r>
    </w:p>
    <w:p w14:paraId="32FDD9AC">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10.2.2参照《政府采购货物和服务招标投标管理办法》第三十七条规定：有下列情形之一的，视为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相互串通投标：</w:t>
      </w:r>
    </w:p>
    <w:p w14:paraId="51066FF8">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的投标文件由同一单位或者个人编制；</w:t>
      </w:r>
    </w:p>
    <w:p w14:paraId="096530B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委托同一单位或者个人办理投标事宜；</w:t>
      </w:r>
    </w:p>
    <w:p w14:paraId="055B71F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的投标文件载明的项目管理成员为同一人；</w:t>
      </w:r>
    </w:p>
    <w:p w14:paraId="1D56E04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的投标文件异常一致或者投标报价呈规律性差异；</w:t>
      </w:r>
    </w:p>
    <w:p w14:paraId="6D2A1ED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的投标文件相互混装；</w:t>
      </w:r>
    </w:p>
    <w:p w14:paraId="2DCB57A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（6）不同</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的投标文件制作机器码一致。</w:t>
      </w:r>
    </w:p>
    <w:p w14:paraId="65AC66F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10.2.3</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提供虚假材料谋取中标的，中标无效。并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6EB09B87">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10.3对评标委员会成员的纪律要求</w:t>
      </w:r>
    </w:p>
    <w:p w14:paraId="67E0DEE1">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评标委员会成员不得收受他人的财物或者其他好处，不得向他人</w:t>
      </w:r>
      <w:r>
        <w:rPr>
          <w:rFonts w:hint="eastAsia" w:ascii="宋体" w:hAnsi="宋体" w:cs="宋体"/>
          <w:color w:val="auto"/>
          <w:kern w:val="2"/>
          <w:sz w:val="21"/>
          <w:szCs w:val="21"/>
          <w:highlight w:val="none"/>
          <w:lang w:val="en-US" w:eastAsia="zh-CN" w:bidi="ar-SA"/>
        </w:rPr>
        <w:t>透露</w:t>
      </w:r>
      <w:r>
        <w:rPr>
          <w:rFonts w:hint="eastAsia" w:ascii="宋体" w:hAnsi="宋体" w:eastAsia="宋体" w:cs="宋体"/>
          <w:color w:val="auto"/>
          <w:kern w:val="2"/>
          <w:sz w:val="21"/>
          <w:szCs w:val="21"/>
          <w:highlight w:val="none"/>
          <w:lang w:val="en-US" w:eastAsia="zh-CN" w:bidi="ar-SA"/>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5E9731">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10.4对与评标活动有关的工作人员的纪律要求</w:t>
      </w:r>
    </w:p>
    <w:p w14:paraId="2EC51E7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与评标活动有关的工作人员不得收受他人的财物或者其他好处，不得向他人</w:t>
      </w:r>
      <w:r>
        <w:rPr>
          <w:rFonts w:hint="eastAsia" w:ascii="宋体" w:hAnsi="宋体" w:cs="宋体"/>
          <w:color w:val="auto"/>
          <w:kern w:val="2"/>
          <w:sz w:val="21"/>
          <w:szCs w:val="21"/>
          <w:highlight w:val="none"/>
          <w:lang w:val="en-US" w:eastAsia="zh-CN" w:bidi="ar-SA"/>
        </w:rPr>
        <w:t>透露</w:t>
      </w:r>
      <w:r>
        <w:rPr>
          <w:rFonts w:hint="eastAsia" w:ascii="宋体" w:hAnsi="宋体" w:eastAsia="宋体" w:cs="宋体"/>
          <w:color w:val="auto"/>
          <w:kern w:val="2"/>
          <w:sz w:val="21"/>
          <w:szCs w:val="21"/>
          <w:highlight w:val="none"/>
          <w:lang w:val="en-US" w:eastAsia="zh-CN" w:bidi="ar-SA"/>
        </w:rPr>
        <w:t>对投标文件的评审和比较、中标候选人的推荐情况以及评标有关的其他情况。在评标活动中，与评标活动有关的工作人员不得擅离职守，影响评标程序正常进行。</w:t>
      </w:r>
    </w:p>
    <w:p w14:paraId="66915F47">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10.5质疑的提出与接收</w:t>
      </w:r>
    </w:p>
    <w:p w14:paraId="15BCFD00">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认为招标文件、招标过程和中标结果使自己的权益受到损害的，可以参照《中华人民共和国政府采购法》、《中华人民共和国政府采购法实施条例》和《政府采购质疑和投诉办法》的有关规定，依法向采购人或其委托的采购代理机构提出质疑。</w:t>
      </w:r>
    </w:p>
    <w:p w14:paraId="4A6B74E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应参照财政部制定的《政府采购质疑函范本》格式（附件1）和《政府采购质疑和投诉办法》的要求，在法定质疑期内一次性提出针对同一采购程序环节的质疑。</w:t>
      </w:r>
    </w:p>
    <w:p w14:paraId="2FD467C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质疑函的内容及形式应参照《政府采购质疑和投诉办法》第十二条的规定。</w:t>
      </w:r>
    </w:p>
    <w:p w14:paraId="35D6FF6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超出法定质疑期提交的质疑将被拒绝。</w:t>
      </w:r>
    </w:p>
    <w:p w14:paraId="50203B44">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10.6投诉</w:t>
      </w:r>
    </w:p>
    <w:p w14:paraId="67319CFF">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w:t>
      </w:r>
      <w:r>
        <w:rPr>
          <w:rFonts w:hint="eastAsia" w:ascii="宋体" w:hAnsi="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en-US" w:eastAsia="zh-CN" w:bidi="ar-SA"/>
        </w:rPr>
        <w:t>对采购人、采购代理机构的答复不满意，或者采购人、采购代理机构未在规定时间内作出答复的，可以在答复期满后15个工作日内向监督部门提起投诉。</w:t>
      </w:r>
    </w:p>
    <w:p w14:paraId="451E49D7">
      <w:pPr>
        <w:widowControl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11．需要补充的其他内容</w:t>
      </w:r>
    </w:p>
    <w:p w14:paraId="4A22B95B">
      <w:pPr>
        <w:pageBreakBefore w:val="0"/>
        <w:widowControl/>
        <w:kinsoku/>
        <w:wordWrap/>
        <w:overflowPunct/>
        <w:topLinePunct w:val="0"/>
        <w:bidi w:val="0"/>
        <w:adjustRightInd/>
        <w:snapToGrid/>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2"/>
          <w:sz w:val="21"/>
          <w:szCs w:val="21"/>
          <w:highlight w:val="none"/>
          <w:lang w:val="en-US" w:eastAsia="zh-CN" w:bidi="ar-SA"/>
        </w:rPr>
        <w:t>需要补充的其他内容：见</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须知前附表</w:t>
      </w:r>
      <w:r>
        <w:rPr>
          <w:rFonts w:hint="eastAsia" w:ascii="宋体" w:hAnsi="宋体" w:eastAsia="宋体" w:cs="宋体"/>
          <w:color w:val="auto"/>
          <w:sz w:val="21"/>
          <w:szCs w:val="21"/>
          <w:highlight w:val="none"/>
        </w:rPr>
        <w:t>。</w:t>
      </w:r>
      <w:bookmarkEnd w:id="15"/>
    </w:p>
    <w:p w14:paraId="3BC82D21">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br w:type="page"/>
      </w:r>
    </w:p>
    <w:p w14:paraId="77B70E00">
      <w:pPr>
        <w:pStyle w:val="2"/>
        <w:numPr>
          <w:ilvl w:val="0"/>
          <w:numId w:val="1"/>
        </w:numPr>
        <w:bidi w:val="0"/>
        <w:jc w:val="center"/>
        <w:rPr>
          <w:rFonts w:hint="eastAsia" w:ascii="宋体" w:hAnsi="宋体" w:eastAsia="宋体" w:cs="宋体"/>
          <w:highlight w:val="none"/>
        </w:rPr>
      </w:pPr>
      <w:bookmarkStart w:id="40" w:name="_Toc577"/>
      <w:bookmarkStart w:id="41" w:name="_Toc12621"/>
      <w:r>
        <w:rPr>
          <w:rFonts w:hint="eastAsia" w:ascii="宋体" w:hAnsi="宋体" w:eastAsia="宋体" w:cs="宋体"/>
          <w:highlight w:val="none"/>
        </w:rPr>
        <w:t>评标</w:t>
      </w:r>
      <w:r>
        <w:rPr>
          <w:rFonts w:hint="eastAsia" w:ascii="宋体" w:hAnsi="宋体" w:eastAsia="宋体" w:cs="宋体"/>
          <w:highlight w:val="none"/>
          <w:lang w:val="en-US" w:eastAsia="zh-CN"/>
        </w:rPr>
        <w:t>办法</w:t>
      </w:r>
      <w:r>
        <w:rPr>
          <w:rFonts w:hint="eastAsia" w:ascii="宋体" w:hAnsi="宋体" w:eastAsia="宋体" w:cs="宋体"/>
          <w:highlight w:val="none"/>
        </w:rPr>
        <w:t>（综合评分法）</w:t>
      </w:r>
      <w:bookmarkEnd w:id="40"/>
      <w:bookmarkEnd w:id="41"/>
    </w:p>
    <w:p w14:paraId="2ED76D1B">
      <w:pPr>
        <w:jc w:val="center"/>
        <w:rPr>
          <w:rFonts w:hint="default" w:eastAsia="宋体"/>
          <w:highlight w:val="none"/>
          <w:lang w:val="en-US" w:eastAsia="zh-CN"/>
        </w:rPr>
      </w:pPr>
      <w:r>
        <w:rPr>
          <w:rFonts w:hint="eastAsia" w:ascii="宋体" w:hAnsi="宋体" w:cs="宋体"/>
          <w:b/>
          <w:bCs/>
          <w:highlight w:val="none"/>
          <w:lang w:val="en-US" w:eastAsia="zh-CN"/>
        </w:rPr>
        <w:t>本评标办法适用于本项目中所有标段</w:t>
      </w:r>
    </w:p>
    <w:tbl>
      <w:tblPr>
        <w:tblStyle w:val="20"/>
        <w:tblW w:w="936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0"/>
        <w:gridCol w:w="1055"/>
        <w:gridCol w:w="491"/>
        <w:gridCol w:w="1892"/>
        <w:gridCol w:w="4828"/>
      </w:tblGrid>
      <w:tr w14:paraId="1A0B83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2155" w:type="dxa"/>
            <w:gridSpan w:val="2"/>
            <w:noWrap w:val="0"/>
            <w:vAlign w:val="center"/>
          </w:tcPr>
          <w:p w14:paraId="44D22F50">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42" w:name="_Toc221950445"/>
            <w:r>
              <w:rPr>
                <w:rFonts w:hint="eastAsia" w:ascii="宋体" w:hAnsi="宋体" w:eastAsia="宋体" w:cs="宋体"/>
                <w:b/>
                <w:color w:val="auto"/>
                <w:sz w:val="21"/>
                <w:szCs w:val="21"/>
                <w:highlight w:val="none"/>
              </w:rPr>
              <w:t>条款号</w:t>
            </w:r>
            <w:bookmarkEnd w:id="42"/>
          </w:p>
        </w:tc>
        <w:tc>
          <w:tcPr>
            <w:tcW w:w="2383" w:type="dxa"/>
            <w:gridSpan w:val="2"/>
            <w:noWrap w:val="0"/>
            <w:vAlign w:val="center"/>
          </w:tcPr>
          <w:p w14:paraId="663A2388">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43" w:name="_Toc221950446"/>
            <w:r>
              <w:rPr>
                <w:rFonts w:hint="eastAsia" w:ascii="宋体" w:hAnsi="宋体" w:eastAsia="宋体" w:cs="宋体"/>
                <w:b/>
                <w:color w:val="auto"/>
                <w:sz w:val="21"/>
                <w:szCs w:val="21"/>
                <w:highlight w:val="none"/>
              </w:rPr>
              <w:t>评审因素</w:t>
            </w:r>
            <w:bookmarkEnd w:id="43"/>
          </w:p>
        </w:tc>
        <w:tc>
          <w:tcPr>
            <w:tcW w:w="4828" w:type="dxa"/>
            <w:noWrap w:val="0"/>
            <w:vAlign w:val="center"/>
          </w:tcPr>
          <w:p w14:paraId="32B6CFEC">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44" w:name="_Toc221950447"/>
            <w:r>
              <w:rPr>
                <w:rFonts w:hint="eastAsia" w:ascii="宋体" w:hAnsi="宋体" w:eastAsia="宋体" w:cs="宋体"/>
                <w:b/>
                <w:color w:val="auto"/>
                <w:sz w:val="21"/>
                <w:szCs w:val="21"/>
                <w:highlight w:val="none"/>
              </w:rPr>
              <w:t>评审标准</w:t>
            </w:r>
            <w:bookmarkEnd w:id="44"/>
          </w:p>
        </w:tc>
      </w:tr>
      <w:tr w14:paraId="426EDB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100" w:type="dxa"/>
            <w:vMerge w:val="restart"/>
            <w:noWrap w:val="0"/>
            <w:vAlign w:val="center"/>
          </w:tcPr>
          <w:p w14:paraId="63ADB12A">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bookmarkStart w:id="45" w:name="_Toc221950448"/>
            <w:r>
              <w:rPr>
                <w:rFonts w:hint="eastAsia" w:ascii="宋体" w:hAnsi="宋体" w:eastAsia="宋体" w:cs="宋体"/>
                <w:color w:val="auto"/>
                <w:sz w:val="21"/>
                <w:szCs w:val="21"/>
                <w:highlight w:val="none"/>
              </w:rPr>
              <w:t>2.1.1</w:t>
            </w:r>
            <w:bookmarkEnd w:id="45"/>
          </w:p>
        </w:tc>
        <w:tc>
          <w:tcPr>
            <w:tcW w:w="1055" w:type="dxa"/>
            <w:vMerge w:val="restart"/>
            <w:noWrap w:val="0"/>
            <w:vAlign w:val="center"/>
          </w:tcPr>
          <w:p w14:paraId="297133B9">
            <w:pPr>
              <w:pageBreakBefore w:val="0"/>
              <w:kinsoku/>
              <w:overflowPunct/>
              <w:autoSpaceDE w:val="0"/>
              <w:autoSpaceDN w:val="0"/>
              <w:bidi w:val="0"/>
              <w:spacing w:line="240" w:lineRule="auto"/>
              <w:contextualSpacing/>
              <w:jc w:val="center"/>
              <w:rPr>
                <w:rFonts w:hint="eastAsia" w:ascii="宋体" w:hAnsi="宋体" w:eastAsia="宋体" w:cs="宋体"/>
                <w:color w:val="auto"/>
                <w:sz w:val="21"/>
                <w:szCs w:val="21"/>
                <w:highlight w:val="none"/>
              </w:rPr>
            </w:pPr>
            <w:bookmarkStart w:id="46" w:name="_Toc221950449"/>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评审标准</w:t>
            </w:r>
            <w:bookmarkEnd w:id="46"/>
          </w:p>
        </w:tc>
        <w:tc>
          <w:tcPr>
            <w:tcW w:w="2383" w:type="dxa"/>
            <w:gridSpan w:val="2"/>
            <w:noWrap w:val="0"/>
            <w:vAlign w:val="center"/>
          </w:tcPr>
          <w:p w14:paraId="225C3F2E">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名称</w:t>
            </w:r>
          </w:p>
        </w:tc>
        <w:tc>
          <w:tcPr>
            <w:tcW w:w="4828" w:type="dxa"/>
            <w:noWrap w:val="0"/>
            <w:vAlign w:val="center"/>
          </w:tcPr>
          <w:p w14:paraId="22EA89FA">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与营业执照一致</w:t>
            </w:r>
          </w:p>
        </w:tc>
      </w:tr>
      <w:tr w14:paraId="19720D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100" w:type="dxa"/>
            <w:vMerge w:val="continue"/>
            <w:noWrap w:val="0"/>
            <w:vAlign w:val="center"/>
          </w:tcPr>
          <w:p w14:paraId="5D4476C5">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4C170058">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19078464">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4828" w:type="dxa"/>
            <w:noWrap w:val="0"/>
            <w:vAlign w:val="center"/>
          </w:tcPr>
          <w:p w14:paraId="427A22CE">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有法定代表人或其委托代理人电子签章并加盖公章（电子签章）</w:t>
            </w:r>
          </w:p>
        </w:tc>
      </w:tr>
      <w:tr w14:paraId="17CAF6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100" w:type="dxa"/>
            <w:vMerge w:val="continue"/>
            <w:noWrap w:val="0"/>
            <w:vAlign w:val="center"/>
          </w:tcPr>
          <w:p w14:paraId="04515512">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1E426F9A">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24E1F3FD">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4828" w:type="dxa"/>
            <w:noWrap w:val="0"/>
            <w:vAlign w:val="center"/>
          </w:tcPr>
          <w:p w14:paraId="6C0465B6">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符合“投标文件格式”的要求</w:t>
            </w:r>
          </w:p>
        </w:tc>
      </w:tr>
      <w:tr w14:paraId="155A43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100" w:type="dxa"/>
            <w:vMerge w:val="continue"/>
            <w:noWrap w:val="0"/>
            <w:vAlign w:val="center"/>
          </w:tcPr>
          <w:p w14:paraId="3CC4313A">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50E0A801">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48BB38B3">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报价唯一</w:t>
            </w:r>
          </w:p>
        </w:tc>
        <w:tc>
          <w:tcPr>
            <w:tcW w:w="4828" w:type="dxa"/>
            <w:noWrap w:val="0"/>
            <w:vAlign w:val="center"/>
          </w:tcPr>
          <w:p w14:paraId="1D1A1D79">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只能有一个有效报价</w:t>
            </w:r>
          </w:p>
        </w:tc>
      </w:tr>
      <w:tr w14:paraId="187702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100" w:type="dxa"/>
            <w:vMerge w:val="restart"/>
            <w:noWrap w:val="0"/>
            <w:vAlign w:val="center"/>
          </w:tcPr>
          <w:p w14:paraId="110459B6">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bookmarkStart w:id="47" w:name="_Toc221950452"/>
            <w:r>
              <w:rPr>
                <w:rFonts w:hint="eastAsia" w:ascii="宋体" w:hAnsi="宋体" w:eastAsia="宋体" w:cs="宋体"/>
                <w:color w:val="auto"/>
                <w:sz w:val="21"/>
                <w:szCs w:val="21"/>
                <w:highlight w:val="none"/>
              </w:rPr>
              <w:t>2.1.</w:t>
            </w:r>
            <w:bookmarkEnd w:id="47"/>
            <w:r>
              <w:rPr>
                <w:rFonts w:hint="eastAsia" w:ascii="宋体" w:hAnsi="宋体" w:eastAsia="宋体" w:cs="宋体"/>
                <w:color w:val="auto"/>
                <w:sz w:val="21"/>
                <w:szCs w:val="21"/>
                <w:highlight w:val="none"/>
              </w:rPr>
              <w:t>2</w:t>
            </w:r>
          </w:p>
        </w:tc>
        <w:tc>
          <w:tcPr>
            <w:tcW w:w="1055" w:type="dxa"/>
            <w:vMerge w:val="restart"/>
            <w:noWrap w:val="0"/>
            <w:vAlign w:val="center"/>
          </w:tcPr>
          <w:p w14:paraId="42618C7A">
            <w:pPr>
              <w:pageBreakBefore w:val="0"/>
              <w:kinsoku/>
              <w:overflowPunct/>
              <w:autoSpaceDE w:val="0"/>
              <w:autoSpaceDN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评审标准</w:t>
            </w:r>
          </w:p>
        </w:tc>
        <w:tc>
          <w:tcPr>
            <w:tcW w:w="2383" w:type="dxa"/>
            <w:gridSpan w:val="2"/>
            <w:noWrap w:val="0"/>
            <w:vAlign w:val="center"/>
          </w:tcPr>
          <w:p w14:paraId="4958D1FD">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《中华人民共和国政府采购法》第二十二条规定</w:t>
            </w:r>
          </w:p>
        </w:tc>
        <w:tc>
          <w:tcPr>
            <w:tcW w:w="4828" w:type="dxa"/>
            <w:noWrap w:val="0"/>
            <w:vAlign w:val="center"/>
          </w:tcPr>
          <w:p w14:paraId="7A499B7A">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须知前附表”第1.4.1项规定</w:t>
            </w:r>
          </w:p>
        </w:tc>
      </w:tr>
      <w:tr w14:paraId="33CA8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100" w:type="dxa"/>
            <w:vMerge w:val="continue"/>
            <w:noWrap w:val="0"/>
            <w:vAlign w:val="center"/>
          </w:tcPr>
          <w:p w14:paraId="3566F978">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0FC006D7">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4E5F3073">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落实政府采购政策满足的资格要求</w:t>
            </w:r>
          </w:p>
        </w:tc>
        <w:tc>
          <w:tcPr>
            <w:tcW w:w="4828" w:type="dxa"/>
            <w:noWrap w:val="0"/>
            <w:vAlign w:val="center"/>
          </w:tcPr>
          <w:p w14:paraId="42994F43">
            <w:pPr>
              <w:autoSpaceDE w:val="0"/>
              <w:autoSpaceDN w:val="0"/>
              <w:adjustRightIn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须知前附表”第1.4.1项规定</w:t>
            </w:r>
          </w:p>
        </w:tc>
      </w:tr>
      <w:tr w14:paraId="230520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100" w:type="dxa"/>
            <w:vMerge w:val="continue"/>
            <w:noWrap w:val="0"/>
            <w:vAlign w:val="center"/>
          </w:tcPr>
          <w:p w14:paraId="737117EB">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07BA6C62">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64C0FBEC">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营业执照</w:t>
            </w:r>
          </w:p>
        </w:tc>
        <w:tc>
          <w:tcPr>
            <w:tcW w:w="4828" w:type="dxa"/>
            <w:noWrap w:val="0"/>
            <w:vAlign w:val="center"/>
          </w:tcPr>
          <w:p w14:paraId="429442A5">
            <w:pPr>
              <w:autoSpaceDE w:val="0"/>
              <w:autoSpaceDN w:val="0"/>
              <w:adjustRightIn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须知前附表”第1.4.1项规定</w:t>
            </w:r>
          </w:p>
        </w:tc>
      </w:tr>
      <w:tr w14:paraId="5FB0F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100" w:type="dxa"/>
            <w:vMerge w:val="continue"/>
            <w:noWrap w:val="0"/>
            <w:vAlign w:val="center"/>
          </w:tcPr>
          <w:p w14:paraId="0C61D776">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6BC7909F">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4019E84F">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信用查询</w:t>
            </w:r>
          </w:p>
        </w:tc>
        <w:tc>
          <w:tcPr>
            <w:tcW w:w="4828" w:type="dxa"/>
            <w:noWrap w:val="0"/>
            <w:vAlign w:val="center"/>
          </w:tcPr>
          <w:p w14:paraId="40548428">
            <w:pPr>
              <w:autoSpaceDE w:val="0"/>
              <w:autoSpaceDN w:val="0"/>
              <w:adjustRightIn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须知前附表”第1.4.1项规定</w:t>
            </w:r>
          </w:p>
        </w:tc>
      </w:tr>
      <w:tr w14:paraId="759A6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6" w:hRule="atLeast"/>
          <w:jc w:val="center"/>
        </w:trPr>
        <w:tc>
          <w:tcPr>
            <w:tcW w:w="1100" w:type="dxa"/>
            <w:vMerge w:val="continue"/>
            <w:noWrap w:val="0"/>
            <w:vAlign w:val="center"/>
          </w:tcPr>
          <w:p w14:paraId="339CF699">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4EAF53F1">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top"/>
          </w:tcPr>
          <w:p w14:paraId="52E14619">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单位负责人为同一人或者存在直接控股、管理关系的不同供应商，不得参加同一合同项下的政府采购活动；</w:t>
            </w:r>
          </w:p>
        </w:tc>
        <w:tc>
          <w:tcPr>
            <w:tcW w:w="4828" w:type="dxa"/>
            <w:noWrap w:val="0"/>
            <w:vAlign w:val="center"/>
          </w:tcPr>
          <w:p w14:paraId="1BC85CD1">
            <w:pPr>
              <w:autoSpaceDE w:val="0"/>
              <w:autoSpaceDN w:val="0"/>
              <w:adjustRightIn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须知前附表”第1.4.1项规定</w:t>
            </w:r>
          </w:p>
        </w:tc>
      </w:tr>
      <w:tr w14:paraId="0B4471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1100" w:type="dxa"/>
            <w:vMerge w:val="continue"/>
            <w:noWrap w:val="0"/>
            <w:vAlign w:val="center"/>
          </w:tcPr>
          <w:p w14:paraId="34BF77A3">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2D034A8D">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top"/>
          </w:tcPr>
          <w:p w14:paraId="33AE33FB">
            <w:pPr>
              <w:keepNext w:val="0"/>
              <w:keepLines w:val="0"/>
              <w:pageBreakBefore w:val="0"/>
              <w:widowControl w:val="0"/>
              <w:suppressLineNumbers w:val="0"/>
              <w:kinsoku/>
              <w:overflowPunct/>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为采购项目提供整体设计、规范编制或者项目管理、监理、检测等服务的</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，不得再参加该采购项目的其他采购活动。</w:t>
            </w:r>
          </w:p>
        </w:tc>
        <w:tc>
          <w:tcPr>
            <w:tcW w:w="4828" w:type="dxa"/>
            <w:noWrap w:val="0"/>
            <w:vAlign w:val="center"/>
          </w:tcPr>
          <w:p w14:paraId="00D33D08">
            <w:pPr>
              <w:autoSpaceDE w:val="0"/>
              <w:autoSpaceDN w:val="0"/>
              <w:adjustRightInd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符合第二章“</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须知前附表”第1.4.1项规定</w:t>
            </w:r>
          </w:p>
        </w:tc>
      </w:tr>
      <w:tr w14:paraId="22798B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00" w:type="dxa"/>
            <w:vMerge w:val="restart"/>
            <w:noWrap w:val="0"/>
            <w:vAlign w:val="center"/>
          </w:tcPr>
          <w:p w14:paraId="5FFFAA92">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055" w:type="dxa"/>
            <w:vMerge w:val="restart"/>
            <w:noWrap w:val="0"/>
            <w:vAlign w:val="center"/>
          </w:tcPr>
          <w:p w14:paraId="241C440A">
            <w:pPr>
              <w:pageBreakBefore w:val="0"/>
              <w:kinsoku/>
              <w:overflowPunct/>
              <w:autoSpaceDE w:val="0"/>
              <w:autoSpaceDN w:val="0"/>
              <w:bidi w:val="0"/>
              <w:spacing w:line="240" w:lineRule="auto"/>
              <w:contextualSpacing/>
              <w:jc w:val="center"/>
              <w:rPr>
                <w:rFonts w:hint="eastAsia" w:ascii="宋体" w:hAnsi="宋体" w:eastAsia="宋体" w:cs="宋体"/>
                <w:color w:val="auto"/>
                <w:sz w:val="21"/>
                <w:szCs w:val="21"/>
                <w:highlight w:val="none"/>
              </w:rPr>
            </w:pPr>
            <w:bookmarkStart w:id="48" w:name="_Toc221950453"/>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评审标准</w:t>
            </w:r>
            <w:bookmarkEnd w:id="48"/>
          </w:p>
        </w:tc>
        <w:tc>
          <w:tcPr>
            <w:tcW w:w="2383" w:type="dxa"/>
            <w:gridSpan w:val="2"/>
            <w:noWrap w:val="0"/>
            <w:vAlign w:val="center"/>
          </w:tcPr>
          <w:p w14:paraId="54C8624B">
            <w:pPr>
              <w:pageBreakBefore w:val="0"/>
              <w:kinsoku/>
              <w:overflowPunct/>
              <w:bidi w:val="0"/>
              <w:spacing w:before="266"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采购内容</w:t>
            </w:r>
          </w:p>
        </w:tc>
        <w:tc>
          <w:tcPr>
            <w:tcW w:w="4828" w:type="dxa"/>
            <w:noWrap w:val="0"/>
            <w:vAlign w:val="center"/>
          </w:tcPr>
          <w:p w14:paraId="5FF6730F">
            <w:pPr>
              <w:pageBreakBefore w:val="0"/>
              <w:kinsoku/>
              <w:overflowPunct/>
              <w:bidi w:val="0"/>
              <w:spacing w:before="26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符合第二章“</w:t>
            </w:r>
            <w:r>
              <w:rPr>
                <w:rFonts w:hint="eastAsia" w:ascii="宋体" w:hAnsi="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须知”第1.3.1项规定</w:t>
            </w:r>
          </w:p>
        </w:tc>
      </w:tr>
      <w:tr w14:paraId="09837D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00" w:type="dxa"/>
            <w:vMerge w:val="continue"/>
            <w:noWrap w:val="0"/>
            <w:vAlign w:val="center"/>
          </w:tcPr>
          <w:p w14:paraId="4668FC76">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4BCEAECD">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48FC2FFE">
            <w:pPr>
              <w:pageBreakBefore w:val="0"/>
              <w:kinsoku/>
              <w:overflowPunct/>
              <w:bidi w:val="0"/>
              <w:spacing w:before="278"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pacing w:val="-3"/>
                <w:sz w:val="21"/>
                <w:szCs w:val="21"/>
                <w:highlight w:val="none"/>
                <w:lang w:val="en-US" w:eastAsia="zh-CN"/>
              </w:rPr>
              <w:t>服务期限</w:t>
            </w:r>
          </w:p>
        </w:tc>
        <w:tc>
          <w:tcPr>
            <w:tcW w:w="4828" w:type="dxa"/>
            <w:noWrap w:val="0"/>
            <w:vAlign w:val="center"/>
          </w:tcPr>
          <w:p w14:paraId="2100917B">
            <w:pPr>
              <w:pageBreakBefore w:val="0"/>
              <w:kinsoku/>
              <w:overflowPunct/>
              <w:bidi w:val="0"/>
              <w:spacing w:before="27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符合第二章“</w:t>
            </w:r>
            <w:r>
              <w:rPr>
                <w:rFonts w:hint="eastAsia" w:ascii="宋体" w:hAnsi="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须知”第1.3.2项规定</w:t>
            </w:r>
          </w:p>
        </w:tc>
      </w:tr>
      <w:tr w14:paraId="448712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00" w:type="dxa"/>
            <w:vMerge w:val="continue"/>
            <w:noWrap w:val="0"/>
            <w:vAlign w:val="center"/>
          </w:tcPr>
          <w:p w14:paraId="7C9B63A4">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6B49B494">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2A39FBA6">
            <w:pPr>
              <w:pageBreakBefore w:val="0"/>
              <w:kinsoku/>
              <w:overflowPunct/>
              <w:bidi w:val="0"/>
              <w:spacing w:before="2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服务地点</w:t>
            </w:r>
          </w:p>
        </w:tc>
        <w:tc>
          <w:tcPr>
            <w:tcW w:w="4828" w:type="dxa"/>
            <w:noWrap w:val="0"/>
            <w:vAlign w:val="center"/>
          </w:tcPr>
          <w:p w14:paraId="3EAA1CC8">
            <w:pPr>
              <w:pageBreakBefore w:val="0"/>
              <w:kinsoku/>
              <w:overflowPunct/>
              <w:bidi w:val="0"/>
              <w:spacing w:before="278" w:line="240"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符合第二章“</w:t>
            </w:r>
            <w:r>
              <w:rPr>
                <w:rFonts w:hint="eastAsia" w:ascii="宋体" w:hAnsi="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须知”第1.3.</w:t>
            </w:r>
            <w:r>
              <w:rPr>
                <w:rFonts w:hint="eastAsia" w:ascii="宋体" w:hAnsi="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项规定</w:t>
            </w:r>
          </w:p>
        </w:tc>
      </w:tr>
      <w:tr w14:paraId="1DDAAD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00" w:type="dxa"/>
            <w:vMerge w:val="continue"/>
            <w:noWrap w:val="0"/>
            <w:vAlign w:val="center"/>
          </w:tcPr>
          <w:p w14:paraId="52405345">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60B84A25">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13308C7B">
            <w:pPr>
              <w:pageBreakBefore w:val="0"/>
              <w:kinsoku/>
              <w:overflowPunct/>
              <w:bidi w:val="0"/>
              <w:spacing w:before="278" w:line="240" w:lineRule="auto"/>
              <w:jc w:val="center"/>
              <w:rPr>
                <w:rFonts w:hint="eastAsia" w:ascii="宋体" w:hAnsi="宋体" w:eastAsia="宋体" w:cs="宋体"/>
                <w:color w:val="auto"/>
                <w:sz w:val="21"/>
                <w:szCs w:val="21"/>
                <w:highlight w:val="none"/>
              </w:rPr>
            </w:pPr>
            <w:r>
              <w:rPr>
                <w:rFonts w:hint="eastAsia" w:ascii="宋体" w:hAnsi="宋体" w:eastAsia="宋体" w:cs="宋体"/>
                <w:szCs w:val="21"/>
                <w:highlight w:val="none"/>
              </w:rPr>
              <w:t>质量要求</w:t>
            </w:r>
          </w:p>
        </w:tc>
        <w:tc>
          <w:tcPr>
            <w:tcW w:w="4828" w:type="dxa"/>
            <w:noWrap w:val="0"/>
            <w:vAlign w:val="center"/>
          </w:tcPr>
          <w:p w14:paraId="23050AE7">
            <w:pPr>
              <w:pageBreakBefore w:val="0"/>
              <w:kinsoku/>
              <w:overflowPunct/>
              <w:bidi w:val="0"/>
              <w:spacing w:before="27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符合第二章“</w:t>
            </w:r>
            <w:r>
              <w:rPr>
                <w:rFonts w:hint="eastAsia" w:ascii="宋体" w:hAnsi="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须知”第1.3.</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项规定</w:t>
            </w:r>
          </w:p>
        </w:tc>
      </w:tr>
      <w:tr w14:paraId="1B3C37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00" w:type="dxa"/>
            <w:vMerge w:val="continue"/>
            <w:noWrap w:val="0"/>
            <w:vAlign w:val="center"/>
          </w:tcPr>
          <w:p w14:paraId="5BEA02EF">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4E0E57D3">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7C613BC3">
            <w:pPr>
              <w:pageBreakBefore w:val="0"/>
              <w:kinsoku/>
              <w:overflowPunct/>
              <w:bidi w:val="0"/>
              <w:spacing w:before="28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投标有效期</w:t>
            </w:r>
          </w:p>
        </w:tc>
        <w:tc>
          <w:tcPr>
            <w:tcW w:w="4828" w:type="dxa"/>
            <w:noWrap w:val="0"/>
            <w:vAlign w:val="center"/>
          </w:tcPr>
          <w:p w14:paraId="166FB296">
            <w:pPr>
              <w:pageBreakBefore w:val="0"/>
              <w:kinsoku/>
              <w:overflowPunct/>
              <w:bidi w:val="0"/>
              <w:spacing w:before="28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符合第二章“</w:t>
            </w:r>
            <w:r>
              <w:rPr>
                <w:rFonts w:hint="eastAsia" w:ascii="宋体" w:hAnsi="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须知”第3.3.1项规定</w:t>
            </w:r>
          </w:p>
        </w:tc>
      </w:tr>
      <w:tr w14:paraId="467D41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100" w:type="dxa"/>
            <w:vMerge w:val="continue"/>
            <w:noWrap w:val="0"/>
            <w:vAlign w:val="center"/>
          </w:tcPr>
          <w:p w14:paraId="00A57BC9">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1055" w:type="dxa"/>
            <w:vMerge w:val="continue"/>
            <w:noWrap w:val="0"/>
            <w:vAlign w:val="center"/>
          </w:tcPr>
          <w:p w14:paraId="0319E5EE">
            <w:pPr>
              <w:pageBreakBefore w:val="0"/>
              <w:kinsoku/>
              <w:overflowPunct/>
              <w:autoSpaceDE w:val="0"/>
              <w:autoSpaceDN w:val="0"/>
              <w:bidi w:val="0"/>
              <w:spacing w:line="240" w:lineRule="auto"/>
              <w:contextualSpacing/>
              <w:rPr>
                <w:rFonts w:hint="eastAsia" w:ascii="宋体" w:hAnsi="宋体" w:eastAsia="宋体" w:cs="宋体"/>
                <w:color w:val="auto"/>
                <w:sz w:val="21"/>
                <w:szCs w:val="21"/>
                <w:highlight w:val="none"/>
              </w:rPr>
            </w:pPr>
          </w:p>
        </w:tc>
        <w:tc>
          <w:tcPr>
            <w:tcW w:w="2383" w:type="dxa"/>
            <w:gridSpan w:val="2"/>
            <w:noWrap w:val="0"/>
            <w:vAlign w:val="center"/>
          </w:tcPr>
          <w:p w14:paraId="31ED3D36">
            <w:pPr>
              <w:pageBreakBefore w:val="0"/>
              <w:kinsoku/>
              <w:overflowPunct/>
              <w:bidi w:val="0"/>
              <w:spacing w:before="281" w:line="240" w:lineRule="auto"/>
              <w:jc w:val="center"/>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投标报价</w:t>
            </w:r>
          </w:p>
        </w:tc>
        <w:tc>
          <w:tcPr>
            <w:tcW w:w="4828" w:type="dxa"/>
            <w:noWrap w:val="0"/>
            <w:vAlign w:val="center"/>
          </w:tcPr>
          <w:p w14:paraId="6BB0E73A">
            <w:pPr>
              <w:pageBreakBefore w:val="0"/>
              <w:kinsoku/>
              <w:overflowPunct/>
              <w:bidi w:val="0"/>
              <w:spacing w:before="281" w:line="240"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投标报价不得超过招标控制价</w:t>
            </w:r>
          </w:p>
        </w:tc>
      </w:tr>
      <w:tr w14:paraId="5407EB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155" w:type="dxa"/>
            <w:gridSpan w:val="2"/>
            <w:noWrap w:val="0"/>
            <w:vAlign w:val="center"/>
          </w:tcPr>
          <w:p w14:paraId="35D47329">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49" w:name="_Toc221950456"/>
            <w:r>
              <w:rPr>
                <w:rFonts w:hint="eastAsia" w:ascii="宋体" w:hAnsi="宋体" w:eastAsia="宋体" w:cs="宋体"/>
                <w:b/>
                <w:color w:val="auto"/>
                <w:sz w:val="21"/>
                <w:szCs w:val="21"/>
                <w:highlight w:val="none"/>
              </w:rPr>
              <w:t>条款号</w:t>
            </w:r>
            <w:bookmarkEnd w:id="49"/>
          </w:p>
        </w:tc>
        <w:tc>
          <w:tcPr>
            <w:tcW w:w="2383" w:type="dxa"/>
            <w:gridSpan w:val="2"/>
            <w:noWrap w:val="0"/>
            <w:vAlign w:val="center"/>
          </w:tcPr>
          <w:p w14:paraId="0CEDD754">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50" w:name="_Toc221950457"/>
            <w:r>
              <w:rPr>
                <w:rFonts w:hint="eastAsia" w:ascii="宋体" w:hAnsi="宋体" w:eastAsia="宋体" w:cs="宋体"/>
                <w:b/>
                <w:color w:val="auto"/>
                <w:sz w:val="21"/>
                <w:szCs w:val="21"/>
                <w:highlight w:val="none"/>
              </w:rPr>
              <w:t>条款内容</w:t>
            </w:r>
            <w:bookmarkEnd w:id="50"/>
          </w:p>
        </w:tc>
        <w:tc>
          <w:tcPr>
            <w:tcW w:w="4828" w:type="dxa"/>
            <w:noWrap w:val="0"/>
            <w:vAlign w:val="center"/>
          </w:tcPr>
          <w:p w14:paraId="2E9A9C4C">
            <w:pPr>
              <w:pageBreakBefore w:val="0"/>
              <w:kinsoku/>
              <w:overflowPunct/>
              <w:autoSpaceDE w:val="0"/>
              <w:autoSpaceDN w:val="0"/>
              <w:bidi w:val="0"/>
              <w:spacing w:line="240" w:lineRule="auto"/>
              <w:contextualSpacing/>
              <w:jc w:val="center"/>
              <w:rPr>
                <w:rFonts w:hint="eastAsia" w:ascii="宋体" w:hAnsi="宋体" w:eastAsia="宋体" w:cs="宋体"/>
                <w:b/>
                <w:color w:val="auto"/>
                <w:sz w:val="21"/>
                <w:szCs w:val="21"/>
                <w:highlight w:val="none"/>
              </w:rPr>
            </w:pPr>
            <w:bookmarkStart w:id="51" w:name="_Toc221950458"/>
            <w:r>
              <w:rPr>
                <w:rFonts w:hint="eastAsia" w:ascii="宋体" w:hAnsi="宋体" w:eastAsia="宋体" w:cs="宋体"/>
                <w:b/>
                <w:color w:val="auto"/>
                <w:sz w:val="21"/>
                <w:szCs w:val="21"/>
                <w:highlight w:val="none"/>
              </w:rPr>
              <w:t>编列内容</w:t>
            </w:r>
            <w:bookmarkEnd w:id="51"/>
          </w:p>
        </w:tc>
      </w:tr>
      <w:tr w14:paraId="348B71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2155" w:type="dxa"/>
            <w:gridSpan w:val="2"/>
            <w:noWrap w:val="0"/>
            <w:vAlign w:val="center"/>
          </w:tcPr>
          <w:p w14:paraId="07D04129">
            <w:pPr>
              <w:pageBreakBefore w:val="0"/>
              <w:kinsoku/>
              <w:overflowPunct/>
              <w:autoSpaceDE w:val="0"/>
              <w:autoSpaceDN w:val="0"/>
              <w:bidi w:val="0"/>
              <w:spacing w:line="240" w:lineRule="auto"/>
              <w:contextualSpacing/>
              <w:jc w:val="center"/>
              <w:rPr>
                <w:rFonts w:hint="eastAsia" w:ascii="宋体" w:hAnsi="宋体" w:eastAsia="宋体" w:cs="宋体"/>
                <w:color w:val="auto"/>
                <w:sz w:val="21"/>
                <w:szCs w:val="21"/>
                <w:highlight w:val="none"/>
              </w:rPr>
            </w:pPr>
            <w:bookmarkStart w:id="52" w:name="_Toc221950459"/>
            <w:r>
              <w:rPr>
                <w:rFonts w:hint="eastAsia" w:ascii="宋体" w:hAnsi="宋体" w:eastAsia="宋体" w:cs="宋体"/>
                <w:color w:val="auto"/>
                <w:sz w:val="21"/>
                <w:szCs w:val="21"/>
                <w:highlight w:val="none"/>
              </w:rPr>
              <w:t>2.2.1</w:t>
            </w:r>
            <w:bookmarkEnd w:id="52"/>
          </w:p>
        </w:tc>
        <w:tc>
          <w:tcPr>
            <w:tcW w:w="2383" w:type="dxa"/>
            <w:gridSpan w:val="2"/>
            <w:noWrap w:val="0"/>
            <w:vAlign w:val="center"/>
          </w:tcPr>
          <w:p w14:paraId="01AB5BE6">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7B83C3ED">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4828" w:type="dxa"/>
            <w:noWrap w:val="0"/>
            <w:vAlign w:val="center"/>
          </w:tcPr>
          <w:p w14:paraId="13BE8808">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14:paraId="70B37CDE">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技术部分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分</w:t>
            </w:r>
          </w:p>
          <w:p w14:paraId="1B132F20">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综合部分：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tc>
      </w:tr>
      <w:tr w14:paraId="218C0B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1100" w:type="dxa"/>
            <w:tcBorders>
              <w:right w:val="single" w:color="auto" w:sz="4" w:space="0"/>
            </w:tcBorders>
            <w:noWrap w:val="0"/>
            <w:vAlign w:val="center"/>
          </w:tcPr>
          <w:p w14:paraId="53F8BD6D">
            <w:pPr>
              <w:pageBreakBefore w:val="0"/>
              <w:kinsoku/>
              <w:overflowPunct/>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lang w:val="en-US" w:eastAsia="zh-CN"/>
              </w:rPr>
              <w:t>条款号</w:t>
            </w:r>
          </w:p>
        </w:tc>
        <w:tc>
          <w:tcPr>
            <w:tcW w:w="1055" w:type="dxa"/>
            <w:tcBorders>
              <w:left w:val="single" w:color="auto" w:sz="4" w:space="0"/>
            </w:tcBorders>
            <w:noWrap w:val="0"/>
            <w:vAlign w:val="center"/>
          </w:tcPr>
          <w:p w14:paraId="6981D37F">
            <w:pPr>
              <w:pageBreakBefore w:val="0"/>
              <w:kinsoku/>
              <w:overflowPunct/>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lang w:val="en-US" w:eastAsia="zh-CN"/>
              </w:rPr>
              <w:t>评分因素</w:t>
            </w:r>
          </w:p>
        </w:tc>
        <w:tc>
          <w:tcPr>
            <w:tcW w:w="7211" w:type="dxa"/>
            <w:gridSpan w:val="3"/>
            <w:noWrap w:val="0"/>
            <w:vAlign w:val="center"/>
          </w:tcPr>
          <w:p w14:paraId="0D038487">
            <w:pPr>
              <w:pageBreakBefore w:val="0"/>
              <w:kinsoku/>
              <w:overflowPunct/>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评分标准</w:t>
            </w:r>
          </w:p>
        </w:tc>
      </w:tr>
      <w:tr w14:paraId="4378A6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tcBorders>
              <w:right w:val="single" w:color="auto" w:sz="4" w:space="0"/>
            </w:tcBorders>
            <w:noWrap w:val="0"/>
            <w:vAlign w:val="center"/>
          </w:tcPr>
          <w:p w14:paraId="400B9A77">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p w14:paraId="2627F45C">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55" w:type="dxa"/>
            <w:tcBorders>
              <w:left w:val="single" w:color="auto" w:sz="4" w:space="0"/>
            </w:tcBorders>
            <w:noWrap w:val="0"/>
            <w:vAlign w:val="center"/>
          </w:tcPr>
          <w:p w14:paraId="1CBB32C5">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投标报价评分标准</w:t>
            </w:r>
          </w:p>
          <w:p w14:paraId="48ACE981">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2383" w:type="dxa"/>
            <w:gridSpan w:val="2"/>
            <w:noWrap w:val="0"/>
            <w:vAlign w:val="center"/>
          </w:tcPr>
          <w:p w14:paraId="50C7890D">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p w14:paraId="22512D98">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4828" w:type="dxa"/>
            <w:noWrap w:val="0"/>
            <w:vAlign w:val="top"/>
          </w:tcPr>
          <w:p w14:paraId="5F7C5815">
            <w:pPr>
              <w:pageBreakBefore w:val="0"/>
              <w:kinsoku/>
              <w:overflowPunct/>
              <w:autoSpaceDE w:val="0"/>
              <w:autoSpaceDN w:val="0"/>
              <w:bidi w:val="0"/>
              <w:spacing w:line="240" w:lineRule="auto"/>
              <w:ind w:left="-2" w:leftChars="-1" w:firstLine="2"/>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价格分采用低价优先法计算，即满足招标文件要求且投标价格最低的投标报价为评标基准价，其价格分为满分。其他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的价格分统一按照下列公式计算：</w:t>
            </w:r>
          </w:p>
          <w:p w14:paraId="2C87D7E8">
            <w:pPr>
              <w:pageBreakBefore w:val="0"/>
              <w:kinsoku/>
              <w:overflowPunct/>
              <w:autoSpaceDE w:val="0"/>
              <w:autoSpaceDN w:val="0"/>
              <w:bidi w:val="0"/>
              <w:spacing w:line="240" w:lineRule="auto"/>
              <w:ind w:left="-2" w:leftChars="-1" w:firstLine="2"/>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投标报价得分=(评标基准价/投标报价)×20</w:t>
            </w:r>
          </w:p>
          <w:p w14:paraId="2E590EE2">
            <w:pPr>
              <w:pageBreakBefore w:val="0"/>
              <w:kinsoku/>
              <w:overflowPunct/>
              <w:autoSpaceDE w:val="0"/>
              <w:autoSpaceDN w:val="0"/>
              <w:bidi w:val="0"/>
              <w:spacing w:line="240" w:lineRule="auto"/>
              <w:ind w:left="-2" w:leftChars="-1" w:firstLine="2"/>
              <w:contextualSpacing/>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注：因本项目为专门面向中小企业，小型、微型、监狱企业、残疾人福利性单位，投标报价不再进行评标报价的扣除。</w:t>
            </w:r>
          </w:p>
          <w:p w14:paraId="36362163">
            <w:pPr>
              <w:pageBreakBefore w:val="0"/>
              <w:kinsoku/>
              <w:overflowPunct/>
              <w:autoSpaceDE w:val="0"/>
              <w:autoSpaceDN w:val="0"/>
              <w:bidi w:val="0"/>
              <w:spacing w:line="240" w:lineRule="auto"/>
              <w:ind w:left="-2" w:leftChars="-1" w:firstLine="2"/>
              <w:contextualSpacing/>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加投标的小微企业，应当按照《政府采购促进中小企业发展管理办法》（财库〔2020〕46号）的规定提供《中小企业声明函》，中小企业划型标准详见《关于印发中小企业划型标准规定的通知》工信部联企业〔2011〕300号。</w:t>
            </w:r>
          </w:p>
          <w:p w14:paraId="1C55C090">
            <w:pPr>
              <w:pageBreakBefore w:val="0"/>
              <w:kinsoku/>
              <w:overflowPunct/>
              <w:autoSpaceDE w:val="0"/>
              <w:autoSpaceDN w:val="0"/>
              <w:bidi w:val="0"/>
              <w:spacing w:line="240" w:lineRule="auto"/>
              <w:ind w:left="-2" w:leftChars="-1" w:firstLine="2"/>
              <w:contextualSpacing/>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监狱企业参加政府采购活动时，应当提供由省级以上监狱管理局、戒毒管理局（含新疆生产建设兵团）出具的属于监狱企业的证明文件。</w:t>
            </w:r>
          </w:p>
          <w:p w14:paraId="4E5BFE3D">
            <w:pPr>
              <w:pageBreakBefore w:val="0"/>
              <w:kinsoku/>
              <w:overflowPunct/>
              <w:autoSpaceDE w:val="0"/>
              <w:autoSpaceDN w:val="0"/>
              <w:bidi w:val="0"/>
              <w:spacing w:line="240" w:lineRule="auto"/>
              <w:ind w:left="-2" w:leftChars="-1" w:firstLine="2"/>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财库〔2017〕141号《三部门联合发布关于促进残疾人就业政府采购政策的通知》残疾人福利性单位视同小型、微型企业，残疾人福利性单位在参加政府采购活动时提供《残疾人福利性单位声明函》，不再提供《中小微企业声明函》，</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在《残疾人福利性单位声明函》中的承诺如有虚假，其中标资格将被取消，并根据相关规定进行处罚。</w:t>
            </w:r>
          </w:p>
        </w:tc>
      </w:tr>
      <w:tr w14:paraId="18E308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restart"/>
            <w:tcBorders>
              <w:right w:val="single" w:color="auto" w:sz="4" w:space="0"/>
            </w:tcBorders>
            <w:noWrap w:val="0"/>
            <w:vAlign w:val="center"/>
          </w:tcPr>
          <w:p w14:paraId="6AA20B7B">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p w14:paraId="65BAD40C">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55" w:type="dxa"/>
            <w:vMerge w:val="restart"/>
            <w:tcBorders>
              <w:left w:val="single" w:color="auto" w:sz="4" w:space="0"/>
            </w:tcBorders>
            <w:noWrap w:val="0"/>
            <w:vAlign w:val="center"/>
          </w:tcPr>
          <w:p w14:paraId="581D5343">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技术部分评分标准</w:t>
            </w:r>
          </w:p>
          <w:p w14:paraId="18942562">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（60分）</w:t>
            </w:r>
          </w:p>
        </w:tc>
        <w:tc>
          <w:tcPr>
            <w:tcW w:w="2383" w:type="dxa"/>
            <w:gridSpan w:val="2"/>
            <w:noWrap w:val="0"/>
            <w:vAlign w:val="center"/>
          </w:tcPr>
          <w:p w14:paraId="0445559A">
            <w:pPr>
              <w:pageBreakBefore w:val="0"/>
              <w:kinsoku/>
              <w:overflowPunct/>
              <w:autoSpaceDE w:val="0"/>
              <w:autoSpaceDN w:val="0"/>
              <w:bidi w:val="0"/>
              <w:spacing w:line="240" w:lineRule="auto"/>
              <w:ind w:left="-2" w:leftChars="0" w:firstLine="0"/>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绿化养护整体理解、设想及总体方案（0-6分）</w:t>
            </w:r>
          </w:p>
        </w:tc>
        <w:tc>
          <w:tcPr>
            <w:tcW w:w="4828" w:type="dxa"/>
            <w:noWrap w:val="0"/>
            <w:vAlign w:val="center"/>
          </w:tcPr>
          <w:p w14:paraId="7BAAA3B9">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须根据采购需求提供</w:t>
            </w: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本项目的绿化养护整体理解、设想及总体方案，方案应包括：项目需求分析及设想、项目现场组织、管理机构设置、质量责任监管、监督考核机制、项目的接管及移交方案或采购人认为需要的其他内容等。</w:t>
            </w:r>
          </w:p>
          <w:p w14:paraId="011B8B8A">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方案合理、全面、具体详实、可行性强，针对性强的6分；</w:t>
            </w:r>
          </w:p>
          <w:p w14:paraId="7C46C4B4">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方案较合理、较全面，可行性较强，针对性较强的得4分；</w:t>
            </w:r>
          </w:p>
          <w:p w14:paraId="7B14E472">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方案一般合理、一般全面，可行性一般，针对性一般的得2分；</w:t>
            </w:r>
          </w:p>
          <w:p w14:paraId="376C69CA">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方案缺项得0分。</w:t>
            </w:r>
          </w:p>
        </w:tc>
      </w:tr>
      <w:tr w14:paraId="203739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65B6C30D">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6BA5ACA3">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5AAF2010">
            <w:pPr>
              <w:widowControl/>
              <w:spacing w:line="4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绿化养护管理方案（0-6分）</w:t>
            </w:r>
          </w:p>
        </w:tc>
        <w:tc>
          <w:tcPr>
            <w:tcW w:w="4828" w:type="dxa"/>
            <w:noWrap w:val="0"/>
            <w:vAlign w:val="center"/>
          </w:tcPr>
          <w:p w14:paraId="1BAE0D92">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须根据采购需求提供针对本项目的绿化养护管理方案，包括除草、整形修剪、树木扶正、病虫害防治、抗旱排涝、施肥、看护、死亡苗木去除、缺棵苗木补植等方面的工作方法流程和技术管理。</w:t>
            </w:r>
          </w:p>
          <w:p w14:paraId="6CA74F43">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方案合理、全面、具体详实、可行性强，针对性强的得6分；</w:t>
            </w:r>
          </w:p>
          <w:p w14:paraId="7DC39B50">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方案较合理、较全面，可行性较强，针对性较强的得4分；</w:t>
            </w:r>
          </w:p>
          <w:p w14:paraId="568F3567">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方案一般合理、一般全面，可行性一般，针对性一般的得2分；</w:t>
            </w:r>
          </w:p>
          <w:p w14:paraId="68E22A9A">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方案缺项得0分。</w:t>
            </w:r>
          </w:p>
        </w:tc>
      </w:tr>
      <w:tr w14:paraId="5DF659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32C20ADE">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7AD7A415">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550A3F8C">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养护计划（0-6分）</w:t>
            </w:r>
          </w:p>
        </w:tc>
        <w:tc>
          <w:tcPr>
            <w:tcW w:w="4828" w:type="dxa"/>
            <w:noWrap w:val="0"/>
            <w:vAlign w:val="center"/>
          </w:tcPr>
          <w:p w14:paraId="32EBB003">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绿化养护计划结合季节变化，考虑各类植物特性，养护计划周密，措施有效。</w:t>
            </w:r>
          </w:p>
          <w:p w14:paraId="30214ED8">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计划及措施详细、科学、合理、针对性强的，得6分；</w:t>
            </w:r>
          </w:p>
          <w:p w14:paraId="3F0CF4A2">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计划及措施较详细、较合理、针对性较强的，得4分；</w:t>
            </w:r>
          </w:p>
          <w:p w14:paraId="29A4063E">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计划及措施一般详细、一般合理、针对性一般的，得2分；</w:t>
            </w:r>
          </w:p>
          <w:p w14:paraId="31D78414">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计划及措施缺项得0分。</w:t>
            </w:r>
          </w:p>
        </w:tc>
      </w:tr>
      <w:tr w14:paraId="15CBE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3705A9D2">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0633B094">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6B69E360">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绿化养护质量及各环节监控措施（0-5分）</w:t>
            </w:r>
          </w:p>
        </w:tc>
        <w:tc>
          <w:tcPr>
            <w:tcW w:w="4828" w:type="dxa"/>
            <w:noWrap w:val="0"/>
            <w:vAlign w:val="center"/>
          </w:tcPr>
          <w:p w14:paraId="65F3D4CD">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绿化养护质量及各环节监控措施全面、得当符合项目特点的得5分；较全面、较详细的得3分；一般全面、一般详细的得1分；</w:t>
            </w:r>
          </w:p>
          <w:p w14:paraId="4CC5F79B">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缺项得0分。</w:t>
            </w:r>
          </w:p>
        </w:tc>
      </w:tr>
      <w:tr w14:paraId="64C03F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1F0FB356">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2A6A5963">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366509AE">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绿化养护安全管理措施（含安全生产、文明养护等措施）（0-5分）</w:t>
            </w:r>
          </w:p>
        </w:tc>
        <w:tc>
          <w:tcPr>
            <w:tcW w:w="4828" w:type="dxa"/>
            <w:noWrap w:val="0"/>
            <w:vAlign w:val="center"/>
          </w:tcPr>
          <w:p w14:paraId="25AFF0B9">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绿化养护安全管理措施（含安全生产、文明养护等措施）全面、得当符合项目特点的得5分；较全面、较详细的得3分；一般全面、一般详细的得1分；缺项得0分。</w:t>
            </w:r>
          </w:p>
        </w:tc>
      </w:tr>
      <w:tr w14:paraId="767AD7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1CF3370B">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634AA66A">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78C2725A">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园林绿化保护工作方案及措施（0-6分）</w:t>
            </w:r>
          </w:p>
        </w:tc>
        <w:tc>
          <w:tcPr>
            <w:tcW w:w="4828" w:type="dxa"/>
            <w:noWrap w:val="0"/>
            <w:vAlign w:val="center"/>
          </w:tcPr>
          <w:p w14:paraId="4D47AAE1">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园林绿化保护工作方案完整，措施有效扎实，管理责任清晰。包括保护工作责任落实、24小时巡逻等。</w:t>
            </w:r>
          </w:p>
          <w:p w14:paraId="633770D9">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方案及措施详细、科学、合理、针对性强的，得6分；</w:t>
            </w:r>
          </w:p>
          <w:p w14:paraId="716CF3B0">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方案及措施较详细、较合理、针对性较强的，得4分；</w:t>
            </w:r>
          </w:p>
          <w:p w14:paraId="12F0373E">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方案及措施一般详细、一般合理、针对性一般的，得2分；</w:t>
            </w:r>
          </w:p>
          <w:p w14:paraId="4AA68311">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方案及措施缺项得0分。</w:t>
            </w:r>
          </w:p>
        </w:tc>
      </w:tr>
      <w:tr w14:paraId="7480D3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22F7C4B0">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0E52E201">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10974276">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设施综合维护管理方案及措施（0-5分）</w:t>
            </w:r>
          </w:p>
        </w:tc>
        <w:tc>
          <w:tcPr>
            <w:tcW w:w="4828" w:type="dxa"/>
            <w:noWrap w:val="0"/>
            <w:vAlign w:val="center"/>
          </w:tcPr>
          <w:p w14:paraId="6478E245">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具有对绿化养护承包区内设施综合维护管理方案及措施。</w:t>
            </w:r>
          </w:p>
          <w:p w14:paraId="23068B98">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方案及措施详细、科学、合理、针对性强的，得5分；</w:t>
            </w:r>
          </w:p>
          <w:p w14:paraId="6B7382DB">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方案及措施较详细、较合理、针对性较强的，得3分；</w:t>
            </w:r>
          </w:p>
          <w:p w14:paraId="3A5A1DFB">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方案及措施一般详细、一般合理、针对性一般的，得1分；</w:t>
            </w:r>
          </w:p>
          <w:p w14:paraId="230F0904">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方案及措施缺项得0分。</w:t>
            </w:r>
          </w:p>
        </w:tc>
      </w:tr>
      <w:tr w14:paraId="6CE55D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450DFE41">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449EE170">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263E489A">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人员配置、培训及管理方案（0-6分）</w:t>
            </w:r>
          </w:p>
        </w:tc>
        <w:tc>
          <w:tcPr>
            <w:tcW w:w="4828" w:type="dxa"/>
            <w:noWrap w:val="0"/>
            <w:vAlign w:val="center"/>
          </w:tcPr>
          <w:p w14:paraId="789AFC48">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详细的人员安排计划、人员分工，岗位职责齐全，有完善的岗前、岗后培训计划和培训考核方案、人员考勤、行政、绩效奖惩管理考核方案，能够有效实施管理工作。包括各专业工种人员的配备以及劳动力安排具有详细的人员安排计划、培训及管理方案等内容；</w:t>
            </w:r>
          </w:p>
          <w:p w14:paraId="20B4BDAE">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内容全面、科学合理、切实可行、针对性强并完全能够满足工作需要的得6分；</w:t>
            </w:r>
          </w:p>
          <w:p w14:paraId="14E494D2">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内容较全面、较科学合理、可行性较强、针对性较强比较完全能够满足工作需要的得4分；</w:t>
            </w:r>
          </w:p>
          <w:p w14:paraId="3793F787">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内容一般全面、一般科学合理、可行性一般、针对性一般，基本能够满足工作需要的得2分；</w:t>
            </w:r>
          </w:p>
          <w:p w14:paraId="74FF64BF">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内容缺项得0分。</w:t>
            </w:r>
          </w:p>
        </w:tc>
      </w:tr>
      <w:tr w14:paraId="7A969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7F651BAC">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7D69F372">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7F1ACC4E">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计划拟投入工具、设备方案（0-5分）</w:t>
            </w:r>
          </w:p>
        </w:tc>
        <w:tc>
          <w:tcPr>
            <w:tcW w:w="4828" w:type="dxa"/>
            <w:noWrap w:val="0"/>
            <w:vAlign w:val="center"/>
          </w:tcPr>
          <w:p w14:paraId="7A65E5DF">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计划拟投入工具、设备配备齐全，方案合理、可行性强，针对性强的得5分；</w:t>
            </w:r>
          </w:p>
          <w:p w14:paraId="70E49C78">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计划拟投入工具、设备配备较齐全，方案较合理、可行性较强，针对性较强的得3分；</w:t>
            </w:r>
          </w:p>
          <w:p w14:paraId="28E27287">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计划拟投入工具、设备配备一般齐全，方案一般、可行性一般，针对性一般的得1分；</w:t>
            </w:r>
          </w:p>
          <w:p w14:paraId="0E832C74">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计划拟投入工具、设备配备缺项得0分。</w:t>
            </w:r>
          </w:p>
        </w:tc>
      </w:tr>
      <w:tr w14:paraId="7985D3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5400A306">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7C41D559">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56BFC0FC">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突发事件应急预案（0-5分）</w:t>
            </w:r>
          </w:p>
        </w:tc>
        <w:tc>
          <w:tcPr>
            <w:tcW w:w="4828" w:type="dxa"/>
            <w:noWrap w:val="0"/>
            <w:vAlign w:val="center"/>
          </w:tcPr>
          <w:p w14:paraId="5BE03EC0">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包括突发事件、防汛、重大活动、重要检查及各级业务主管部门安排的临时性工作等突发情况制定应急方案。</w:t>
            </w:r>
          </w:p>
          <w:p w14:paraId="73393F54">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应急方案完善、可行性强的得5分；</w:t>
            </w:r>
          </w:p>
          <w:p w14:paraId="764801F1">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应急方案较完善、可行性较强的得3分；</w:t>
            </w:r>
          </w:p>
          <w:p w14:paraId="696466B2">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应急方案一般完善、可行性一般的得1分；</w:t>
            </w:r>
          </w:p>
          <w:p w14:paraId="463A08C3">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应急方案缺项得0分。</w:t>
            </w:r>
          </w:p>
        </w:tc>
      </w:tr>
      <w:tr w14:paraId="6AD6E5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2E8C4A88">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3AFDDF3E">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4993C7F6">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重难点问题分析方案（0-5分）</w:t>
            </w:r>
          </w:p>
        </w:tc>
        <w:tc>
          <w:tcPr>
            <w:tcW w:w="4828" w:type="dxa"/>
            <w:noWrap w:val="0"/>
            <w:vAlign w:val="center"/>
          </w:tcPr>
          <w:p w14:paraId="68D59C7C">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对项目重难点问题进行分析全面，解决方案合理、可行，得5分；</w:t>
            </w:r>
          </w:p>
          <w:p w14:paraId="1B3D19BF">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对项目重难点问题进行分析较全面，解决方案较合理、较可行，得3分；</w:t>
            </w:r>
          </w:p>
          <w:p w14:paraId="7923078E">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对项目重难点问题进行分析一般全面，解决方案一般合理、一般可行，得1分；</w:t>
            </w:r>
          </w:p>
          <w:p w14:paraId="536CEE57">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对项目重难点问题进行分析缺项得0分。</w:t>
            </w:r>
          </w:p>
        </w:tc>
      </w:tr>
      <w:tr w14:paraId="20F6B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restart"/>
            <w:tcBorders>
              <w:right w:val="single" w:color="auto" w:sz="4" w:space="0"/>
            </w:tcBorders>
            <w:noWrap w:val="0"/>
            <w:vAlign w:val="center"/>
          </w:tcPr>
          <w:p w14:paraId="70643D06">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0F69FAA3">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22A616B7">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22383CE5">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6577C3F3">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403A3612">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11F6D769">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4AB443DC">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56A87D80">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7961ABCE">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13CA775F">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679C0F06">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67CAC3DC">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6C9A26D0">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65F44DA5">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p>
          <w:p w14:paraId="44BF042F">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p w14:paraId="0DE22D1C">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55" w:type="dxa"/>
            <w:vMerge w:val="restart"/>
            <w:tcBorders>
              <w:left w:val="single" w:color="auto" w:sz="4" w:space="0"/>
            </w:tcBorders>
            <w:noWrap w:val="0"/>
            <w:vAlign w:val="center"/>
          </w:tcPr>
          <w:p w14:paraId="0D35E768">
            <w:pPr>
              <w:pageBreakBefore w:val="0"/>
              <w:kinsoku/>
              <w:overflowPunct/>
              <w:autoSpaceDE w:val="0"/>
              <w:autoSpaceDN w:val="0"/>
              <w:bidi w:val="0"/>
              <w:spacing w:line="240" w:lineRule="auto"/>
              <w:ind w:left="0" w:leftChars="0"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综合部分评分标准 （20分）</w:t>
            </w:r>
          </w:p>
        </w:tc>
        <w:tc>
          <w:tcPr>
            <w:tcW w:w="2383" w:type="dxa"/>
            <w:gridSpan w:val="2"/>
            <w:vMerge w:val="restart"/>
            <w:noWrap w:val="0"/>
            <w:vAlign w:val="center"/>
          </w:tcPr>
          <w:p w14:paraId="607CD0B7">
            <w:pPr>
              <w:pageBreakBefore w:val="0"/>
              <w:kinsoku/>
              <w:overflowPunct/>
              <w:autoSpaceDE w:val="0"/>
              <w:autoSpaceDN w:val="0"/>
              <w:bidi w:val="0"/>
              <w:spacing w:line="240" w:lineRule="auto"/>
              <w:ind w:left="-2" w:leftChars="-1" w:firstLine="2"/>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服务承诺（16分）</w:t>
            </w:r>
          </w:p>
        </w:tc>
        <w:tc>
          <w:tcPr>
            <w:tcW w:w="4828" w:type="dxa"/>
            <w:noWrap w:val="0"/>
            <w:vAlign w:val="top"/>
          </w:tcPr>
          <w:p w14:paraId="1B551D69">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1.养护期内投入充足人员、设备，保证服务质量的承诺及措施</w:t>
            </w:r>
            <w:r>
              <w:rPr>
                <w:rFonts w:hint="eastAsia" w:ascii="宋体" w:hAnsi="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val="en-US" w:eastAsia="zh-CN"/>
              </w:rPr>
              <w:t>：</w:t>
            </w:r>
          </w:p>
          <w:p w14:paraId="7202BB2B">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承诺及措施内容详尽、完善、合理的得3分；</w:t>
            </w:r>
          </w:p>
          <w:p w14:paraId="26FED520">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承诺及措施内容较详尽、较完善、较合理的得2分；</w:t>
            </w:r>
          </w:p>
          <w:p w14:paraId="0FB966FA">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内容一般详尽、一般完善、一般合理的得1分；</w:t>
            </w:r>
          </w:p>
          <w:p w14:paraId="34268A95">
            <w:pPr>
              <w:pageBreakBefore w:val="0"/>
              <w:kinsoku/>
              <w:overflowPunct/>
              <w:autoSpaceDE w:val="0"/>
              <w:autoSpaceDN w:val="0"/>
              <w:bidi w:val="0"/>
              <w:spacing w:line="240" w:lineRule="auto"/>
              <w:ind w:left="-2" w:leftChars="-1" w:firstLine="2"/>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内容缺项得0分。</w:t>
            </w:r>
          </w:p>
        </w:tc>
      </w:tr>
      <w:tr w14:paraId="71FFFA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35BF0FE2">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2F710D60">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72278B31">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179A4922">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2.人员执业的规范性</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2CA83DD9">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承诺遵守国家、省、市作业标准，工作人员在工作中遵守制度、遵守岗位职责、作业标准、职业道德规范、文明服务，具有相应的管理措施；</w:t>
            </w:r>
          </w:p>
          <w:p w14:paraId="1BA75FA3">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内容详尽、完善，措施合理、可行的得3分；</w:t>
            </w:r>
          </w:p>
          <w:p w14:paraId="29E47CA1">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内容较详尽、较完善，措施较合理、较可行的得2分；</w:t>
            </w:r>
          </w:p>
          <w:p w14:paraId="2CCBBE55">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内容一般完善，措施一般合理、可行性一般的得1分；</w:t>
            </w:r>
          </w:p>
          <w:p w14:paraId="712547FC">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内容缺项得0分。</w:t>
            </w:r>
          </w:p>
        </w:tc>
      </w:tr>
      <w:tr w14:paraId="24226A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02EA8F34">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715F1269">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42DD5B0F">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4677A482">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3.不拖欠人员工资的承诺</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2分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26A66C26">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承诺不拖欠人员工资；按照《劳动法》、《民法典》、《职工带薪年假条例》及市政府要求，发放高温津贴、带薪年休假、支付加班或者延长工作时间工资，并具有相应的实施方案。</w:t>
            </w:r>
          </w:p>
          <w:p w14:paraId="0D755907">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内容完善，实施方案科学、合理、可行的得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12603DEA">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内容一般完善，实施方案一般合理、可行性一般的得1分；</w:t>
            </w:r>
          </w:p>
          <w:p w14:paraId="06DF72DB">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内容缺项得0分。</w:t>
            </w:r>
          </w:p>
        </w:tc>
      </w:tr>
      <w:tr w14:paraId="2D6390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3ADB4D5A">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3187F334">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4879F4B9">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1C6A3D1A">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4.违约责任划分及整改措施</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55F843BC">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违约责任划分及整改措施完善，符合本项目实际情况的得3分；</w:t>
            </w:r>
          </w:p>
          <w:p w14:paraId="34DFF505">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违约责任划分及整改措施较完善，较符合本项目实际情况的得2分；</w:t>
            </w:r>
          </w:p>
          <w:p w14:paraId="47C41F14">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违约责任划分及整改措施一般完善，基本符合本项目实际情况的得1分；</w:t>
            </w:r>
          </w:p>
          <w:p w14:paraId="0A4AE796">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违约责任划分及整改措施缺项得0分。</w:t>
            </w:r>
          </w:p>
        </w:tc>
      </w:tr>
      <w:tr w14:paraId="056235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21F5BAAA">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68FB7273">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0C5758B9">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0CB6E0BE">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5.前期接管承诺及合同到期时的交接承诺</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1分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175F5713">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有合理的前期接管承诺及合同到期时的交接承诺的得1分，没有不得分。</w:t>
            </w:r>
          </w:p>
        </w:tc>
      </w:tr>
      <w:tr w14:paraId="6FAB9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1FEDCD5A">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4026ACF8">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166125A1">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39D986E8">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6.人员数量及年龄的承诺</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1分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415A4D27">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承诺拟派本项目作业人员均满18周岁以上、60周岁以下、具备履行职责的身体条件。</w:t>
            </w:r>
          </w:p>
          <w:p w14:paraId="02F29E0A">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承诺拟配备作业人员满足上述要求得1分，不满足或缺项得0分。</w:t>
            </w:r>
          </w:p>
        </w:tc>
      </w:tr>
      <w:tr w14:paraId="77319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5F54640A">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68A13F75">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vMerge w:val="continue"/>
            <w:noWrap w:val="0"/>
            <w:vAlign w:val="center"/>
          </w:tcPr>
          <w:p w14:paraId="174307A1">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p>
        </w:tc>
        <w:tc>
          <w:tcPr>
            <w:tcW w:w="4828" w:type="dxa"/>
            <w:noWrap w:val="0"/>
            <w:vAlign w:val="center"/>
          </w:tcPr>
          <w:p w14:paraId="0ED56C12">
            <w:pPr>
              <w:widowControl/>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7.其他实质性承诺</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3分</w:t>
            </w:r>
            <w:r>
              <w:rPr>
                <w:rFonts w:hint="eastAsia" w:ascii="宋体" w:hAnsi="宋体" w:cs="宋体"/>
                <w:b/>
                <w:bCs/>
                <w:szCs w:val="21"/>
                <w:highlight w:val="none"/>
                <w:lang w:eastAsia="zh-CN"/>
              </w:rPr>
              <w:t>）</w:t>
            </w:r>
            <w:r>
              <w:rPr>
                <w:rFonts w:hint="eastAsia" w:ascii="宋体" w:hAnsi="宋体" w:eastAsia="宋体" w:cs="宋体"/>
                <w:b/>
                <w:bCs/>
                <w:szCs w:val="21"/>
                <w:highlight w:val="none"/>
              </w:rPr>
              <w:t>：</w:t>
            </w:r>
          </w:p>
          <w:p w14:paraId="5975AD7E">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其他实质性承诺符合本项目实际情况，可操作性强的得3分；</w:t>
            </w:r>
          </w:p>
          <w:p w14:paraId="5AAD7F2E">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其他实质性承诺比较符合本项目实际情况，可操作性较强的得2分；</w:t>
            </w:r>
          </w:p>
          <w:p w14:paraId="361F8A32">
            <w:pPr>
              <w:widowControl/>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其他实质性承诺一般符合本项目实际情况，可操作性一般的得1分；</w:t>
            </w:r>
          </w:p>
          <w:p w14:paraId="22309A07">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缺项得0分。</w:t>
            </w:r>
          </w:p>
        </w:tc>
      </w:tr>
      <w:tr w14:paraId="76A55E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00" w:type="dxa"/>
            <w:vMerge w:val="continue"/>
            <w:tcBorders>
              <w:right w:val="single" w:color="auto" w:sz="4" w:space="0"/>
            </w:tcBorders>
            <w:noWrap w:val="0"/>
            <w:vAlign w:val="center"/>
          </w:tcPr>
          <w:p w14:paraId="7F7A74EF">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1055" w:type="dxa"/>
            <w:vMerge w:val="continue"/>
            <w:tcBorders>
              <w:left w:val="single" w:color="auto" w:sz="4" w:space="0"/>
            </w:tcBorders>
            <w:noWrap w:val="0"/>
            <w:vAlign w:val="center"/>
          </w:tcPr>
          <w:p w14:paraId="0FCC55E8">
            <w:pPr>
              <w:pageBreakBefore w:val="0"/>
              <w:kinsoku/>
              <w:overflowPunct/>
              <w:bidi w:val="0"/>
              <w:spacing w:line="240" w:lineRule="auto"/>
              <w:jc w:val="center"/>
              <w:rPr>
                <w:rFonts w:hint="eastAsia" w:ascii="宋体" w:hAnsi="宋体" w:eastAsia="宋体" w:cs="宋体"/>
                <w:b w:val="0"/>
                <w:bCs/>
                <w:color w:val="auto"/>
                <w:sz w:val="21"/>
                <w:szCs w:val="21"/>
                <w:highlight w:val="none"/>
              </w:rPr>
            </w:pPr>
          </w:p>
        </w:tc>
        <w:tc>
          <w:tcPr>
            <w:tcW w:w="2383" w:type="dxa"/>
            <w:gridSpan w:val="2"/>
            <w:noWrap w:val="0"/>
            <w:vAlign w:val="center"/>
          </w:tcPr>
          <w:p w14:paraId="73C310DE">
            <w:pPr>
              <w:pageBreakBefore w:val="0"/>
              <w:kinsoku/>
              <w:overflowPunct/>
              <w:bidi w:val="0"/>
              <w:spacing w:line="240" w:lineRule="auto"/>
              <w:ind w:leftChars="0" w:firstLine="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企业业绩</w:t>
            </w:r>
          </w:p>
          <w:p w14:paraId="647C4725">
            <w:pPr>
              <w:pageBreakBefore w:val="0"/>
              <w:kinsoku/>
              <w:overflowPunct/>
              <w:bidi w:val="0"/>
              <w:spacing w:line="240" w:lineRule="auto"/>
              <w:ind w:leftChars="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(0-4分)</w:t>
            </w:r>
          </w:p>
        </w:tc>
        <w:tc>
          <w:tcPr>
            <w:tcW w:w="4828" w:type="dxa"/>
            <w:noWrap w:val="0"/>
            <w:vAlign w:val="center"/>
          </w:tcPr>
          <w:p w14:paraId="54B4AED3">
            <w:pPr>
              <w:pageBreakBefore w:val="0"/>
              <w:kinsoku/>
              <w:overflowPunct/>
              <w:bidi w:val="0"/>
              <w:spacing w:line="240" w:lineRule="auto"/>
              <w:ind w:leftChars="0" w:firstLine="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年1月1日至今承担过类似项目的业绩，每提供一项得2分，最多得4分。需提供合同清晰的扫描件，以合同</w:t>
            </w:r>
            <w:r>
              <w:rPr>
                <w:rFonts w:hint="eastAsia" w:ascii="宋体" w:hAnsi="宋体" w:cs="宋体"/>
                <w:color w:val="auto"/>
                <w:sz w:val="21"/>
                <w:szCs w:val="21"/>
                <w:highlight w:val="none"/>
                <w:lang w:val="en-US" w:eastAsia="zh-CN"/>
              </w:rPr>
              <w:t>签订</w:t>
            </w:r>
            <w:r>
              <w:rPr>
                <w:rFonts w:hint="eastAsia" w:ascii="宋体" w:hAnsi="宋体" w:eastAsia="宋体" w:cs="宋体"/>
                <w:color w:val="auto"/>
                <w:sz w:val="21"/>
                <w:szCs w:val="21"/>
                <w:highlight w:val="none"/>
                <w:lang w:val="en-US" w:eastAsia="zh-CN"/>
              </w:rPr>
              <w:t>日期为准。</w:t>
            </w:r>
          </w:p>
        </w:tc>
      </w:tr>
      <w:tr w14:paraId="1FD488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366" w:type="dxa"/>
            <w:gridSpan w:val="5"/>
            <w:noWrap w:val="0"/>
            <w:vAlign w:val="center"/>
          </w:tcPr>
          <w:p w14:paraId="35BB8C33">
            <w:pPr>
              <w:pageBreakBefore w:val="0"/>
              <w:kinsoku/>
              <w:overflowPunct/>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综合得分=投标报价得分+施工组织设计得分＋综合部分得分。</w:t>
            </w:r>
          </w:p>
          <w:p w14:paraId="5F60F6A5">
            <w:pPr>
              <w:pageBreakBefore w:val="0"/>
              <w:kinsoku/>
              <w:overflowPunct/>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的最终得分：（1）在评标委员会完成对技术标、商务标和综合标的汇总后，取算术平均值，作为该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的最终得分。（2）以上评分计算最终保留两位小数，第三位四舍五入，比值不足1%时，使用插值法。</w:t>
            </w:r>
          </w:p>
          <w:p w14:paraId="37937617">
            <w:pPr>
              <w:pageBreakBefore w:val="0"/>
              <w:kinsoku/>
              <w:overflowPunct/>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不再提供原始证件，以投标文件中清晰的复印件或影印件为准。</w:t>
            </w:r>
          </w:p>
        </w:tc>
      </w:tr>
      <w:tr w14:paraId="6FF63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restart"/>
            <w:tcBorders>
              <w:top w:val="single" w:color="auto" w:sz="4" w:space="0"/>
              <w:right w:val="single" w:color="auto" w:sz="4" w:space="0"/>
            </w:tcBorders>
            <w:noWrap w:val="0"/>
            <w:vAlign w:val="center"/>
          </w:tcPr>
          <w:p w14:paraId="052A48F0">
            <w:pPr>
              <w:pStyle w:val="18"/>
              <w:spacing w:before="0" w:beforeAutospacing="0" w:after="120" w:afterAutospacing="0"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废标条件</w:t>
            </w:r>
          </w:p>
        </w:tc>
        <w:tc>
          <w:tcPr>
            <w:tcW w:w="6720" w:type="dxa"/>
            <w:gridSpan w:val="2"/>
            <w:tcBorders>
              <w:top w:val="single" w:color="auto" w:sz="4" w:space="0"/>
              <w:left w:val="single" w:color="auto" w:sz="4" w:space="0"/>
              <w:bottom w:val="single" w:color="auto" w:sz="4" w:space="0"/>
            </w:tcBorders>
            <w:noWrap w:val="0"/>
            <w:vAlign w:val="center"/>
          </w:tcPr>
          <w:p w14:paraId="47294733">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1.当</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制作的投标文件机器码一致时，按废标处理。</w:t>
            </w:r>
          </w:p>
        </w:tc>
      </w:tr>
      <w:tr w14:paraId="67BE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14:paraId="3F1B963F">
            <w:pPr>
              <w:pStyle w:val="18"/>
              <w:spacing w:before="0" w:beforeAutospacing="0" w:after="120" w:afterAutospacing="0" w:line="360" w:lineRule="auto"/>
              <w:rPr>
                <w:rFonts w:hint="eastAsia" w:ascii="宋体" w:hAnsi="宋体" w:eastAsia="宋体" w:cs="宋体"/>
                <w:sz w:val="21"/>
                <w:szCs w:val="21"/>
                <w:highlight w:val="none"/>
              </w:rPr>
            </w:pPr>
          </w:p>
        </w:tc>
        <w:tc>
          <w:tcPr>
            <w:tcW w:w="6720" w:type="dxa"/>
            <w:gridSpan w:val="2"/>
            <w:tcBorders>
              <w:top w:val="single" w:color="auto" w:sz="4" w:space="0"/>
              <w:left w:val="single" w:color="auto" w:sz="4" w:space="0"/>
              <w:bottom w:val="single" w:color="auto" w:sz="4" w:space="0"/>
            </w:tcBorders>
            <w:noWrap w:val="0"/>
            <w:vAlign w:val="center"/>
          </w:tcPr>
          <w:p w14:paraId="4F1064D6">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2.串通投标或弄虚作假或有其他违法行为的，按废标处理。</w:t>
            </w:r>
          </w:p>
        </w:tc>
      </w:tr>
      <w:tr w14:paraId="2105B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14:paraId="5BCD660F">
            <w:pPr>
              <w:pStyle w:val="18"/>
              <w:spacing w:before="0" w:beforeAutospacing="0" w:after="120" w:afterAutospacing="0" w:line="360" w:lineRule="auto"/>
              <w:rPr>
                <w:rFonts w:hint="eastAsia" w:ascii="宋体" w:hAnsi="宋体" w:eastAsia="宋体" w:cs="宋体"/>
                <w:sz w:val="21"/>
                <w:szCs w:val="21"/>
                <w:highlight w:val="none"/>
              </w:rPr>
            </w:pPr>
          </w:p>
        </w:tc>
        <w:tc>
          <w:tcPr>
            <w:tcW w:w="6720" w:type="dxa"/>
            <w:gridSpan w:val="2"/>
            <w:tcBorders>
              <w:top w:val="single" w:color="auto" w:sz="4" w:space="0"/>
              <w:left w:val="single" w:color="auto" w:sz="4" w:space="0"/>
            </w:tcBorders>
            <w:noWrap w:val="0"/>
            <w:vAlign w:val="center"/>
          </w:tcPr>
          <w:p w14:paraId="4CF92F44">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3.不按评标委员会要求澄清、说明或补正的，按废标处理。</w:t>
            </w:r>
          </w:p>
        </w:tc>
      </w:tr>
    </w:tbl>
    <w:p w14:paraId="6F3A43A7">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0714F8EE">
      <w:pPr>
        <w:pStyle w:val="4"/>
        <w:numPr>
          <w:ilvl w:val="0"/>
          <w:numId w:val="2"/>
        </w:numPr>
        <w:rPr>
          <w:rFonts w:hint="eastAsia" w:ascii="宋体" w:hAnsi="宋体" w:eastAsia="宋体" w:cs="宋体"/>
          <w:sz w:val="24"/>
          <w:szCs w:val="24"/>
          <w:highlight w:val="none"/>
        </w:rPr>
      </w:pPr>
      <w:bookmarkStart w:id="53" w:name="_Toc22922"/>
      <w:bookmarkStart w:id="54" w:name="_Toc25935"/>
      <w:bookmarkStart w:id="55" w:name="_Toc19328"/>
      <w:bookmarkStart w:id="56" w:name="_Toc5114"/>
      <w:bookmarkStart w:id="57" w:name="_Toc11182"/>
      <w:bookmarkStart w:id="58" w:name="_Toc15298"/>
      <w:bookmarkStart w:id="59" w:name="_Toc5241"/>
      <w:bookmarkStart w:id="60" w:name="_Toc23063"/>
      <w:r>
        <w:rPr>
          <w:rFonts w:hint="eastAsia" w:ascii="宋体" w:hAnsi="宋体" w:eastAsia="宋体" w:cs="宋体"/>
          <w:sz w:val="24"/>
          <w:szCs w:val="24"/>
          <w:highlight w:val="none"/>
        </w:rPr>
        <w:t>评标办法</w:t>
      </w:r>
      <w:bookmarkEnd w:id="53"/>
      <w:bookmarkEnd w:id="54"/>
      <w:bookmarkEnd w:id="55"/>
      <w:bookmarkEnd w:id="56"/>
      <w:bookmarkEnd w:id="57"/>
      <w:bookmarkEnd w:id="58"/>
      <w:bookmarkEnd w:id="59"/>
      <w:bookmarkEnd w:id="60"/>
    </w:p>
    <w:p w14:paraId="339DAA66">
      <w:pPr>
        <w:autoSpaceDE w:val="0"/>
        <w:autoSpaceDN w:val="0"/>
        <w:adjustRightInd w:val="0"/>
        <w:spacing w:line="360" w:lineRule="auto"/>
        <w:ind w:right="-23"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本次招标采用综合评分法评标，投标文件满足招标文件全部实质性要求，且按照评审因素的量化指标评审得分最高的</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为中标候选人的评标方法。</w:t>
      </w:r>
    </w:p>
    <w:p w14:paraId="4B8B9C5B">
      <w:pPr>
        <w:pStyle w:val="4"/>
        <w:numPr>
          <w:ilvl w:val="0"/>
          <w:numId w:val="2"/>
        </w:numPr>
        <w:rPr>
          <w:rFonts w:hint="eastAsia" w:ascii="宋体" w:hAnsi="宋体" w:eastAsia="宋体" w:cs="宋体"/>
          <w:sz w:val="24"/>
          <w:szCs w:val="24"/>
          <w:highlight w:val="none"/>
        </w:rPr>
      </w:pPr>
      <w:bookmarkStart w:id="61" w:name="_Toc20861"/>
      <w:bookmarkStart w:id="62" w:name="_Toc6135"/>
      <w:bookmarkStart w:id="63" w:name="_Toc29751"/>
      <w:bookmarkStart w:id="64" w:name="_Toc4469"/>
      <w:bookmarkStart w:id="65" w:name="_Toc26533"/>
      <w:bookmarkStart w:id="66" w:name="_Toc3406"/>
      <w:bookmarkStart w:id="67" w:name="_Toc20590"/>
      <w:bookmarkStart w:id="68" w:name="_Toc15517"/>
      <w:bookmarkStart w:id="69" w:name="_Toc15170"/>
      <w:bookmarkStart w:id="70" w:name="_Toc4003"/>
      <w:bookmarkStart w:id="71" w:name="_Toc25766"/>
      <w:bookmarkStart w:id="72" w:name="_Toc4802"/>
      <w:bookmarkStart w:id="73" w:name="_Toc5920"/>
      <w:r>
        <w:rPr>
          <w:rFonts w:hint="eastAsia" w:ascii="宋体" w:hAnsi="宋体" w:eastAsia="宋体" w:cs="宋体"/>
          <w:sz w:val="24"/>
          <w:szCs w:val="24"/>
          <w:highlight w:val="none"/>
        </w:rPr>
        <w:t>评审标准</w:t>
      </w:r>
      <w:bookmarkEnd w:id="61"/>
      <w:bookmarkEnd w:id="62"/>
      <w:bookmarkEnd w:id="63"/>
      <w:bookmarkEnd w:id="64"/>
      <w:bookmarkEnd w:id="65"/>
      <w:bookmarkEnd w:id="66"/>
      <w:bookmarkEnd w:id="67"/>
      <w:bookmarkEnd w:id="68"/>
      <w:bookmarkEnd w:id="69"/>
      <w:bookmarkEnd w:id="70"/>
      <w:bookmarkEnd w:id="71"/>
      <w:bookmarkEnd w:id="72"/>
      <w:bookmarkEnd w:id="73"/>
    </w:p>
    <w:p w14:paraId="3AB35D33">
      <w:pPr>
        <w:pStyle w:val="4"/>
        <w:rPr>
          <w:rFonts w:hint="eastAsia" w:ascii="宋体" w:hAnsi="宋体" w:eastAsia="宋体" w:cs="宋体"/>
          <w:highlight w:val="none"/>
        </w:rPr>
      </w:pPr>
      <w:bookmarkStart w:id="74" w:name="_Toc12847"/>
      <w:bookmarkStart w:id="75" w:name="_Toc25614"/>
      <w:bookmarkStart w:id="76" w:name="_Toc10568"/>
      <w:bookmarkStart w:id="77" w:name="_Toc27782"/>
      <w:bookmarkStart w:id="78" w:name="_Toc21567"/>
      <w:bookmarkStart w:id="79" w:name="_Toc23245"/>
      <w:bookmarkStart w:id="80" w:name="_Toc24699"/>
      <w:bookmarkStart w:id="81" w:name="_Toc15959"/>
      <w:bookmarkStart w:id="82" w:name="_Toc4247"/>
      <w:bookmarkStart w:id="83" w:name="_Toc26458"/>
      <w:bookmarkStart w:id="84" w:name="_Toc20701"/>
      <w:bookmarkStart w:id="85" w:name="_Toc6703"/>
      <w:bookmarkStart w:id="86" w:name="_Toc13690"/>
      <w:r>
        <w:rPr>
          <w:rFonts w:hint="eastAsia" w:ascii="宋体" w:hAnsi="宋体" w:eastAsia="宋体" w:cs="宋体"/>
          <w:highlight w:val="none"/>
        </w:rPr>
        <w:t>2.1符合性评审</w:t>
      </w:r>
      <w:bookmarkEnd w:id="74"/>
      <w:bookmarkEnd w:id="75"/>
      <w:bookmarkEnd w:id="76"/>
      <w:bookmarkEnd w:id="77"/>
      <w:bookmarkEnd w:id="78"/>
      <w:bookmarkEnd w:id="79"/>
      <w:bookmarkEnd w:id="80"/>
      <w:bookmarkEnd w:id="81"/>
      <w:bookmarkEnd w:id="82"/>
      <w:bookmarkEnd w:id="83"/>
      <w:bookmarkEnd w:id="84"/>
      <w:bookmarkEnd w:id="85"/>
      <w:bookmarkEnd w:id="86"/>
    </w:p>
    <w:p w14:paraId="21AEFEAF">
      <w:pPr>
        <w:autoSpaceDE w:val="0"/>
        <w:autoSpaceDN w:val="0"/>
        <w:adjustRightInd w:val="0"/>
        <w:spacing w:line="360" w:lineRule="auto"/>
        <w:ind w:left="522" w:right="-23"/>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符合性审查标准：见评标办法前附表。</w:t>
      </w:r>
    </w:p>
    <w:p w14:paraId="59B85DA5">
      <w:pPr>
        <w:pStyle w:val="4"/>
        <w:rPr>
          <w:rFonts w:hint="eastAsia" w:ascii="宋体" w:hAnsi="宋体" w:eastAsia="宋体" w:cs="宋体"/>
          <w:highlight w:val="none"/>
        </w:rPr>
      </w:pPr>
      <w:bookmarkStart w:id="87" w:name="_Toc31651"/>
      <w:bookmarkStart w:id="88" w:name="_Toc26407"/>
      <w:bookmarkStart w:id="89" w:name="_Toc17735"/>
      <w:bookmarkStart w:id="90" w:name="_Toc27691"/>
      <w:bookmarkStart w:id="91" w:name="_Toc28336"/>
      <w:bookmarkStart w:id="92" w:name="_Toc29139"/>
      <w:bookmarkStart w:id="93" w:name="_Toc3493"/>
      <w:bookmarkStart w:id="94" w:name="_Toc26096"/>
      <w:bookmarkStart w:id="95" w:name="_Toc31413"/>
      <w:bookmarkStart w:id="96" w:name="_Toc12877"/>
      <w:bookmarkStart w:id="97" w:name="_Toc27480"/>
      <w:bookmarkStart w:id="98" w:name="_Toc7259"/>
      <w:bookmarkStart w:id="99" w:name="_Toc19134"/>
      <w:r>
        <w:rPr>
          <w:rFonts w:hint="eastAsia" w:ascii="宋体" w:hAnsi="宋体" w:eastAsia="宋体" w:cs="宋体"/>
          <w:highlight w:val="none"/>
        </w:rPr>
        <w:t>2.2分值构成与评分标准</w:t>
      </w:r>
      <w:bookmarkEnd w:id="87"/>
      <w:bookmarkEnd w:id="88"/>
      <w:bookmarkEnd w:id="89"/>
      <w:bookmarkEnd w:id="90"/>
      <w:bookmarkEnd w:id="91"/>
      <w:bookmarkEnd w:id="92"/>
      <w:bookmarkEnd w:id="93"/>
      <w:bookmarkEnd w:id="94"/>
      <w:bookmarkEnd w:id="95"/>
      <w:bookmarkEnd w:id="96"/>
      <w:bookmarkEnd w:id="97"/>
      <w:bookmarkEnd w:id="98"/>
      <w:bookmarkEnd w:id="99"/>
    </w:p>
    <w:p w14:paraId="310DEEB2">
      <w:pPr>
        <w:autoSpaceDE w:val="0"/>
        <w:autoSpaceDN w:val="0"/>
        <w:adjustRightInd w:val="0"/>
        <w:spacing w:line="360" w:lineRule="auto"/>
        <w:ind w:left="520" w:right="-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2.2.1分</w:t>
      </w:r>
      <w:r>
        <w:rPr>
          <w:rFonts w:hint="eastAsia" w:ascii="宋体" w:hAnsi="宋体" w:eastAsia="宋体" w:cs="宋体"/>
          <w:spacing w:val="-2"/>
          <w:kern w:val="0"/>
          <w:szCs w:val="21"/>
          <w:highlight w:val="none"/>
        </w:rPr>
        <w:t>值</w:t>
      </w:r>
      <w:r>
        <w:rPr>
          <w:rFonts w:hint="eastAsia" w:ascii="宋体" w:hAnsi="宋体" w:eastAsia="宋体" w:cs="宋体"/>
          <w:kern w:val="0"/>
          <w:szCs w:val="21"/>
          <w:highlight w:val="none"/>
        </w:rPr>
        <w:t>构成</w:t>
      </w:r>
    </w:p>
    <w:p w14:paraId="6250AA38">
      <w:pPr>
        <w:numPr>
          <w:ilvl w:val="0"/>
          <w:numId w:val="3"/>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投标报价：见评标办法前附表；</w:t>
      </w:r>
    </w:p>
    <w:p w14:paraId="1623B542">
      <w:pPr>
        <w:numPr>
          <w:ilvl w:val="0"/>
          <w:numId w:val="3"/>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技术部分：见评标办法前附表；</w:t>
      </w:r>
    </w:p>
    <w:p w14:paraId="6CCE4F1E">
      <w:pPr>
        <w:numPr>
          <w:ilvl w:val="0"/>
          <w:numId w:val="3"/>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综合部分</w:t>
      </w:r>
      <w:r>
        <w:rPr>
          <w:rFonts w:hint="eastAsia" w:ascii="宋体" w:hAnsi="宋体" w:eastAsia="宋体" w:cs="宋体"/>
          <w:kern w:val="0"/>
          <w:szCs w:val="21"/>
          <w:highlight w:val="none"/>
        </w:rPr>
        <w:t>：见评标办法前附表；</w:t>
      </w:r>
    </w:p>
    <w:p w14:paraId="3406F88F">
      <w:pPr>
        <w:autoSpaceDE w:val="0"/>
        <w:autoSpaceDN w:val="0"/>
        <w:adjustRightInd w:val="0"/>
        <w:spacing w:before="7" w:line="360" w:lineRule="auto"/>
        <w:ind w:left="520" w:right="-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2.2.2评</w:t>
      </w:r>
      <w:r>
        <w:rPr>
          <w:rFonts w:hint="eastAsia" w:ascii="宋体" w:hAnsi="宋体" w:eastAsia="宋体" w:cs="宋体"/>
          <w:spacing w:val="-2"/>
          <w:kern w:val="0"/>
          <w:szCs w:val="21"/>
          <w:highlight w:val="none"/>
        </w:rPr>
        <w:t>分</w:t>
      </w:r>
      <w:r>
        <w:rPr>
          <w:rFonts w:hint="eastAsia" w:ascii="宋体" w:hAnsi="宋体" w:eastAsia="宋体" w:cs="宋体"/>
          <w:kern w:val="0"/>
          <w:szCs w:val="21"/>
          <w:highlight w:val="none"/>
        </w:rPr>
        <w:t>标准</w:t>
      </w:r>
    </w:p>
    <w:p w14:paraId="634D7DF1">
      <w:pPr>
        <w:numPr>
          <w:ilvl w:val="0"/>
          <w:numId w:val="4"/>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投标报价</w:t>
      </w:r>
      <w:r>
        <w:rPr>
          <w:rFonts w:hint="eastAsia" w:ascii="宋体" w:hAnsi="宋体" w:eastAsia="宋体" w:cs="宋体"/>
          <w:kern w:val="0"/>
          <w:szCs w:val="21"/>
          <w:highlight w:val="none"/>
          <w:lang w:val="en-US" w:eastAsia="zh-CN"/>
        </w:rPr>
        <w:t>评分标准</w:t>
      </w:r>
      <w:r>
        <w:rPr>
          <w:rFonts w:hint="eastAsia" w:ascii="宋体" w:hAnsi="宋体" w:eastAsia="宋体" w:cs="宋体"/>
          <w:kern w:val="0"/>
          <w:szCs w:val="21"/>
          <w:highlight w:val="none"/>
        </w:rPr>
        <w:t>：见评标办法前附表；</w:t>
      </w:r>
    </w:p>
    <w:p w14:paraId="5BF0B82D">
      <w:pPr>
        <w:numPr>
          <w:ilvl w:val="0"/>
          <w:numId w:val="4"/>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技术部分</w:t>
      </w:r>
      <w:r>
        <w:rPr>
          <w:rFonts w:hint="eastAsia" w:ascii="宋体" w:hAnsi="宋体" w:eastAsia="宋体" w:cs="宋体"/>
          <w:kern w:val="0"/>
          <w:szCs w:val="21"/>
          <w:highlight w:val="none"/>
          <w:lang w:val="en-US" w:eastAsia="zh-CN"/>
        </w:rPr>
        <w:t>评分标准</w:t>
      </w:r>
      <w:r>
        <w:rPr>
          <w:rFonts w:hint="eastAsia" w:ascii="宋体" w:hAnsi="宋体" w:eastAsia="宋体" w:cs="宋体"/>
          <w:kern w:val="0"/>
          <w:szCs w:val="21"/>
          <w:highlight w:val="none"/>
        </w:rPr>
        <w:t>：见评标办法前附表；</w:t>
      </w:r>
    </w:p>
    <w:p w14:paraId="0F24A7FE">
      <w:pPr>
        <w:numPr>
          <w:ilvl w:val="0"/>
          <w:numId w:val="4"/>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综合部分评分标准</w:t>
      </w:r>
      <w:r>
        <w:rPr>
          <w:rFonts w:hint="eastAsia" w:ascii="宋体" w:hAnsi="宋体" w:eastAsia="宋体" w:cs="宋体"/>
          <w:kern w:val="0"/>
          <w:szCs w:val="21"/>
          <w:highlight w:val="none"/>
        </w:rPr>
        <w:t>：见评标办法前附表；</w:t>
      </w:r>
    </w:p>
    <w:p w14:paraId="6738ABA3">
      <w:pPr>
        <w:pStyle w:val="4"/>
        <w:numPr>
          <w:ilvl w:val="0"/>
          <w:numId w:val="2"/>
        </w:numPr>
        <w:rPr>
          <w:rFonts w:hint="eastAsia" w:ascii="宋体" w:hAnsi="宋体" w:eastAsia="宋体" w:cs="宋体"/>
          <w:sz w:val="24"/>
          <w:szCs w:val="24"/>
          <w:highlight w:val="none"/>
        </w:rPr>
      </w:pPr>
      <w:bookmarkStart w:id="100" w:name="_Toc17552"/>
      <w:bookmarkStart w:id="101" w:name="_Toc28110"/>
      <w:bookmarkStart w:id="102" w:name="_Toc13556"/>
      <w:bookmarkStart w:id="103" w:name="_Toc21732"/>
      <w:bookmarkStart w:id="104" w:name="_Toc26726"/>
      <w:bookmarkStart w:id="105" w:name="_Toc16356"/>
      <w:bookmarkStart w:id="106" w:name="_Toc28724"/>
      <w:bookmarkStart w:id="107" w:name="_Toc11872"/>
      <w:bookmarkStart w:id="108" w:name="_Toc31723"/>
      <w:bookmarkStart w:id="109" w:name="_Toc31855"/>
      <w:bookmarkStart w:id="110" w:name="_Toc11650"/>
      <w:bookmarkStart w:id="111" w:name="_Toc4338"/>
      <w:bookmarkStart w:id="112" w:name="_Toc1279"/>
      <w:r>
        <w:rPr>
          <w:rFonts w:hint="eastAsia" w:ascii="宋体" w:hAnsi="宋体" w:eastAsia="宋体" w:cs="宋体"/>
          <w:sz w:val="24"/>
          <w:szCs w:val="24"/>
          <w:highlight w:val="none"/>
        </w:rPr>
        <w:t>评审程序</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2DE8B61C">
      <w:pPr>
        <w:pStyle w:val="4"/>
        <w:rPr>
          <w:rFonts w:hint="eastAsia" w:ascii="宋体" w:hAnsi="宋体" w:eastAsia="宋体" w:cs="宋体"/>
          <w:highlight w:val="none"/>
        </w:rPr>
      </w:pPr>
      <w:bookmarkStart w:id="113" w:name="_Toc24545"/>
      <w:bookmarkStart w:id="114" w:name="_Toc1654"/>
      <w:bookmarkStart w:id="115" w:name="_Toc10682"/>
      <w:bookmarkStart w:id="116" w:name="_Toc25200"/>
      <w:bookmarkStart w:id="117" w:name="_Toc5708"/>
      <w:bookmarkStart w:id="118" w:name="_Toc9443"/>
      <w:bookmarkStart w:id="119" w:name="_Toc4311"/>
      <w:bookmarkStart w:id="120" w:name="_Toc32083"/>
      <w:bookmarkStart w:id="121" w:name="_Toc3555"/>
      <w:bookmarkStart w:id="122" w:name="_Toc2428"/>
      <w:bookmarkStart w:id="123" w:name="_Toc30609"/>
      <w:bookmarkStart w:id="124" w:name="_Toc30777"/>
      <w:bookmarkStart w:id="125" w:name="_Toc5835"/>
      <w:r>
        <w:rPr>
          <w:rFonts w:hint="eastAsia" w:ascii="宋体" w:hAnsi="宋体" w:eastAsia="宋体" w:cs="宋体"/>
          <w:highlight w:val="none"/>
        </w:rPr>
        <w:t>3.1符合性审查</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EBAF80B">
      <w:pPr>
        <w:autoSpaceDE w:val="0"/>
        <w:autoSpaceDN w:val="0"/>
        <w:adjustRightInd w:val="0"/>
        <w:spacing w:line="360" w:lineRule="auto"/>
        <w:ind w:left="100" w:right="40" w:firstLine="420"/>
        <w:jc w:val="left"/>
        <w:rPr>
          <w:rFonts w:hint="eastAsia" w:ascii="宋体" w:hAnsi="宋体" w:eastAsia="宋体" w:cs="宋体"/>
          <w:b/>
          <w:spacing w:val="-2"/>
          <w:kern w:val="0"/>
          <w:szCs w:val="21"/>
          <w:highlight w:val="none"/>
        </w:rPr>
      </w:pPr>
      <w:r>
        <w:rPr>
          <w:rFonts w:hint="eastAsia" w:ascii="宋体" w:hAnsi="宋体" w:eastAsia="宋体" w:cs="宋体"/>
          <w:kern w:val="0"/>
          <w:szCs w:val="21"/>
          <w:highlight w:val="none"/>
        </w:rPr>
        <w:t>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依</w:t>
      </w:r>
      <w:r>
        <w:rPr>
          <w:rFonts w:hint="eastAsia" w:ascii="宋体" w:hAnsi="宋体" w:eastAsia="宋体" w:cs="宋体"/>
          <w:kern w:val="0"/>
          <w:szCs w:val="21"/>
          <w:highlight w:val="none"/>
        </w:rPr>
        <w:t>据本</w:t>
      </w:r>
      <w:r>
        <w:rPr>
          <w:rFonts w:hint="eastAsia" w:ascii="宋体" w:hAnsi="宋体" w:eastAsia="宋体" w:cs="宋体"/>
          <w:spacing w:val="-2"/>
          <w:kern w:val="0"/>
          <w:szCs w:val="21"/>
          <w:highlight w:val="none"/>
        </w:rPr>
        <w:t>章</w:t>
      </w:r>
      <w:r>
        <w:rPr>
          <w:rFonts w:hint="eastAsia" w:ascii="宋体" w:hAnsi="宋体" w:eastAsia="宋体" w:cs="宋体"/>
          <w:kern w:val="0"/>
          <w:szCs w:val="21"/>
          <w:highlight w:val="none"/>
        </w:rPr>
        <w:t>评标办法前附表</w:t>
      </w:r>
      <w:r>
        <w:rPr>
          <w:rFonts w:hint="eastAsia" w:ascii="宋体" w:hAnsi="宋体" w:eastAsia="宋体" w:cs="宋体"/>
          <w:spacing w:val="-2"/>
          <w:kern w:val="0"/>
          <w:szCs w:val="21"/>
          <w:highlight w:val="none"/>
        </w:rPr>
        <w:t>规</w:t>
      </w:r>
      <w:r>
        <w:rPr>
          <w:rFonts w:hint="eastAsia" w:ascii="宋体" w:hAnsi="宋体" w:eastAsia="宋体" w:cs="宋体"/>
          <w:kern w:val="0"/>
          <w:szCs w:val="21"/>
          <w:highlight w:val="none"/>
        </w:rPr>
        <w:t>定</w:t>
      </w:r>
      <w:r>
        <w:rPr>
          <w:rFonts w:hint="eastAsia" w:ascii="宋体" w:hAnsi="宋体" w:eastAsia="宋体" w:cs="宋体"/>
          <w:spacing w:val="-2"/>
          <w:kern w:val="0"/>
          <w:szCs w:val="21"/>
          <w:highlight w:val="none"/>
        </w:rPr>
        <w:t>的标</w:t>
      </w:r>
      <w:r>
        <w:rPr>
          <w:rFonts w:hint="eastAsia" w:ascii="宋体" w:hAnsi="宋体" w:eastAsia="宋体" w:cs="宋体"/>
          <w:kern w:val="0"/>
          <w:szCs w:val="21"/>
          <w:highlight w:val="none"/>
        </w:rPr>
        <w:t>准，对</w:t>
      </w:r>
      <w:r>
        <w:rPr>
          <w:rFonts w:hint="eastAsia" w:ascii="宋体" w:hAnsi="宋体" w:eastAsia="宋体" w:cs="宋体"/>
          <w:spacing w:val="-2"/>
          <w:kern w:val="0"/>
          <w:szCs w:val="21"/>
          <w:highlight w:val="none"/>
        </w:rPr>
        <w:t>符合资格的</w:t>
      </w:r>
      <w:r>
        <w:rPr>
          <w:rFonts w:hint="eastAsia" w:ascii="宋体" w:hAnsi="宋体" w:cs="宋体"/>
          <w:spacing w:val="-2"/>
          <w:kern w:val="0"/>
          <w:szCs w:val="21"/>
          <w:highlight w:val="none"/>
          <w:lang w:eastAsia="zh-CN"/>
        </w:rPr>
        <w:t>供应商</w:t>
      </w:r>
      <w:r>
        <w:rPr>
          <w:rFonts w:hint="eastAsia" w:ascii="宋体" w:hAnsi="宋体" w:eastAsia="宋体" w:cs="宋体"/>
          <w:spacing w:val="-2"/>
          <w:kern w:val="0"/>
          <w:szCs w:val="21"/>
          <w:highlight w:val="none"/>
        </w:rPr>
        <w:t>的投标文件进行符合性审查，以确定其是否满足招标文件的实质性要求</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一</w:t>
      </w:r>
      <w:r>
        <w:rPr>
          <w:rFonts w:hint="eastAsia" w:ascii="宋体" w:hAnsi="宋体" w:eastAsia="宋体" w:cs="宋体"/>
          <w:spacing w:val="-2"/>
          <w:kern w:val="0"/>
          <w:szCs w:val="21"/>
          <w:highlight w:val="none"/>
        </w:rPr>
        <w:t>项</w:t>
      </w:r>
      <w:r>
        <w:rPr>
          <w:rFonts w:hint="eastAsia" w:ascii="宋体" w:hAnsi="宋体" w:eastAsia="宋体" w:cs="宋体"/>
          <w:kern w:val="0"/>
          <w:szCs w:val="21"/>
          <w:highlight w:val="none"/>
        </w:rPr>
        <w:t>不</w:t>
      </w:r>
      <w:r>
        <w:rPr>
          <w:rFonts w:hint="eastAsia" w:ascii="宋体" w:hAnsi="宋体" w:eastAsia="宋体" w:cs="宋体"/>
          <w:spacing w:val="-2"/>
          <w:kern w:val="0"/>
          <w:szCs w:val="21"/>
          <w:highlight w:val="none"/>
        </w:rPr>
        <w:t>符</w:t>
      </w:r>
      <w:r>
        <w:rPr>
          <w:rFonts w:hint="eastAsia" w:ascii="宋体" w:hAnsi="宋体" w:eastAsia="宋体" w:cs="宋体"/>
          <w:kern w:val="0"/>
          <w:szCs w:val="21"/>
          <w:highlight w:val="none"/>
        </w:rPr>
        <w:t>合评审</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准</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评</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委</w:t>
      </w:r>
      <w:r>
        <w:rPr>
          <w:rFonts w:hint="eastAsia" w:ascii="宋体" w:hAnsi="宋体" w:eastAsia="宋体" w:cs="宋体"/>
          <w:kern w:val="0"/>
          <w:szCs w:val="21"/>
          <w:highlight w:val="none"/>
        </w:rPr>
        <w:t>员</w:t>
      </w:r>
      <w:r>
        <w:rPr>
          <w:rFonts w:hint="eastAsia" w:ascii="宋体" w:hAnsi="宋体" w:eastAsia="宋体" w:cs="宋体"/>
          <w:spacing w:val="-2"/>
          <w:kern w:val="0"/>
          <w:szCs w:val="21"/>
          <w:highlight w:val="none"/>
        </w:rPr>
        <w:t>会</w:t>
      </w:r>
      <w:r>
        <w:rPr>
          <w:rFonts w:hint="eastAsia" w:ascii="宋体" w:hAnsi="宋体" w:eastAsia="宋体" w:cs="宋体"/>
          <w:kern w:val="0"/>
          <w:szCs w:val="21"/>
          <w:highlight w:val="none"/>
        </w:rPr>
        <w:t>应当</w:t>
      </w:r>
      <w:r>
        <w:rPr>
          <w:rFonts w:hint="eastAsia" w:ascii="宋体" w:hAnsi="宋体" w:eastAsia="宋体" w:cs="宋体"/>
          <w:szCs w:val="21"/>
          <w:highlight w:val="none"/>
        </w:rPr>
        <w:t>认定其投标无效</w:t>
      </w:r>
      <w:r>
        <w:rPr>
          <w:rFonts w:hint="eastAsia" w:ascii="宋体" w:hAnsi="宋体" w:eastAsia="宋体" w:cs="宋体"/>
          <w:spacing w:val="-2"/>
          <w:kern w:val="0"/>
          <w:szCs w:val="21"/>
          <w:highlight w:val="none"/>
        </w:rPr>
        <w:t>。</w:t>
      </w:r>
    </w:p>
    <w:p w14:paraId="0E046EB0">
      <w:pPr>
        <w:autoSpaceDE w:val="0"/>
        <w:autoSpaceDN w:val="0"/>
        <w:adjustRightInd w:val="0"/>
        <w:spacing w:before="40" w:line="360" w:lineRule="auto"/>
        <w:ind w:left="65" w:leftChars="31" w:right="140" w:firstLine="207" w:firstLineChars="98"/>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3.1.1投</w:t>
      </w:r>
      <w:r>
        <w:rPr>
          <w:rFonts w:hint="eastAsia" w:ascii="宋体" w:hAnsi="宋体" w:eastAsia="宋体" w:cs="宋体"/>
          <w:b/>
          <w:spacing w:val="-2"/>
          <w:kern w:val="0"/>
          <w:szCs w:val="21"/>
          <w:highlight w:val="none"/>
        </w:rPr>
        <w:t>标</w:t>
      </w:r>
      <w:r>
        <w:rPr>
          <w:rFonts w:hint="eastAsia" w:ascii="宋体" w:hAnsi="宋体" w:eastAsia="宋体" w:cs="宋体"/>
          <w:b/>
          <w:kern w:val="0"/>
          <w:szCs w:val="21"/>
          <w:highlight w:val="none"/>
        </w:rPr>
        <w:t>报</w:t>
      </w:r>
      <w:r>
        <w:rPr>
          <w:rFonts w:hint="eastAsia" w:ascii="宋体" w:hAnsi="宋体" w:eastAsia="宋体" w:cs="宋体"/>
          <w:b/>
          <w:spacing w:val="-2"/>
          <w:kern w:val="0"/>
          <w:szCs w:val="21"/>
          <w:highlight w:val="none"/>
        </w:rPr>
        <w:t>价</w:t>
      </w:r>
      <w:r>
        <w:rPr>
          <w:rFonts w:hint="eastAsia" w:ascii="宋体" w:hAnsi="宋体" w:eastAsia="宋体" w:cs="宋体"/>
          <w:b/>
          <w:kern w:val="0"/>
          <w:szCs w:val="21"/>
          <w:highlight w:val="none"/>
        </w:rPr>
        <w:t>有</w:t>
      </w:r>
      <w:r>
        <w:rPr>
          <w:rFonts w:hint="eastAsia" w:ascii="宋体" w:hAnsi="宋体" w:eastAsia="宋体" w:cs="宋体"/>
          <w:b/>
          <w:spacing w:val="-2"/>
          <w:kern w:val="0"/>
          <w:szCs w:val="21"/>
          <w:highlight w:val="none"/>
        </w:rPr>
        <w:t>算</w:t>
      </w:r>
      <w:r>
        <w:rPr>
          <w:rFonts w:hint="eastAsia" w:ascii="宋体" w:hAnsi="宋体" w:eastAsia="宋体" w:cs="宋体"/>
          <w:b/>
          <w:kern w:val="0"/>
          <w:szCs w:val="21"/>
          <w:highlight w:val="none"/>
        </w:rPr>
        <w:t>术</w:t>
      </w:r>
      <w:r>
        <w:rPr>
          <w:rFonts w:hint="eastAsia" w:ascii="宋体" w:hAnsi="宋体" w:eastAsia="宋体" w:cs="宋体"/>
          <w:b/>
          <w:spacing w:val="-2"/>
          <w:kern w:val="0"/>
          <w:szCs w:val="21"/>
          <w:highlight w:val="none"/>
        </w:rPr>
        <w:t>错误</w:t>
      </w:r>
      <w:r>
        <w:rPr>
          <w:rFonts w:hint="eastAsia" w:ascii="宋体" w:hAnsi="宋体" w:eastAsia="宋体" w:cs="宋体"/>
          <w:b/>
          <w:kern w:val="0"/>
          <w:szCs w:val="21"/>
          <w:highlight w:val="none"/>
        </w:rPr>
        <w:t>及其</w:t>
      </w:r>
      <w:r>
        <w:rPr>
          <w:rFonts w:hint="eastAsia" w:ascii="宋体" w:hAnsi="宋体" w:eastAsia="宋体" w:cs="宋体"/>
          <w:b/>
          <w:spacing w:val="-2"/>
          <w:kern w:val="0"/>
          <w:szCs w:val="21"/>
          <w:highlight w:val="none"/>
        </w:rPr>
        <w:t>他</w:t>
      </w:r>
      <w:r>
        <w:rPr>
          <w:rFonts w:hint="eastAsia" w:ascii="宋体" w:hAnsi="宋体" w:eastAsia="宋体" w:cs="宋体"/>
          <w:b/>
          <w:kern w:val="0"/>
          <w:szCs w:val="21"/>
          <w:highlight w:val="none"/>
        </w:rPr>
        <w:t>错</w:t>
      </w:r>
      <w:r>
        <w:rPr>
          <w:rFonts w:hint="eastAsia" w:ascii="宋体" w:hAnsi="宋体" w:eastAsia="宋体" w:cs="宋体"/>
          <w:b/>
          <w:spacing w:val="-2"/>
          <w:kern w:val="0"/>
          <w:szCs w:val="21"/>
          <w:highlight w:val="none"/>
        </w:rPr>
        <w:t>误的</w:t>
      </w:r>
      <w:r>
        <w:rPr>
          <w:rFonts w:hint="eastAsia" w:ascii="宋体" w:hAnsi="宋体" w:eastAsia="宋体" w:cs="宋体"/>
          <w:b/>
          <w:spacing w:val="-74"/>
          <w:kern w:val="0"/>
          <w:szCs w:val="21"/>
          <w:highlight w:val="none"/>
        </w:rPr>
        <w:t>，</w:t>
      </w:r>
      <w:r>
        <w:rPr>
          <w:rFonts w:hint="eastAsia" w:ascii="宋体" w:hAnsi="宋体" w:eastAsia="宋体" w:cs="宋体"/>
          <w:b/>
          <w:spacing w:val="-2"/>
          <w:kern w:val="0"/>
          <w:szCs w:val="21"/>
          <w:highlight w:val="none"/>
        </w:rPr>
        <w:t>评</w:t>
      </w:r>
      <w:r>
        <w:rPr>
          <w:rFonts w:hint="eastAsia" w:ascii="宋体" w:hAnsi="宋体" w:eastAsia="宋体" w:cs="宋体"/>
          <w:b/>
          <w:kern w:val="0"/>
          <w:szCs w:val="21"/>
          <w:highlight w:val="none"/>
        </w:rPr>
        <w:t>标</w:t>
      </w:r>
      <w:r>
        <w:rPr>
          <w:rFonts w:hint="eastAsia" w:ascii="宋体" w:hAnsi="宋体" w:eastAsia="宋体" w:cs="宋体"/>
          <w:b/>
          <w:spacing w:val="-2"/>
          <w:kern w:val="0"/>
          <w:szCs w:val="21"/>
          <w:highlight w:val="none"/>
        </w:rPr>
        <w:t>委</w:t>
      </w:r>
      <w:r>
        <w:rPr>
          <w:rFonts w:hint="eastAsia" w:ascii="宋体" w:hAnsi="宋体" w:eastAsia="宋体" w:cs="宋体"/>
          <w:b/>
          <w:kern w:val="0"/>
          <w:szCs w:val="21"/>
          <w:highlight w:val="none"/>
        </w:rPr>
        <w:t>员</w:t>
      </w:r>
      <w:r>
        <w:rPr>
          <w:rFonts w:hint="eastAsia" w:ascii="宋体" w:hAnsi="宋体" w:eastAsia="宋体" w:cs="宋体"/>
          <w:b/>
          <w:spacing w:val="-2"/>
          <w:kern w:val="0"/>
          <w:szCs w:val="21"/>
          <w:highlight w:val="none"/>
        </w:rPr>
        <w:t>会</w:t>
      </w:r>
      <w:r>
        <w:rPr>
          <w:rFonts w:hint="eastAsia" w:ascii="宋体" w:hAnsi="宋体" w:eastAsia="宋体" w:cs="宋体"/>
          <w:b/>
          <w:kern w:val="0"/>
          <w:szCs w:val="21"/>
          <w:highlight w:val="none"/>
        </w:rPr>
        <w:t>按以</w:t>
      </w:r>
      <w:r>
        <w:rPr>
          <w:rFonts w:hint="eastAsia" w:ascii="宋体" w:hAnsi="宋体" w:eastAsia="宋体" w:cs="宋体"/>
          <w:b/>
          <w:spacing w:val="-2"/>
          <w:kern w:val="0"/>
          <w:szCs w:val="21"/>
          <w:highlight w:val="none"/>
        </w:rPr>
        <w:t>下</w:t>
      </w:r>
      <w:r>
        <w:rPr>
          <w:rFonts w:hint="eastAsia" w:ascii="宋体" w:hAnsi="宋体" w:eastAsia="宋体" w:cs="宋体"/>
          <w:b/>
          <w:kern w:val="0"/>
          <w:szCs w:val="21"/>
          <w:highlight w:val="none"/>
        </w:rPr>
        <w:t>原</w:t>
      </w:r>
      <w:r>
        <w:rPr>
          <w:rFonts w:hint="eastAsia" w:ascii="宋体" w:hAnsi="宋体" w:eastAsia="宋体" w:cs="宋体"/>
          <w:b/>
          <w:spacing w:val="-2"/>
          <w:kern w:val="0"/>
          <w:szCs w:val="21"/>
          <w:highlight w:val="none"/>
        </w:rPr>
        <w:t>则</w:t>
      </w:r>
      <w:r>
        <w:rPr>
          <w:rFonts w:hint="eastAsia" w:ascii="宋体" w:hAnsi="宋体" w:eastAsia="宋体" w:cs="宋体"/>
          <w:b/>
          <w:kern w:val="0"/>
          <w:szCs w:val="21"/>
          <w:highlight w:val="none"/>
        </w:rPr>
        <w:t>要</w:t>
      </w:r>
      <w:r>
        <w:rPr>
          <w:rFonts w:hint="eastAsia" w:ascii="宋体" w:hAnsi="宋体" w:eastAsia="宋体" w:cs="宋体"/>
          <w:b/>
          <w:spacing w:val="-2"/>
          <w:kern w:val="0"/>
          <w:szCs w:val="21"/>
          <w:highlight w:val="none"/>
        </w:rPr>
        <w:t>求</w:t>
      </w:r>
      <w:r>
        <w:rPr>
          <w:rFonts w:hint="eastAsia" w:ascii="宋体" w:hAnsi="宋体" w:cs="宋体"/>
          <w:b/>
          <w:kern w:val="0"/>
          <w:szCs w:val="21"/>
          <w:highlight w:val="none"/>
          <w:lang w:eastAsia="zh-CN"/>
        </w:rPr>
        <w:t>供应商</w:t>
      </w:r>
      <w:r>
        <w:rPr>
          <w:rFonts w:hint="eastAsia" w:ascii="宋体" w:hAnsi="宋体" w:eastAsia="宋体" w:cs="宋体"/>
          <w:b/>
          <w:spacing w:val="-2"/>
          <w:kern w:val="0"/>
          <w:szCs w:val="21"/>
          <w:highlight w:val="none"/>
        </w:rPr>
        <w:t>对</w:t>
      </w:r>
      <w:r>
        <w:rPr>
          <w:rFonts w:hint="eastAsia" w:ascii="宋体" w:hAnsi="宋体" w:eastAsia="宋体" w:cs="宋体"/>
          <w:b/>
          <w:kern w:val="0"/>
          <w:szCs w:val="21"/>
          <w:highlight w:val="none"/>
        </w:rPr>
        <w:t>投标</w:t>
      </w:r>
      <w:r>
        <w:rPr>
          <w:rFonts w:hint="eastAsia" w:ascii="宋体" w:hAnsi="宋体" w:eastAsia="宋体" w:cs="宋体"/>
          <w:b/>
          <w:spacing w:val="-2"/>
          <w:kern w:val="0"/>
          <w:szCs w:val="21"/>
          <w:highlight w:val="none"/>
        </w:rPr>
        <w:t>报</w:t>
      </w:r>
      <w:r>
        <w:rPr>
          <w:rFonts w:hint="eastAsia" w:ascii="宋体" w:hAnsi="宋体" w:eastAsia="宋体" w:cs="宋体"/>
          <w:b/>
          <w:kern w:val="0"/>
          <w:szCs w:val="21"/>
          <w:highlight w:val="none"/>
        </w:rPr>
        <w:t>价进行修</w:t>
      </w:r>
      <w:r>
        <w:rPr>
          <w:rFonts w:hint="eastAsia" w:ascii="宋体" w:hAnsi="宋体" w:eastAsia="宋体" w:cs="宋体"/>
          <w:b/>
          <w:spacing w:val="-2"/>
          <w:kern w:val="0"/>
          <w:szCs w:val="21"/>
          <w:highlight w:val="none"/>
        </w:rPr>
        <w:t>正</w:t>
      </w:r>
    </w:p>
    <w:p w14:paraId="22822C4D">
      <w:pPr>
        <w:numPr>
          <w:ilvl w:val="0"/>
          <w:numId w:val="5"/>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投标文件中开标一览表（报价表）内容与投标文件中相应内容不一致的，以开标一览表（报价表）为准；</w:t>
      </w:r>
    </w:p>
    <w:p w14:paraId="28E4CDD8">
      <w:pPr>
        <w:numPr>
          <w:ilvl w:val="0"/>
          <w:numId w:val="5"/>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大写金额和小写金额不一致的，以大写金额为准；</w:t>
      </w:r>
    </w:p>
    <w:p w14:paraId="0E32CBBC">
      <w:pPr>
        <w:numPr>
          <w:ilvl w:val="0"/>
          <w:numId w:val="5"/>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单价金额小数点或者百分比有明显错位的，以开标一览表的总价为准，并修改单价；</w:t>
      </w:r>
    </w:p>
    <w:p w14:paraId="7D6CC9FD">
      <w:pPr>
        <w:numPr>
          <w:ilvl w:val="0"/>
          <w:numId w:val="5"/>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总价金额与按单价汇总金额不一致的，以单价金额计算结果为准。</w:t>
      </w:r>
    </w:p>
    <w:p w14:paraId="5AB16E5B">
      <w:pPr>
        <w:numPr>
          <w:ilvl w:val="0"/>
          <w:numId w:val="5"/>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同时出现两种以上不一致的，按照前款规定的顺序修正。修正后的报价应当采用书面形式，并加盖公章，或者由法定代表人或其授权的代表签字，</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不确认的，其投标无效。</w:t>
      </w:r>
    </w:p>
    <w:p w14:paraId="62545BBC">
      <w:pPr>
        <w:pStyle w:val="4"/>
        <w:rPr>
          <w:rFonts w:hint="eastAsia" w:ascii="宋体" w:hAnsi="宋体" w:eastAsia="宋体" w:cs="宋体"/>
          <w:highlight w:val="none"/>
        </w:rPr>
      </w:pPr>
      <w:bookmarkStart w:id="126" w:name="_Toc14607"/>
      <w:bookmarkStart w:id="127" w:name="_Toc22365"/>
      <w:bookmarkStart w:id="128" w:name="_Toc20484"/>
      <w:bookmarkStart w:id="129" w:name="_Toc14717"/>
      <w:bookmarkStart w:id="130" w:name="_Toc11546"/>
      <w:bookmarkStart w:id="131" w:name="_Toc24585"/>
      <w:bookmarkStart w:id="132" w:name="_Toc10132"/>
      <w:bookmarkStart w:id="133" w:name="_Toc30428"/>
      <w:bookmarkStart w:id="134" w:name="_Toc26719"/>
      <w:bookmarkStart w:id="135" w:name="_Toc1221"/>
      <w:bookmarkStart w:id="136" w:name="_Toc13336"/>
      <w:bookmarkStart w:id="137" w:name="_Toc18705"/>
      <w:bookmarkStart w:id="138" w:name="_Toc11293"/>
      <w:r>
        <w:rPr>
          <w:rFonts w:hint="eastAsia" w:ascii="宋体" w:hAnsi="宋体" w:eastAsia="宋体" w:cs="宋体"/>
          <w:highlight w:val="none"/>
        </w:rPr>
        <w:t>3.2详细评审</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26F9FB7D">
      <w:pPr>
        <w:autoSpaceDE w:val="0"/>
        <w:autoSpaceDN w:val="0"/>
        <w:adjustRightInd w:val="0"/>
        <w:spacing w:before="42" w:line="360" w:lineRule="auto"/>
        <w:ind w:left="520" w:right="-20"/>
        <w:jc w:val="left"/>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3.2.1评标委员会按本章评标方法规定的量化因素和分值进行打分，并计算出综合得分。</w:t>
      </w:r>
    </w:p>
    <w:p w14:paraId="76F3DB93">
      <w:pPr>
        <w:numPr>
          <w:ilvl w:val="0"/>
          <w:numId w:val="6"/>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按本章第2.2.2（1）目规定的评审因素和分值对投标报价计算出得分A；</w:t>
      </w:r>
    </w:p>
    <w:p w14:paraId="06F155DB">
      <w:pPr>
        <w:numPr>
          <w:ilvl w:val="0"/>
          <w:numId w:val="6"/>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按本章第2.2.2（2）目规定的评审因素和分值对技术部分计算出得分B；</w:t>
      </w:r>
    </w:p>
    <w:p w14:paraId="53609DC0">
      <w:pPr>
        <w:numPr>
          <w:ilvl w:val="0"/>
          <w:numId w:val="6"/>
        </w:numPr>
        <w:autoSpaceDE w:val="0"/>
        <w:autoSpaceDN w:val="0"/>
        <w:adjustRightInd w:val="0"/>
        <w:spacing w:line="360" w:lineRule="auto"/>
        <w:ind w:left="0" w:right="4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按本章第2.2.2（3）目规定的评审因素和分值对</w:t>
      </w:r>
      <w:r>
        <w:rPr>
          <w:rFonts w:hint="eastAsia" w:ascii="宋体" w:hAnsi="宋体" w:eastAsia="宋体" w:cs="宋体"/>
          <w:kern w:val="0"/>
          <w:szCs w:val="21"/>
          <w:highlight w:val="none"/>
          <w:lang w:val="en-US" w:eastAsia="zh-CN"/>
        </w:rPr>
        <w:t>综合</w:t>
      </w:r>
      <w:r>
        <w:rPr>
          <w:rFonts w:hint="eastAsia" w:ascii="宋体" w:hAnsi="宋体" w:eastAsia="宋体" w:cs="宋体"/>
          <w:kern w:val="0"/>
          <w:szCs w:val="21"/>
          <w:highlight w:val="none"/>
        </w:rPr>
        <w:t>部分计算出得分C。</w:t>
      </w:r>
    </w:p>
    <w:p w14:paraId="5C04EBED">
      <w:pPr>
        <w:autoSpaceDE w:val="0"/>
        <w:autoSpaceDN w:val="0"/>
        <w:adjustRightInd w:val="0"/>
        <w:spacing w:before="42" w:line="360" w:lineRule="auto"/>
        <w:ind w:left="520" w:right="-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3.2.2评</w:t>
      </w:r>
      <w:r>
        <w:rPr>
          <w:rFonts w:hint="eastAsia" w:ascii="宋体" w:hAnsi="宋体" w:eastAsia="宋体" w:cs="宋体"/>
          <w:spacing w:val="-2"/>
          <w:kern w:val="0"/>
          <w:szCs w:val="21"/>
          <w:highlight w:val="none"/>
        </w:rPr>
        <w:t>分</w:t>
      </w:r>
      <w:r>
        <w:rPr>
          <w:rFonts w:hint="eastAsia" w:ascii="宋体" w:hAnsi="宋体" w:eastAsia="宋体" w:cs="宋体"/>
          <w:kern w:val="0"/>
          <w:szCs w:val="21"/>
          <w:highlight w:val="none"/>
        </w:rPr>
        <w:t>分</w:t>
      </w:r>
      <w:r>
        <w:rPr>
          <w:rFonts w:hint="eastAsia" w:ascii="宋体" w:hAnsi="宋体" w:eastAsia="宋体" w:cs="宋体"/>
          <w:spacing w:val="-2"/>
          <w:kern w:val="0"/>
          <w:szCs w:val="21"/>
          <w:highlight w:val="none"/>
        </w:rPr>
        <w:t>值</w:t>
      </w:r>
      <w:r>
        <w:rPr>
          <w:rFonts w:hint="eastAsia" w:ascii="宋体" w:hAnsi="宋体" w:eastAsia="宋体" w:cs="宋体"/>
          <w:kern w:val="0"/>
          <w:szCs w:val="21"/>
          <w:highlight w:val="none"/>
        </w:rPr>
        <w:t>计</w:t>
      </w:r>
      <w:r>
        <w:rPr>
          <w:rFonts w:hint="eastAsia" w:ascii="宋体" w:hAnsi="宋体" w:eastAsia="宋体" w:cs="宋体"/>
          <w:spacing w:val="-2"/>
          <w:kern w:val="0"/>
          <w:szCs w:val="21"/>
          <w:highlight w:val="none"/>
        </w:rPr>
        <w:t>算</w:t>
      </w:r>
      <w:r>
        <w:rPr>
          <w:rFonts w:hint="eastAsia" w:ascii="宋体" w:hAnsi="宋体" w:eastAsia="宋体" w:cs="宋体"/>
          <w:kern w:val="0"/>
          <w:szCs w:val="21"/>
          <w:highlight w:val="none"/>
        </w:rPr>
        <w:t>保</w:t>
      </w:r>
      <w:r>
        <w:rPr>
          <w:rFonts w:hint="eastAsia" w:ascii="宋体" w:hAnsi="宋体" w:eastAsia="宋体" w:cs="宋体"/>
          <w:spacing w:val="-2"/>
          <w:kern w:val="0"/>
          <w:szCs w:val="21"/>
          <w:highlight w:val="none"/>
        </w:rPr>
        <w:t>留小</w:t>
      </w:r>
      <w:r>
        <w:rPr>
          <w:rFonts w:hint="eastAsia" w:ascii="宋体" w:hAnsi="宋体" w:eastAsia="宋体" w:cs="宋体"/>
          <w:kern w:val="0"/>
          <w:szCs w:val="21"/>
          <w:highlight w:val="none"/>
        </w:rPr>
        <w:t>数点</w:t>
      </w:r>
      <w:r>
        <w:rPr>
          <w:rFonts w:hint="eastAsia" w:ascii="宋体" w:hAnsi="宋体" w:eastAsia="宋体" w:cs="宋体"/>
          <w:spacing w:val="-2"/>
          <w:kern w:val="0"/>
          <w:szCs w:val="21"/>
          <w:highlight w:val="none"/>
        </w:rPr>
        <w:t>后</w:t>
      </w:r>
      <w:r>
        <w:rPr>
          <w:rFonts w:hint="eastAsia" w:ascii="宋体" w:hAnsi="宋体" w:eastAsia="宋体" w:cs="宋体"/>
          <w:kern w:val="0"/>
          <w:szCs w:val="21"/>
          <w:highlight w:val="none"/>
        </w:rPr>
        <w:t>两</w:t>
      </w:r>
      <w:r>
        <w:rPr>
          <w:rFonts w:hint="eastAsia" w:ascii="宋体" w:hAnsi="宋体" w:eastAsia="宋体" w:cs="宋体"/>
          <w:spacing w:val="-2"/>
          <w:kern w:val="0"/>
          <w:szCs w:val="21"/>
          <w:highlight w:val="none"/>
        </w:rPr>
        <w:t>位</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小</w:t>
      </w:r>
      <w:r>
        <w:rPr>
          <w:rFonts w:hint="eastAsia" w:ascii="宋体" w:hAnsi="宋体" w:eastAsia="宋体" w:cs="宋体"/>
          <w:kern w:val="0"/>
          <w:szCs w:val="21"/>
          <w:highlight w:val="none"/>
        </w:rPr>
        <w:t>数</w:t>
      </w:r>
      <w:r>
        <w:rPr>
          <w:rFonts w:hint="eastAsia" w:ascii="宋体" w:hAnsi="宋体" w:eastAsia="宋体" w:cs="宋体"/>
          <w:spacing w:val="-2"/>
          <w:kern w:val="0"/>
          <w:szCs w:val="21"/>
          <w:highlight w:val="none"/>
        </w:rPr>
        <w:t>点</w:t>
      </w:r>
      <w:r>
        <w:rPr>
          <w:rFonts w:hint="eastAsia" w:ascii="宋体" w:hAnsi="宋体" w:eastAsia="宋体" w:cs="宋体"/>
          <w:kern w:val="0"/>
          <w:szCs w:val="21"/>
          <w:highlight w:val="none"/>
        </w:rPr>
        <w:t>后</w:t>
      </w:r>
      <w:r>
        <w:rPr>
          <w:rFonts w:hint="eastAsia" w:ascii="宋体" w:hAnsi="宋体" w:eastAsia="宋体" w:cs="宋体"/>
          <w:spacing w:val="-2"/>
          <w:kern w:val="0"/>
          <w:szCs w:val="21"/>
          <w:highlight w:val="none"/>
        </w:rPr>
        <w:t>第</w:t>
      </w:r>
      <w:r>
        <w:rPr>
          <w:rFonts w:hint="eastAsia" w:ascii="宋体" w:hAnsi="宋体" w:eastAsia="宋体" w:cs="宋体"/>
          <w:kern w:val="0"/>
          <w:szCs w:val="21"/>
          <w:highlight w:val="none"/>
        </w:rPr>
        <w:t>三位</w:t>
      </w:r>
      <w:r>
        <w:rPr>
          <w:rFonts w:hint="eastAsia" w:ascii="宋体" w:hAnsi="宋体" w:eastAsia="宋体" w:cs="宋体"/>
          <w:spacing w:val="-3"/>
          <w:kern w:val="0"/>
          <w:szCs w:val="21"/>
          <w:highlight w:val="none"/>
        </w:rPr>
        <w:t>“</w:t>
      </w:r>
      <w:r>
        <w:rPr>
          <w:rFonts w:hint="eastAsia" w:ascii="宋体" w:hAnsi="宋体" w:eastAsia="宋体" w:cs="宋体"/>
          <w:kern w:val="0"/>
          <w:szCs w:val="21"/>
          <w:highlight w:val="none"/>
        </w:rPr>
        <w:t>四</w:t>
      </w:r>
      <w:r>
        <w:rPr>
          <w:rFonts w:hint="eastAsia" w:ascii="宋体" w:hAnsi="宋体" w:eastAsia="宋体" w:cs="宋体"/>
          <w:spacing w:val="-2"/>
          <w:kern w:val="0"/>
          <w:szCs w:val="21"/>
          <w:highlight w:val="none"/>
        </w:rPr>
        <w:t>舍</w:t>
      </w:r>
      <w:r>
        <w:rPr>
          <w:rFonts w:hint="eastAsia" w:ascii="宋体" w:hAnsi="宋体" w:eastAsia="宋体" w:cs="宋体"/>
          <w:kern w:val="0"/>
          <w:szCs w:val="21"/>
          <w:highlight w:val="none"/>
        </w:rPr>
        <w:t>五入</w:t>
      </w:r>
      <w:r>
        <w:rPr>
          <w:rFonts w:hint="eastAsia" w:ascii="宋体" w:hAnsi="宋体" w:eastAsia="宋体" w:cs="宋体"/>
          <w:spacing w:val="-3"/>
          <w:kern w:val="0"/>
          <w:szCs w:val="21"/>
          <w:highlight w:val="none"/>
        </w:rPr>
        <w:t>”</w:t>
      </w:r>
      <w:r>
        <w:rPr>
          <w:rFonts w:hint="eastAsia" w:ascii="宋体" w:hAnsi="宋体" w:eastAsia="宋体" w:cs="宋体"/>
          <w:kern w:val="0"/>
          <w:szCs w:val="21"/>
          <w:highlight w:val="none"/>
        </w:rPr>
        <w:t>。</w:t>
      </w:r>
    </w:p>
    <w:p w14:paraId="57362715">
      <w:pPr>
        <w:autoSpaceDE w:val="0"/>
        <w:autoSpaceDN w:val="0"/>
        <w:adjustRightInd w:val="0"/>
        <w:spacing w:before="42" w:line="360" w:lineRule="auto"/>
        <w:ind w:left="520" w:right="-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3.2.3</w:t>
      </w:r>
      <w:r>
        <w:rPr>
          <w:rFonts w:hint="eastAsia" w:ascii="宋体" w:hAnsi="宋体" w:cs="宋体"/>
          <w:kern w:val="0"/>
          <w:szCs w:val="21"/>
          <w:highlight w:val="none"/>
          <w:lang w:eastAsia="zh-CN"/>
        </w:rPr>
        <w:t>供应商</w:t>
      </w:r>
      <w:r>
        <w:rPr>
          <w:rFonts w:hint="eastAsia" w:ascii="宋体" w:hAnsi="宋体" w:eastAsia="宋体" w:cs="宋体"/>
          <w:spacing w:val="-2"/>
          <w:kern w:val="0"/>
          <w:szCs w:val="21"/>
          <w:highlight w:val="none"/>
        </w:rPr>
        <w:t>得</w:t>
      </w:r>
      <w:r>
        <w:rPr>
          <w:rFonts w:hint="eastAsia" w:ascii="宋体" w:hAnsi="宋体" w:eastAsia="宋体" w:cs="宋体"/>
          <w:kern w:val="0"/>
          <w:szCs w:val="21"/>
          <w:highlight w:val="none"/>
        </w:rPr>
        <w:t>分</w:t>
      </w:r>
      <w:r>
        <w:rPr>
          <w:rFonts w:hint="eastAsia" w:ascii="宋体" w:hAnsi="宋体" w:eastAsia="宋体" w:cs="宋体"/>
          <w:spacing w:val="-1"/>
          <w:kern w:val="0"/>
          <w:szCs w:val="21"/>
          <w:highlight w:val="none"/>
        </w:rPr>
        <w:t>=A</w:t>
      </w:r>
      <w:r>
        <w:rPr>
          <w:rFonts w:hint="eastAsia" w:ascii="宋体" w:hAnsi="宋体" w:eastAsia="宋体" w:cs="宋体"/>
          <w:spacing w:val="1"/>
          <w:kern w:val="0"/>
          <w:szCs w:val="21"/>
          <w:highlight w:val="none"/>
        </w:rPr>
        <w:t>+</w:t>
      </w:r>
      <w:r>
        <w:rPr>
          <w:rFonts w:hint="eastAsia" w:ascii="宋体" w:hAnsi="宋体" w:eastAsia="宋体" w:cs="宋体"/>
          <w:spacing w:val="-2"/>
          <w:kern w:val="0"/>
          <w:szCs w:val="21"/>
          <w:highlight w:val="none"/>
        </w:rPr>
        <w:t>B</w:t>
      </w:r>
      <w:r>
        <w:rPr>
          <w:rFonts w:hint="eastAsia" w:ascii="宋体" w:hAnsi="宋体" w:eastAsia="宋体" w:cs="宋体"/>
          <w:spacing w:val="-1"/>
          <w:kern w:val="0"/>
          <w:szCs w:val="21"/>
          <w:highlight w:val="none"/>
        </w:rPr>
        <w:t>+</w:t>
      </w:r>
      <w:r>
        <w:rPr>
          <w:rFonts w:hint="eastAsia" w:ascii="宋体" w:hAnsi="宋体" w:eastAsia="宋体" w:cs="宋体"/>
          <w:spacing w:val="-2"/>
          <w:kern w:val="0"/>
          <w:szCs w:val="21"/>
          <w:highlight w:val="none"/>
        </w:rPr>
        <w:t>C</w:t>
      </w:r>
      <w:r>
        <w:rPr>
          <w:rFonts w:hint="eastAsia" w:ascii="宋体" w:hAnsi="宋体" w:eastAsia="宋体" w:cs="宋体"/>
          <w:kern w:val="0"/>
          <w:szCs w:val="21"/>
          <w:highlight w:val="none"/>
        </w:rPr>
        <w:t>。</w:t>
      </w:r>
    </w:p>
    <w:p w14:paraId="692DD544">
      <w:pPr>
        <w:autoSpaceDE w:val="0"/>
        <w:autoSpaceDN w:val="0"/>
        <w:adjustRightInd w:val="0"/>
        <w:spacing w:before="40" w:line="360" w:lineRule="auto"/>
        <w:ind w:left="100" w:right="140"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3.2.4评标委员会认为</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的报价明显低于其他通过符合性审查</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的报价，有可能影响产品质量或者不能诚信履约的，应当要求其在评标现场合理的时间内提供书面说明，必要时提交相关证明材料；</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不能证明其报价合理性的，评标委员会应当将其作为无效投标处理。</w:t>
      </w:r>
    </w:p>
    <w:p w14:paraId="3CB819D7">
      <w:pPr>
        <w:pStyle w:val="4"/>
        <w:rPr>
          <w:rFonts w:hint="eastAsia" w:ascii="宋体" w:hAnsi="宋体" w:eastAsia="宋体" w:cs="宋体"/>
          <w:highlight w:val="none"/>
        </w:rPr>
      </w:pPr>
      <w:bookmarkStart w:id="139" w:name="_Toc6100"/>
      <w:bookmarkStart w:id="140" w:name="_Toc4488"/>
      <w:bookmarkStart w:id="141" w:name="_Toc31373"/>
      <w:bookmarkStart w:id="142" w:name="_Toc18083"/>
      <w:bookmarkStart w:id="143" w:name="_Toc5640"/>
      <w:bookmarkStart w:id="144" w:name="_Toc11722"/>
      <w:bookmarkStart w:id="145" w:name="_Toc19690"/>
      <w:bookmarkStart w:id="146" w:name="_Toc19887"/>
      <w:bookmarkStart w:id="147" w:name="_Toc11785"/>
      <w:bookmarkStart w:id="148" w:name="_Toc13854"/>
      <w:bookmarkStart w:id="149" w:name="_Toc31759"/>
      <w:bookmarkStart w:id="150" w:name="_Toc7845"/>
      <w:bookmarkStart w:id="151" w:name="_Toc11516"/>
      <w:r>
        <w:rPr>
          <w:rFonts w:hint="eastAsia" w:ascii="宋体" w:hAnsi="宋体" w:eastAsia="宋体" w:cs="宋体"/>
          <w:highlight w:val="none"/>
        </w:rPr>
        <w:t>3.3投标文件的澄清</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27719BB1">
      <w:pPr>
        <w:autoSpaceDE w:val="0"/>
        <w:autoSpaceDN w:val="0"/>
        <w:adjustRightInd w:val="0"/>
        <w:spacing w:line="360" w:lineRule="auto"/>
        <w:ind w:left="100" w:right="139"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3.3.1在</w:t>
      </w:r>
      <w:r>
        <w:rPr>
          <w:rFonts w:hint="eastAsia" w:ascii="宋体" w:hAnsi="宋体" w:eastAsia="宋体" w:cs="宋体"/>
          <w:spacing w:val="-2"/>
          <w:kern w:val="0"/>
          <w:szCs w:val="21"/>
          <w:highlight w:val="none"/>
        </w:rPr>
        <w:t>评</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过</w:t>
      </w:r>
      <w:r>
        <w:rPr>
          <w:rFonts w:hint="eastAsia" w:ascii="宋体" w:hAnsi="宋体" w:eastAsia="宋体" w:cs="宋体"/>
          <w:kern w:val="0"/>
          <w:szCs w:val="21"/>
          <w:highlight w:val="none"/>
        </w:rPr>
        <w:t>程中</w:t>
      </w:r>
      <w:r>
        <w:rPr>
          <w:rFonts w:hint="eastAsia" w:ascii="宋体" w:hAnsi="宋体" w:eastAsia="宋体" w:cs="宋体"/>
          <w:spacing w:val="-41"/>
          <w:kern w:val="0"/>
          <w:szCs w:val="21"/>
          <w:highlight w:val="none"/>
        </w:rPr>
        <w:t>，</w:t>
      </w:r>
      <w:r>
        <w:rPr>
          <w:rFonts w:hint="eastAsia" w:ascii="宋体" w:hAnsi="宋体" w:eastAsia="宋体" w:cs="宋体"/>
          <w:kern w:val="0"/>
          <w:szCs w:val="21"/>
          <w:highlight w:val="none"/>
        </w:rPr>
        <w:t>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委员</w:t>
      </w:r>
      <w:r>
        <w:rPr>
          <w:rFonts w:hint="eastAsia" w:ascii="宋体" w:hAnsi="宋体" w:eastAsia="宋体" w:cs="宋体"/>
          <w:spacing w:val="-2"/>
          <w:kern w:val="0"/>
          <w:szCs w:val="21"/>
          <w:highlight w:val="none"/>
        </w:rPr>
        <w:t>会</w:t>
      </w:r>
      <w:r>
        <w:rPr>
          <w:rFonts w:hint="eastAsia" w:ascii="宋体" w:hAnsi="宋体" w:eastAsia="宋体" w:cs="宋体"/>
          <w:kern w:val="0"/>
          <w:szCs w:val="21"/>
          <w:highlight w:val="none"/>
        </w:rPr>
        <w:t>可</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书</w:t>
      </w:r>
      <w:r>
        <w:rPr>
          <w:rFonts w:hint="eastAsia" w:ascii="宋体" w:hAnsi="宋体" w:eastAsia="宋体" w:cs="宋体"/>
          <w:spacing w:val="-2"/>
          <w:kern w:val="0"/>
          <w:szCs w:val="21"/>
          <w:highlight w:val="none"/>
        </w:rPr>
        <w:t>面</w:t>
      </w:r>
      <w:r>
        <w:rPr>
          <w:rFonts w:hint="eastAsia" w:ascii="宋体" w:hAnsi="宋体" w:eastAsia="宋体" w:cs="宋体"/>
          <w:kern w:val="0"/>
          <w:szCs w:val="21"/>
          <w:highlight w:val="none"/>
        </w:rPr>
        <w:t>形</w:t>
      </w:r>
      <w:r>
        <w:rPr>
          <w:rFonts w:hint="eastAsia" w:ascii="宋体" w:hAnsi="宋体" w:eastAsia="宋体" w:cs="宋体"/>
          <w:spacing w:val="-2"/>
          <w:kern w:val="0"/>
          <w:szCs w:val="21"/>
          <w:highlight w:val="none"/>
        </w:rPr>
        <w:t>式</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对</w:t>
      </w:r>
      <w:r>
        <w:rPr>
          <w:rFonts w:hint="eastAsia" w:ascii="宋体" w:hAnsi="宋体" w:eastAsia="宋体" w:cs="宋体"/>
          <w:spacing w:val="-2"/>
          <w:kern w:val="0"/>
          <w:szCs w:val="21"/>
          <w:highlight w:val="none"/>
        </w:rPr>
        <w:t>投</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文</w:t>
      </w:r>
      <w:r>
        <w:rPr>
          <w:rFonts w:hint="eastAsia" w:ascii="宋体" w:hAnsi="宋体" w:eastAsia="宋体" w:cs="宋体"/>
          <w:kern w:val="0"/>
          <w:szCs w:val="21"/>
          <w:highlight w:val="none"/>
        </w:rPr>
        <w:t>件</w:t>
      </w:r>
      <w:r>
        <w:rPr>
          <w:rFonts w:hint="eastAsia" w:ascii="宋体" w:hAnsi="宋体" w:eastAsia="宋体" w:cs="宋体"/>
          <w:spacing w:val="-2"/>
          <w:kern w:val="0"/>
          <w:szCs w:val="21"/>
          <w:highlight w:val="none"/>
        </w:rPr>
        <w:t>中</w:t>
      </w:r>
      <w:r>
        <w:rPr>
          <w:rFonts w:hint="eastAsia" w:ascii="宋体" w:hAnsi="宋体" w:eastAsia="宋体" w:cs="宋体"/>
          <w:kern w:val="0"/>
          <w:szCs w:val="21"/>
          <w:highlight w:val="none"/>
        </w:rPr>
        <w:t>含</w:t>
      </w:r>
      <w:r>
        <w:rPr>
          <w:rFonts w:hint="eastAsia" w:ascii="宋体" w:hAnsi="宋体" w:eastAsia="宋体" w:cs="宋体"/>
          <w:spacing w:val="-2"/>
          <w:kern w:val="0"/>
          <w:szCs w:val="21"/>
          <w:highlight w:val="none"/>
        </w:rPr>
        <w:t>义</w:t>
      </w:r>
      <w:r>
        <w:rPr>
          <w:rFonts w:hint="eastAsia" w:ascii="宋体" w:hAnsi="宋体" w:eastAsia="宋体" w:cs="宋体"/>
          <w:kern w:val="0"/>
          <w:szCs w:val="21"/>
          <w:highlight w:val="none"/>
        </w:rPr>
        <w:t>不明</w:t>
      </w:r>
      <w:r>
        <w:rPr>
          <w:rFonts w:hint="eastAsia" w:ascii="宋体" w:hAnsi="宋体" w:eastAsia="宋体" w:cs="宋体"/>
          <w:spacing w:val="-2"/>
          <w:kern w:val="0"/>
          <w:szCs w:val="21"/>
          <w:highlight w:val="none"/>
        </w:rPr>
        <w:t>确</w:t>
      </w:r>
      <w:r>
        <w:rPr>
          <w:rFonts w:hint="eastAsia" w:ascii="宋体" w:hAnsi="宋体" w:eastAsia="宋体" w:cs="宋体"/>
          <w:spacing w:val="-38"/>
          <w:kern w:val="0"/>
          <w:szCs w:val="21"/>
          <w:highlight w:val="none"/>
        </w:rPr>
        <w:t>、</w:t>
      </w:r>
      <w:r>
        <w:rPr>
          <w:rFonts w:hint="eastAsia" w:ascii="宋体" w:hAnsi="宋体" w:eastAsia="宋体" w:cs="宋体"/>
          <w:spacing w:val="-2"/>
          <w:kern w:val="0"/>
          <w:szCs w:val="21"/>
          <w:highlight w:val="none"/>
        </w:rPr>
        <w:t>对</w:t>
      </w:r>
      <w:r>
        <w:rPr>
          <w:rFonts w:hint="eastAsia" w:ascii="宋体" w:hAnsi="宋体" w:eastAsia="宋体" w:cs="宋体"/>
          <w:kern w:val="0"/>
          <w:szCs w:val="21"/>
          <w:highlight w:val="none"/>
        </w:rPr>
        <w:t>同类问题表述不一</w:t>
      </w:r>
      <w:r>
        <w:rPr>
          <w:rFonts w:hint="eastAsia" w:ascii="宋体" w:hAnsi="宋体" w:eastAsia="宋体" w:cs="宋体"/>
          <w:spacing w:val="-2"/>
          <w:kern w:val="0"/>
          <w:szCs w:val="21"/>
          <w:highlight w:val="none"/>
        </w:rPr>
        <w:t>致</w:t>
      </w:r>
      <w:r>
        <w:rPr>
          <w:rFonts w:hint="eastAsia" w:ascii="宋体" w:hAnsi="宋体" w:eastAsia="宋体" w:cs="宋体"/>
          <w:kern w:val="0"/>
          <w:szCs w:val="21"/>
          <w:highlight w:val="none"/>
        </w:rPr>
        <w:t>或者</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明显文字和计算</w:t>
      </w:r>
      <w:r>
        <w:rPr>
          <w:rFonts w:hint="eastAsia" w:ascii="宋体" w:hAnsi="宋体" w:eastAsia="宋体" w:cs="宋体"/>
          <w:spacing w:val="-2"/>
          <w:kern w:val="0"/>
          <w:szCs w:val="21"/>
          <w:highlight w:val="none"/>
        </w:rPr>
        <w:t>错</w:t>
      </w:r>
      <w:r>
        <w:rPr>
          <w:rFonts w:hint="eastAsia" w:ascii="宋体" w:hAnsi="宋体" w:eastAsia="宋体" w:cs="宋体"/>
          <w:kern w:val="0"/>
          <w:szCs w:val="21"/>
          <w:highlight w:val="none"/>
        </w:rPr>
        <w:t>误的</w:t>
      </w:r>
      <w:r>
        <w:rPr>
          <w:rFonts w:hint="eastAsia" w:ascii="宋体" w:hAnsi="宋体" w:eastAsia="宋体" w:cs="宋体"/>
          <w:spacing w:val="-2"/>
          <w:kern w:val="0"/>
          <w:szCs w:val="21"/>
          <w:highlight w:val="none"/>
        </w:rPr>
        <w:t>内</w:t>
      </w:r>
      <w:r>
        <w:rPr>
          <w:rFonts w:hint="eastAsia" w:ascii="宋体" w:hAnsi="宋体" w:eastAsia="宋体" w:cs="宋体"/>
          <w:kern w:val="0"/>
          <w:szCs w:val="21"/>
          <w:highlight w:val="none"/>
        </w:rPr>
        <w:t>容</w:t>
      </w:r>
      <w:r>
        <w:rPr>
          <w:rFonts w:hint="eastAsia" w:ascii="宋体" w:hAnsi="宋体" w:cs="宋体"/>
          <w:kern w:val="0"/>
          <w:szCs w:val="21"/>
          <w:highlight w:val="none"/>
          <w:lang w:eastAsia="zh-CN"/>
        </w:rPr>
        <w:t>做必要</w:t>
      </w:r>
      <w:r>
        <w:rPr>
          <w:rFonts w:hint="eastAsia" w:ascii="宋体" w:hAnsi="宋体" w:eastAsia="宋体" w:cs="宋体"/>
          <w:kern w:val="0"/>
          <w:szCs w:val="21"/>
          <w:highlight w:val="none"/>
        </w:rPr>
        <w:t>的澄</w:t>
      </w:r>
      <w:r>
        <w:rPr>
          <w:rFonts w:hint="eastAsia" w:ascii="宋体" w:hAnsi="宋体" w:eastAsia="宋体" w:cs="宋体"/>
          <w:spacing w:val="1"/>
          <w:kern w:val="0"/>
          <w:szCs w:val="21"/>
          <w:highlight w:val="none"/>
        </w:rPr>
        <w:t>清</w:t>
      </w:r>
      <w:r>
        <w:rPr>
          <w:rFonts w:hint="eastAsia" w:ascii="宋体" w:hAnsi="宋体" w:eastAsia="宋体" w:cs="宋体"/>
          <w:spacing w:val="-2"/>
          <w:kern w:val="0"/>
          <w:szCs w:val="21"/>
          <w:highlight w:val="none"/>
        </w:rPr>
        <w:t>、</w:t>
      </w:r>
      <w:r>
        <w:rPr>
          <w:rFonts w:hint="eastAsia" w:ascii="宋体" w:hAnsi="宋体" w:eastAsia="宋体" w:cs="宋体"/>
          <w:kern w:val="0"/>
          <w:szCs w:val="21"/>
          <w:highlight w:val="none"/>
        </w:rPr>
        <w:t>说明</w:t>
      </w:r>
      <w:r>
        <w:rPr>
          <w:rFonts w:hint="eastAsia" w:ascii="宋体" w:hAnsi="宋体" w:eastAsia="宋体" w:cs="宋体"/>
          <w:spacing w:val="-2"/>
          <w:kern w:val="0"/>
          <w:szCs w:val="21"/>
          <w:highlight w:val="none"/>
        </w:rPr>
        <w:t>或</w:t>
      </w:r>
      <w:r>
        <w:rPr>
          <w:rFonts w:hint="eastAsia" w:ascii="宋体" w:hAnsi="宋体" w:eastAsia="宋体" w:cs="宋体"/>
          <w:kern w:val="0"/>
          <w:szCs w:val="21"/>
          <w:highlight w:val="none"/>
        </w:rPr>
        <w:t>补正。澄</w:t>
      </w:r>
      <w:r>
        <w:rPr>
          <w:rFonts w:hint="eastAsia" w:ascii="宋体" w:hAnsi="宋体" w:eastAsia="宋体" w:cs="宋体"/>
          <w:spacing w:val="1"/>
          <w:kern w:val="0"/>
          <w:szCs w:val="21"/>
          <w:highlight w:val="none"/>
        </w:rPr>
        <w:t>清</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说</w:t>
      </w:r>
      <w:r>
        <w:rPr>
          <w:rFonts w:hint="eastAsia" w:ascii="宋体" w:hAnsi="宋体" w:eastAsia="宋体" w:cs="宋体"/>
          <w:kern w:val="0"/>
          <w:szCs w:val="21"/>
          <w:highlight w:val="none"/>
        </w:rPr>
        <w:t>明或补</w:t>
      </w:r>
      <w:r>
        <w:rPr>
          <w:rFonts w:hint="eastAsia" w:ascii="宋体" w:hAnsi="宋体" w:eastAsia="宋体" w:cs="宋体"/>
          <w:spacing w:val="-2"/>
          <w:kern w:val="0"/>
          <w:szCs w:val="21"/>
          <w:highlight w:val="none"/>
        </w:rPr>
        <w:t>正</w:t>
      </w:r>
      <w:r>
        <w:rPr>
          <w:rFonts w:hint="eastAsia" w:ascii="宋体" w:hAnsi="宋体" w:eastAsia="宋体" w:cs="宋体"/>
          <w:kern w:val="0"/>
          <w:szCs w:val="21"/>
          <w:highlight w:val="none"/>
        </w:rPr>
        <w:t>应</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书</w:t>
      </w:r>
      <w:r>
        <w:rPr>
          <w:rFonts w:hint="eastAsia" w:ascii="宋体" w:hAnsi="宋体" w:eastAsia="宋体" w:cs="宋体"/>
          <w:spacing w:val="-2"/>
          <w:kern w:val="0"/>
          <w:szCs w:val="21"/>
          <w:highlight w:val="none"/>
        </w:rPr>
        <w:t>面</w:t>
      </w:r>
      <w:r>
        <w:rPr>
          <w:rFonts w:hint="eastAsia" w:ascii="宋体" w:hAnsi="宋体" w:eastAsia="宋体" w:cs="宋体"/>
          <w:kern w:val="0"/>
          <w:szCs w:val="21"/>
          <w:highlight w:val="none"/>
        </w:rPr>
        <w:t>方</w:t>
      </w:r>
      <w:r>
        <w:rPr>
          <w:rFonts w:hint="eastAsia" w:ascii="宋体" w:hAnsi="宋体" w:eastAsia="宋体" w:cs="宋体"/>
          <w:spacing w:val="-2"/>
          <w:kern w:val="0"/>
          <w:szCs w:val="21"/>
          <w:highlight w:val="none"/>
        </w:rPr>
        <w:t>式</w:t>
      </w:r>
      <w:r>
        <w:rPr>
          <w:rFonts w:hint="eastAsia" w:ascii="宋体" w:hAnsi="宋体" w:eastAsia="宋体" w:cs="宋体"/>
          <w:kern w:val="0"/>
          <w:szCs w:val="21"/>
          <w:highlight w:val="none"/>
        </w:rPr>
        <w:t>进</w:t>
      </w:r>
      <w:r>
        <w:rPr>
          <w:rFonts w:hint="eastAsia" w:ascii="宋体" w:hAnsi="宋体" w:eastAsia="宋体" w:cs="宋体"/>
          <w:spacing w:val="-2"/>
          <w:kern w:val="0"/>
          <w:szCs w:val="21"/>
          <w:highlight w:val="none"/>
        </w:rPr>
        <w:t>行</w:t>
      </w:r>
      <w:r>
        <w:rPr>
          <w:rFonts w:hint="eastAsia" w:ascii="宋体" w:hAnsi="宋体" w:eastAsia="宋体" w:cs="宋体"/>
          <w:szCs w:val="21"/>
          <w:highlight w:val="none"/>
        </w:rPr>
        <w:t>，并加盖公章，或者由法定代表人或其授权的代表签字</w:t>
      </w:r>
      <w:r>
        <w:rPr>
          <w:rFonts w:hint="eastAsia" w:ascii="宋体" w:hAnsi="宋体" w:eastAsia="宋体" w:cs="宋体"/>
          <w:kern w:val="0"/>
          <w:szCs w:val="21"/>
          <w:highlight w:val="none"/>
        </w:rPr>
        <w:t>。评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不</w:t>
      </w:r>
      <w:r>
        <w:rPr>
          <w:rFonts w:hint="eastAsia" w:ascii="宋体" w:hAnsi="宋体" w:eastAsia="宋体" w:cs="宋体"/>
          <w:kern w:val="0"/>
          <w:szCs w:val="21"/>
          <w:highlight w:val="none"/>
        </w:rPr>
        <w:t>接</w:t>
      </w:r>
      <w:r>
        <w:rPr>
          <w:rFonts w:hint="eastAsia" w:ascii="宋体" w:hAnsi="宋体" w:eastAsia="宋体" w:cs="宋体"/>
          <w:spacing w:val="-2"/>
          <w:kern w:val="0"/>
          <w:szCs w:val="21"/>
          <w:highlight w:val="none"/>
        </w:rPr>
        <w:t>受</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主</w:t>
      </w:r>
      <w:r>
        <w:rPr>
          <w:rFonts w:hint="eastAsia" w:ascii="宋体" w:hAnsi="宋体" w:eastAsia="宋体" w:cs="宋体"/>
          <w:spacing w:val="-2"/>
          <w:kern w:val="0"/>
          <w:szCs w:val="21"/>
          <w:highlight w:val="none"/>
        </w:rPr>
        <w:t>动</w:t>
      </w:r>
      <w:r>
        <w:rPr>
          <w:rFonts w:hint="eastAsia" w:ascii="宋体" w:hAnsi="宋体" w:eastAsia="宋体" w:cs="宋体"/>
          <w:kern w:val="0"/>
          <w:szCs w:val="21"/>
          <w:highlight w:val="none"/>
        </w:rPr>
        <w:t>提</w:t>
      </w:r>
      <w:r>
        <w:rPr>
          <w:rFonts w:hint="eastAsia" w:ascii="宋体" w:hAnsi="宋体" w:eastAsia="宋体" w:cs="宋体"/>
          <w:spacing w:val="-2"/>
          <w:kern w:val="0"/>
          <w:szCs w:val="21"/>
          <w:highlight w:val="none"/>
        </w:rPr>
        <w:t>出</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澄</w:t>
      </w:r>
      <w:r>
        <w:rPr>
          <w:rFonts w:hint="eastAsia" w:ascii="宋体" w:hAnsi="宋体" w:eastAsia="宋体" w:cs="宋体"/>
          <w:kern w:val="0"/>
          <w:szCs w:val="21"/>
          <w:highlight w:val="none"/>
        </w:rPr>
        <w:t>清</w:t>
      </w:r>
      <w:r>
        <w:rPr>
          <w:rFonts w:hint="eastAsia" w:ascii="宋体" w:hAnsi="宋体" w:eastAsia="宋体" w:cs="宋体"/>
          <w:spacing w:val="-2"/>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或补</w:t>
      </w:r>
      <w:r>
        <w:rPr>
          <w:rFonts w:hint="eastAsia" w:ascii="宋体" w:hAnsi="宋体" w:eastAsia="宋体" w:cs="宋体"/>
          <w:spacing w:val="-2"/>
          <w:kern w:val="0"/>
          <w:szCs w:val="21"/>
          <w:highlight w:val="none"/>
        </w:rPr>
        <w:t>正</w:t>
      </w:r>
      <w:r>
        <w:rPr>
          <w:rFonts w:hint="eastAsia" w:ascii="宋体" w:hAnsi="宋体" w:eastAsia="宋体" w:cs="宋体"/>
          <w:kern w:val="0"/>
          <w:szCs w:val="21"/>
          <w:highlight w:val="none"/>
        </w:rPr>
        <w:t>。</w:t>
      </w:r>
    </w:p>
    <w:p w14:paraId="4EE23959">
      <w:pPr>
        <w:autoSpaceDE w:val="0"/>
        <w:autoSpaceDN w:val="0"/>
        <w:adjustRightInd w:val="0"/>
        <w:spacing w:before="10" w:line="360" w:lineRule="auto"/>
        <w:ind w:left="100" w:right="139"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3.3.2澄清</w:t>
      </w:r>
      <w:r>
        <w:rPr>
          <w:rFonts w:hint="eastAsia" w:ascii="宋体" w:hAnsi="宋体" w:eastAsia="宋体" w:cs="宋体"/>
          <w:spacing w:val="-41"/>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w:t>
      </w:r>
      <w:r>
        <w:rPr>
          <w:rFonts w:hint="eastAsia" w:ascii="宋体" w:hAnsi="宋体" w:eastAsia="宋体" w:cs="宋体"/>
          <w:spacing w:val="-2"/>
          <w:kern w:val="0"/>
          <w:szCs w:val="21"/>
          <w:highlight w:val="none"/>
        </w:rPr>
        <w:t>补</w:t>
      </w:r>
      <w:r>
        <w:rPr>
          <w:rFonts w:hint="eastAsia" w:ascii="宋体" w:hAnsi="宋体" w:eastAsia="宋体" w:cs="宋体"/>
          <w:kern w:val="0"/>
          <w:szCs w:val="21"/>
          <w:highlight w:val="none"/>
        </w:rPr>
        <w:t>正</w:t>
      </w:r>
      <w:r>
        <w:rPr>
          <w:rFonts w:hint="eastAsia" w:ascii="宋体" w:hAnsi="宋体" w:eastAsia="宋体" w:cs="宋体"/>
          <w:spacing w:val="-2"/>
          <w:kern w:val="0"/>
          <w:szCs w:val="21"/>
          <w:highlight w:val="none"/>
        </w:rPr>
        <w:t>不</w:t>
      </w:r>
      <w:r>
        <w:rPr>
          <w:rFonts w:hint="eastAsia" w:ascii="宋体" w:hAnsi="宋体" w:eastAsia="宋体" w:cs="宋体"/>
          <w:kern w:val="0"/>
          <w:szCs w:val="21"/>
          <w:highlight w:val="none"/>
        </w:rPr>
        <w:t>得超</w:t>
      </w:r>
      <w:r>
        <w:rPr>
          <w:rFonts w:hint="eastAsia" w:ascii="宋体" w:hAnsi="宋体" w:eastAsia="宋体" w:cs="宋体"/>
          <w:spacing w:val="-2"/>
          <w:kern w:val="0"/>
          <w:szCs w:val="21"/>
          <w:highlight w:val="none"/>
        </w:rPr>
        <w:t>出</w:t>
      </w:r>
      <w:r>
        <w:rPr>
          <w:rFonts w:hint="eastAsia" w:ascii="宋体" w:hAnsi="宋体" w:eastAsia="宋体" w:cs="宋体"/>
          <w:kern w:val="0"/>
          <w:szCs w:val="21"/>
          <w:highlight w:val="none"/>
        </w:rPr>
        <w:t>投</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文</w:t>
      </w:r>
      <w:r>
        <w:rPr>
          <w:rFonts w:hint="eastAsia" w:ascii="宋体" w:hAnsi="宋体" w:eastAsia="宋体" w:cs="宋体"/>
          <w:spacing w:val="-2"/>
          <w:kern w:val="0"/>
          <w:szCs w:val="21"/>
          <w:highlight w:val="none"/>
        </w:rPr>
        <w:t>件</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范</w:t>
      </w:r>
      <w:r>
        <w:rPr>
          <w:rFonts w:hint="eastAsia" w:ascii="宋体" w:hAnsi="宋体" w:eastAsia="宋体" w:cs="宋体"/>
          <w:kern w:val="0"/>
          <w:szCs w:val="21"/>
          <w:highlight w:val="none"/>
        </w:rPr>
        <w:t>围</w:t>
      </w:r>
      <w:r>
        <w:rPr>
          <w:rFonts w:hint="eastAsia" w:ascii="宋体" w:hAnsi="宋体" w:eastAsia="宋体" w:cs="宋体"/>
          <w:spacing w:val="-2"/>
          <w:kern w:val="0"/>
          <w:szCs w:val="21"/>
          <w:highlight w:val="none"/>
        </w:rPr>
        <w:t>且</w:t>
      </w:r>
      <w:r>
        <w:rPr>
          <w:rFonts w:hint="eastAsia" w:ascii="宋体" w:hAnsi="宋体" w:eastAsia="宋体" w:cs="宋体"/>
          <w:kern w:val="0"/>
          <w:szCs w:val="21"/>
          <w:highlight w:val="none"/>
        </w:rPr>
        <w:t>不得</w:t>
      </w:r>
      <w:r>
        <w:rPr>
          <w:rFonts w:hint="eastAsia" w:ascii="宋体" w:hAnsi="宋体" w:eastAsia="宋体" w:cs="宋体"/>
          <w:spacing w:val="-2"/>
          <w:kern w:val="0"/>
          <w:szCs w:val="21"/>
          <w:highlight w:val="none"/>
        </w:rPr>
        <w:t>改</w:t>
      </w:r>
      <w:r>
        <w:rPr>
          <w:rFonts w:hint="eastAsia" w:ascii="宋体" w:hAnsi="宋体" w:eastAsia="宋体" w:cs="宋体"/>
          <w:kern w:val="0"/>
          <w:szCs w:val="21"/>
          <w:highlight w:val="none"/>
        </w:rPr>
        <w:t>变</w:t>
      </w:r>
      <w:r>
        <w:rPr>
          <w:rFonts w:hint="eastAsia" w:ascii="宋体" w:hAnsi="宋体" w:eastAsia="宋体" w:cs="宋体"/>
          <w:spacing w:val="-2"/>
          <w:kern w:val="0"/>
          <w:szCs w:val="21"/>
          <w:highlight w:val="none"/>
        </w:rPr>
        <w:t>投</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文</w:t>
      </w:r>
      <w:r>
        <w:rPr>
          <w:rFonts w:hint="eastAsia" w:ascii="宋体" w:hAnsi="宋体" w:eastAsia="宋体" w:cs="宋体"/>
          <w:kern w:val="0"/>
          <w:szCs w:val="21"/>
          <w:highlight w:val="none"/>
        </w:rPr>
        <w:t>件</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实</w:t>
      </w:r>
      <w:r>
        <w:rPr>
          <w:rFonts w:hint="eastAsia" w:ascii="宋体" w:hAnsi="宋体" w:eastAsia="宋体" w:cs="宋体"/>
          <w:spacing w:val="-2"/>
          <w:kern w:val="0"/>
          <w:szCs w:val="21"/>
          <w:highlight w:val="none"/>
        </w:rPr>
        <w:t>质</w:t>
      </w:r>
      <w:r>
        <w:rPr>
          <w:rFonts w:hint="eastAsia" w:ascii="宋体" w:hAnsi="宋体" w:eastAsia="宋体" w:cs="宋体"/>
          <w:kern w:val="0"/>
          <w:szCs w:val="21"/>
          <w:highlight w:val="none"/>
        </w:rPr>
        <w:t>性内</w:t>
      </w:r>
      <w:r>
        <w:rPr>
          <w:rFonts w:hint="eastAsia" w:ascii="宋体" w:hAnsi="宋体" w:eastAsia="宋体" w:cs="宋体"/>
          <w:spacing w:val="-2"/>
          <w:kern w:val="0"/>
          <w:szCs w:val="21"/>
          <w:highlight w:val="none"/>
        </w:rPr>
        <w:t>容</w:t>
      </w:r>
      <w:r>
        <w:rPr>
          <w:rFonts w:hint="eastAsia" w:ascii="宋体" w:hAnsi="宋体" w:eastAsia="宋体" w:cs="宋体"/>
          <w:spacing w:val="-38"/>
          <w:kern w:val="0"/>
          <w:szCs w:val="21"/>
          <w:highlight w:val="none"/>
        </w:rPr>
        <w:t>，</w:t>
      </w:r>
      <w:r>
        <w:rPr>
          <w:rFonts w:hint="eastAsia" w:ascii="宋体" w:hAnsi="宋体" w:eastAsia="宋体" w:cs="宋体"/>
          <w:spacing w:val="-2"/>
          <w:kern w:val="0"/>
          <w:szCs w:val="21"/>
          <w:highlight w:val="none"/>
        </w:rPr>
        <w:t>并</w:t>
      </w:r>
      <w:r>
        <w:rPr>
          <w:rFonts w:hint="eastAsia" w:ascii="宋体" w:hAnsi="宋体" w:eastAsia="宋体" w:cs="宋体"/>
          <w:kern w:val="0"/>
          <w:szCs w:val="21"/>
          <w:highlight w:val="none"/>
        </w:rPr>
        <w:t>构成投</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文</w:t>
      </w:r>
      <w:r>
        <w:rPr>
          <w:rFonts w:hint="eastAsia" w:ascii="宋体" w:hAnsi="宋体" w:eastAsia="宋体" w:cs="宋体"/>
          <w:spacing w:val="-2"/>
          <w:kern w:val="0"/>
          <w:szCs w:val="21"/>
          <w:highlight w:val="none"/>
        </w:rPr>
        <w:t>件</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组</w:t>
      </w:r>
      <w:r>
        <w:rPr>
          <w:rFonts w:hint="eastAsia" w:ascii="宋体" w:hAnsi="宋体" w:eastAsia="宋体" w:cs="宋体"/>
          <w:kern w:val="0"/>
          <w:szCs w:val="21"/>
          <w:highlight w:val="none"/>
        </w:rPr>
        <w:t>成</w:t>
      </w:r>
      <w:r>
        <w:rPr>
          <w:rFonts w:hint="eastAsia" w:ascii="宋体" w:hAnsi="宋体" w:eastAsia="宋体" w:cs="宋体"/>
          <w:spacing w:val="-2"/>
          <w:kern w:val="0"/>
          <w:szCs w:val="21"/>
          <w:highlight w:val="none"/>
        </w:rPr>
        <w:t>部</w:t>
      </w:r>
      <w:r>
        <w:rPr>
          <w:rFonts w:hint="eastAsia" w:ascii="宋体" w:hAnsi="宋体" w:eastAsia="宋体" w:cs="宋体"/>
          <w:kern w:val="0"/>
          <w:szCs w:val="21"/>
          <w:highlight w:val="none"/>
        </w:rPr>
        <w:t>分。</w:t>
      </w:r>
    </w:p>
    <w:p w14:paraId="21F267AD">
      <w:pPr>
        <w:autoSpaceDE w:val="0"/>
        <w:autoSpaceDN w:val="0"/>
        <w:adjustRightInd w:val="0"/>
        <w:spacing w:before="11" w:line="360" w:lineRule="auto"/>
        <w:ind w:left="100" w:right="34"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3.3.3评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对</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提交</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澄清</w:t>
      </w:r>
      <w:r>
        <w:rPr>
          <w:rFonts w:hint="eastAsia" w:ascii="宋体" w:hAnsi="宋体" w:eastAsia="宋体" w:cs="宋体"/>
          <w:spacing w:val="-94"/>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w:t>
      </w:r>
      <w:r>
        <w:rPr>
          <w:rFonts w:hint="eastAsia" w:ascii="宋体" w:hAnsi="宋体" w:eastAsia="宋体" w:cs="宋体"/>
          <w:spacing w:val="-2"/>
          <w:kern w:val="0"/>
          <w:szCs w:val="21"/>
          <w:highlight w:val="none"/>
        </w:rPr>
        <w:t>补</w:t>
      </w:r>
      <w:r>
        <w:rPr>
          <w:rFonts w:hint="eastAsia" w:ascii="宋体" w:hAnsi="宋体" w:eastAsia="宋体" w:cs="宋体"/>
          <w:kern w:val="0"/>
          <w:szCs w:val="21"/>
          <w:highlight w:val="none"/>
        </w:rPr>
        <w:t>正</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疑问的</w:t>
      </w:r>
      <w:r>
        <w:rPr>
          <w:rFonts w:hint="eastAsia" w:ascii="宋体" w:hAnsi="宋体" w:eastAsia="宋体" w:cs="宋体"/>
          <w:spacing w:val="-94"/>
          <w:kern w:val="0"/>
          <w:szCs w:val="21"/>
          <w:highlight w:val="none"/>
        </w:rPr>
        <w:t>，</w:t>
      </w:r>
      <w:r>
        <w:rPr>
          <w:rFonts w:hint="eastAsia" w:ascii="宋体" w:hAnsi="宋体" w:eastAsia="宋体" w:cs="宋体"/>
          <w:kern w:val="0"/>
          <w:szCs w:val="21"/>
          <w:highlight w:val="none"/>
        </w:rPr>
        <w:t>可</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ascii="宋体" w:hAnsi="宋体" w:cs="宋体"/>
          <w:kern w:val="0"/>
          <w:szCs w:val="21"/>
          <w:highlight w:val="none"/>
          <w:lang w:eastAsia="zh-CN"/>
        </w:rPr>
        <w:t>供应商</w:t>
      </w:r>
      <w:r>
        <w:rPr>
          <w:rFonts w:hint="eastAsia" w:ascii="宋体" w:hAnsi="宋体" w:eastAsia="宋体" w:cs="宋体"/>
          <w:spacing w:val="-2"/>
          <w:kern w:val="0"/>
          <w:szCs w:val="21"/>
          <w:highlight w:val="none"/>
        </w:rPr>
        <w:t>进</w:t>
      </w:r>
      <w:r>
        <w:rPr>
          <w:rFonts w:hint="eastAsia" w:ascii="宋体" w:hAnsi="宋体" w:eastAsia="宋体" w:cs="宋体"/>
          <w:kern w:val="0"/>
          <w:szCs w:val="21"/>
          <w:highlight w:val="none"/>
        </w:rPr>
        <w:t>一步</w:t>
      </w:r>
      <w:r>
        <w:rPr>
          <w:rFonts w:hint="eastAsia" w:ascii="宋体" w:hAnsi="宋体" w:eastAsia="宋体" w:cs="宋体"/>
          <w:spacing w:val="-2"/>
          <w:kern w:val="0"/>
          <w:szCs w:val="21"/>
          <w:highlight w:val="none"/>
        </w:rPr>
        <w:t>澄</w:t>
      </w:r>
      <w:r>
        <w:rPr>
          <w:rFonts w:hint="eastAsia" w:ascii="宋体" w:hAnsi="宋体" w:eastAsia="宋体" w:cs="宋体"/>
          <w:kern w:val="0"/>
          <w:szCs w:val="21"/>
          <w:highlight w:val="none"/>
        </w:rPr>
        <w:t>清、说明</w:t>
      </w:r>
      <w:r>
        <w:rPr>
          <w:rFonts w:hint="eastAsia" w:ascii="宋体" w:hAnsi="宋体" w:eastAsia="宋体" w:cs="宋体"/>
          <w:spacing w:val="-2"/>
          <w:kern w:val="0"/>
          <w:szCs w:val="21"/>
          <w:highlight w:val="none"/>
        </w:rPr>
        <w:t>或</w:t>
      </w:r>
      <w:r>
        <w:rPr>
          <w:rFonts w:hint="eastAsia" w:ascii="宋体" w:hAnsi="宋体" w:eastAsia="宋体" w:cs="宋体"/>
          <w:kern w:val="0"/>
          <w:szCs w:val="21"/>
          <w:highlight w:val="none"/>
        </w:rPr>
        <w:t>补</w:t>
      </w:r>
      <w:r>
        <w:rPr>
          <w:rFonts w:hint="eastAsia" w:ascii="宋体" w:hAnsi="宋体" w:eastAsia="宋体" w:cs="宋体"/>
          <w:spacing w:val="-3"/>
          <w:kern w:val="0"/>
          <w:szCs w:val="21"/>
          <w:highlight w:val="none"/>
        </w:rPr>
        <w:t>正</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直</w:t>
      </w:r>
      <w:r>
        <w:rPr>
          <w:rFonts w:hint="eastAsia" w:ascii="宋体" w:hAnsi="宋体" w:eastAsia="宋体" w:cs="宋体"/>
          <w:kern w:val="0"/>
          <w:szCs w:val="21"/>
          <w:highlight w:val="none"/>
        </w:rPr>
        <w:t>至</w:t>
      </w:r>
      <w:r>
        <w:rPr>
          <w:rFonts w:hint="eastAsia" w:ascii="宋体" w:hAnsi="宋体" w:eastAsia="宋体" w:cs="宋体"/>
          <w:spacing w:val="-2"/>
          <w:kern w:val="0"/>
          <w:szCs w:val="21"/>
          <w:highlight w:val="none"/>
        </w:rPr>
        <w:t>满</w:t>
      </w:r>
      <w:r>
        <w:rPr>
          <w:rFonts w:hint="eastAsia" w:ascii="宋体" w:hAnsi="宋体" w:eastAsia="宋体" w:cs="宋体"/>
          <w:kern w:val="0"/>
          <w:szCs w:val="21"/>
          <w:highlight w:val="none"/>
        </w:rPr>
        <w:t>足</w:t>
      </w:r>
      <w:r>
        <w:rPr>
          <w:rFonts w:hint="eastAsia" w:ascii="宋体" w:hAnsi="宋体" w:eastAsia="宋体" w:cs="宋体"/>
          <w:spacing w:val="-2"/>
          <w:kern w:val="0"/>
          <w:szCs w:val="21"/>
          <w:highlight w:val="none"/>
        </w:rPr>
        <w:t>评</w:t>
      </w:r>
      <w:r>
        <w:rPr>
          <w:rFonts w:hint="eastAsia" w:ascii="宋体" w:hAnsi="宋体" w:eastAsia="宋体" w:cs="宋体"/>
          <w:kern w:val="0"/>
          <w:szCs w:val="21"/>
          <w:highlight w:val="none"/>
        </w:rPr>
        <w:t>标委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ascii="宋体" w:hAnsi="宋体" w:eastAsia="宋体" w:cs="宋体"/>
          <w:kern w:val="0"/>
          <w:szCs w:val="21"/>
          <w:highlight w:val="none"/>
        </w:rPr>
        <w:t>。</w:t>
      </w:r>
    </w:p>
    <w:p w14:paraId="3B139064">
      <w:pPr>
        <w:pStyle w:val="4"/>
        <w:rPr>
          <w:rFonts w:hint="eastAsia" w:ascii="宋体" w:hAnsi="宋体" w:eastAsia="宋体" w:cs="宋体"/>
          <w:highlight w:val="none"/>
        </w:rPr>
      </w:pPr>
      <w:bookmarkStart w:id="152" w:name="_Toc10336"/>
      <w:bookmarkStart w:id="153" w:name="_Toc27845"/>
      <w:bookmarkStart w:id="154" w:name="_Toc19751"/>
      <w:bookmarkStart w:id="155" w:name="_Toc19426"/>
      <w:bookmarkStart w:id="156" w:name="_Toc26739"/>
      <w:bookmarkStart w:id="157" w:name="_Toc21477"/>
      <w:bookmarkStart w:id="158" w:name="_Toc25857"/>
      <w:bookmarkStart w:id="159" w:name="_Toc25449"/>
      <w:bookmarkStart w:id="160" w:name="_Toc12108"/>
      <w:bookmarkStart w:id="161" w:name="_Toc21885"/>
      <w:bookmarkStart w:id="162" w:name="_Toc29432"/>
      <w:bookmarkStart w:id="163" w:name="_Toc10707"/>
      <w:bookmarkStart w:id="164" w:name="_Toc21133"/>
      <w:r>
        <w:rPr>
          <w:rFonts w:hint="eastAsia" w:ascii="宋体" w:hAnsi="宋体" w:eastAsia="宋体" w:cs="宋体"/>
          <w:highlight w:val="none"/>
        </w:rPr>
        <w:t>3.4评标结果</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2402E267">
      <w:pPr>
        <w:autoSpaceDE w:val="0"/>
        <w:autoSpaceDN w:val="0"/>
        <w:adjustRightInd w:val="0"/>
        <w:spacing w:line="360" w:lineRule="auto"/>
        <w:ind w:left="100" w:right="142"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3.4.1除</w:t>
      </w:r>
      <w:r>
        <w:rPr>
          <w:rFonts w:hint="eastAsia" w:ascii="宋体" w:hAnsi="宋体" w:eastAsia="宋体" w:cs="宋体"/>
          <w:spacing w:val="-2"/>
          <w:kern w:val="0"/>
          <w:szCs w:val="21"/>
          <w:highlight w:val="none"/>
        </w:rPr>
        <w:t>采购人</w:t>
      </w:r>
      <w:r>
        <w:rPr>
          <w:rFonts w:hint="eastAsia" w:ascii="宋体" w:hAnsi="宋体" w:eastAsia="宋体" w:cs="宋体"/>
          <w:kern w:val="0"/>
          <w:szCs w:val="21"/>
          <w:highlight w:val="none"/>
        </w:rPr>
        <w:t>授</w:t>
      </w:r>
      <w:r>
        <w:rPr>
          <w:rFonts w:hint="eastAsia" w:ascii="宋体" w:hAnsi="宋体" w:eastAsia="宋体" w:cs="宋体"/>
          <w:spacing w:val="-2"/>
          <w:kern w:val="0"/>
          <w:szCs w:val="21"/>
          <w:highlight w:val="none"/>
        </w:rPr>
        <w:t>权</w:t>
      </w:r>
      <w:r>
        <w:rPr>
          <w:rFonts w:hint="eastAsia" w:ascii="宋体" w:hAnsi="宋体" w:eastAsia="宋体" w:cs="宋体"/>
          <w:kern w:val="0"/>
          <w:szCs w:val="21"/>
          <w:highlight w:val="none"/>
        </w:rPr>
        <w:t>直</w:t>
      </w:r>
      <w:r>
        <w:rPr>
          <w:rFonts w:hint="eastAsia" w:ascii="宋体" w:hAnsi="宋体" w:eastAsia="宋体" w:cs="宋体"/>
          <w:spacing w:val="-2"/>
          <w:kern w:val="0"/>
          <w:szCs w:val="21"/>
          <w:highlight w:val="none"/>
        </w:rPr>
        <w:t>接</w:t>
      </w:r>
      <w:r>
        <w:rPr>
          <w:rFonts w:hint="eastAsia" w:ascii="宋体" w:hAnsi="宋体" w:eastAsia="宋体" w:cs="宋体"/>
          <w:kern w:val="0"/>
          <w:szCs w:val="21"/>
          <w:highlight w:val="none"/>
        </w:rPr>
        <w:t>确</w:t>
      </w:r>
      <w:r>
        <w:rPr>
          <w:rFonts w:hint="eastAsia" w:ascii="宋体" w:hAnsi="宋体" w:eastAsia="宋体" w:cs="宋体"/>
          <w:spacing w:val="-2"/>
          <w:kern w:val="0"/>
          <w:szCs w:val="21"/>
          <w:highlight w:val="none"/>
        </w:rPr>
        <w:t>定中</w:t>
      </w:r>
      <w:r>
        <w:rPr>
          <w:rFonts w:hint="eastAsia" w:ascii="宋体" w:hAnsi="宋体" w:eastAsia="宋体" w:cs="宋体"/>
          <w:kern w:val="0"/>
          <w:szCs w:val="21"/>
          <w:highlight w:val="none"/>
        </w:rPr>
        <w:t>标人</w:t>
      </w:r>
      <w:r>
        <w:rPr>
          <w:rFonts w:hint="eastAsia" w:ascii="宋体" w:hAnsi="宋体" w:eastAsia="宋体" w:cs="宋体"/>
          <w:spacing w:val="-2"/>
          <w:kern w:val="0"/>
          <w:szCs w:val="21"/>
          <w:highlight w:val="none"/>
        </w:rPr>
        <w:t>外</w:t>
      </w:r>
      <w:r>
        <w:rPr>
          <w:rFonts w:hint="eastAsia" w:ascii="宋体" w:hAnsi="宋体" w:eastAsia="宋体" w:cs="宋体"/>
          <w:spacing w:val="-53"/>
          <w:kern w:val="0"/>
          <w:szCs w:val="21"/>
          <w:highlight w:val="none"/>
        </w:rPr>
        <w:t>，</w:t>
      </w:r>
      <w:r>
        <w:rPr>
          <w:rFonts w:hint="eastAsia" w:ascii="宋体" w:hAnsi="宋体" w:eastAsia="宋体" w:cs="宋体"/>
          <w:kern w:val="0"/>
          <w:szCs w:val="21"/>
          <w:highlight w:val="none"/>
        </w:rPr>
        <w:t>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按照各评委</w:t>
      </w:r>
      <w:r>
        <w:rPr>
          <w:rFonts w:hint="eastAsia" w:ascii="宋体" w:hAnsi="宋体" w:eastAsia="宋体" w:cs="宋体"/>
          <w:highlight w:val="none"/>
        </w:rPr>
        <w:t>评分的算术平均值</w:t>
      </w:r>
      <w:r>
        <w:rPr>
          <w:rFonts w:hint="eastAsia" w:ascii="宋体" w:hAnsi="宋体" w:eastAsia="宋体" w:cs="宋体"/>
          <w:kern w:val="0"/>
          <w:szCs w:val="21"/>
          <w:highlight w:val="none"/>
        </w:rPr>
        <w:t>得分</w:t>
      </w:r>
      <w:r>
        <w:rPr>
          <w:rFonts w:hint="eastAsia" w:ascii="宋体" w:hAnsi="宋体" w:eastAsia="宋体" w:cs="宋体"/>
          <w:spacing w:val="-2"/>
          <w:kern w:val="0"/>
          <w:szCs w:val="21"/>
          <w:highlight w:val="none"/>
        </w:rPr>
        <w:t>由</w:t>
      </w:r>
      <w:r>
        <w:rPr>
          <w:rFonts w:hint="eastAsia" w:ascii="宋体" w:hAnsi="宋体" w:eastAsia="宋体" w:cs="宋体"/>
          <w:kern w:val="0"/>
          <w:szCs w:val="21"/>
          <w:highlight w:val="none"/>
        </w:rPr>
        <w:t>高</w:t>
      </w:r>
      <w:r>
        <w:rPr>
          <w:rFonts w:hint="eastAsia" w:ascii="宋体" w:hAnsi="宋体" w:eastAsia="宋体" w:cs="宋体"/>
          <w:spacing w:val="-2"/>
          <w:kern w:val="0"/>
          <w:szCs w:val="21"/>
          <w:highlight w:val="none"/>
        </w:rPr>
        <w:t>到</w:t>
      </w:r>
      <w:r>
        <w:rPr>
          <w:rFonts w:hint="eastAsia" w:ascii="宋体" w:hAnsi="宋体" w:eastAsia="宋体" w:cs="宋体"/>
          <w:kern w:val="0"/>
          <w:szCs w:val="21"/>
          <w:highlight w:val="none"/>
        </w:rPr>
        <w:t>低的顺</w:t>
      </w:r>
      <w:r>
        <w:rPr>
          <w:rFonts w:hint="eastAsia" w:ascii="宋体" w:hAnsi="宋体" w:eastAsia="宋体" w:cs="宋体"/>
          <w:spacing w:val="-2"/>
          <w:kern w:val="0"/>
          <w:szCs w:val="21"/>
          <w:highlight w:val="none"/>
        </w:rPr>
        <w:t>序</w:t>
      </w:r>
      <w:r>
        <w:rPr>
          <w:rFonts w:hint="eastAsia" w:ascii="宋体" w:hAnsi="宋体" w:eastAsia="宋体" w:cs="宋体"/>
          <w:kern w:val="0"/>
          <w:szCs w:val="21"/>
          <w:highlight w:val="none"/>
        </w:rPr>
        <w:t>推</w:t>
      </w:r>
      <w:r>
        <w:rPr>
          <w:rFonts w:hint="eastAsia" w:ascii="宋体" w:hAnsi="宋体" w:eastAsia="宋体" w:cs="宋体"/>
          <w:spacing w:val="-2"/>
          <w:kern w:val="0"/>
          <w:szCs w:val="21"/>
          <w:highlight w:val="none"/>
        </w:rPr>
        <w:t>荐3名</w:t>
      </w:r>
      <w:r>
        <w:rPr>
          <w:rFonts w:hint="eastAsia" w:ascii="宋体" w:hAnsi="宋体" w:eastAsia="宋体" w:cs="宋体"/>
          <w:kern w:val="0"/>
          <w:szCs w:val="21"/>
          <w:highlight w:val="none"/>
        </w:rPr>
        <w:t>中</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候</w:t>
      </w:r>
      <w:r>
        <w:rPr>
          <w:rFonts w:hint="eastAsia" w:ascii="宋体" w:hAnsi="宋体" w:eastAsia="宋体" w:cs="宋体"/>
          <w:spacing w:val="-2"/>
          <w:kern w:val="0"/>
          <w:szCs w:val="21"/>
          <w:highlight w:val="none"/>
        </w:rPr>
        <w:t>选</w:t>
      </w:r>
      <w:r>
        <w:rPr>
          <w:rFonts w:hint="eastAsia" w:ascii="宋体" w:hAnsi="宋体" w:eastAsia="宋体" w:cs="宋体"/>
          <w:kern w:val="0"/>
          <w:szCs w:val="21"/>
          <w:highlight w:val="none"/>
        </w:rPr>
        <w:t>人</w:t>
      </w:r>
      <w:r>
        <w:rPr>
          <w:rFonts w:hint="eastAsia" w:ascii="宋体" w:hAnsi="宋体" w:eastAsia="宋体" w:cs="宋体"/>
          <w:spacing w:val="-2"/>
          <w:kern w:val="0"/>
          <w:szCs w:val="21"/>
          <w:highlight w:val="none"/>
        </w:rPr>
        <w:t>，</w:t>
      </w:r>
      <w:r>
        <w:rPr>
          <w:rFonts w:hint="eastAsia" w:ascii="宋体" w:hAnsi="宋体" w:eastAsia="宋体" w:cs="宋体"/>
          <w:szCs w:val="21"/>
          <w:highlight w:val="none"/>
        </w:rPr>
        <w:t>得分相同的，按投标报价由低到高顺序排列。得分且投标报价相同的并列。投标文件满足招标文件全部实质性要求，且按照评审因素的量化指标评审得分最高的</w:t>
      </w:r>
      <w:r>
        <w:rPr>
          <w:rFonts w:hint="eastAsia" w:ascii="宋体" w:hAnsi="宋体" w:cs="宋体"/>
          <w:szCs w:val="21"/>
          <w:highlight w:val="none"/>
          <w:lang w:eastAsia="zh-CN"/>
        </w:rPr>
        <w:t>供应商</w:t>
      </w:r>
      <w:r>
        <w:rPr>
          <w:rFonts w:hint="eastAsia" w:ascii="宋体" w:hAnsi="宋体" w:eastAsia="宋体" w:cs="宋体"/>
          <w:szCs w:val="21"/>
          <w:highlight w:val="none"/>
        </w:rPr>
        <w:t>为排名第一的中标候选人。</w:t>
      </w:r>
    </w:p>
    <w:p w14:paraId="3AF4A903">
      <w:pPr>
        <w:autoSpaceDE w:val="0"/>
        <w:autoSpaceDN w:val="0"/>
        <w:adjustRightInd w:val="0"/>
        <w:spacing w:before="40" w:line="360" w:lineRule="auto"/>
        <w:ind w:left="100" w:right="140" w:firstLine="420"/>
        <w:rPr>
          <w:rFonts w:hint="eastAsia" w:ascii="宋体" w:hAnsi="宋体" w:eastAsia="宋体" w:cs="宋体"/>
          <w:kern w:val="0"/>
          <w:szCs w:val="21"/>
          <w:highlight w:val="none"/>
        </w:rPr>
        <w:sectPr>
          <w:headerReference r:id="rId4" w:type="default"/>
          <w:footerReference r:id="rId5" w:type="default"/>
          <w:pgSz w:w="11906" w:h="16838"/>
          <w:pgMar w:top="1417" w:right="1249" w:bottom="1417" w:left="1417" w:header="777" w:footer="641" w:gutter="0"/>
          <w:pgNumType w:fmt="decimal"/>
          <w:cols w:space="720" w:num="1"/>
        </w:sectPr>
      </w:pPr>
      <w:r>
        <w:rPr>
          <w:rFonts w:hint="eastAsia" w:ascii="宋体" w:hAnsi="宋体" w:eastAsia="宋体" w:cs="宋体"/>
          <w:kern w:val="0"/>
          <w:szCs w:val="21"/>
          <w:highlight w:val="none"/>
        </w:rPr>
        <w:t>3.4.2评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委</w:t>
      </w:r>
      <w:r>
        <w:rPr>
          <w:rFonts w:hint="eastAsia" w:ascii="宋体" w:hAnsi="宋体" w:eastAsia="宋体" w:cs="宋体"/>
          <w:spacing w:val="-2"/>
          <w:kern w:val="0"/>
          <w:szCs w:val="21"/>
          <w:highlight w:val="none"/>
        </w:rPr>
        <w:t>员</w:t>
      </w:r>
      <w:r>
        <w:rPr>
          <w:rFonts w:hint="eastAsia" w:ascii="宋体" w:hAnsi="宋体" w:eastAsia="宋体" w:cs="宋体"/>
          <w:kern w:val="0"/>
          <w:szCs w:val="21"/>
          <w:highlight w:val="none"/>
        </w:rPr>
        <w:t>会</w:t>
      </w:r>
      <w:r>
        <w:rPr>
          <w:rFonts w:hint="eastAsia" w:ascii="宋体" w:hAnsi="宋体" w:eastAsia="宋体" w:cs="宋体"/>
          <w:spacing w:val="-2"/>
          <w:kern w:val="0"/>
          <w:szCs w:val="21"/>
          <w:highlight w:val="none"/>
        </w:rPr>
        <w:t>完</w:t>
      </w:r>
      <w:r>
        <w:rPr>
          <w:rFonts w:hint="eastAsia" w:ascii="宋体" w:hAnsi="宋体" w:eastAsia="宋体" w:cs="宋体"/>
          <w:kern w:val="0"/>
          <w:szCs w:val="21"/>
          <w:highlight w:val="none"/>
        </w:rPr>
        <w:t>成</w:t>
      </w:r>
      <w:r>
        <w:rPr>
          <w:rFonts w:hint="eastAsia" w:ascii="宋体" w:hAnsi="宋体" w:eastAsia="宋体" w:cs="宋体"/>
          <w:spacing w:val="-2"/>
          <w:kern w:val="0"/>
          <w:szCs w:val="21"/>
          <w:highlight w:val="none"/>
        </w:rPr>
        <w:t>评标</w:t>
      </w:r>
      <w:r>
        <w:rPr>
          <w:rFonts w:hint="eastAsia" w:ascii="宋体" w:hAnsi="宋体" w:eastAsia="宋体" w:cs="宋体"/>
          <w:kern w:val="0"/>
          <w:szCs w:val="21"/>
          <w:highlight w:val="none"/>
        </w:rPr>
        <w:t>后，</w:t>
      </w:r>
      <w:r>
        <w:rPr>
          <w:rFonts w:hint="eastAsia" w:ascii="宋体" w:hAnsi="宋体" w:eastAsia="宋体" w:cs="宋体"/>
          <w:spacing w:val="-2"/>
          <w:kern w:val="0"/>
          <w:szCs w:val="21"/>
          <w:highlight w:val="none"/>
        </w:rPr>
        <w:t>应</w:t>
      </w:r>
      <w:r>
        <w:rPr>
          <w:rFonts w:hint="eastAsia" w:ascii="宋体" w:hAnsi="宋体" w:eastAsia="宋体" w:cs="宋体"/>
          <w:kern w:val="0"/>
          <w:szCs w:val="21"/>
          <w:highlight w:val="none"/>
        </w:rPr>
        <w:t>当</w:t>
      </w:r>
      <w:r>
        <w:rPr>
          <w:rFonts w:hint="eastAsia" w:ascii="宋体" w:hAnsi="宋体" w:eastAsia="宋体" w:cs="宋体"/>
          <w:spacing w:val="-2"/>
          <w:kern w:val="0"/>
          <w:szCs w:val="21"/>
          <w:highlight w:val="none"/>
        </w:rPr>
        <w:t>向</w:t>
      </w:r>
      <w:r>
        <w:rPr>
          <w:rFonts w:hint="eastAsia" w:ascii="宋体" w:hAnsi="宋体" w:eastAsia="宋体" w:cs="宋体"/>
          <w:kern w:val="0"/>
          <w:szCs w:val="21"/>
          <w:highlight w:val="none"/>
        </w:rPr>
        <w:t>采购人</w:t>
      </w:r>
      <w:r>
        <w:rPr>
          <w:rFonts w:hint="eastAsia" w:ascii="宋体" w:hAnsi="宋体" w:eastAsia="宋体" w:cs="宋体"/>
          <w:spacing w:val="-2"/>
          <w:kern w:val="0"/>
          <w:szCs w:val="21"/>
          <w:highlight w:val="none"/>
        </w:rPr>
        <w:t>提</w:t>
      </w:r>
      <w:r>
        <w:rPr>
          <w:rFonts w:hint="eastAsia" w:ascii="宋体" w:hAnsi="宋体" w:eastAsia="宋体" w:cs="宋体"/>
          <w:kern w:val="0"/>
          <w:szCs w:val="21"/>
          <w:highlight w:val="none"/>
        </w:rPr>
        <w:t>交</w:t>
      </w:r>
      <w:r>
        <w:rPr>
          <w:rFonts w:hint="eastAsia" w:ascii="宋体" w:hAnsi="宋体" w:eastAsia="宋体" w:cs="宋体"/>
          <w:spacing w:val="-2"/>
          <w:kern w:val="0"/>
          <w:szCs w:val="21"/>
          <w:highlight w:val="none"/>
        </w:rPr>
        <w:t>书</w:t>
      </w:r>
      <w:r>
        <w:rPr>
          <w:rFonts w:hint="eastAsia" w:ascii="宋体" w:hAnsi="宋体" w:eastAsia="宋体" w:cs="宋体"/>
          <w:kern w:val="0"/>
          <w:szCs w:val="21"/>
          <w:highlight w:val="none"/>
        </w:rPr>
        <w:t>面评</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报</w:t>
      </w:r>
      <w:r>
        <w:rPr>
          <w:rFonts w:hint="eastAsia" w:ascii="宋体" w:hAnsi="宋体" w:eastAsia="宋体" w:cs="宋体"/>
          <w:spacing w:val="-2"/>
          <w:kern w:val="0"/>
          <w:szCs w:val="21"/>
          <w:highlight w:val="none"/>
        </w:rPr>
        <w:t>告</w:t>
      </w:r>
      <w:r>
        <w:rPr>
          <w:rFonts w:hint="eastAsia" w:ascii="宋体" w:hAnsi="宋体" w:eastAsia="宋体" w:cs="宋体"/>
          <w:kern w:val="0"/>
          <w:szCs w:val="21"/>
          <w:highlight w:val="none"/>
        </w:rPr>
        <w:t>和</w:t>
      </w:r>
      <w:r>
        <w:rPr>
          <w:rFonts w:hint="eastAsia" w:ascii="宋体" w:hAnsi="宋体" w:eastAsia="宋体" w:cs="宋体"/>
          <w:spacing w:val="-2"/>
          <w:kern w:val="0"/>
          <w:szCs w:val="21"/>
          <w:highlight w:val="none"/>
        </w:rPr>
        <w:t>中</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候</w:t>
      </w:r>
      <w:r>
        <w:rPr>
          <w:rFonts w:hint="eastAsia" w:ascii="宋体" w:hAnsi="宋体" w:eastAsia="宋体" w:cs="宋体"/>
          <w:kern w:val="0"/>
          <w:szCs w:val="21"/>
          <w:highlight w:val="none"/>
        </w:rPr>
        <w:t>选</w:t>
      </w:r>
      <w:r>
        <w:rPr>
          <w:rFonts w:hint="eastAsia" w:ascii="宋体" w:hAnsi="宋体" w:eastAsia="宋体" w:cs="宋体"/>
          <w:spacing w:val="-2"/>
          <w:kern w:val="0"/>
          <w:szCs w:val="21"/>
          <w:highlight w:val="none"/>
        </w:rPr>
        <w:t>人</w:t>
      </w:r>
      <w:r>
        <w:rPr>
          <w:rFonts w:hint="eastAsia" w:ascii="宋体" w:hAnsi="宋体" w:eastAsia="宋体" w:cs="宋体"/>
          <w:kern w:val="0"/>
          <w:szCs w:val="21"/>
          <w:highlight w:val="none"/>
        </w:rPr>
        <w:t>名单。</w:t>
      </w:r>
    </w:p>
    <w:p w14:paraId="75E24AC5">
      <w:pPr>
        <w:pStyle w:val="2"/>
        <w:bidi w:val="0"/>
        <w:jc w:val="center"/>
        <w:rPr>
          <w:rFonts w:hint="eastAsia" w:ascii="宋体" w:hAnsi="宋体" w:eastAsia="宋体" w:cs="宋体"/>
          <w:highlight w:val="none"/>
          <w:lang w:val="en-US" w:eastAsia="zh-CN"/>
        </w:rPr>
      </w:pPr>
      <w:bookmarkStart w:id="165" w:name="_Toc22380"/>
      <w:bookmarkStart w:id="166" w:name="_Toc19837"/>
      <w:r>
        <w:rPr>
          <w:rFonts w:hint="eastAsia" w:ascii="宋体" w:hAnsi="宋体" w:eastAsia="宋体" w:cs="宋体"/>
          <w:highlight w:val="none"/>
          <w:lang w:val="en-US" w:eastAsia="zh-CN"/>
        </w:rPr>
        <w:t xml:space="preserve">第四章 </w:t>
      </w:r>
      <w:bookmarkStart w:id="167" w:name="_Toc22638"/>
      <w:r>
        <w:rPr>
          <w:rFonts w:hint="eastAsia" w:ascii="宋体" w:hAnsi="宋体" w:eastAsia="宋体" w:cs="宋体"/>
          <w:highlight w:val="none"/>
          <w:lang w:val="en-US" w:eastAsia="zh-CN"/>
        </w:rPr>
        <w:t>合同条款及格式</w:t>
      </w:r>
      <w:bookmarkEnd w:id="165"/>
      <w:bookmarkEnd w:id="166"/>
      <w:bookmarkEnd w:id="167"/>
    </w:p>
    <w:p w14:paraId="33F28603">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以实际签订合同为准</w:t>
      </w:r>
      <w:r>
        <w:rPr>
          <w:rFonts w:hint="eastAsia" w:ascii="宋体" w:hAnsi="宋体" w:eastAsia="宋体" w:cs="宋体"/>
          <w:b/>
          <w:bCs/>
          <w:color w:val="auto"/>
          <w:sz w:val="28"/>
          <w:szCs w:val="28"/>
          <w:highlight w:val="none"/>
          <w:lang w:eastAsia="zh-CN"/>
        </w:rPr>
        <w:t>）</w:t>
      </w:r>
    </w:p>
    <w:p w14:paraId="3FAE45AA">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荥阳市林业局城郊生态廊道养护项目</w:t>
      </w:r>
    </w:p>
    <w:p w14:paraId="075C2CAC">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承包合同</w:t>
      </w:r>
    </w:p>
    <w:p w14:paraId="2B964992">
      <w:pPr>
        <w:jc w:val="center"/>
        <w:rPr>
          <w:rFonts w:hint="eastAsia" w:ascii="宋体" w:hAnsi="宋体" w:eastAsia="宋体" w:cs="宋体"/>
          <w:sz w:val="44"/>
          <w:szCs w:val="44"/>
          <w:highlight w:val="none"/>
        </w:rPr>
      </w:pPr>
    </w:p>
    <w:p w14:paraId="72C5F923">
      <w:pPr>
        <w:rPr>
          <w:rFonts w:hint="eastAsia" w:ascii="宋体" w:hAnsi="宋体" w:eastAsia="宋体" w:cs="宋体"/>
          <w:sz w:val="32"/>
          <w:highlight w:val="none"/>
        </w:rPr>
      </w:pPr>
    </w:p>
    <w:p w14:paraId="11F8D434">
      <w:pPr>
        <w:rPr>
          <w:rFonts w:hint="eastAsia" w:ascii="宋体" w:hAnsi="宋体" w:eastAsia="宋体" w:cs="宋体"/>
          <w:sz w:val="32"/>
          <w:szCs w:val="32"/>
          <w:highlight w:val="none"/>
        </w:rPr>
      </w:pPr>
    </w:p>
    <w:p w14:paraId="2A0EFF7F">
      <w:pPr>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甲方（发包人）:</w:t>
      </w:r>
      <w:r>
        <w:rPr>
          <w:rFonts w:hint="eastAsia" w:ascii="宋体" w:hAnsi="宋体" w:eastAsia="宋体" w:cs="宋体"/>
          <w:b/>
          <w:sz w:val="32"/>
          <w:szCs w:val="32"/>
          <w:highlight w:val="none"/>
          <w:u w:val="single"/>
        </w:rPr>
        <w:t xml:space="preserve">  荥阳市林业局               </w:t>
      </w:r>
      <w:r>
        <w:rPr>
          <w:rFonts w:hint="eastAsia" w:ascii="宋体" w:hAnsi="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 xml:space="preserve"> </w:t>
      </w:r>
    </w:p>
    <w:p w14:paraId="140A3E2B">
      <w:pPr>
        <w:rPr>
          <w:rFonts w:hint="eastAsia" w:ascii="宋体" w:hAnsi="宋体" w:eastAsia="宋体" w:cs="宋体"/>
          <w:sz w:val="32"/>
          <w:szCs w:val="32"/>
          <w:highlight w:val="none"/>
        </w:rPr>
      </w:pPr>
    </w:p>
    <w:p w14:paraId="43EA24AF">
      <w:pPr>
        <w:rPr>
          <w:rFonts w:hint="eastAsia" w:ascii="宋体" w:hAnsi="宋体" w:eastAsia="宋体" w:cs="宋体"/>
          <w:b/>
          <w:color w:val="000000"/>
          <w:sz w:val="32"/>
          <w:szCs w:val="32"/>
          <w:highlight w:val="none"/>
          <w:u w:val="single"/>
        </w:rPr>
      </w:pPr>
      <w:r>
        <w:rPr>
          <w:rFonts w:hint="eastAsia" w:ascii="宋体" w:hAnsi="宋体" w:eastAsia="宋体" w:cs="宋体"/>
          <w:b/>
          <w:sz w:val="32"/>
          <w:szCs w:val="32"/>
          <w:highlight w:val="none"/>
        </w:rPr>
        <w:t>乙方（承包人）：</w:t>
      </w:r>
      <w:r>
        <w:rPr>
          <w:rFonts w:hint="eastAsia" w:ascii="宋体" w:hAnsi="宋体" w:eastAsia="宋体" w:cs="宋体"/>
          <w:b/>
          <w:color w:val="000000"/>
          <w:sz w:val="32"/>
          <w:szCs w:val="32"/>
          <w:highlight w:val="none"/>
          <w:u w:val="single"/>
        </w:rPr>
        <w:t xml:space="preserve">                           </w:t>
      </w:r>
      <w:r>
        <w:rPr>
          <w:rFonts w:hint="eastAsia" w:ascii="宋体" w:hAnsi="宋体" w:cs="宋体"/>
          <w:b/>
          <w:color w:val="000000"/>
          <w:sz w:val="32"/>
          <w:szCs w:val="32"/>
          <w:highlight w:val="none"/>
          <w:u w:val="single"/>
          <w:lang w:val="en-US" w:eastAsia="zh-CN"/>
        </w:rPr>
        <w:t xml:space="preserve"> </w:t>
      </w:r>
      <w:r>
        <w:rPr>
          <w:rFonts w:hint="eastAsia" w:ascii="宋体" w:hAnsi="宋体" w:eastAsia="宋体" w:cs="宋体"/>
          <w:b/>
          <w:color w:val="000000"/>
          <w:sz w:val="32"/>
          <w:szCs w:val="32"/>
          <w:highlight w:val="none"/>
          <w:u w:val="single"/>
        </w:rPr>
        <w:t xml:space="preserve">   </w:t>
      </w:r>
    </w:p>
    <w:p w14:paraId="464CCE26">
      <w:pP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w:t>
      </w:r>
    </w:p>
    <w:p w14:paraId="41A6C3F6">
      <w:pPr>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项目名称：</w:t>
      </w:r>
      <w:r>
        <w:rPr>
          <w:rFonts w:hint="eastAsia" w:ascii="宋体" w:hAnsi="宋体" w:eastAsia="宋体" w:cs="宋体"/>
          <w:b/>
          <w:sz w:val="32"/>
          <w:szCs w:val="32"/>
          <w:highlight w:val="none"/>
          <w:u w:val="single"/>
          <w:lang w:val="en-US" w:eastAsia="zh-CN"/>
        </w:rPr>
        <w:t>荥阳市林业局城郊生态廊道养护项</w:t>
      </w:r>
      <w:r>
        <w:rPr>
          <w:rFonts w:hint="eastAsia" w:ascii="宋体" w:hAnsi="宋体" w:eastAsia="宋体" w:cs="宋体"/>
          <w:b/>
          <w:color w:val="000000"/>
          <w:sz w:val="32"/>
          <w:szCs w:val="32"/>
          <w:highlight w:val="none"/>
          <w:u w:val="single"/>
          <w:lang w:val="en-US" w:eastAsia="zh-CN"/>
        </w:rPr>
        <w:t>目</w:t>
      </w:r>
      <w:r>
        <w:rPr>
          <w:rFonts w:hint="eastAsia" w:ascii="宋体" w:hAnsi="宋体" w:eastAsia="宋体" w:cs="宋体"/>
          <w:b/>
          <w:color w:val="000000"/>
          <w:sz w:val="32"/>
          <w:szCs w:val="32"/>
          <w:highlight w:val="none"/>
          <w:u w:val="single"/>
        </w:rPr>
        <w:t xml:space="preserve">     标段</w:t>
      </w:r>
    </w:p>
    <w:p w14:paraId="03EFB94E">
      <w:pPr>
        <w:rPr>
          <w:rFonts w:hint="eastAsia" w:ascii="宋体" w:hAnsi="宋体" w:eastAsia="宋体" w:cs="宋体"/>
          <w:sz w:val="32"/>
          <w:szCs w:val="32"/>
          <w:highlight w:val="none"/>
        </w:rPr>
      </w:pPr>
    </w:p>
    <w:p w14:paraId="7CD15712">
      <w:pPr>
        <w:rPr>
          <w:rFonts w:hint="eastAsia" w:ascii="宋体" w:hAnsi="宋体" w:eastAsia="宋体" w:cs="宋体"/>
          <w:b/>
          <w:sz w:val="32"/>
          <w:szCs w:val="32"/>
          <w:highlight w:val="none"/>
        </w:rPr>
      </w:pPr>
      <w:r>
        <w:rPr>
          <w:rFonts w:hint="eastAsia" w:ascii="宋体" w:hAnsi="宋体" w:eastAsia="宋体" w:cs="宋体"/>
          <w:b/>
          <w:sz w:val="32"/>
          <w:szCs w:val="32"/>
          <w:highlight w:val="none"/>
        </w:rPr>
        <w:t>承包期限：</w:t>
      </w:r>
      <w:r>
        <w:rPr>
          <w:rFonts w:hint="eastAsia" w:ascii="宋体" w:hAnsi="宋体" w:cs="宋体"/>
          <w:b/>
          <w:sz w:val="32"/>
          <w:szCs w:val="32"/>
          <w:highlight w:val="none"/>
          <w:u w:val="single"/>
          <w:lang w:val="en-US" w:eastAsia="zh-CN"/>
        </w:rPr>
        <w:t xml:space="preserve">    </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rPr>
        <w:t>月</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rPr>
        <w:t>日起至</w:t>
      </w:r>
      <w:r>
        <w:rPr>
          <w:rFonts w:hint="eastAsia" w:ascii="宋体" w:hAnsi="宋体" w:cs="宋体"/>
          <w:b/>
          <w:sz w:val="32"/>
          <w:szCs w:val="32"/>
          <w:highlight w:val="none"/>
          <w:u w:val="single"/>
          <w:lang w:val="en-US" w:eastAsia="zh-CN"/>
        </w:rPr>
        <w:t xml:space="preserve">    </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rPr>
        <w:t>月</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rPr>
        <w:t>日止</w:t>
      </w:r>
    </w:p>
    <w:p w14:paraId="0FAF3220">
      <w:pPr>
        <w:rPr>
          <w:rFonts w:hint="eastAsia" w:ascii="宋体" w:hAnsi="宋体" w:eastAsia="宋体" w:cs="宋体"/>
          <w:sz w:val="32"/>
          <w:szCs w:val="32"/>
          <w:highlight w:val="none"/>
        </w:rPr>
      </w:pPr>
    </w:p>
    <w:p w14:paraId="69448205">
      <w:pPr>
        <w:rPr>
          <w:rFonts w:hint="eastAsia" w:ascii="宋体" w:hAnsi="宋体" w:eastAsia="宋体" w:cs="宋体"/>
          <w:sz w:val="32"/>
          <w:szCs w:val="32"/>
          <w:highlight w:val="none"/>
        </w:rPr>
      </w:pPr>
    </w:p>
    <w:p w14:paraId="29F60A27">
      <w:pPr>
        <w:ind w:right="600"/>
        <w:rPr>
          <w:rFonts w:hint="eastAsia" w:ascii="宋体" w:hAnsi="宋体" w:eastAsia="宋体" w:cs="宋体"/>
          <w:b/>
          <w:sz w:val="32"/>
          <w:szCs w:val="32"/>
          <w:highlight w:val="none"/>
          <w:u w:val="single"/>
        </w:rPr>
      </w:pPr>
    </w:p>
    <w:p w14:paraId="2C82B3D2">
      <w:pPr>
        <w:ind w:right="270"/>
        <w:jc w:val="center"/>
        <w:rPr>
          <w:rFonts w:hint="eastAsia" w:ascii="宋体" w:hAnsi="宋体" w:eastAsia="宋体" w:cs="宋体"/>
          <w:b/>
          <w:sz w:val="32"/>
          <w:szCs w:val="32"/>
          <w:highlight w:val="none"/>
          <w:u w:val="single"/>
        </w:rPr>
      </w:pPr>
      <w:r>
        <w:rPr>
          <w:rFonts w:hint="eastAsia" w:ascii="宋体" w:hAnsi="宋体" w:cs="宋体"/>
          <w:b/>
          <w:sz w:val="32"/>
          <w:szCs w:val="32"/>
          <w:highlight w:val="none"/>
          <w:lang w:eastAsia="zh-CN"/>
        </w:rPr>
        <w:t>签订</w:t>
      </w:r>
      <w:r>
        <w:rPr>
          <w:rFonts w:hint="eastAsia" w:ascii="宋体" w:hAnsi="宋体" w:eastAsia="宋体" w:cs="宋体"/>
          <w:b/>
          <w:sz w:val="32"/>
          <w:szCs w:val="32"/>
          <w:highlight w:val="none"/>
        </w:rPr>
        <w:t>日期：</w:t>
      </w:r>
      <w:r>
        <w:rPr>
          <w:rFonts w:hint="eastAsia" w:ascii="宋体" w:hAnsi="宋体" w:eastAsia="宋体" w:cs="宋体"/>
          <w:b/>
          <w:sz w:val="32"/>
          <w:szCs w:val="32"/>
          <w:highlight w:val="none"/>
          <w:u w:val="single"/>
        </w:rPr>
        <w:t xml:space="preserve"> </w:t>
      </w:r>
      <w:r>
        <w:rPr>
          <w:rFonts w:hint="eastAsia" w:ascii="宋体" w:hAnsi="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年</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月</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 xml:space="preserve">日 </w:t>
      </w:r>
    </w:p>
    <w:p w14:paraId="2601464D">
      <w:pPr>
        <w:jc w:val="center"/>
        <w:rPr>
          <w:rFonts w:hint="eastAsia" w:ascii="宋体" w:hAnsi="宋体" w:eastAsia="宋体" w:cs="宋体"/>
          <w:b/>
          <w:sz w:val="32"/>
          <w:szCs w:val="32"/>
          <w:highlight w:val="none"/>
        </w:rPr>
        <w:sectPr>
          <w:headerReference r:id="rId6" w:type="default"/>
          <w:footerReference r:id="rId7" w:type="default"/>
          <w:footerReference r:id="rId8" w:type="even"/>
          <w:pgSz w:w="11906" w:h="16838"/>
          <w:pgMar w:top="1701" w:right="1588" w:bottom="1474" w:left="1588" w:header="851" w:footer="992" w:gutter="0"/>
          <w:pgNumType w:fmt="decimal"/>
          <w:cols w:space="720" w:num="1"/>
          <w:titlePg/>
          <w:docGrid w:type="lines" w:linePitch="317" w:charSpace="0"/>
        </w:sectPr>
      </w:pPr>
    </w:p>
    <w:p w14:paraId="28D9EBD4">
      <w:pPr>
        <w:spacing w:line="540" w:lineRule="exact"/>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荥阳市林业局城郊生态廊道养护项目</w:t>
      </w:r>
    </w:p>
    <w:p w14:paraId="09F8483D">
      <w:pPr>
        <w:spacing w:line="54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承包合同</w:t>
      </w:r>
    </w:p>
    <w:p w14:paraId="2A6F219E">
      <w:pPr>
        <w:spacing w:line="540" w:lineRule="exact"/>
        <w:jc w:val="center"/>
        <w:rPr>
          <w:rFonts w:hint="eastAsia" w:ascii="宋体" w:hAnsi="宋体" w:eastAsia="宋体" w:cs="宋体"/>
          <w:b/>
          <w:sz w:val="32"/>
          <w:szCs w:val="32"/>
          <w:highlight w:val="none"/>
        </w:rPr>
      </w:pPr>
    </w:p>
    <w:p w14:paraId="5D12DE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甲方（发包人）:</w:t>
      </w:r>
      <w:r>
        <w:rPr>
          <w:rFonts w:hint="eastAsia" w:ascii="宋体" w:hAnsi="宋体" w:eastAsia="宋体" w:cs="宋体"/>
          <w:sz w:val="24"/>
          <w:szCs w:val="24"/>
          <w:highlight w:val="none"/>
          <w:u w:val="single"/>
        </w:rPr>
        <w:t xml:space="preserve"> 荥阳市林业局                 </w:t>
      </w:r>
    </w:p>
    <w:p w14:paraId="6DB04D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乙方（承包人）:</w:t>
      </w:r>
      <w:r>
        <w:rPr>
          <w:rFonts w:hint="eastAsia" w:ascii="宋体" w:hAnsi="宋体" w:eastAsia="宋体" w:cs="宋体"/>
          <w:sz w:val="24"/>
          <w:szCs w:val="24"/>
          <w:highlight w:val="none"/>
          <w:u w:val="single"/>
        </w:rPr>
        <w:t xml:space="preserve">                              </w:t>
      </w:r>
    </w:p>
    <w:p w14:paraId="51239A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u w:val="single"/>
        </w:rPr>
      </w:pPr>
    </w:p>
    <w:p w14:paraId="4C18E8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为做好</w:t>
      </w:r>
      <w:r>
        <w:rPr>
          <w:rFonts w:hint="eastAsia" w:ascii="宋体" w:hAnsi="宋体" w:eastAsia="宋体" w:cs="宋体"/>
          <w:sz w:val="24"/>
          <w:szCs w:val="24"/>
          <w:highlight w:val="none"/>
          <w:lang w:val="en-US" w:eastAsia="zh-CN"/>
        </w:rPr>
        <w:t>生态廊道建养护</w:t>
      </w:r>
      <w:r>
        <w:rPr>
          <w:rFonts w:hint="eastAsia" w:ascii="宋体" w:hAnsi="宋体" w:eastAsia="宋体" w:cs="宋体"/>
          <w:sz w:val="24"/>
          <w:szCs w:val="24"/>
          <w:highlight w:val="none"/>
        </w:rPr>
        <w:t>工作，按照《中华人民共和国合同法》、《中华人民共和国招投标法》及其他有关规定，遵循平等、自愿、公平和诚实信用的原则，</w:t>
      </w:r>
      <w:r>
        <w:rPr>
          <w:rFonts w:hint="eastAsia" w:ascii="宋体" w:hAnsi="宋体" w:eastAsia="宋体" w:cs="宋体"/>
          <w:color w:val="000000"/>
          <w:kern w:val="0"/>
          <w:sz w:val="24"/>
          <w:szCs w:val="24"/>
          <w:highlight w:val="none"/>
        </w:rPr>
        <w:t>双方就</w:t>
      </w:r>
      <w:r>
        <w:rPr>
          <w:rFonts w:hint="eastAsia" w:ascii="宋体" w:hAnsi="宋体" w:cs="宋体"/>
          <w:b/>
          <w:sz w:val="32"/>
          <w:szCs w:val="32"/>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荥阳市林业局城郊生态廊道养护项目</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标段</w:t>
      </w:r>
      <w:r>
        <w:rPr>
          <w:rFonts w:hint="eastAsia" w:ascii="宋体" w:hAnsi="宋体" w:eastAsia="宋体" w:cs="宋体"/>
          <w:sz w:val="24"/>
          <w:szCs w:val="24"/>
          <w:highlight w:val="none"/>
          <w:u w:val="single"/>
        </w:rPr>
        <w:t xml:space="preserve"> </w:t>
      </w:r>
      <w:r>
        <w:rPr>
          <w:rFonts w:hint="eastAsia" w:ascii="宋体" w:hAnsi="宋体" w:eastAsia="宋体" w:cs="宋体"/>
          <w:color w:val="000000"/>
          <w:kern w:val="0"/>
          <w:sz w:val="24"/>
          <w:szCs w:val="24"/>
          <w:highlight w:val="none"/>
        </w:rPr>
        <w:t>的管理养护事宜协商一致，</w:t>
      </w:r>
      <w:r>
        <w:rPr>
          <w:rFonts w:hint="eastAsia" w:ascii="宋体" w:hAnsi="宋体" w:eastAsia="宋体" w:cs="宋体"/>
          <w:sz w:val="24"/>
          <w:szCs w:val="24"/>
          <w:highlight w:val="none"/>
        </w:rPr>
        <w:t>订立本合同。</w:t>
      </w:r>
    </w:p>
    <w:p w14:paraId="2E364252">
      <w:pPr>
        <w:pStyle w:val="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一、承包范围</w:t>
      </w:r>
    </w:p>
    <w:p w14:paraId="73D6CDA5">
      <w:pPr>
        <w:pStyle w:val="9"/>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生态廊道，范围（始终点）：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交界，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，全长约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公里两侧绿化带，管养面积约</w:t>
      </w:r>
      <w:r>
        <w:rPr>
          <w:rFonts w:hint="eastAsia" w:ascii="宋体" w:hAnsi="宋体" w:eastAsia="宋体" w:cs="宋体"/>
          <w:sz w:val="24"/>
          <w:szCs w:val="24"/>
          <w:highlight w:val="none"/>
          <w:u w:val="single"/>
        </w:rPr>
        <w:t xml:space="preserve">         万  </w:t>
      </w:r>
      <w:r>
        <w:rPr>
          <w:rFonts w:hint="eastAsia" w:ascii="宋体" w:hAnsi="宋体" w:eastAsia="宋体" w:cs="宋体"/>
          <w:sz w:val="24"/>
          <w:szCs w:val="24"/>
          <w:highlight w:val="none"/>
        </w:rPr>
        <w:t>㎡。</w:t>
      </w:r>
    </w:p>
    <w:p w14:paraId="71ABB2E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二、承包内容</w:t>
      </w:r>
    </w:p>
    <w:p w14:paraId="35CCEE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本合同所称的</w:t>
      </w:r>
      <w:r>
        <w:rPr>
          <w:rFonts w:hint="eastAsia" w:ascii="宋体" w:hAnsi="宋体" w:eastAsia="宋体" w:cs="宋体"/>
          <w:sz w:val="24"/>
          <w:szCs w:val="24"/>
          <w:highlight w:val="none"/>
          <w:lang w:val="en-US" w:eastAsia="zh-CN"/>
        </w:rPr>
        <w:t>荥阳市林业局城郊生态廊道养护项目</w:t>
      </w:r>
      <w:r>
        <w:rPr>
          <w:rFonts w:hint="eastAsia" w:ascii="宋体" w:hAnsi="宋体" w:eastAsia="宋体" w:cs="宋体"/>
          <w:sz w:val="24"/>
          <w:szCs w:val="24"/>
          <w:highlight w:val="none"/>
        </w:rPr>
        <w:t>指的是绿化植物(草坪、灌木、花卉、乔木) 管养（</w:t>
      </w:r>
      <w:r>
        <w:rPr>
          <w:rFonts w:hint="eastAsia" w:ascii="宋体" w:hAnsi="宋体" w:eastAsia="宋体" w:cs="宋体"/>
          <w:b w:val="0"/>
          <w:bCs w:val="0"/>
          <w:color w:val="auto"/>
          <w:sz w:val="24"/>
          <w:szCs w:val="24"/>
          <w:highlight w:val="none"/>
          <w:lang w:val="en-US" w:eastAsia="zh-CN"/>
        </w:rPr>
        <w:t>养护方式包括修枝、割灌、清理廊道内枯枝、杂草、落叶</w:t>
      </w:r>
      <w:r>
        <w:rPr>
          <w:rFonts w:hint="eastAsia" w:ascii="宋体" w:hAnsi="宋体" w:eastAsia="宋体" w:cs="宋体"/>
          <w:sz w:val="24"/>
          <w:szCs w:val="24"/>
          <w:highlight w:val="none"/>
        </w:rPr>
        <w:t>），及上述范围内的环境卫生、垃圾</w:t>
      </w:r>
      <w:r>
        <w:rPr>
          <w:rFonts w:hint="eastAsia" w:ascii="宋体" w:hAnsi="宋体" w:eastAsia="宋体" w:cs="宋体"/>
          <w:sz w:val="24"/>
          <w:szCs w:val="24"/>
          <w:highlight w:val="none"/>
          <w:lang w:eastAsia="zh-CN"/>
        </w:rPr>
        <w:t>、废弃物</w:t>
      </w:r>
      <w:r>
        <w:rPr>
          <w:rFonts w:hint="eastAsia" w:ascii="宋体" w:hAnsi="宋体" w:eastAsia="宋体" w:cs="宋体"/>
          <w:sz w:val="24"/>
          <w:szCs w:val="24"/>
          <w:highlight w:val="none"/>
        </w:rPr>
        <w:t>清运。</w:t>
      </w:r>
    </w:p>
    <w:p w14:paraId="6771B62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三、承包方式</w:t>
      </w:r>
    </w:p>
    <w:p w14:paraId="1F174C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1、乙方在确定的范围内以包工、包料、包机械工具、包水电费、包质量、包安全的方式实施管养总承包。</w:t>
      </w:r>
    </w:p>
    <w:p w14:paraId="2605FE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养护</w:t>
      </w:r>
      <w:r>
        <w:rPr>
          <w:rFonts w:hint="eastAsia" w:ascii="宋体" w:hAnsi="宋体" w:eastAsia="宋体" w:cs="宋体"/>
          <w:sz w:val="24"/>
          <w:szCs w:val="24"/>
          <w:highlight w:val="none"/>
        </w:rPr>
        <w:t>所需的材料、设备等，均由乙方自行解决，但必须符合国家有关绿化管养作业技术规程、规范要求。</w:t>
      </w:r>
    </w:p>
    <w:p w14:paraId="13AC93D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四、承包金及支付方式</w:t>
      </w:r>
    </w:p>
    <w:p w14:paraId="663B4A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1、承包金单价（中标单价）：</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元/平方米，</w:t>
      </w:r>
    </w:p>
    <w:p w14:paraId="0AACBB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603885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47.55pt;height:0pt;width:0.05pt;z-index:251660288;mso-width-relative:page;mso-height-relative:page;" filled="f" stroked="t" coordsize="21600,21600" o:gfxdata="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UI/fWAAAACQEAAA8AAAAAAAAAAQAgAAAAIgAAAGRycy9kb3ducmV2LnhtbFBLAQIUABQA&#10;AAAIAIdO4kA4GqPt8gEAAOA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396240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7pt;margin-top:31.2pt;height:0pt;width:0.05pt;z-index:251659264;mso-width-relative:page;mso-height-relative:page;" filled="f" stroked="t" coordsize="21600,21600" o:gfxdata="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xIZN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rPr>
        <w:t>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rPr>
        <w:t>/平方米；</w:t>
      </w:r>
    </w:p>
    <w:p w14:paraId="4002A5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w:t>
      </w:r>
      <w:r>
        <w:rPr>
          <w:rFonts w:hint="eastAsia" w:ascii="宋体" w:hAnsi="宋体" w:eastAsia="宋体" w:cs="宋体"/>
          <w:sz w:val="24"/>
          <w:szCs w:val="24"/>
          <w:highlight w:val="none"/>
        </w:rPr>
        <w:t>承包金约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67A0BF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27D2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2、支付方式</w:t>
      </w:r>
    </w:p>
    <w:p w14:paraId="63FFB0D0">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管养期间甲方对乙方</w:t>
      </w:r>
      <w:r>
        <w:rPr>
          <w:rFonts w:hint="eastAsia" w:ascii="宋体" w:hAnsi="宋体" w:eastAsia="宋体" w:cs="宋体"/>
          <w:sz w:val="24"/>
          <w:szCs w:val="24"/>
          <w:highlight w:val="none"/>
        </w:rPr>
        <w:t>日常</w:t>
      </w:r>
      <w:r>
        <w:rPr>
          <w:rFonts w:hint="eastAsia" w:ascii="宋体" w:hAnsi="宋体" w:eastAsia="宋体" w:cs="宋体"/>
          <w:sz w:val="24"/>
          <w:szCs w:val="24"/>
          <w:highlight w:val="none"/>
          <w:lang w:eastAsia="zh-CN"/>
        </w:rPr>
        <w:t>养护进行</w:t>
      </w:r>
      <w:r>
        <w:rPr>
          <w:rFonts w:hint="eastAsia" w:ascii="宋体" w:hAnsi="宋体" w:eastAsia="宋体" w:cs="宋体"/>
          <w:sz w:val="24"/>
          <w:szCs w:val="24"/>
          <w:highlight w:val="none"/>
        </w:rPr>
        <w:t>考核</w:t>
      </w:r>
      <w:r>
        <w:rPr>
          <w:rFonts w:hint="eastAsia" w:ascii="宋体" w:hAnsi="宋体" w:eastAsia="宋体" w:cs="宋体"/>
          <w:sz w:val="24"/>
          <w:szCs w:val="24"/>
          <w:highlight w:val="none"/>
          <w:lang w:eastAsia="zh-CN"/>
        </w:rPr>
        <w:t>，管养完成，通过甲方验收后，</w:t>
      </w:r>
      <w:r>
        <w:rPr>
          <w:rFonts w:hint="eastAsia" w:ascii="宋体" w:hAnsi="宋体" w:eastAsia="宋体" w:cs="宋体"/>
          <w:sz w:val="24"/>
          <w:szCs w:val="24"/>
          <w:highlight w:val="none"/>
        </w:rPr>
        <w:t>甲方按程序审批</w:t>
      </w:r>
      <w:r>
        <w:rPr>
          <w:rFonts w:hint="eastAsia" w:ascii="宋体" w:hAnsi="宋体" w:eastAsia="宋体" w:cs="宋体"/>
          <w:sz w:val="24"/>
          <w:szCs w:val="24"/>
          <w:highlight w:val="none"/>
          <w:lang w:eastAsia="zh-CN"/>
        </w:rPr>
        <w:t>一次性</w:t>
      </w:r>
      <w:r>
        <w:rPr>
          <w:rFonts w:hint="eastAsia" w:ascii="宋体" w:hAnsi="宋体" w:eastAsia="宋体" w:cs="宋体"/>
          <w:sz w:val="24"/>
          <w:szCs w:val="24"/>
          <w:highlight w:val="none"/>
        </w:rPr>
        <w:t>拨付，遇国家法定节假日或其它特殊情况时，时间向后顺延。</w:t>
      </w:r>
    </w:p>
    <w:p w14:paraId="7BC6A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支付价款前，乙方应向甲方发包人出具正式的税务发票。</w:t>
      </w:r>
    </w:p>
    <w:p w14:paraId="094C93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五、承包期限</w:t>
      </w:r>
    </w:p>
    <w:p w14:paraId="11C82EC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承包期限为</w:t>
      </w:r>
      <w:r>
        <w:rPr>
          <w:rFonts w:hint="eastAsia" w:ascii="宋体" w:hAnsi="宋体" w:eastAsia="宋体" w:cs="宋体"/>
          <w:sz w:val="24"/>
          <w:szCs w:val="24"/>
          <w:highlight w:val="none"/>
          <w:lang w:eastAsia="zh-CN"/>
        </w:rPr>
        <w:t>三个月</w:t>
      </w:r>
      <w:r>
        <w:rPr>
          <w:rFonts w:hint="eastAsia" w:ascii="宋体" w:hAnsi="宋体" w:eastAsia="宋体" w:cs="宋体"/>
          <w:sz w:val="24"/>
          <w:szCs w:val="24"/>
          <w:highlight w:val="none"/>
        </w:rPr>
        <w:t>，从</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82934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lang w:val="en-GB"/>
        </w:rPr>
        <w:t>六、履约保证金</w:t>
      </w:r>
    </w:p>
    <w:p w14:paraId="52FDF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w:t>
      </w:r>
      <w:r>
        <w:rPr>
          <w:rFonts w:hint="eastAsia" w:ascii="宋体" w:hAnsi="宋体" w:cs="宋体"/>
          <w:sz w:val="24"/>
          <w:szCs w:val="24"/>
          <w:highlight w:val="none"/>
          <w:lang w:val="en-GB" w:eastAsia="zh-CN"/>
        </w:rPr>
        <w:t>签订</w:t>
      </w:r>
      <w:r>
        <w:rPr>
          <w:rFonts w:hint="eastAsia" w:ascii="宋体" w:hAnsi="宋体" w:eastAsia="宋体" w:cs="宋体"/>
          <w:sz w:val="24"/>
          <w:szCs w:val="24"/>
          <w:highlight w:val="none"/>
          <w:lang w:val="en-GB"/>
        </w:rPr>
        <w:t>合同时，乙方需向甲方发包人交纳承包金的3%做为履约保证金。</w:t>
      </w:r>
    </w:p>
    <w:p w14:paraId="07F276C7">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依照本合同应当向甲方发包人支付的违约金、赔偿金、罚金及其他相关费用或乙方在养护期间对第三方造成财产和人身损害等，乙方应予支付而不支付或怠于支付，经甲方发包人催告后，乙方仍不支付，甲方发包人可以扣除履约保证金或承包金，支付上述费用。</w:t>
      </w:r>
    </w:p>
    <w:p w14:paraId="1234A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3、本合同期满，办理交接手续1个月后，甲方监管人确认乙方未遗留相关的处理事项后，将履约保证金无息退还给乙方。如乙方不履行合同或中途违约被解除合同的，乙方所交履约保证金不予退还。</w:t>
      </w:r>
    </w:p>
    <w:p w14:paraId="40C792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七、养护人员的配备</w:t>
      </w:r>
    </w:p>
    <w:p w14:paraId="5B234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为做好生态廊道养护工作，养护管理人员、技术人员登记备案，养护人员的养护服装</w:t>
      </w:r>
      <w:r>
        <w:rPr>
          <w:rFonts w:hint="eastAsia" w:ascii="宋体" w:hAnsi="宋体" w:eastAsia="宋体" w:cs="宋体"/>
          <w:sz w:val="24"/>
          <w:szCs w:val="24"/>
          <w:highlight w:val="none"/>
          <w:lang w:val="en-GB" w:eastAsia="zh-CN"/>
        </w:rPr>
        <w:t>按</w:t>
      </w:r>
      <w:r>
        <w:rPr>
          <w:rFonts w:hint="eastAsia" w:ascii="宋体" w:hAnsi="宋体" w:eastAsia="宋体" w:cs="宋体"/>
          <w:sz w:val="24"/>
          <w:szCs w:val="24"/>
          <w:highlight w:val="none"/>
          <w:lang w:val="en-GB"/>
        </w:rPr>
        <w:t>甲方</w:t>
      </w:r>
      <w:r>
        <w:rPr>
          <w:rFonts w:hint="eastAsia" w:ascii="宋体" w:hAnsi="宋体" w:eastAsia="宋体" w:cs="宋体"/>
          <w:sz w:val="24"/>
          <w:szCs w:val="24"/>
          <w:highlight w:val="none"/>
          <w:lang w:val="en-GB" w:eastAsia="zh-CN"/>
        </w:rPr>
        <w:t>要求</w:t>
      </w:r>
      <w:r>
        <w:rPr>
          <w:rFonts w:hint="eastAsia" w:ascii="宋体" w:hAnsi="宋体" w:eastAsia="宋体" w:cs="宋体"/>
          <w:sz w:val="24"/>
          <w:szCs w:val="24"/>
          <w:highlight w:val="none"/>
          <w:lang w:val="en-GB"/>
        </w:rPr>
        <w:t>统一制作并编号，费用由乙方支付。</w:t>
      </w:r>
    </w:p>
    <w:p w14:paraId="2DB401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每个养护标段至少配备一名专职绿化养护技术人员。</w:t>
      </w:r>
    </w:p>
    <w:p w14:paraId="548F8F1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八、甲方权利和义务</w:t>
      </w:r>
    </w:p>
    <w:p w14:paraId="75E1A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1、甲方对乙方实施日常监管。</w:t>
      </w:r>
      <w:r>
        <w:rPr>
          <w:rFonts w:hint="eastAsia" w:ascii="宋体" w:hAnsi="宋体" w:eastAsia="宋体" w:cs="宋体"/>
          <w:sz w:val="24"/>
          <w:szCs w:val="24"/>
          <w:highlight w:val="none"/>
          <w:lang w:val="en-GB"/>
        </w:rPr>
        <w:t>承包期内，甲方负责乙方作业质量的考评。甲方依据制定的日常管理养护标准及考核办法，对乙方作业任务进行日常巡查和考核，结合检查得分情况计算乙方考评结果。</w:t>
      </w:r>
    </w:p>
    <w:p w14:paraId="35E10388">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2、甲方、乙方对养护工程区域内的树木、草坪、花卉、绿篱、园林设施、水电设施及其它需要养护的设施列明范围和清单，</w:t>
      </w:r>
      <w:r>
        <w:rPr>
          <w:rFonts w:hint="eastAsia" w:ascii="宋体" w:hAnsi="宋体" w:eastAsia="宋体" w:cs="宋体"/>
          <w:color w:val="000000"/>
          <w:sz w:val="24"/>
          <w:szCs w:val="24"/>
          <w:highlight w:val="none"/>
          <w:lang w:eastAsia="zh-CN"/>
        </w:rPr>
        <w:t>双</w:t>
      </w:r>
      <w:r>
        <w:rPr>
          <w:rFonts w:hint="eastAsia" w:ascii="宋体" w:hAnsi="宋体" w:eastAsia="宋体" w:cs="宋体"/>
          <w:color w:val="000000"/>
          <w:sz w:val="24"/>
          <w:szCs w:val="24"/>
          <w:highlight w:val="none"/>
        </w:rPr>
        <w:t>方进行现场确认并签字盖章。</w:t>
      </w:r>
    </w:p>
    <w:p w14:paraId="495685CD">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lang w:val="en-GB"/>
        </w:rPr>
        <w:t>、甲方对乙方在业务工作中的问题给予积极的协助和指导。</w:t>
      </w:r>
    </w:p>
    <w:p w14:paraId="48B3A4D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九、乙方权利和义务</w:t>
      </w:r>
    </w:p>
    <w:p w14:paraId="4E9C8C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1、乙方保证其具有本协议经营资质且合法有效，保证在经营期限内经营资质持续有效。</w:t>
      </w:r>
    </w:p>
    <w:p w14:paraId="16059B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需服从甲方的管理和监督，负责落实《荥阳市生态廊道日常管理养护标准》并制定实施细则。如遇突发事件或重大活动，乙方应服从甲方安排并积极配合甲方工作，不予配合或怠于配合的，甲方可自行安排或委托第三方有偿完成此项工作，费用从管养经费中按实际发生额的3倍扣除。</w:t>
      </w:r>
    </w:p>
    <w:p w14:paraId="74256F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应遵守安全管理养护管理规定，安全、文明、合法作业，对工作人员加强安全教育管理，做好管理养护设备的日常维护保养、安全防护设施的设置维护，合同期内如发生违法违纪、安全责任事故或其他意外事故，均由乙方自行承担责任。乙方或乙方工作人员在履行合同过程中造成甲方或第三人财产或人身损害的，由乙方负责赔偿。</w:t>
      </w:r>
    </w:p>
    <w:p w14:paraId="18EC4E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w:t>
      </w:r>
      <w:r>
        <w:rPr>
          <w:rFonts w:hint="eastAsia" w:ascii="宋体" w:hAnsi="宋体" w:eastAsia="宋体" w:cs="宋体"/>
          <w:color w:val="000000"/>
          <w:sz w:val="24"/>
          <w:szCs w:val="24"/>
          <w:highlight w:val="none"/>
        </w:rPr>
        <w:t>负责养护工作人员的</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"http://china.findlaw.cn/data/ldgs_4327.html" </w:instrText>
      </w:r>
      <w:r>
        <w:rPr>
          <w:rFonts w:hint="eastAsia" w:ascii="宋体" w:hAnsi="宋体" w:eastAsia="宋体" w:cs="宋体"/>
          <w:color w:val="000000"/>
          <w:sz w:val="24"/>
          <w:szCs w:val="24"/>
          <w:highlight w:val="none"/>
        </w:rPr>
        <w:fldChar w:fldCharType="separate"/>
      </w:r>
      <w:r>
        <w:rPr>
          <w:rStyle w:val="24"/>
          <w:rFonts w:hint="eastAsia" w:ascii="宋体" w:hAnsi="宋体" w:eastAsia="宋体" w:cs="宋体"/>
          <w:color w:val="000000"/>
          <w:sz w:val="24"/>
          <w:szCs w:val="24"/>
          <w:highlight w:val="none"/>
        </w:rPr>
        <w:t>劳动保护</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和人身安全。养护工作人员的餐饮、住宿由乙方自行承担。</w:t>
      </w:r>
      <w:r>
        <w:rPr>
          <w:rFonts w:hint="eastAsia" w:ascii="宋体" w:hAnsi="宋体" w:eastAsia="宋体" w:cs="宋体"/>
          <w:sz w:val="24"/>
          <w:szCs w:val="24"/>
          <w:highlight w:val="none"/>
        </w:rPr>
        <w:t>乙方需与管养工人</w:t>
      </w:r>
      <w:r>
        <w:rPr>
          <w:rFonts w:hint="eastAsia" w:ascii="宋体" w:hAnsi="宋体" w:cs="宋体"/>
          <w:sz w:val="24"/>
          <w:szCs w:val="24"/>
          <w:highlight w:val="none"/>
          <w:lang w:eastAsia="zh-CN"/>
        </w:rPr>
        <w:t>签订</w:t>
      </w:r>
      <w:r>
        <w:rPr>
          <w:rFonts w:hint="eastAsia" w:ascii="宋体" w:hAnsi="宋体" w:eastAsia="宋体" w:cs="宋体"/>
          <w:sz w:val="24"/>
          <w:szCs w:val="24"/>
          <w:highlight w:val="none"/>
        </w:rPr>
        <w:t>用工合同，有关责任应在合同中明确表述。</w:t>
      </w:r>
    </w:p>
    <w:p w14:paraId="34BCAE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5、乙方应及时支付管护工作人员的报酬待遇及企业人员规定的保险等，</w:t>
      </w:r>
      <w:r>
        <w:rPr>
          <w:rFonts w:hint="eastAsia" w:ascii="宋体" w:hAnsi="宋体" w:eastAsia="宋体" w:cs="宋体"/>
          <w:bCs/>
          <w:sz w:val="24"/>
          <w:szCs w:val="24"/>
          <w:highlight w:val="none"/>
        </w:rPr>
        <w:t>不得出现拖欠农民工工资现象，</w:t>
      </w:r>
      <w:r>
        <w:rPr>
          <w:rFonts w:hint="eastAsia" w:ascii="宋体" w:hAnsi="宋体" w:eastAsia="宋体" w:cs="宋体"/>
          <w:sz w:val="24"/>
          <w:szCs w:val="24"/>
          <w:highlight w:val="none"/>
        </w:rPr>
        <w:t>切实保障工作人员的合法权益，确保工作人员工作的积极性及管理养护的连续性，不得对植物的管护造成不可弥补的损失。乙方聘用工作人员发生的意外事故及劳动纠纷由乙方承担，</w:t>
      </w:r>
      <w:r>
        <w:rPr>
          <w:rFonts w:hint="eastAsia" w:ascii="宋体" w:hAnsi="宋体" w:eastAsia="宋体" w:cs="宋体"/>
          <w:bCs/>
          <w:sz w:val="24"/>
          <w:szCs w:val="24"/>
          <w:highlight w:val="none"/>
        </w:rPr>
        <w:t>甲方可以在付款时扣除代为发放相关费用。</w:t>
      </w:r>
    </w:p>
    <w:p w14:paraId="075FC9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在合同期间必须保证承包范围内原有的植物和设施完好无损，因乙方管养不善或管理不当造成植物死亡、丢失或损坏的，应在甲方监管人规定的时间内更换或补植，否则应按照设施和苗木价值的3倍进行赔偿，甲方发包人有权解除合同。</w:t>
      </w:r>
    </w:p>
    <w:p w14:paraId="718608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建立和健全养护管理档案，对养护管理工作中采集的各种信息、资料及时做好分析整理和归档保存工作，并报送甲方监管人备案。养护管理期满，将养护管理的所有档案资料及养护范围内的各类植物、设施完好地移交给甲方。</w:t>
      </w:r>
    </w:p>
    <w:p w14:paraId="6533C9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8、乙方需按管养绿地情况配备水车、绿篱机、高枝剪、手剪、手锯、草坪修剪机、梳草机、草坪打孔机、打药机械等园林机械。机械情况、数量报甲方监管人备案。</w:t>
      </w:r>
    </w:p>
    <w:p w14:paraId="42250C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9、乙方应认真做好</w:t>
      </w:r>
      <w:r>
        <w:rPr>
          <w:rFonts w:hint="eastAsia" w:ascii="宋体" w:hAnsi="宋体" w:eastAsia="宋体" w:cs="宋体"/>
          <w:b w:val="0"/>
          <w:bCs w:val="0"/>
          <w:color w:val="auto"/>
          <w:sz w:val="24"/>
          <w:szCs w:val="24"/>
          <w:highlight w:val="none"/>
          <w:lang w:val="en-US" w:eastAsia="zh-CN"/>
        </w:rPr>
        <w:t>修枝、割灌、清理廊道内枯枝、杂草、落叶</w:t>
      </w:r>
      <w:r>
        <w:rPr>
          <w:rFonts w:hint="eastAsia" w:ascii="宋体" w:hAnsi="宋体" w:eastAsia="宋体" w:cs="宋体"/>
          <w:sz w:val="24"/>
          <w:szCs w:val="24"/>
          <w:highlight w:val="none"/>
        </w:rPr>
        <w:t>、恶劣天气防护及垃圾清运等工作，并承担相应费用。</w:t>
      </w:r>
    </w:p>
    <w:p w14:paraId="5BA30C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lang w:val="en-GB"/>
        </w:rPr>
        <w:t>对乙方作业任务进行日常巡查和考核，结合检查得分情况计算乙方考评结果</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依据甲方考评结果及时完成整改或返工，</w:t>
      </w:r>
      <w:r>
        <w:rPr>
          <w:rFonts w:hint="eastAsia" w:ascii="宋体" w:hAnsi="宋体" w:eastAsia="宋体" w:cs="宋体"/>
          <w:sz w:val="24"/>
          <w:szCs w:val="24"/>
          <w:highlight w:val="none"/>
        </w:rPr>
        <w:t>在每月25日前（节假日提前一天）向甲方上报本月工作完成量和下月工作计划。</w:t>
      </w:r>
    </w:p>
    <w:p w14:paraId="6CC01A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GB"/>
        </w:rPr>
        <w:t>乙方在合同履行期间不得以任何理由进行转包、分包。</w:t>
      </w:r>
    </w:p>
    <w:p w14:paraId="05B36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12、在合同履行期内，乙方及其工作人员不得自行或者允许他人非法使用或侵占管养场地及设施，不得对管养的绿地、花草、树木、设施造成损害。</w:t>
      </w:r>
    </w:p>
    <w:p w14:paraId="31875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13、</w:t>
      </w:r>
      <w:r>
        <w:rPr>
          <w:rFonts w:hint="eastAsia" w:ascii="宋体" w:hAnsi="宋体" w:eastAsia="宋体" w:cs="宋体"/>
          <w:bCs/>
          <w:sz w:val="24"/>
          <w:szCs w:val="24"/>
          <w:highlight w:val="none"/>
        </w:rPr>
        <w:t>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必须湿法作业，严格落实粉尘、废水等污染防治措施及生态防护、水土保持措施，严格落实大气污染防治有关规定。</w:t>
      </w:r>
    </w:p>
    <w:p w14:paraId="5DAB4B3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十、违约责任</w:t>
      </w:r>
    </w:p>
    <w:p w14:paraId="63B9BE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1、乙方未按期足额缴纳履约保证金或被扣除后7个工作日内未补足的，经甲方发包人催告5日内仍未缴纳的，甲方有权解除合同。</w:t>
      </w:r>
    </w:p>
    <w:p w14:paraId="429071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2、乙方停工或怠于管理养护，经催告次日仍未恢复正常管理养护状态，甲方有权另行组织第三方有偿管理养护，费用从管养经费中按实际发生额的3倍扣除。</w:t>
      </w:r>
    </w:p>
    <w:p w14:paraId="109903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3、管理养护质量未达到要求的，乙方应及时整改，直至达到质量要求，费用由乙方自行承担，不予整改或怠于整改的，甲方可自行整改或委托第三方有偿整改，费用从管养经费中按实际发生额的3倍扣除。</w:t>
      </w:r>
    </w:p>
    <w:p w14:paraId="7285A6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4、甲方每月对乙方进行考核，</w:t>
      </w:r>
      <w:r>
        <w:rPr>
          <w:rFonts w:hint="eastAsia" w:ascii="宋体" w:hAnsi="宋体" w:eastAsia="宋体" w:cs="宋体"/>
          <w:sz w:val="24"/>
          <w:szCs w:val="24"/>
          <w:highlight w:val="none"/>
          <w:lang w:eastAsia="zh-CN"/>
        </w:rPr>
        <w:t>考核不达标且在规定整改期内整改不到位的</w:t>
      </w:r>
      <w:r>
        <w:rPr>
          <w:rFonts w:hint="eastAsia" w:ascii="宋体" w:hAnsi="宋体" w:eastAsia="宋体" w:cs="宋体"/>
          <w:sz w:val="24"/>
          <w:szCs w:val="24"/>
          <w:highlight w:val="none"/>
        </w:rPr>
        <w:t>公司责令退出，退出公司所负责的管养标段由甲方重新组织招标，被勒令退出的公司列入黑名单，3年内不得参与荥阳市林业绿化项目招投标。</w:t>
      </w:r>
    </w:p>
    <w:p w14:paraId="7B5CD2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5、甲方每月召开一次工作例会，暂定为每月初（以具体通知为准），乙方无故不到会者，每次向甲方支付违约金500元。</w:t>
      </w:r>
    </w:p>
    <w:p w14:paraId="475AB3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6、甲、乙双方均不得擅自解除本合同，否则，违约方应按承包金的5%向守约方支付违约金，造成损失的，应予赔偿。合同一方如因不可抗力等原因无法履行本合同的，双方可协商解除本合同。</w:t>
      </w:r>
    </w:p>
    <w:p w14:paraId="27113B58">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7、承包期内，乙方</w:t>
      </w:r>
      <w:r>
        <w:rPr>
          <w:rFonts w:hint="eastAsia" w:ascii="宋体" w:hAnsi="宋体" w:eastAsia="宋体" w:cs="宋体"/>
          <w:sz w:val="24"/>
          <w:szCs w:val="24"/>
          <w:highlight w:val="none"/>
          <w:lang w:val="en-GB"/>
        </w:rPr>
        <w:t>私自转包、分包的，甲方有权解除合同，给甲方造成损失的，乙方应予赔偿。</w:t>
      </w:r>
    </w:p>
    <w:p w14:paraId="5B966DF5">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8、乙方未按本合同约定将各项信息、材料移交甲方备案的，</w:t>
      </w:r>
      <w:r>
        <w:rPr>
          <w:rFonts w:hint="eastAsia" w:ascii="宋体" w:hAnsi="宋体" w:eastAsia="宋体" w:cs="宋体"/>
          <w:sz w:val="24"/>
          <w:szCs w:val="24"/>
          <w:highlight w:val="none"/>
        </w:rPr>
        <w:t>应按承包金的5%向甲方支付违约金，给甲方造成损失的，乙方应予赔偿。</w:t>
      </w:r>
    </w:p>
    <w:p w14:paraId="2AA569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9、在合同履行期内，若乙方及其工作人员自行</w:t>
      </w:r>
      <w:r>
        <w:rPr>
          <w:rFonts w:hint="eastAsia" w:ascii="宋体" w:hAnsi="宋体" w:cs="宋体"/>
          <w:sz w:val="24"/>
          <w:szCs w:val="24"/>
          <w:highlight w:val="none"/>
          <w:lang w:val="en-GB" w:eastAsia="zh-CN"/>
        </w:rPr>
        <w:t>或者</w:t>
      </w:r>
      <w:r>
        <w:rPr>
          <w:rFonts w:hint="eastAsia" w:ascii="宋体" w:hAnsi="宋体" w:eastAsia="宋体" w:cs="宋体"/>
          <w:sz w:val="24"/>
          <w:szCs w:val="24"/>
          <w:highlight w:val="none"/>
          <w:lang w:val="en-GB"/>
        </w:rPr>
        <w:t>允许他人非法使用或侵占管养场地及设施，对管养的绿地、花草、树木、设施造成损害的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GB"/>
        </w:rPr>
        <w:t>乙方除立即恢复原状外，还应按设施和苗木价值的3-5倍进行赔偿。发生两次以上的，或者怠于恢复原状或赔偿，经甲方催告仍未恢复原状或赔偿的，甲方有权解除合同。</w:t>
      </w:r>
    </w:p>
    <w:p w14:paraId="54C3E77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十一、</w:t>
      </w:r>
      <w:r>
        <w:rPr>
          <w:rFonts w:hint="eastAsia" w:ascii="宋体" w:hAnsi="宋体" w:eastAsia="宋体" w:cs="宋体"/>
          <w:b w:val="0"/>
          <w:bCs/>
          <w:sz w:val="24"/>
          <w:szCs w:val="24"/>
          <w:highlight w:val="none"/>
        </w:rPr>
        <w:t>合同履行期间，乙方负责管养的绿地，因建设施工和不可抗力造成绿地面积需要增减的，按每平方米每年的合同单价核算。</w:t>
      </w:r>
    </w:p>
    <w:p w14:paraId="63FCB2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1、绿化面积增加的，从当月起甲方按合同经费标准增拨养护经费，由乙方负责新增路段的绿化管养，标准及要求按本协议规定执行，期满后同时终止。</w:t>
      </w:r>
    </w:p>
    <w:p w14:paraId="133648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2、绿化面积核减的，从合同经费标准进行扣减。</w:t>
      </w:r>
    </w:p>
    <w:p w14:paraId="596B180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十二、其他</w:t>
      </w:r>
    </w:p>
    <w:p w14:paraId="68AA23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1、共同遵守国家有关法律、法规及地方政府规章；如有和国家法律、法规相抵触的条款，以法律、法规为准。</w:t>
      </w:r>
    </w:p>
    <w:p w14:paraId="26C7A16F">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14:paraId="6064A425">
      <w:pPr>
        <w:keepNext w:val="0"/>
        <w:keepLines w:val="0"/>
        <w:pageBreakBefore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GB"/>
        </w:rPr>
        <w:t>4</w:t>
      </w:r>
      <w:r>
        <w:rPr>
          <w:rFonts w:hint="eastAsia" w:ascii="宋体" w:hAnsi="宋体" w:eastAsia="宋体" w:cs="宋体"/>
          <w:color w:val="000000"/>
          <w:sz w:val="24"/>
          <w:szCs w:val="24"/>
          <w:highlight w:val="none"/>
        </w:rPr>
        <w:t>、合同期限届满，乙方应当按照甲方的要求在期满后的</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日内向甲方予以移交，移交时应保证甲方所提供的设施处于正常的使用状态，如有损坏或故意毁损，应当予以修缮或赔偿，另外对管理养护移交时的状态，双方应当进行书面确认，因乙方原因，双方未进行书面确认的，视为养护不合格。因乙方违约，甲方解除合同的移交问题参照该款规定，移交的具体时间以甲方送达解除通知书之日起次日计算。</w:t>
      </w:r>
    </w:p>
    <w:p w14:paraId="5EECBFED">
      <w:pPr>
        <w:keepNext w:val="0"/>
        <w:keepLines w:val="0"/>
        <w:pageBreakBefore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sz w:val="24"/>
          <w:szCs w:val="24"/>
          <w:highlight w:val="none"/>
        </w:rPr>
        <w:t>、合同未尽事宜，协商解决。</w:t>
      </w:r>
    </w:p>
    <w:p w14:paraId="62BE5640">
      <w:pPr>
        <w:keepNext w:val="0"/>
        <w:keepLines w:val="0"/>
        <w:pageBreakBefore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6、本合同一式陆份，甲方执四份，乙方执二份，自双方签字盖章之日起生效。</w:t>
      </w:r>
    </w:p>
    <w:p w14:paraId="25B88C49">
      <w:pPr>
        <w:keepNext w:val="0"/>
        <w:keepLines w:val="0"/>
        <w:pageBreakBefore w:val="0"/>
        <w:tabs>
          <w:tab w:val="left" w:pos="448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p>
    <w:p w14:paraId="6D522ED8">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A212A40">
      <w:pPr>
        <w:keepNext w:val="0"/>
        <w:keepLines w:val="0"/>
        <w:pageBreakBefore w:val="0"/>
        <w:tabs>
          <w:tab w:val="left" w:pos="448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甲方发包人：（公章）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乙方：（公章）  </w:t>
      </w:r>
    </w:p>
    <w:p w14:paraId="3479D9DF">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住所：____________________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住所：____________________</w:t>
      </w:r>
    </w:p>
    <w:p w14:paraId="5DF73D6D">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法定代表人：______________</w:t>
      </w:r>
    </w:p>
    <w:p w14:paraId="14410C8B">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委托代理人：______________</w:t>
      </w:r>
    </w:p>
    <w:p w14:paraId="2E6F63BB">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电话：____________________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电话：____________________</w:t>
      </w:r>
    </w:p>
    <w:p w14:paraId="4DBF43E3">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开户银行：________________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开户银行：________________</w:t>
      </w:r>
    </w:p>
    <w:p w14:paraId="0869BEF7">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账号</w:t>
      </w:r>
      <w:r>
        <w:rPr>
          <w:rFonts w:hint="eastAsia" w:ascii="宋体" w:hAnsi="宋体" w:eastAsia="宋体" w:cs="宋体"/>
          <w:sz w:val="24"/>
          <w:szCs w:val="24"/>
          <w:highlight w:val="none"/>
        </w:rPr>
        <w:t xml:space="preserve">：____________________ </w:t>
      </w:r>
      <w:r>
        <w:rPr>
          <w:rFonts w:hint="eastAsia" w:ascii="宋体" w:hAnsi="宋体" w:eastAsia="宋体" w:cs="宋体"/>
          <w:sz w:val="24"/>
          <w:szCs w:val="24"/>
          <w:highlight w:val="none"/>
        </w:rPr>
        <w:tab/>
      </w:r>
      <w:r>
        <w:rPr>
          <w:rFonts w:hint="eastAsia" w:ascii="宋体" w:hAnsi="宋体" w:cs="宋体"/>
          <w:sz w:val="24"/>
          <w:szCs w:val="24"/>
          <w:highlight w:val="none"/>
          <w:lang w:eastAsia="zh-CN"/>
        </w:rPr>
        <w:t>账号</w:t>
      </w:r>
      <w:r>
        <w:rPr>
          <w:rFonts w:hint="eastAsia" w:ascii="宋体" w:hAnsi="宋体" w:eastAsia="宋体" w:cs="宋体"/>
          <w:sz w:val="24"/>
          <w:szCs w:val="24"/>
          <w:highlight w:val="none"/>
        </w:rPr>
        <w:t>：____________________</w:t>
      </w:r>
    </w:p>
    <w:p w14:paraId="384658CA">
      <w:pPr>
        <w:keepNext w:val="0"/>
        <w:keepLines w:val="0"/>
        <w:pageBreakBefore w:val="0"/>
        <w:tabs>
          <w:tab w:val="left" w:pos="4320"/>
        </w:tabs>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邮政编码：________________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邮政编码：________________</w:t>
      </w:r>
    </w:p>
    <w:p w14:paraId="26204784">
      <w:pPr>
        <w:pageBreakBefore w:val="0"/>
        <w:widowControl/>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签订日期：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CC1BE0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30419EC2">
      <w:pPr>
        <w:pStyle w:val="2"/>
        <w:bidi w:val="0"/>
        <w:jc w:val="center"/>
        <w:rPr>
          <w:rFonts w:hint="eastAsia" w:ascii="宋体" w:hAnsi="宋体" w:eastAsia="宋体" w:cs="宋体"/>
          <w:highlight w:val="none"/>
          <w:lang w:val="en-US" w:eastAsia="zh-CN"/>
        </w:rPr>
      </w:pPr>
      <w:bookmarkStart w:id="168" w:name="_Toc16133"/>
      <w:bookmarkStart w:id="169" w:name="_Toc1427"/>
      <w:bookmarkStart w:id="170" w:name="_Toc23375"/>
      <w:r>
        <w:rPr>
          <w:rFonts w:hint="eastAsia" w:ascii="宋体" w:hAnsi="宋体" w:cs="宋体"/>
          <w:highlight w:val="none"/>
          <w:lang w:val="en-US" w:eastAsia="zh-CN"/>
        </w:rPr>
        <w:t xml:space="preserve">第五章 </w:t>
      </w:r>
      <w:r>
        <w:rPr>
          <w:rFonts w:hint="eastAsia" w:ascii="宋体" w:hAnsi="宋体" w:eastAsia="宋体" w:cs="宋体"/>
          <w:highlight w:val="none"/>
          <w:lang w:val="en-US" w:eastAsia="zh-CN"/>
        </w:rPr>
        <w:t>服务需求</w:t>
      </w:r>
      <w:bookmarkEnd w:id="168"/>
      <w:bookmarkEnd w:id="169"/>
      <w:bookmarkEnd w:id="170"/>
    </w:p>
    <w:p w14:paraId="377CE9A0">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项目概况</w:t>
      </w:r>
    </w:p>
    <w:p w14:paraId="719AC86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项目名称：荥阳市林业局城郊生态廊道养护项目</w:t>
      </w:r>
    </w:p>
    <w:p w14:paraId="591E2F9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w:t>
      </w:r>
      <w:r>
        <w:rPr>
          <w:rFonts w:hint="eastAsia" w:ascii="宋体" w:hAnsi="宋体" w:cs="宋体"/>
          <w:highlight w:val="none"/>
          <w:lang w:val="en-US" w:eastAsia="zh-CN"/>
        </w:rPr>
        <w:t>内容及标段内容</w:t>
      </w:r>
      <w:r>
        <w:rPr>
          <w:rFonts w:hint="eastAsia" w:ascii="宋体" w:hAnsi="宋体" w:eastAsia="宋体" w:cs="宋体"/>
          <w:highlight w:val="none"/>
          <w:lang w:val="en-US" w:eastAsia="zh-CN"/>
        </w:rPr>
        <w:t>：本项目为荥阳市林业局城郊生态廊道养护项目，其廊道长度约74.35公里，管护绿化面积约为312.5万平方米。</w:t>
      </w:r>
      <w:r>
        <w:rPr>
          <w:rFonts w:hint="eastAsia" w:ascii="宋体" w:hAnsi="宋体" w:cs="宋体"/>
          <w:highlight w:val="none"/>
          <w:lang w:val="en-US" w:eastAsia="zh-CN"/>
        </w:rPr>
        <w:t>本项目共划分八个标段：</w:t>
      </w:r>
    </w:p>
    <w:p w14:paraId="470EEA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一标段：2015年沿黄快速通道（桩号1-2）生态廊道建设项目，廊道长度约12.30公里，两侧绿化宽度各18米，需管护绿化面积约42.133万平方米；</w:t>
      </w:r>
    </w:p>
    <w:p w14:paraId="67BCAB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二标段：2015年沿黄快速通道（桩号2-3）生态廊道建设项目，廊道长度约12.20公里，两侧绿化宽度各18米，需管护绿化面积约41.60万平方米；</w:t>
      </w:r>
    </w:p>
    <w:p w14:paraId="3903C2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三标段：2015年沿黄快速通道（桩号3-4）生态廊道建设项目，廊道长度约12.20公里，两侧绿化宽度各18米，需管护绿化面积约41.60万平方米；</w:t>
      </w:r>
    </w:p>
    <w:p w14:paraId="5AA05D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四标段：2015年荥阳市石化北路生态廊道建设项目，廊道长度约3.3公里，两侧绿化宽度各30米，需管护绿化面积约19.20万平方米；</w:t>
      </w:r>
    </w:p>
    <w:p w14:paraId="1C8CF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五标段：2015年荥阳市环翠峪旅游大道生态廊道建设项目，廊道长度约14.85公里，两侧绿化宽度各3-30米，需管护绿化面积约59.40万平方米；</w:t>
      </w:r>
    </w:p>
    <w:p w14:paraId="74361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六标段：2018年荥阳市G234（郑上路至黄河大桥引桥南端桩号1-2）生态廊道建设项目，廊道长度约7.25公里，两侧绿化宽度各10-50米，需管护绿化面积约45万平方米；</w:t>
      </w:r>
    </w:p>
    <w:p w14:paraId="12820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七标段：2018年荥阳市G234（郑上路至黄河大桥引桥南端，桩号2-3）生态廊道建设项目，廊道长度约7.25公里，两侧绿化宽度各10-50米，需管护绿化面积约45万平方米，；</w:t>
      </w:r>
    </w:p>
    <w:p w14:paraId="0AD65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八标段：2020年X036（枯河桥—沿黄快速通道）生态廊道建设项目：廊道长度约5公里，两侧绿化宽度各30米，需管护绿化面积约18.60万平方米</w:t>
      </w:r>
      <w:r>
        <w:rPr>
          <w:rFonts w:hint="eastAsia" w:ascii="宋体" w:hAnsi="宋体" w:cs="宋体"/>
          <w:highlight w:val="none"/>
          <w:lang w:val="en-US" w:eastAsia="zh-CN"/>
        </w:rPr>
        <w:t>。</w:t>
      </w:r>
    </w:p>
    <w:p w14:paraId="50C6C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服务期限：</w:t>
      </w:r>
      <w:r>
        <w:rPr>
          <w:rFonts w:hint="eastAsia" w:ascii="宋体" w:hAnsi="宋体" w:cs="宋体"/>
          <w:highlight w:val="none"/>
          <w:lang w:val="en-US" w:eastAsia="zh-CN"/>
        </w:rPr>
        <w:t>一年/标段</w:t>
      </w:r>
    </w:p>
    <w:p w14:paraId="06DEDE3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服务要求</w:t>
      </w:r>
    </w:p>
    <w:p w14:paraId="6D7C0B6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服务要求：生态廊道后期管护指的是绿化植物(草坪、灌木、花卉、乔木)管养（养护方式包括修枝、割灌、清理廊道内枯枝、杂草、落叶），及上述范围内的环境卫生、垃圾、废弃物清运。</w:t>
      </w:r>
    </w:p>
    <w:p w14:paraId="2B4563B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养护质量标准及要求</w:t>
      </w:r>
    </w:p>
    <w:p w14:paraId="3A678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1、</w:t>
      </w:r>
      <w:r>
        <w:rPr>
          <w:rFonts w:hint="eastAsia" w:ascii="宋体" w:hAnsi="宋体" w:cs="宋体"/>
          <w:highlight w:val="none"/>
          <w:lang w:val="en-US" w:eastAsia="zh-CN"/>
        </w:rPr>
        <w:t>绿化植物的养护</w:t>
      </w:r>
      <w:r>
        <w:rPr>
          <w:rFonts w:hint="eastAsia" w:ascii="宋体" w:hAnsi="宋体" w:eastAsia="宋体" w:cs="宋体"/>
          <w:highlight w:val="none"/>
          <w:lang w:val="en-US" w:eastAsia="zh-CN"/>
        </w:rPr>
        <w:t>标准是生长良好，花繁叶茂造型美观，具有一定的艺术感和立体感。</w:t>
      </w:r>
    </w:p>
    <w:p w14:paraId="33544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2、生长势：生长势中等，生长量达到该种类该规格的平均年生长量；枝叶生长正常，叶色较鲜艳，无</w:t>
      </w:r>
      <w:r>
        <w:rPr>
          <w:rFonts w:hint="eastAsia" w:ascii="宋体" w:hAnsi="宋体" w:cs="宋体"/>
          <w:highlight w:val="none"/>
          <w:lang w:val="en-US" w:eastAsia="zh-CN"/>
        </w:rPr>
        <w:t>枯枝落叶</w:t>
      </w:r>
      <w:r>
        <w:rPr>
          <w:rFonts w:hint="eastAsia" w:ascii="宋体" w:hAnsi="宋体" w:eastAsia="宋体" w:cs="宋体"/>
          <w:highlight w:val="none"/>
          <w:lang w:val="en-US" w:eastAsia="zh-CN"/>
        </w:rPr>
        <w:t>，植株基本整齐。</w:t>
      </w:r>
    </w:p>
    <w:p w14:paraId="60E4F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修剪：绿地内植物修剪及时，形状良好。绿篱修剪高度一致，三面平整；球类植物大小一致、圆滑美观。对乔木、花灌木、绿篱色块、草坪地被等所辖绿地内的植物及时整形、修剪、抹芽、去蘖，及时清理残枝、枯枝、病虫枝等影响植物美观的枝条；及时刨除死树、杂树。草坪无明显斑秃，修剪及时，边线整齐，色泽、密实度一致，长势良好。</w:t>
      </w:r>
    </w:p>
    <w:p w14:paraId="37E1A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4、灌溉、施肥：根据植物的生长及开花特性进行合理灌溉和施肥，在雨水缺少的季节，每天的淋水量要求不低于该种类该规格的蒸腾量，要求施肥每月不少于一次。施肥的肥料及病虫剂都必须符合国家对其卫生、安全和环保规定要求。</w:t>
      </w:r>
    </w:p>
    <w:p w14:paraId="72C70E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5、除杂草：经常除杂草和松土，除杂草松土时要保护根系，不能伤根及造成根系裸露，更不能造成黄土裸露。</w:t>
      </w:r>
    </w:p>
    <w:p w14:paraId="2C46F0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6、补植：及时清理死苗，并在两周内补植回原来的种类并力求规格与原来植株接近，以保证良好的景观效果。补植要按照种植规范进行，施足基肥并加强淋水等保养措施，保证成活率达95%以上。</w:t>
      </w:r>
    </w:p>
    <w:p w14:paraId="6B5D7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7、病虫害防治：及时做好病虫害的防治工作，</w:t>
      </w:r>
      <w:r>
        <w:rPr>
          <w:rFonts w:hint="eastAsia" w:ascii="宋体" w:hAnsi="宋体" w:cs="宋体"/>
          <w:highlight w:val="none"/>
          <w:lang w:val="en-US" w:eastAsia="zh-CN"/>
        </w:rPr>
        <w:t>预防为主</w:t>
      </w:r>
      <w:r>
        <w:rPr>
          <w:rFonts w:hint="eastAsia" w:ascii="宋体" w:hAnsi="宋体" w:eastAsia="宋体" w:cs="宋体"/>
          <w:highlight w:val="none"/>
          <w:lang w:val="en-US" w:eastAsia="zh-CN"/>
        </w:rPr>
        <w:t>，精心管养，使植物增强抗病、虫害能力，经常检查，早发现早处理。采取综合防治、化学防治、物理人工防治和生物防治等方法防止病虫害蔓延和影响植物生长。</w:t>
      </w:r>
    </w:p>
    <w:p w14:paraId="4F5D5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8、防大风及意外：做好防大风工作，大风前加强防御措施，合理修剪，加固护树设施，以增强抵御大风的能力。大风吹袭期间迅速清理倒树断枝，疏通道路。大风后及时进行扶树、护树，补好残缺，清除断枝、落叶和垃圾，使绿化景观尽快恢复。同时要求随着树木的生长，及时将护树带或铁箍放松，以免嵌入树皮内。遇雷电风雨、人畜危害而使树木歪斜或倒树断枝，要立即处理、疏通道路。</w:t>
      </w:r>
    </w:p>
    <w:p w14:paraId="30A8FE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9、除杂草：及时清理杂草，杂草不得超过2%，地被和草坪的纯度应达到98%，草坪高度应控制在4-6厘米，要求修剪平整，边角无遗漏，侧右边缘予以切边，保持线清晰，边缘平直。应保持土壤平整绿化养护及透气性良好，凡常年积水的低洼处，应分次填土予以平整，及时清除碎石、瓦砾、树枝及残叶等杂物。</w:t>
      </w:r>
    </w:p>
    <w:p w14:paraId="0B3EF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10、为尽量预防和减少因冬季寒冻对苗木造成的损害，做好所辖区域苗木防寒御冻准备，结合苗木生长习性及特殊条件下的生长要求，制定相应防护计划、采取有效措施，做好冬季苗木抗寒防冻工作。如采取覆膜防寒法、缠干法、涂白法、搭风障、补充营养等措施，并做好植物防寒物资储备工作。</w:t>
      </w:r>
    </w:p>
    <w:p w14:paraId="0AB9B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bookmarkStart w:id="171" w:name="_Toc152161641"/>
      <w:bookmarkStart w:id="172" w:name="_Toc23621"/>
      <w:r>
        <w:rPr>
          <w:rFonts w:hint="eastAsia" w:ascii="宋体" w:hAnsi="宋体" w:eastAsia="宋体" w:cs="宋体"/>
          <w:highlight w:val="none"/>
          <w:lang w:val="en-US" w:eastAsia="zh-CN"/>
        </w:rPr>
        <w:t>3、人员配备</w:t>
      </w:r>
      <w:bookmarkEnd w:id="171"/>
      <w:bookmarkEnd w:id="172"/>
    </w:p>
    <w:p w14:paraId="61919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bookmarkStart w:id="173" w:name="_Toc8276"/>
      <w:bookmarkStart w:id="174" w:name="_Toc152161643"/>
      <w:r>
        <w:rPr>
          <w:rFonts w:hint="eastAsia" w:ascii="宋体" w:hAnsi="宋体" w:cs="宋体"/>
          <w:highlight w:val="none"/>
          <w:lang w:val="en-US" w:eastAsia="zh-CN"/>
        </w:rPr>
        <w:t>3.1、</w:t>
      </w:r>
      <w:r>
        <w:rPr>
          <w:rFonts w:hint="eastAsia" w:ascii="宋体" w:hAnsi="宋体" w:eastAsia="宋体" w:cs="宋体"/>
          <w:highlight w:val="none"/>
          <w:lang w:val="en-US" w:eastAsia="zh-CN"/>
        </w:rPr>
        <w:t>为做好生态廊道养护工作，养护管理人员、技术人员登记备案，养护人员的养护服装按甲方要求统一制作并编号，费用由乙方支付。</w:t>
      </w:r>
    </w:p>
    <w:p w14:paraId="131093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3.2、</w:t>
      </w:r>
      <w:r>
        <w:rPr>
          <w:rFonts w:hint="eastAsia" w:ascii="宋体" w:hAnsi="宋体" w:eastAsia="宋体" w:cs="宋体"/>
          <w:highlight w:val="none"/>
          <w:lang w:val="en-US" w:eastAsia="zh-CN"/>
        </w:rPr>
        <w:t>每个养护标段至少配备一名专职绿化养护技术人员（林业或园林工程师及以上）。</w:t>
      </w:r>
      <w:bookmarkEnd w:id="173"/>
      <w:bookmarkEnd w:id="174"/>
    </w:p>
    <w:p w14:paraId="31C80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bookmarkStart w:id="175" w:name="_Toc5467"/>
      <w:bookmarkStart w:id="176" w:name="_Toc152161644"/>
      <w:r>
        <w:rPr>
          <w:rFonts w:hint="eastAsia" w:ascii="宋体" w:hAnsi="宋体" w:eastAsia="宋体" w:cs="宋体"/>
          <w:highlight w:val="none"/>
          <w:lang w:val="en-US" w:eastAsia="zh-CN"/>
        </w:rPr>
        <w:t>4、</w:t>
      </w:r>
      <w:bookmarkEnd w:id="175"/>
      <w:bookmarkEnd w:id="176"/>
      <w:r>
        <w:rPr>
          <w:rFonts w:hint="eastAsia" w:ascii="宋体" w:hAnsi="宋体" w:cs="宋体"/>
          <w:highlight w:val="none"/>
          <w:lang w:val="en-US" w:eastAsia="zh-CN"/>
        </w:rPr>
        <w:t>承包方式</w:t>
      </w:r>
    </w:p>
    <w:p w14:paraId="2AA7B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bookmarkStart w:id="177" w:name="_Toc31071"/>
      <w:bookmarkStart w:id="178" w:name="_Toc152161647"/>
      <w:r>
        <w:rPr>
          <w:rFonts w:hint="eastAsia" w:ascii="宋体" w:hAnsi="宋体" w:cs="宋体"/>
          <w:highlight w:val="none"/>
          <w:lang w:val="en-US" w:eastAsia="zh-CN"/>
        </w:rPr>
        <w:t>4.1</w:t>
      </w:r>
      <w:r>
        <w:rPr>
          <w:rFonts w:hint="eastAsia" w:ascii="宋体" w:hAnsi="宋体" w:eastAsia="宋体" w:cs="宋体"/>
          <w:highlight w:val="none"/>
          <w:lang w:val="en-US" w:eastAsia="zh-CN"/>
        </w:rPr>
        <w:t>、乙方在确定的范围内以包工、包料、包机械工具、包水电费、包质量、包安全的方式实施管养总承包。</w:t>
      </w:r>
    </w:p>
    <w:p w14:paraId="22916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4.</w:t>
      </w:r>
      <w:r>
        <w:rPr>
          <w:rFonts w:hint="eastAsia" w:ascii="宋体" w:hAnsi="宋体" w:eastAsia="宋体" w:cs="宋体"/>
          <w:highlight w:val="none"/>
          <w:lang w:val="en-US" w:eastAsia="zh-CN"/>
        </w:rPr>
        <w:t>2、管养所需的材料、设备等，均由乙方自行解决，但必须符合国家有关绿化管养作业技术规程、规范要求。</w:t>
      </w:r>
      <w:bookmarkEnd w:id="177"/>
      <w:bookmarkEnd w:id="178"/>
    </w:p>
    <w:p w14:paraId="6080E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付款方式：</w:t>
      </w:r>
      <w:r>
        <w:rPr>
          <w:rFonts w:hint="eastAsia" w:ascii="宋体" w:hAnsi="宋体" w:eastAsia="宋体" w:cs="宋体"/>
          <w:highlight w:val="none"/>
          <w:lang w:val="en-US" w:eastAsia="zh-CN"/>
        </w:rPr>
        <w:t>管养期间甲方对乙方日常养护进行考核，管养完成，通过甲方验收后，甲方按程序审批一次性拨付，遇国家法定节假日或其它特殊情况时，时间向后顺延。支付价款前，乙方应向甲方发包人出具正式的税务发票。</w:t>
      </w:r>
    </w:p>
    <w:p w14:paraId="40DC4E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p>
    <w:p w14:paraId="4E4FD88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6EF0A3E9">
      <w:pPr>
        <w:pStyle w:val="2"/>
        <w:numPr>
          <w:ilvl w:val="0"/>
          <w:numId w:val="10"/>
        </w:numPr>
        <w:bidi w:val="0"/>
        <w:ind w:left="0" w:leftChars="0" w:firstLine="0" w:firstLineChars="0"/>
        <w:jc w:val="center"/>
        <w:rPr>
          <w:rFonts w:hint="eastAsia" w:ascii="宋体" w:hAnsi="宋体" w:eastAsia="宋体" w:cs="宋体"/>
          <w:highlight w:val="none"/>
        </w:rPr>
      </w:pPr>
      <w:bookmarkStart w:id="179" w:name="_Toc26222"/>
      <w:bookmarkStart w:id="180" w:name="_Toc2138"/>
      <w:bookmarkStart w:id="181" w:name="_Toc21424"/>
      <w:r>
        <w:rPr>
          <w:rFonts w:hint="eastAsia" w:ascii="宋体" w:hAnsi="宋体" w:eastAsia="宋体" w:cs="宋体"/>
          <w:highlight w:val="none"/>
        </w:rPr>
        <w:t>投标文件格式</w:t>
      </w:r>
      <w:bookmarkEnd w:id="179"/>
      <w:bookmarkEnd w:id="180"/>
      <w:bookmarkEnd w:id="181"/>
    </w:p>
    <w:p w14:paraId="2CFF80E6">
      <w:pPr>
        <w:pageBreakBefore w:val="0"/>
        <w:widowControl w:val="0"/>
        <w:kinsoku/>
        <w:wordWrap/>
        <w:overflowPunct/>
        <w:topLinePunct w:val="0"/>
        <w:autoSpaceDE/>
        <w:autoSpaceDN/>
        <w:bidi w:val="0"/>
        <w:adjustRightInd/>
        <w:snapToGrid/>
        <w:spacing w:line="480" w:lineRule="auto"/>
        <w:ind w:left="-15" w:leftChars="-67" w:hanging="126" w:hangingChars="35"/>
        <w:jc w:val="center"/>
        <w:textAlignment w:val="auto"/>
        <w:rPr>
          <w:rFonts w:hint="eastAsia" w:ascii="宋体" w:hAnsi="宋体" w:eastAsia="宋体" w:cs="宋体"/>
          <w:b/>
          <w:bCs/>
          <w:sz w:val="36"/>
          <w:szCs w:val="36"/>
          <w:highlight w:val="none"/>
          <w:lang w:eastAsia="zh-CN"/>
        </w:rPr>
      </w:pPr>
    </w:p>
    <w:p w14:paraId="132E9832">
      <w:pPr>
        <w:pageBreakBefore w:val="0"/>
        <w:widowControl w:val="0"/>
        <w:kinsoku/>
        <w:wordWrap/>
        <w:overflowPunct/>
        <w:topLinePunct w:val="0"/>
        <w:autoSpaceDE/>
        <w:autoSpaceDN/>
        <w:bidi w:val="0"/>
        <w:adjustRightInd/>
        <w:snapToGrid/>
        <w:spacing w:line="480" w:lineRule="auto"/>
        <w:ind w:left="-15" w:leftChars="-67" w:hanging="126" w:hangingChars="35"/>
        <w:jc w:val="center"/>
        <w:textAlignment w:val="auto"/>
        <w:rPr>
          <w:rFonts w:hint="default" w:ascii="宋体" w:hAnsi="宋体" w:eastAsia="宋体" w:cs="宋体"/>
          <w:b/>
          <w:bCs/>
          <w:sz w:val="36"/>
          <w:szCs w:val="36"/>
          <w:highlight w:val="none"/>
          <w:u w:val="none"/>
          <w:lang w:val="en-US"/>
        </w:rPr>
      </w:pPr>
      <w:r>
        <w:rPr>
          <w:rFonts w:hint="eastAsia" w:ascii="宋体" w:hAnsi="宋体" w:eastAsia="宋体" w:cs="宋体"/>
          <w:b/>
          <w:bCs/>
          <w:sz w:val="36"/>
          <w:szCs w:val="36"/>
          <w:highlight w:val="none"/>
          <w:u w:val="single"/>
          <w:lang w:val="en-US" w:eastAsia="zh-CN"/>
        </w:rPr>
        <w:t xml:space="preserve">                 </w:t>
      </w:r>
      <w:r>
        <w:rPr>
          <w:rFonts w:hint="eastAsia" w:ascii="宋体" w:hAnsi="宋体" w:eastAsia="宋体" w:cs="宋体"/>
          <w:b/>
          <w:bCs/>
          <w:sz w:val="36"/>
          <w:szCs w:val="36"/>
          <w:highlight w:val="none"/>
          <w:lang w:eastAsia="zh-CN"/>
        </w:rPr>
        <w:t>（</w:t>
      </w:r>
      <w:r>
        <w:rPr>
          <w:rFonts w:hint="eastAsia" w:ascii="宋体" w:hAnsi="宋体" w:eastAsia="宋体" w:cs="宋体"/>
          <w:b/>
          <w:bCs/>
          <w:sz w:val="36"/>
          <w:szCs w:val="36"/>
          <w:highlight w:val="none"/>
          <w:lang w:val="en-US" w:eastAsia="zh-CN"/>
        </w:rPr>
        <w:t>项目名称</w:t>
      </w:r>
      <w:r>
        <w:rPr>
          <w:rFonts w:hint="eastAsia" w:ascii="宋体" w:hAnsi="宋体" w:eastAsia="宋体" w:cs="宋体"/>
          <w:b/>
          <w:bCs/>
          <w:sz w:val="36"/>
          <w:szCs w:val="36"/>
          <w:highlight w:val="none"/>
          <w:lang w:eastAsia="zh-CN"/>
        </w:rPr>
        <w:t>）</w:t>
      </w:r>
      <w:r>
        <w:rPr>
          <w:rFonts w:hint="eastAsia" w:ascii="宋体" w:hAnsi="宋体" w:cs="宋体"/>
          <w:b/>
          <w:bCs/>
          <w:sz w:val="36"/>
          <w:szCs w:val="36"/>
          <w:highlight w:val="none"/>
          <w:u w:val="single"/>
          <w:lang w:val="en-US" w:eastAsia="zh-CN"/>
        </w:rPr>
        <w:t xml:space="preserve">   </w:t>
      </w:r>
      <w:r>
        <w:rPr>
          <w:rFonts w:hint="eastAsia" w:ascii="宋体" w:hAnsi="宋体" w:cs="宋体"/>
          <w:b/>
          <w:bCs/>
          <w:sz w:val="36"/>
          <w:szCs w:val="36"/>
          <w:highlight w:val="none"/>
          <w:u w:val="none"/>
          <w:lang w:val="en-US" w:eastAsia="zh-CN"/>
        </w:rPr>
        <w:t>标段</w:t>
      </w:r>
    </w:p>
    <w:p w14:paraId="0434C155">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Cs w:val="21"/>
          <w:highlight w:val="none"/>
        </w:rPr>
      </w:pPr>
    </w:p>
    <w:p w14:paraId="75EB6B68">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 w:val="24"/>
          <w:szCs w:val="24"/>
          <w:highlight w:val="none"/>
        </w:rPr>
      </w:pPr>
    </w:p>
    <w:p w14:paraId="65A6F1C2">
      <w:pPr>
        <w:pStyle w:val="26"/>
        <w:rPr>
          <w:rFonts w:hint="eastAsia" w:ascii="宋体" w:hAnsi="宋体" w:eastAsia="宋体" w:cs="宋体"/>
          <w:highlight w:val="none"/>
        </w:rPr>
      </w:pPr>
    </w:p>
    <w:p w14:paraId="4380F016">
      <w:pPr>
        <w:pStyle w:val="9"/>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投标文件</w:t>
      </w:r>
    </w:p>
    <w:p w14:paraId="3E1DCBB2">
      <w:pPr>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项目编号：</w:t>
      </w:r>
    </w:p>
    <w:p w14:paraId="0E331754">
      <w:pPr>
        <w:autoSpaceDE w:val="0"/>
        <w:autoSpaceDN w:val="0"/>
        <w:adjustRightInd w:val="0"/>
        <w:spacing w:line="480" w:lineRule="exact"/>
        <w:rPr>
          <w:rFonts w:hint="eastAsia" w:ascii="宋体" w:hAnsi="宋体" w:eastAsia="宋体" w:cs="宋体"/>
          <w:kern w:val="0"/>
          <w:szCs w:val="21"/>
          <w:highlight w:val="none"/>
        </w:rPr>
      </w:pPr>
    </w:p>
    <w:p w14:paraId="56429515">
      <w:pPr>
        <w:pStyle w:val="3"/>
        <w:rPr>
          <w:rFonts w:hint="eastAsia" w:ascii="宋体" w:hAnsi="宋体" w:eastAsia="宋体" w:cs="宋体"/>
          <w:kern w:val="0"/>
          <w:szCs w:val="21"/>
          <w:highlight w:val="none"/>
        </w:rPr>
      </w:pPr>
    </w:p>
    <w:p w14:paraId="0189B180">
      <w:pPr>
        <w:rPr>
          <w:rFonts w:hint="eastAsia" w:ascii="宋体" w:hAnsi="宋体" w:eastAsia="宋体" w:cs="宋体"/>
          <w:kern w:val="0"/>
          <w:szCs w:val="21"/>
          <w:highlight w:val="none"/>
        </w:rPr>
      </w:pPr>
    </w:p>
    <w:p w14:paraId="05682D48">
      <w:pPr>
        <w:pStyle w:val="26"/>
        <w:rPr>
          <w:rFonts w:hint="eastAsia" w:ascii="宋体" w:hAnsi="宋体" w:eastAsia="宋体" w:cs="宋体"/>
          <w:highlight w:val="none"/>
        </w:rPr>
      </w:pPr>
    </w:p>
    <w:p w14:paraId="4BA837AB">
      <w:pPr>
        <w:rPr>
          <w:rFonts w:hint="eastAsia" w:ascii="宋体" w:hAnsi="宋体" w:eastAsia="宋体" w:cs="宋体"/>
          <w:kern w:val="0"/>
          <w:szCs w:val="21"/>
          <w:highlight w:val="none"/>
        </w:rPr>
      </w:pPr>
    </w:p>
    <w:p w14:paraId="144A68CE">
      <w:pPr>
        <w:pStyle w:val="3"/>
        <w:rPr>
          <w:rFonts w:hint="eastAsia" w:ascii="宋体" w:hAnsi="宋体" w:eastAsia="宋体" w:cs="宋体"/>
          <w:kern w:val="0"/>
          <w:szCs w:val="21"/>
          <w:highlight w:val="none"/>
        </w:rPr>
      </w:pPr>
    </w:p>
    <w:p w14:paraId="35BF587C">
      <w:pPr>
        <w:rPr>
          <w:rFonts w:hint="eastAsia" w:ascii="宋体" w:hAnsi="宋体" w:eastAsia="宋体" w:cs="宋体"/>
          <w:highlight w:val="none"/>
        </w:rPr>
      </w:pPr>
    </w:p>
    <w:p w14:paraId="08BE8358">
      <w:pPr>
        <w:tabs>
          <w:tab w:val="left" w:pos="5800"/>
          <w:tab w:val="left" w:pos="6640"/>
        </w:tabs>
        <w:autoSpaceDE w:val="0"/>
        <w:autoSpaceDN w:val="0"/>
        <w:adjustRightInd w:val="0"/>
        <w:spacing w:line="480" w:lineRule="exact"/>
        <w:ind w:right="403" w:firstLine="482" w:firstLineChars="200"/>
        <w:jc w:val="left"/>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供 应 商</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（企业电子签章）</w:t>
      </w:r>
    </w:p>
    <w:p w14:paraId="1AA6468E">
      <w:pPr>
        <w:tabs>
          <w:tab w:val="left" w:pos="6080"/>
          <w:tab w:val="left" w:pos="6640"/>
        </w:tabs>
        <w:autoSpaceDE w:val="0"/>
        <w:autoSpaceDN w:val="0"/>
        <w:adjustRightInd w:val="0"/>
        <w:spacing w:line="480" w:lineRule="exact"/>
        <w:ind w:left="283" w:leftChars="135" w:right="403"/>
        <w:jc w:val="left"/>
        <w:rPr>
          <w:rFonts w:hint="eastAsia" w:ascii="宋体" w:hAnsi="宋体" w:eastAsia="宋体" w:cs="宋体"/>
          <w:b/>
          <w:bCs/>
          <w:kern w:val="0"/>
          <w:sz w:val="24"/>
          <w:szCs w:val="24"/>
          <w:highlight w:val="none"/>
        </w:rPr>
      </w:pPr>
    </w:p>
    <w:p w14:paraId="3E54F9B0">
      <w:pPr>
        <w:tabs>
          <w:tab w:val="left" w:pos="5786"/>
          <w:tab w:val="left" w:pos="6505"/>
        </w:tabs>
        <w:autoSpaceDE w:val="0"/>
        <w:autoSpaceDN w:val="0"/>
        <w:adjustRightInd w:val="0"/>
        <w:spacing w:line="480" w:lineRule="exact"/>
        <w:ind w:right="403"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法定代表人或委托代理人：</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（签字或盖电子签章）</w:t>
      </w:r>
    </w:p>
    <w:p w14:paraId="6AC13AEF">
      <w:pPr>
        <w:tabs>
          <w:tab w:val="left" w:pos="3280"/>
          <w:tab w:val="left" w:pos="4680"/>
          <w:tab w:val="left" w:pos="6080"/>
        </w:tabs>
        <w:autoSpaceDE w:val="0"/>
        <w:autoSpaceDN w:val="0"/>
        <w:adjustRightInd w:val="0"/>
        <w:spacing w:line="480" w:lineRule="exact"/>
        <w:ind w:right="-20"/>
        <w:jc w:val="left"/>
        <w:rPr>
          <w:rFonts w:hint="eastAsia" w:ascii="宋体" w:hAnsi="宋体" w:eastAsia="宋体" w:cs="宋体"/>
          <w:b/>
          <w:bCs/>
          <w:kern w:val="0"/>
          <w:sz w:val="24"/>
          <w:szCs w:val="24"/>
          <w:highlight w:val="none"/>
        </w:rPr>
      </w:pPr>
    </w:p>
    <w:p w14:paraId="2B478989">
      <w:pPr>
        <w:numPr>
          <w:ilvl w:val="0"/>
          <w:numId w:val="0"/>
        </w:numPr>
        <w:ind w:leftChars="0" w:firstLine="2409" w:firstLineChars="10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u w:val="single"/>
        </w:rPr>
        <w:tab/>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年</w:t>
      </w:r>
      <w:r>
        <w:rPr>
          <w:rFonts w:hint="eastAsia" w:ascii="宋体" w:hAnsi="宋体" w:eastAsia="宋体" w:cs="宋体"/>
          <w:b/>
          <w:bCs/>
          <w:kern w:val="0"/>
          <w:sz w:val="24"/>
          <w:szCs w:val="24"/>
          <w:highlight w:val="none"/>
          <w:u w:val="single"/>
        </w:rPr>
        <w:tab/>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月</w:t>
      </w:r>
      <w:r>
        <w:rPr>
          <w:rFonts w:hint="eastAsia" w:ascii="宋体" w:hAnsi="宋体" w:eastAsia="宋体" w:cs="宋体"/>
          <w:b/>
          <w:bCs/>
          <w:kern w:val="0"/>
          <w:sz w:val="24"/>
          <w:szCs w:val="24"/>
          <w:highlight w:val="none"/>
          <w:u w:val="single"/>
        </w:rPr>
        <w:tab/>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日</w:t>
      </w:r>
    </w:p>
    <w:p w14:paraId="1006B24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28666ED">
      <w:pPr>
        <w:bidi w:val="0"/>
        <w:jc w:val="center"/>
        <w:rPr>
          <w:rFonts w:hint="eastAsia" w:eastAsia="宋体"/>
          <w:b/>
          <w:bCs/>
          <w:sz w:val="30"/>
          <w:szCs w:val="30"/>
          <w:highlight w:val="none"/>
          <w:lang w:val="en-US" w:eastAsia="zh-CN"/>
        </w:rPr>
      </w:pPr>
      <w:r>
        <w:rPr>
          <w:rFonts w:hint="eastAsia"/>
          <w:b/>
          <w:bCs/>
          <w:sz w:val="30"/>
          <w:szCs w:val="30"/>
          <w:highlight w:val="none"/>
          <w:lang w:val="en-US" w:eastAsia="zh-CN"/>
        </w:rPr>
        <w:t>目 录</w:t>
      </w:r>
    </w:p>
    <w:p w14:paraId="18354E4C">
      <w:pPr>
        <w:bidi w:val="0"/>
        <w:rPr>
          <w:sz w:val="24"/>
          <w:szCs w:val="24"/>
          <w:highlight w:val="none"/>
        </w:rPr>
      </w:pPr>
    </w:p>
    <w:p w14:paraId="178D144B">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_Toc12923 </w:instrText>
      </w:r>
      <w:r>
        <w:rPr>
          <w:sz w:val="24"/>
          <w:szCs w:val="24"/>
          <w:highlight w:val="none"/>
        </w:rPr>
        <w:fldChar w:fldCharType="separate"/>
      </w:r>
      <w:r>
        <w:rPr>
          <w:rFonts w:hint="eastAsia"/>
          <w:sz w:val="24"/>
          <w:szCs w:val="24"/>
          <w:highlight w:val="none"/>
          <w:lang w:val="en-US" w:eastAsia="zh-CN"/>
        </w:rPr>
        <w:t>一、投标函及投标函附录</w:t>
      </w:r>
      <w:r>
        <w:rPr>
          <w:sz w:val="24"/>
          <w:szCs w:val="24"/>
          <w:highlight w:val="none"/>
        </w:rPr>
        <w:fldChar w:fldCharType="end"/>
      </w:r>
    </w:p>
    <w:p w14:paraId="299337B6">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_Toc29886 </w:instrText>
      </w:r>
      <w:r>
        <w:rPr>
          <w:sz w:val="24"/>
          <w:szCs w:val="24"/>
          <w:highlight w:val="none"/>
        </w:rPr>
        <w:fldChar w:fldCharType="separate"/>
      </w:r>
      <w:r>
        <w:rPr>
          <w:rFonts w:hint="eastAsia"/>
          <w:sz w:val="24"/>
          <w:szCs w:val="24"/>
          <w:highlight w:val="none"/>
        </w:rPr>
        <w:t>二、法定代表人身份证明</w:t>
      </w:r>
      <w:r>
        <w:rPr>
          <w:sz w:val="24"/>
          <w:szCs w:val="24"/>
          <w:highlight w:val="none"/>
        </w:rPr>
        <w:fldChar w:fldCharType="end"/>
      </w:r>
    </w:p>
    <w:p w14:paraId="719BEC1C">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_Toc9347 </w:instrText>
      </w:r>
      <w:r>
        <w:rPr>
          <w:sz w:val="24"/>
          <w:szCs w:val="24"/>
          <w:highlight w:val="none"/>
        </w:rPr>
        <w:fldChar w:fldCharType="separate"/>
      </w:r>
      <w:r>
        <w:rPr>
          <w:rFonts w:hint="eastAsia"/>
          <w:sz w:val="24"/>
          <w:szCs w:val="24"/>
          <w:highlight w:val="none"/>
          <w:lang w:val="en-US" w:eastAsia="zh-CN"/>
        </w:rPr>
        <w:t>三、</w:t>
      </w:r>
      <w:r>
        <w:rPr>
          <w:rFonts w:hint="eastAsia"/>
          <w:sz w:val="24"/>
          <w:szCs w:val="24"/>
          <w:highlight w:val="none"/>
        </w:rPr>
        <w:t>授权委托书</w:t>
      </w:r>
      <w:r>
        <w:rPr>
          <w:sz w:val="24"/>
          <w:szCs w:val="24"/>
          <w:highlight w:val="none"/>
        </w:rPr>
        <w:fldChar w:fldCharType="end"/>
      </w:r>
    </w:p>
    <w:p w14:paraId="19955CAF">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_Toc8420 </w:instrText>
      </w:r>
      <w:r>
        <w:rPr>
          <w:sz w:val="24"/>
          <w:szCs w:val="24"/>
          <w:highlight w:val="none"/>
        </w:rPr>
        <w:fldChar w:fldCharType="separate"/>
      </w:r>
      <w:r>
        <w:rPr>
          <w:rFonts w:hint="eastAsia"/>
          <w:sz w:val="24"/>
          <w:szCs w:val="24"/>
          <w:highlight w:val="none"/>
          <w:lang w:val="en-US" w:eastAsia="zh-CN"/>
        </w:rPr>
        <w:t>四、资格审查资料</w:t>
      </w:r>
      <w:r>
        <w:rPr>
          <w:sz w:val="24"/>
          <w:szCs w:val="24"/>
          <w:highlight w:val="none"/>
        </w:rPr>
        <w:fldChar w:fldCharType="end"/>
      </w:r>
    </w:p>
    <w:p w14:paraId="07F80F6C">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_Toc7402 </w:instrText>
      </w:r>
      <w:r>
        <w:rPr>
          <w:sz w:val="24"/>
          <w:szCs w:val="24"/>
          <w:highlight w:val="none"/>
        </w:rPr>
        <w:fldChar w:fldCharType="separate"/>
      </w:r>
      <w:r>
        <w:rPr>
          <w:rFonts w:hint="eastAsia"/>
          <w:sz w:val="24"/>
          <w:szCs w:val="24"/>
          <w:highlight w:val="none"/>
          <w:lang w:val="en-US" w:eastAsia="zh-CN"/>
        </w:rPr>
        <w:t>五、服务方案</w:t>
      </w:r>
      <w:r>
        <w:rPr>
          <w:sz w:val="24"/>
          <w:szCs w:val="24"/>
          <w:highlight w:val="none"/>
        </w:rPr>
        <w:fldChar w:fldCharType="end"/>
      </w:r>
    </w:p>
    <w:p w14:paraId="03018247">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_Toc17265 </w:instrText>
      </w:r>
      <w:r>
        <w:rPr>
          <w:sz w:val="24"/>
          <w:szCs w:val="24"/>
          <w:highlight w:val="none"/>
        </w:rPr>
        <w:fldChar w:fldCharType="separate"/>
      </w:r>
      <w:r>
        <w:rPr>
          <w:rFonts w:hint="eastAsia"/>
          <w:sz w:val="24"/>
          <w:szCs w:val="24"/>
          <w:highlight w:val="none"/>
          <w:lang w:val="en-US" w:eastAsia="zh-CN"/>
        </w:rPr>
        <w:t>六、服务业绩</w:t>
      </w:r>
      <w:r>
        <w:rPr>
          <w:sz w:val="24"/>
          <w:szCs w:val="24"/>
          <w:highlight w:val="none"/>
        </w:rPr>
        <w:fldChar w:fldCharType="end"/>
      </w:r>
    </w:p>
    <w:p w14:paraId="4F792DD5">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_Toc5128 </w:instrText>
      </w:r>
      <w:r>
        <w:rPr>
          <w:sz w:val="24"/>
          <w:szCs w:val="24"/>
          <w:highlight w:val="none"/>
        </w:rPr>
        <w:fldChar w:fldCharType="separate"/>
      </w:r>
      <w:r>
        <w:rPr>
          <w:rFonts w:hint="eastAsia"/>
          <w:sz w:val="24"/>
          <w:szCs w:val="24"/>
          <w:highlight w:val="none"/>
          <w:lang w:val="en-US" w:eastAsia="zh-CN"/>
        </w:rPr>
        <w:t>七、供应商认为有必要的其他资料</w:t>
      </w:r>
      <w:r>
        <w:rPr>
          <w:sz w:val="24"/>
          <w:szCs w:val="24"/>
          <w:highlight w:val="none"/>
        </w:rPr>
        <w:fldChar w:fldCharType="end"/>
      </w:r>
    </w:p>
    <w:p w14:paraId="51D97D24">
      <w:pPr>
        <w:keepNext w:val="0"/>
        <w:keepLines w:val="0"/>
        <w:pageBreakBefore w:val="0"/>
        <w:widowControl w:val="0"/>
        <w:kinsoku/>
        <w:wordWrap/>
        <w:overflowPunct/>
        <w:topLinePunct w:val="0"/>
        <w:autoSpaceDE/>
        <w:autoSpaceDN/>
        <w:bidi w:val="0"/>
        <w:adjustRightInd/>
        <w:snapToGrid/>
        <w:spacing w:line="48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_Toc16312 </w:instrText>
      </w:r>
      <w:r>
        <w:rPr>
          <w:sz w:val="24"/>
          <w:szCs w:val="24"/>
          <w:highlight w:val="none"/>
        </w:rPr>
        <w:fldChar w:fldCharType="separate"/>
      </w:r>
      <w:r>
        <w:rPr>
          <w:rFonts w:hint="eastAsia"/>
          <w:sz w:val="24"/>
          <w:szCs w:val="24"/>
          <w:highlight w:val="none"/>
          <w:lang w:val="en-US" w:eastAsia="zh-CN"/>
        </w:rPr>
        <w:t>八、享受政府采购政策扶持的证明材料</w:t>
      </w:r>
      <w:r>
        <w:rPr>
          <w:sz w:val="24"/>
          <w:szCs w:val="24"/>
          <w:highlight w:val="none"/>
        </w:rPr>
        <w:tab/>
      </w:r>
      <w:r>
        <w:rPr>
          <w:sz w:val="24"/>
          <w:szCs w:val="24"/>
          <w:highlight w:val="none"/>
        </w:rPr>
        <w:fldChar w:fldCharType="end"/>
      </w:r>
    </w:p>
    <w:p w14:paraId="007308F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D83C0A9">
      <w:pPr>
        <w:pStyle w:val="3"/>
        <w:numPr>
          <w:ilvl w:val="0"/>
          <w:numId w:val="0"/>
        </w:numPr>
        <w:bidi w:val="0"/>
        <w:jc w:val="center"/>
        <w:rPr>
          <w:rFonts w:hint="eastAsia" w:ascii="宋体" w:hAnsi="宋体" w:eastAsia="宋体" w:cs="宋体"/>
          <w:highlight w:val="none"/>
          <w:lang w:val="en-US" w:eastAsia="zh-CN"/>
        </w:rPr>
      </w:pPr>
      <w:bookmarkStart w:id="182" w:name="_Toc3489"/>
      <w:bookmarkStart w:id="183" w:name="_Toc22326"/>
      <w:bookmarkStart w:id="184" w:name="_Toc11523"/>
      <w:r>
        <w:rPr>
          <w:rFonts w:hint="eastAsia" w:ascii="宋体" w:hAnsi="宋体" w:eastAsia="宋体" w:cs="宋体"/>
          <w:highlight w:val="none"/>
          <w:lang w:val="en-US" w:eastAsia="zh-CN"/>
        </w:rPr>
        <w:t>一、投标函及投标函附录</w:t>
      </w:r>
      <w:bookmarkEnd w:id="182"/>
      <w:bookmarkEnd w:id="183"/>
    </w:p>
    <w:p w14:paraId="205E5931">
      <w:pPr>
        <w:pStyle w:val="4"/>
        <w:bidi w:val="0"/>
        <w:jc w:val="center"/>
        <w:rPr>
          <w:rFonts w:hint="eastAsia" w:ascii="宋体" w:hAnsi="宋体" w:eastAsia="宋体" w:cs="宋体"/>
          <w:highlight w:val="none"/>
          <w:lang w:val="en-US" w:eastAsia="zh-CN"/>
        </w:rPr>
      </w:pPr>
      <w:bookmarkStart w:id="185" w:name="_Toc8380"/>
      <w:bookmarkStart w:id="186" w:name="_Toc23615"/>
      <w:bookmarkStart w:id="187" w:name="_Toc26825"/>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投标函</w:t>
      </w:r>
      <w:bookmarkEnd w:id="185"/>
      <w:bookmarkEnd w:id="186"/>
      <w:bookmarkEnd w:id="187"/>
    </w:p>
    <w:p w14:paraId="35F32D4F">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采购人或采购代理机构名称</w:t>
      </w:r>
      <w:r>
        <w:rPr>
          <w:rFonts w:hint="eastAsia" w:ascii="宋体" w:hAnsi="宋体" w:eastAsia="宋体" w:cs="宋体"/>
          <w:szCs w:val="21"/>
          <w:highlight w:val="none"/>
        </w:rPr>
        <w:t>）</w:t>
      </w:r>
    </w:p>
    <w:p w14:paraId="57B42655">
      <w:pPr>
        <w:pStyle w:val="11"/>
        <w:numPr>
          <w:ilvl w:val="0"/>
          <w:numId w:val="11"/>
        </w:numPr>
        <w:tabs>
          <w:tab w:val="left" w:pos="0"/>
          <w:tab w:val="clear" w:pos="420"/>
        </w:tabs>
        <w:spacing w:after="0" w:line="440" w:lineRule="exact"/>
        <w:ind w:left="0"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我方已仔细研究了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标段</w:t>
      </w:r>
      <w:r>
        <w:rPr>
          <w:rFonts w:hint="eastAsia" w:ascii="宋体" w:hAnsi="宋体" w:eastAsia="宋体" w:cs="宋体"/>
          <w:sz w:val="21"/>
          <w:szCs w:val="21"/>
          <w:highlight w:val="none"/>
        </w:rPr>
        <w:t>招标项目招标文件的全部内容，愿意以人民币（大写）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sz w:val="21"/>
          <w:szCs w:val="21"/>
          <w:highlight w:val="none"/>
        </w:rPr>
        <w:t>）的投标总报价，服务期限：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，按合同约定完成全部工作。</w:t>
      </w:r>
    </w:p>
    <w:p w14:paraId="4EC0D634">
      <w:pPr>
        <w:pStyle w:val="11"/>
        <w:numPr>
          <w:ilvl w:val="0"/>
          <w:numId w:val="11"/>
        </w:numPr>
        <w:tabs>
          <w:tab w:val="left" w:pos="0"/>
          <w:tab w:val="clear" w:pos="420"/>
        </w:tabs>
        <w:spacing w:after="0" w:line="440" w:lineRule="exact"/>
        <w:ind w:left="0"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如果我方中标，我方将按招标文件的规定签订并严格履行合同中的责任和义务，在签订合同时不向你方提出附加条件，在合同约定的期限内完成合同规定的全部内容。</w:t>
      </w:r>
    </w:p>
    <w:p w14:paraId="4BBC7E2E">
      <w:pPr>
        <w:pStyle w:val="11"/>
        <w:numPr>
          <w:ilvl w:val="0"/>
          <w:numId w:val="11"/>
        </w:numPr>
        <w:tabs>
          <w:tab w:val="left" w:pos="720"/>
          <w:tab w:val="clear" w:pos="420"/>
        </w:tabs>
        <w:spacing w:after="0" w:line="440" w:lineRule="exact"/>
        <w:ind w:left="0"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我方已详细审查全部招标文件，包括修改文件以及全部参考资料和有关附件。我们完全理解并同意放弃对这方面有不明及误解的权力。</w:t>
      </w:r>
    </w:p>
    <w:p w14:paraId="06E1DA37">
      <w:pPr>
        <w:pStyle w:val="11"/>
        <w:numPr>
          <w:ilvl w:val="0"/>
          <w:numId w:val="11"/>
        </w:numPr>
        <w:tabs>
          <w:tab w:val="left" w:pos="720"/>
          <w:tab w:val="clear" w:pos="420"/>
        </w:tabs>
        <w:spacing w:after="0" w:line="440" w:lineRule="exact"/>
        <w:ind w:hanging="60"/>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投标有效期为提交投标文件的截止之日起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p w14:paraId="2B35858E">
      <w:pPr>
        <w:pStyle w:val="11"/>
        <w:numPr>
          <w:ilvl w:val="0"/>
          <w:numId w:val="11"/>
        </w:numPr>
        <w:tabs>
          <w:tab w:val="left" w:pos="720"/>
          <w:tab w:val="clear" w:pos="420"/>
        </w:tabs>
        <w:spacing w:after="0" w:line="440" w:lineRule="exact"/>
        <w:ind w:left="0" w:firstLine="360"/>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我方在此声明，所递交的投标文件及有关资料内容完整、真实和准确，且不存在第二章“</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须知”第1.</w:t>
      </w: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项规定的任何一种情形。</w:t>
      </w:r>
    </w:p>
    <w:p w14:paraId="2ECF8145">
      <w:pPr>
        <w:pStyle w:val="11"/>
        <w:numPr>
          <w:ilvl w:val="0"/>
          <w:numId w:val="11"/>
        </w:numPr>
        <w:tabs>
          <w:tab w:val="left" w:pos="720"/>
          <w:tab w:val="clear" w:pos="420"/>
        </w:tabs>
        <w:spacing w:after="0" w:line="440" w:lineRule="exact"/>
        <w:ind w:left="0" w:firstLine="360"/>
        <w:rPr>
          <w:rFonts w:hint="eastAsia" w:ascii="宋体" w:hAnsi="宋体" w:eastAsia="宋体" w:cs="宋体"/>
          <w:sz w:val="21"/>
          <w:szCs w:val="21"/>
          <w:highlight w:val="none"/>
        </w:rPr>
      </w:pPr>
      <w:r>
        <w:rPr>
          <w:rFonts w:hint="eastAsia" w:ascii="宋体" w:hAnsi="宋体" w:eastAsia="宋体" w:cs="宋体"/>
          <w:sz w:val="21"/>
          <w:szCs w:val="21"/>
          <w:highlight w:val="none"/>
        </w:rPr>
        <w:t>我方同意提供按照贵方可能要求的与其投标有关的一切数据或资料，完全理解贵方不一定接受最低价的投标或收到的任何投标。</w:t>
      </w:r>
    </w:p>
    <w:p w14:paraId="4D9C0A76">
      <w:pPr>
        <w:pStyle w:val="11"/>
        <w:tabs>
          <w:tab w:val="left" w:pos="720"/>
        </w:tabs>
        <w:spacing w:after="0" w:line="440" w:lineRule="exact"/>
        <w:ind w:left="360"/>
        <w:rPr>
          <w:rFonts w:hint="eastAsia" w:ascii="宋体" w:hAnsi="宋体" w:eastAsia="宋体" w:cs="宋体"/>
          <w:sz w:val="21"/>
          <w:szCs w:val="21"/>
          <w:highlight w:val="none"/>
        </w:rPr>
      </w:pPr>
    </w:p>
    <w:p w14:paraId="7C9D001D">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地址：　　　　　　　                     电话：　　　              </w:t>
      </w:r>
    </w:p>
    <w:p w14:paraId="54904229">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 xml:space="preserve">邮箱：                                   邮政编码：  </w:t>
      </w:r>
    </w:p>
    <w:p w14:paraId="3EC7B039">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9475E83">
      <w:pPr>
        <w:rPr>
          <w:rFonts w:hint="eastAsia" w:ascii="宋体" w:hAnsi="宋体" w:eastAsia="宋体" w:cs="宋体"/>
          <w:szCs w:val="21"/>
          <w:highlight w:val="none"/>
        </w:rPr>
      </w:pPr>
    </w:p>
    <w:p w14:paraId="633C1975">
      <w:pPr>
        <w:ind w:firstLine="2940" w:firstLineChars="1400"/>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（企业电子签章）</w:t>
      </w:r>
    </w:p>
    <w:p w14:paraId="471B64B7">
      <w:pP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51AC58A">
      <w:pPr>
        <w:ind w:firstLine="2940" w:firstLineChars="140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（签字或盖电子签章）</w:t>
      </w:r>
    </w:p>
    <w:p w14:paraId="598037C8">
      <w:pPr>
        <w:rPr>
          <w:rFonts w:hint="eastAsia" w:ascii="宋体" w:hAnsi="宋体" w:eastAsia="宋体" w:cs="宋体"/>
          <w:szCs w:val="21"/>
          <w:highlight w:val="none"/>
        </w:rPr>
      </w:pPr>
    </w:p>
    <w:p w14:paraId="4C0AD621">
      <w:pPr>
        <w:tabs>
          <w:tab w:val="left" w:pos="5380"/>
          <w:tab w:val="left" w:pos="6520"/>
          <w:tab w:val="left" w:pos="7680"/>
        </w:tabs>
        <w:autoSpaceDE w:val="0"/>
        <w:autoSpaceDN w:val="0"/>
        <w:adjustRightInd w:val="0"/>
        <w:ind w:right="-20" w:firstLine="3780" w:firstLineChars="1800"/>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spacing w:val="43"/>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4E7496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66CB890E">
      <w:pPr>
        <w:pStyle w:val="4"/>
        <w:bidi w:val="0"/>
        <w:jc w:val="center"/>
        <w:rPr>
          <w:rFonts w:hint="eastAsia" w:ascii="宋体" w:hAnsi="宋体" w:eastAsia="宋体" w:cs="宋体"/>
          <w:highlight w:val="none"/>
          <w:lang w:val="en-US" w:eastAsia="zh-CN"/>
        </w:rPr>
      </w:pPr>
      <w:bookmarkStart w:id="188" w:name="_Toc25029"/>
      <w:bookmarkStart w:id="189" w:name="_Toc3365"/>
      <w:bookmarkStart w:id="190" w:name="_Toc9673"/>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bookmarkEnd w:id="184"/>
      <w:r>
        <w:rPr>
          <w:rFonts w:hint="eastAsia" w:ascii="宋体" w:hAnsi="宋体" w:eastAsia="宋体" w:cs="宋体"/>
          <w:highlight w:val="none"/>
          <w:lang w:val="en-US" w:eastAsia="zh-CN"/>
        </w:rPr>
        <w:t>投标函附录</w:t>
      </w:r>
      <w:bookmarkEnd w:id="188"/>
      <w:bookmarkEnd w:id="189"/>
      <w:bookmarkEnd w:id="190"/>
    </w:p>
    <w:p w14:paraId="50C10997">
      <w:pPr>
        <w:pStyle w:val="30"/>
        <w:ind w:left="339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 xml:space="preserve">                金额单位：人民币元</w:t>
      </w:r>
    </w:p>
    <w:tbl>
      <w:tblPr>
        <w:tblStyle w:val="20"/>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7133"/>
      </w:tblGrid>
      <w:tr w14:paraId="38F1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14:paraId="24FA07CE">
            <w:pPr>
              <w:pStyle w:val="31"/>
              <w:ind w:firstLine="0"/>
              <w:jc w:val="center"/>
              <w:rPr>
                <w:rFonts w:hint="default" w:ascii="宋体" w:hAnsi="宋体" w:eastAsia="宋体" w:cs="宋体"/>
                <w:b/>
                <w:sz w:val="21"/>
                <w:szCs w:val="21"/>
                <w:highlight w:val="none"/>
                <w:lang w:val="en-US"/>
              </w:rPr>
            </w:pPr>
            <w:r>
              <w:rPr>
                <w:rFonts w:hint="eastAsia" w:ascii="宋体" w:hAnsi="宋体" w:eastAsia="宋体" w:cs="宋体"/>
                <w:b/>
                <w:sz w:val="21"/>
                <w:szCs w:val="21"/>
                <w:highlight w:val="none"/>
                <w:lang w:val="en-US" w:eastAsia="zh-CN"/>
              </w:rPr>
              <w:t>项目名称</w:t>
            </w:r>
          </w:p>
        </w:tc>
        <w:tc>
          <w:tcPr>
            <w:tcW w:w="7133" w:type="dxa"/>
            <w:tcBorders>
              <w:top w:val="double" w:color="auto" w:sz="4" w:space="0"/>
              <w:right w:val="double" w:color="auto" w:sz="4" w:space="0"/>
            </w:tcBorders>
            <w:noWrap w:val="0"/>
            <w:vAlign w:val="center"/>
          </w:tcPr>
          <w:p w14:paraId="60019BAA">
            <w:pPr>
              <w:pStyle w:val="31"/>
              <w:ind w:firstLine="480"/>
              <w:rPr>
                <w:rFonts w:hint="eastAsia" w:ascii="宋体" w:hAnsi="宋体" w:eastAsia="宋体" w:cs="宋体"/>
                <w:sz w:val="21"/>
                <w:szCs w:val="21"/>
                <w:highlight w:val="none"/>
              </w:rPr>
            </w:pPr>
          </w:p>
        </w:tc>
      </w:tr>
      <w:tr w14:paraId="71A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14:paraId="1A1CCB38">
            <w:pPr>
              <w:pStyle w:val="31"/>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标段名称</w:t>
            </w:r>
          </w:p>
        </w:tc>
        <w:tc>
          <w:tcPr>
            <w:tcW w:w="7133" w:type="dxa"/>
            <w:tcBorders>
              <w:top w:val="double" w:color="auto" w:sz="4" w:space="0"/>
              <w:right w:val="double" w:color="auto" w:sz="4" w:space="0"/>
            </w:tcBorders>
            <w:noWrap w:val="0"/>
            <w:vAlign w:val="center"/>
          </w:tcPr>
          <w:p w14:paraId="35657E91">
            <w:pPr>
              <w:pStyle w:val="31"/>
              <w:ind w:firstLine="480"/>
              <w:rPr>
                <w:rFonts w:hint="eastAsia" w:ascii="宋体" w:hAnsi="宋体" w:eastAsia="宋体" w:cs="宋体"/>
                <w:sz w:val="21"/>
                <w:szCs w:val="21"/>
                <w:highlight w:val="none"/>
              </w:rPr>
            </w:pPr>
          </w:p>
        </w:tc>
      </w:tr>
      <w:tr w14:paraId="0818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14:paraId="5BC710A7">
            <w:pPr>
              <w:pStyle w:val="31"/>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供应商名称</w:t>
            </w:r>
          </w:p>
        </w:tc>
        <w:tc>
          <w:tcPr>
            <w:tcW w:w="7133" w:type="dxa"/>
            <w:tcBorders>
              <w:top w:val="double" w:color="auto" w:sz="4" w:space="0"/>
              <w:right w:val="double" w:color="auto" w:sz="4" w:space="0"/>
            </w:tcBorders>
            <w:noWrap w:val="0"/>
            <w:vAlign w:val="center"/>
          </w:tcPr>
          <w:p w14:paraId="3FE8AE6F">
            <w:pPr>
              <w:pStyle w:val="31"/>
              <w:ind w:firstLine="480"/>
              <w:rPr>
                <w:rFonts w:hint="eastAsia" w:ascii="宋体" w:hAnsi="宋体" w:eastAsia="宋体" w:cs="宋体"/>
                <w:sz w:val="21"/>
                <w:szCs w:val="21"/>
                <w:highlight w:val="none"/>
              </w:rPr>
            </w:pPr>
          </w:p>
        </w:tc>
      </w:tr>
      <w:tr w14:paraId="768E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14:paraId="023A6BA4">
            <w:pPr>
              <w:pStyle w:val="31"/>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投标范围</w:t>
            </w:r>
          </w:p>
        </w:tc>
        <w:tc>
          <w:tcPr>
            <w:tcW w:w="7133" w:type="dxa"/>
            <w:tcBorders>
              <w:top w:val="double" w:color="auto" w:sz="4" w:space="0"/>
              <w:right w:val="double" w:color="auto" w:sz="4" w:space="0"/>
            </w:tcBorders>
            <w:noWrap w:val="0"/>
            <w:vAlign w:val="center"/>
          </w:tcPr>
          <w:p w14:paraId="363DEBFC">
            <w:pPr>
              <w:pStyle w:val="31"/>
              <w:ind w:firstLine="480"/>
              <w:rPr>
                <w:rFonts w:hint="eastAsia" w:ascii="宋体" w:hAnsi="宋体" w:eastAsia="宋体" w:cs="宋体"/>
                <w:sz w:val="21"/>
                <w:szCs w:val="21"/>
                <w:highlight w:val="none"/>
              </w:rPr>
            </w:pPr>
          </w:p>
        </w:tc>
      </w:tr>
      <w:tr w14:paraId="0855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14:paraId="437F769C">
            <w:pPr>
              <w:pStyle w:val="31"/>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投标总报价</w:t>
            </w:r>
          </w:p>
        </w:tc>
        <w:tc>
          <w:tcPr>
            <w:tcW w:w="7133" w:type="dxa"/>
            <w:tcBorders>
              <w:top w:val="double" w:color="auto" w:sz="4" w:space="0"/>
              <w:right w:val="double" w:color="auto" w:sz="4" w:space="0"/>
            </w:tcBorders>
            <w:noWrap w:val="0"/>
            <w:vAlign w:val="center"/>
          </w:tcPr>
          <w:p w14:paraId="25D0F2C6">
            <w:pPr>
              <w:pStyle w:val="31"/>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p>
          <w:p w14:paraId="5EAED78D">
            <w:pPr>
              <w:pStyle w:val="31"/>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人民币（小写）：¥</w:t>
            </w:r>
          </w:p>
        </w:tc>
      </w:tr>
      <w:tr w14:paraId="5F40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14:paraId="357A4379">
            <w:pPr>
              <w:pStyle w:val="31"/>
              <w:ind w:firstLine="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服务期限</w:t>
            </w:r>
          </w:p>
        </w:tc>
        <w:tc>
          <w:tcPr>
            <w:tcW w:w="7133" w:type="dxa"/>
            <w:tcBorders>
              <w:right w:val="double" w:color="auto" w:sz="4" w:space="0"/>
            </w:tcBorders>
            <w:noWrap w:val="0"/>
            <w:vAlign w:val="center"/>
          </w:tcPr>
          <w:p w14:paraId="554959B4">
            <w:pPr>
              <w:widowControl/>
              <w:spacing w:line="400" w:lineRule="exact"/>
              <w:jc w:val="center"/>
              <w:rPr>
                <w:rFonts w:hint="eastAsia" w:ascii="宋体" w:hAnsi="宋体" w:eastAsia="宋体" w:cs="宋体"/>
                <w:szCs w:val="21"/>
                <w:highlight w:val="none"/>
              </w:rPr>
            </w:pPr>
          </w:p>
        </w:tc>
      </w:tr>
      <w:tr w14:paraId="6643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14:paraId="26D13BC1">
            <w:pPr>
              <w:pStyle w:val="31"/>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服务地点</w:t>
            </w:r>
            <w:bookmarkStart w:id="243" w:name="_GoBack"/>
            <w:bookmarkEnd w:id="243"/>
          </w:p>
        </w:tc>
        <w:tc>
          <w:tcPr>
            <w:tcW w:w="7133" w:type="dxa"/>
            <w:tcBorders>
              <w:right w:val="double" w:color="auto" w:sz="4" w:space="0"/>
            </w:tcBorders>
            <w:noWrap w:val="0"/>
            <w:vAlign w:val="center"/>
          </w:tcPr>
          <w:p w14:paraId="288A5E7D">
            <w:pPr>
              <w:widowControl/>
              <w:spacing w:line="400" w:lineRule="exact"/>
              <w:jc w:val="center"/>
              <w:rPr>
                <w:rFonts w:hint="eastAsia" w:ascii="宋体" w:hAnsi="宋体" w:eastAsia="宋体" w:cs="宋体"/>
                <w:szCs w:val="21"/>
                <w:highlight w:val="none"/>
              </w:rPr>
            </w:pPr>
          </w:p>
        </w:tc>
      </w:tr>
      <w:tr w14:paraId="6774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826" w:type="dxa"/>
            <w:tcBorders>
              <w:left w:val="double" w:color="auto" w:sz="4" w:space="0"/>
            </w:tcBorders>
            <w:noWrap w:val="0"/>
            <w:vAlign w:val="center"/>
          </w:tcPr>
          <w:p w14:paraId="6AF0DF68">
            <w:pPr>
              <w:pStyle w:val="31"/>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质量要求</w:t>
            </w:r>
          </w:p>
        </w:tc>
        <w:tc>
          <w:tcPr>
            <w:tcW w:w="7133" w:type="dxa"/>
            <w:tcBorders>
              <w:right w:val="double" w:color="auto" w:sz="4" w:space="0"/>
            </w:tcBorders>
            <w:noWrap w:val="0"/>
            <w:vAlign w:val="center"/>
          </w:tcPr>
          <w:p w14:paraId="09CA95E4">
            <w:pPr>
              <w:spacing w:line="400" w:lineRule="exact"/>
              <w:jc w:val="center"/>
              <w:rPr>
                <w:rFonts w:hint="eastAsia" w:ascii="宋体" w:hAnsi="宋体" w:eastAsia="宋体" w:cs="宋体"/>
                <w:color w:val="FF0000"/>
                <w:szCs w:val="21"/>
                <w:highlight w:val="none"/>
              </w:rPr>
            </w:pPr>
          </w:p>
        </w:tc>
      </w:tr>
      <w:tr w14:paraId="344C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26" w:type="dxa"/>
            <w:tcBorders>
              <w:left w:val="double" w:color="auto" w:sz="4" w:space="0"/>
            </w:tcBorders>
            <w:noWrap w:val="0"/>
            <w:vAlign w:val="center"/>
          </w:tcPr>
          <w:p w14:paraId="2A28DECA">
            <w:pPr>
              <w:pStyle w:val="31"/>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133" w:type="dxa"/>
            <w:tcBorders>
              <w:right w:val="double" w:color="auto" w:sz="4" w:space="0"/>
            </w:tcBorders>
            <w:noWrap w:val="0"/>
            <w:vAlign w:val="center"/>
          </w:tcPr>
          <w:p w14:paraId="3D4A4A8A">
            <w:pPr>
              <w:pStyle w:val="31"/>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投标截止期后60日历天</w:t>
            </w:r>
          </w:p>
        </w:tc>
      </w:tr>
      <w:tr w14:paraId="373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826" w:type="dxa"/>
            <w:tcBorders>
              <w:left w:val="double" w:color="auto" w:sz="4" w:space="0"/>
              <w:bottom w:val="double" w:color="auto" w:sz="4" w:space="0"/>
            </w:tcBorders>
            <w:noWrap w:val="0"/>
            <w:vAlign w:val="center"/>
          </w:tcPr>
          <w:p w14:paraId="2CBD71B0">
            <w:pPr>
              <w:pStyle w:val="31"/>
              <w:ind w:left="0" w:leftChars="0"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其他声明</w:t>
            </w:r>
          </w:p>
        </w:tc>
        <w:tc>
          <w:tcPr>
            <w:tcW w:w="7133" w:type="dxa"/>
            <w:tcBorders>
              <w:bottom w:val="double" w:color="auto" w:sz="4" w:space="0"/>
              <w:right w:val="double" w:color="auto" w:sz="4" w:space="0"/>
            </w:tcBorders>
            <w:noWrap w:val="0"/>
            <w:vAlign w:val="center"/>
          </w:tcPr>
          <w:p w14:paraId="475D3809">
            <w:pPr>
              <w:pStyle w:val="31"/>
              <w:ind w:firstLine="480"/>
              <w:rPr>
                <w:rFonts w:hint="eastAsia" w:ascii="宋体" w:hAnsi="宋体" w:eastAsia="宋体" w:cs="宋体"/>
                <w:sz w:val="21"/>
                <w:szCs w:val="21"/>
                <w:highlight w:val="none"/>
              </w:rPr>
            </w:pPr>
          </w:p>
        </w:tc>
      </w:tr>
    </w:tbl>
    <w:p w14:paraId="466F357F">
      <w:pPr>
        <w:pStyle w:val="30"/>
        <w:ind w:firstLine="2003" w:firstLineChars="950"/>
        <w:jc w:val="left"/>
        <w:rPr>
          <w:rFonts w:hint="eastAsia" w:ascii="宋体" w:hAnsi="宋体" w:eastAsia="宋体" w:cs="宋体"/>
          <w:b/>
          <w:szCs w:val="21"/>
          <w:highlight w:val="none"/>
        </w:rPr>
      </w:pPr>
    </w:p>
    <w:p w14:paraId="6BEF4385">
      <w:pPr>
        <w:pStyle w:val="30"/>
        <w:ind w:firstLine="2003" w:firstLineChars="950"/>
        <w:jc w:val="left"/>
        <w:rPr>
          <w:rFonts w:hint="eastAsia" w:ascii="宋体" w:hAnsi="宋体" w:eastAsia="宋体" w:cs="宋体"/>
          <w:b/>
          <w:szCs w:val="21"/>
          <w:highlight w:val="none"/>
        </w:rPr>
      </w:pPr>
    </w:p>
    <w:p w14:paraId="0F0A5669">
      <w:pPr>
        <w:pStyle w:val="30"/>
        <w:ind w:firstLine="2003" w:firstLineChars="950"/>
        <w:jc w:val="left"/>
        <w:rPr>
          <w:rFonts w:hint="eastAsia" w:ascii="宋体" w:hAnsi="宋体" w:eastAsia="宋体" w:cs="宋体"/>
          <w:b/>
          <w:szCs w:val="21"/>
          <w:highlight w:val="none"/>
        </w:rPr>
      </w:pPr>
    </w:p>
    <w:p w14:paraId="197E019E">
      <w:pPr>
        <w:spacing w:line="360" w:lineRule="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（企业电子签章）：</w:t>
      </w:r>
    </w:p>
    <w:p w14:paraId="41AD50F6">
      <w:pPr>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color="FFFFFF"/>
        </w:rPr>
        <w:t>法定代表人或</w:t>
      </w:r>
      <w:r>
        <w:rPr>
          <w:rFonts w:hint="eastAsia" w:ascii="宋体" w:hAnsi="宋体" w:eastAsia="宋体" w:cs="宋体"/>
          <w:szCs w:val="21"/>
          <w:highlight w:val="none"/>
        </w:rPr>
        <w:t>委托代理人</w:t>
      </w:r>
      <w:r>
        <w:rPr>
          <w:rFonts w:hint="eastAsia" w:ascii="宋体" w:hAnsi="宋体" w:eastAsia="宋体" w:cs="宋体"/>
          <w:szCs w:val="21"/>
          <w:highlight w:val="none"/>
          <w:u w:val="single" w:color="FFFFFF"/>
        </w:rPr>
        <w:t>（签字或盖电子签章）</w:t>
      </w:r>
      <w:r>
        <w:rPr>
          <w:rFonts w:hint="eastAsia" w:ascii="宋体" w:hAnsi="宋体" w:eastAsia="宋体" w:cs="宋体"/>
          <w:szCs w:val="21"/>
          <w:highlight w:val="none"/>
        </w:rPr>
        <w:t>：</w:t>
      </w:r>
    </w:p>
    <w:p w14:paraId="6276B445">
      <w:pPr>
        <w:tabs>
          <w:tab w:val="left" w:pos="558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445AA68D">
      <w:pPr>
        <w:rPr>
          <w:rFonts w:hint="eastAsia" w:ascii="宋体" w:hAnsi="宋体" w:eastAsia="宋体" w:cs="宋体"/>
          <w:highlight w:val="none"/>
        </w:rPr>
      </w:pPr>
      <w:r>
        <w:rPr>
          <w:rFonts w:hint="eastAsia" w:ascii="宋体" w:hAnsi="宋体" w:eastAsia="宋体" w:cs="宋体"/>
          <w:highlight w:val="none"/>
        </w:rPr>
        <w:br w:type="page"/>
      </w:r>
    </w:p>
    <w:p w14:paraId="2E21587D">
      <w:pPr>
        <w:pStyle w:val="3"/>
        <w:bidi w:val="0"/>
        <w:jc w:val="center"/>
        <w:rPr>
          <w:rFonts w:hint="eastAsia" w:ascii="宋体" w:hAnsi="宋体" w:eastAsia="宋体" w:cs="宋体"/>
          <w:b/>
          <w:sz w:val="32"/>
          <w:highlight w:val="none"/>
        </w:rPr>
      </w:pPr>
      <w:bookmarkStart w:id="191" w:name="_Toc5372"/>
      <w:bookmarkStart w:id="192" w:name="_Toc29691"/>
      <w:bookmarkStart w:id="193" w:name="_Toc5390"/>
      <w:bookmarkStart w:id="194" w:name="_Toc3324"/>
      <w:bookmarkStart w:id="195" w:name="_Toc2304"/>
      <w:r>
        <w:rPr>
          <w:rFonts w:hint="eastAsia" w:ascii="宋体" w:hAnsi="宋体" w:eastAsia="宋体" w:cs="宋体"/>
          <w:highlight w:val="none"/>
        </w:rPr>
        <w:t>二、法定代表人身份证明</w:t>
      </w:r>
      <w:bookmarkEnd w:id="191"/>
      <w:bookmarkEnd w:id="192"/>
      <w:bookmarkEnd w:id="193"/>
      <w:bookmarkEnd w:id="194"/>
      <w:bookmarkEnd w:id="195"/>
    </w:p>
    <w:p w14:paraId="22AF5924">
      <w:pPr>
        <w:pStyle w:val="9"/>
        <w:tabs>
          <w:tab w:val="left" w:pos="3516"/>
          <w:tab w:val="left" w:pos="4716"/>
          <w:tab w:val="left" w:pos="6276"/>
          <w:tab w:val="left" w:pos="6335"/>
          <w:tab w:val="left" w:pos="6575"/>
        </w:tabs>
        <w:spacing w:before="244" w:line="364" w:lineRule="auto"/>
        <w:ind w:right="3568"/>
        <w:jc w:val="both"/>
        <w:rPr>
          <w:rFonts w:hint="eastAsia" w:ascii="宋体" w:hAnsi="宋体" w:eastAsia="宋体" w:cs="宋体"/>
          <w:sz w:val="21"/>
          <w:szCs w:val="21"/>
          <w:highlight w:val="none"/>
          <w:u w:val="single"/>
          <w:lang w:val="en-US" w:eastAsia="zh-CN"/>
        </w:rPr>
      </w:pPr>
      <w:r>
        <w:rPr>
          <w:rFonts w:hint="eastAsia" w:hAnsi="宋体" w:cs="宋体"/>
          <w:spacing w:val="-1"/>
          <w:sz w:val="21"/>
          <w:szCs w:val="21"/>
          <w:highlight w:val="none"/>
          <w:lang w:eastAsia="zh-CN"/>
        </w:rPr>
        <w:t>供应商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p>
    <w:p w14:paraId="5605D6FF">
      <w:pPr>
        <w:pStyle w:val="9"/>
        <w:tabs>
          <w:tab w:val="left" w:pos="3516"/>
          <w:tab w:val="left" w:pos="4716"/>
          <w:tab w:val="left" w:pos="6276"/>
          <w:tab w:val="left" w:pos="6335"/>
          <w:tab w:val="left" w:pos="6575"/>
        </w:tabs>
        <w:spacing w:before="244" w:line="364" w:lineRule="auto"/>
        <w:ind w:right="3568"/>
        <w:jc w:val="both"/>
        <w:rPr>
          <w:rFonts w:hint="eastAsia" w:ascii="宋体" w:hAnsi="宋体" w:eastAsia="宋体" w:cs="宋体"/>
          <w:sz w:val="21"/>
          <w:szCs w:val="21"/>
          <w:highlight w:val="none"/>
          <w:u w:val="single"/>
          <w:lang w:val="en-US" w:eastAsia="zh-CN"/>
        </w:rPr>
      </w:pPr>
      <w:r>
        <w:rPr>
          <w:rFonts w:hint="eastAsia" w:ascii="宋体" w:hAnsi="宋体" w:eastAsia="宋体" w:cs="宋体"/>
          <w:spacing w:val="-1"/>
          <w:sz w:val="21"/>
          <w:szCs w:val="21"/>
          <w:highlight w:val="none"/>
        </w:rPr>
        <w:t>单</w:t>
      </w:r>
      <w:r>
        <w:rPr>
          <w:rFonts w:hint="eastAsia" w:ascii="宋体" w:hAnsi="宋体" w:eastAsia="宋体" w:cs="宋体"/>
          <w:sz w:val="21"/>
          <w:szCs w:val="21"/>
          <w:highlight w:val="none"/>
        </w:rPr>
        <w:t>位性质：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p>
    <w:p w14:paraId="1B636C7A">
      <w:pPr>
        <w:pStyle w:val="9"/>
        <w:tabs>
          <w:tab w:val="left" w:pos="3516"/>
          <w:tab w:val="left" w:pos="4716"/>
          <w:tab w:val="left" w:pos="6276"/>
          <w:tab w:val="left" w:pos="6335"/>
          <w:tab w:val="left" w:pos="6575"/>
        </w:tabs>
        <w:spacing w:before="244" w:line="364" w:lineRule="auto"/>
        <w:ind w:right="3568"/>
        <w:jc w:val="both"/>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地址：</w:t>
      </w:r>
      <w:r>
        <w:rPr>
          <w:rFonts w:hint="eastAsia" w:ascii="宋体" w:hAnsi="宋体" w:eastAsia="宋体" w:cs="宋体"/>
          <w:sz w:val="21"/>
          <w:szCs w:val="21"/>
          <w:highlight w:val="none"/>
          <w:u w:val="single"/>
          <w:lang w:val="en-US" w:eastAsia="zh-CN"/>
        </w:rPr>
        <w:t xml:space="preserve">                                       </w:t>
      </w:r>
    </w:p>
    <w:p w14:paraId="63A586CE">
      <w:pPr>
        <w:pStyle w:val="9"/>
        <w:tabs>
          <w:tab w:val="left" w:pos="3516"/>
          <w:tab w:val="left" w:pos="4716"/>
          <w:tab w:val="left" w:pos="6276"/>
          <w:tab w:val="left" w:pos="6335"/>
          <w:tab w:val="left" w:pos="6575"/>
        </w:tabs>
        <w:spacing w:before="244" w:line="364" w:lineRule="auto"/>
        <w:ind w:right="356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p>
    <w:p w14:paraId="12191684">
      <w:pPr>
        <w:pStyle w:val="9"/>
        <w:tabs>
          <w:tab w:val="left" w:pos="3516"/>
          <w:tab w:val="left" w:pos="4716"/>
          <w:tab w:val="left" w:pos="6276"/>
          <w:tab w:val="left" w:pos="6335"/>
          <w:tab w:val="left" w:pos="6575"/>
        </w:tabs>
        <w:spacing w:before="244" w:line="364" w:lineRule="auto"/>
        <w:ind w:right="3568"/>
        <w:jc w:val="both"/>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highlight w:val="none"/>
        </w:rPr>
        <w:t>经</w:t>
      </w:r>
      <w:r>
        <w:rPr>
          <w:rFonts w:hint="eastAsia" w:ascii="宋体" w:hAnsi="宋体" w:eastAsia="宋体" w:cs="宋体"/>
          <w:sz w:val="21"/>
          <w:szCs w:val="21"/>
          <w:highlight w:val="none"/>
        </w:rPr>
        <w:t>营期限：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p>
    <w:p w14:paraId="4572717F">
      <w:pPr>
        <w:pStyle w:val="9"/>
        <w:tabs>
          <w:tab w:val="left" w:pos="3156"/>
          <w:tab w:val="left" w:pos="4655"/>
          <w:tab w:val="left" w:pos="6156"/>
          <w:tab w:val="left" w:pos="7775"/>
        </w:tabs>
        <w:spacing w:before="3"/>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1"/>
          <w:sz w:val="21"/>
          <w:szCs w:val="21"/>
          <w:highlight w:val="none"/>
        </w:rPr>
        <w:t>职</w:t>
      </w:r>
      <w:r>
        <w:rPr>
          <w:rFonts w:hint="eastAsia" w:ascii="宋体" w:hAnsi="宋体" w:eastAsia="宋体" w:cs="宋体"/>
          <w:sz w:val="21"/>
          <w:szCs w:val="21"/>
          <w:highlight w:val="none"/>
        </w:rPr>
        <w:t>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p>
    <w:p w14:paraId="53AAAA04">
      <w:pPr>
        <w:pStyle w:val="9"/>
        <w:tabs>
          <w:tab w:val="left" w:pos="5196"/>
        </w:tabs>
        <w:spacing w:before="160" w:line="364" w:lineRule="auto"/>
        <w:ind w:right="1587"/>
        <w:rPr>
          <w:rFonts w:hint="eastAsia" w:ascii="宋体" w:hAnsi="宋体" w:eastAsia="宋体" w:cs="宋体"/>
          <w:spacing w:val="-17"/>
          <w:sz w:val="21"/>
          <w:szCs w:val="21"/>
          <w:highlight w:val="none"/>
        </w:rPr>
      </w:pP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hAnsi="宋体" w:cs="宋体"/>
          <w:sz w:val="21"/>
          <w:szCs w:val="21"/>
          <w:highlight w:val="none"/>
          <w:lang w:eastAsia="zh-CN"/>
        </w:rPr>
        <w:t>供应商</w:t>
      </w:r>
      <w:r>
        <w:rPr>
          <w:rFonts w:hint="eastAsia" w:ascii="宋体" w:hAnsi="宋体" w:eastAsia="宋体" w:cs="宋体"/>
          <w:sz w:val="21"/>
          <w:szCs w:val="21"/>
          <w:highlight w:val="none"/>
        </w:rPr>
        <w:t>名称）的法定代表人</w:t>
      </w:r>
      <w:r>
        <w:rPr>
          <w:rFonts w:hint="eastAsia" w:ascii="宋体" w:hAnsi="宋体" w:eastAsia="宋体" w:cs="宋体"/>
          <w:spacing w:val="-17"/>
          <w:sz w:val="21"/>
          <w:szCs w:val="21"/>
          <w:highlight w:val="none"/>
        </w:rPr>
        <w:t>。</w:t>
      </w:r>
    </w:p>
    <w:p w14:paraId="2E4F6E3A">
      <w:pPr>
        <w:pStyle w:val="9"/>
        <w:tabs>
          <w:tab w:val="left" w:pos="5196"/>
        </w:tabs>
        <w:spacing w:before="160" w:line="364" w:lineRule="auto"/>
        <w:ind w:right="1587"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14:paraId="345E83C1">
      <w:pPr>
        <w:pStyle w:val="9"/>
        <w:rPr>
          <w:rFonts w:hint="eastAsia" w:ascii="宋体" w:hAnsi="宋体" w:eastAsia="宋体" w:cs="宋体"/>
          <w:sz w:val="21"/>
          <w:szCs w:val="21"/>
          <w:highlight w:val="none"/>
        </w:rPr>
      </w:pPr>
    </w:p>
    <w:p w14:paraId="60877B0F">
      <w:pPr>
        <w:pStyle w:val="9"/>
        <w:spacing w:before="162"/>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附：法定代表人身份证正反面扫描件或复印件</w:t>
      </w:r>
    </w:p>
    <w:p w14:paraId="15BD4944">
      <w:pPr>
        <w:pStyle w:val="9"/>
        <w:rPr>
          <w:rFonts w:hint="eastAsia" w:ascii="宋体" w:hAnsi="宋体" w:eastAsia="宋体" w:cs="宋体"/>
          <w:sz w:val="21"/>
          <w:szCs w:val="21"/>
          <w:highlight w:val="none"/>
        </w:rPr>
      </w:pPr>
    </w:p>
    <w:p w14:paraId="6524D367">
      <w:pPr>
        <w:pStyle w:val="9"/>
        <w:spacing w:before="9"/>
        <w:rPr>
          <w:rFonts w:hint="eastAsia" w:ascii="宋体" w:hAnsi="宋体" w:eastAsia="宋体" w:cs="宋体"/>
          <w:sz w:val="21"/>
          <w:szCs w:val="21"/>
          <w:highlight w:val="none"/>
        </w:rPr>
      </w:pPr>
    </w:p>
    <w:p w14:paraId="248D09C7">
      <w:pPr>
        <w:pStyle w:val="6"/>
        <w:rPr>
          <w:rFonts w:hint="eastAsia" w:ascii="宋体" w:hAnsi="宋体" w:eastAsia="宋体" w:cs="宋体"/>
          <w:sz w:val="21"/>
          <w:szCs w:val="21"/>
          <w:highlight w:val="none"/>
        </w:rPr>
      </w:pPr>
    </w:p>
    <w:p w14:paraId="0E49E7B7">
      <w:pPr>
        <w:rPr>
          <w:rFonts w:hint="eastAsia" w:ascii="宋体" w:hAnsi="宋体" w:eastAsia="宋体" w:cs="宋体"/>
          <w:sz w:val="21"/>
          <w:szCs w:val="21"/>
          <w:highlight w:val="none"/>
        </w:rPr>
      </w:pPr>
    </w:p>
    <w:p w14:paraId="67E3FF1D">
      <w:pPr>
        <w:pStyle w:val="6"/>
        <w:rPr>
          <w:rFonts w:hint="eastAsia" w:ascii="宋体" w:hAnsi="宋体" w:eastAsia="宋体" w:cs="宋体"/>
          <w:sz w:val="21"/>
          <w:szCs w:val="21"/>
          <w:highlight w:val="none"/>
        </w:rPr>
      </w:pPr>
    </w:p>
    <w:p w14:paraId="775504EF">
      <w:pPr>
        <w:rPr>
          <w:rFonts w:hint="eastAsia" w:ascii="宋体" w:hAnsi="宋体" w:eastAsia="宋体" w:cs="宋体"/>
          <w:sz w:val="21"/>
          <w:szCs w:val="21"/>
          <w:highlight w:val="none"/>
        </w:rPr>
      </w:pPr>
    </w:p>
    <w:p w14:paraId="611A8371">
      <w:pPr>
        <w:pageBreakBefore w:val="0"/>
        <w:kinsoku/>
        <w:overflowPunct/>
        <w:autoSpaceDE w:val="0"/>
        <w:autoSpaceDN w:val="0"/>
        <w:bidi w:val="0"/>
        <w:adjustRightIn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val="en-US" w:eastAsia="zh-CN"/>
        </w:rPr>
        <w:t xml:space="preserve">                                        </w:t>
      </w:r>
      <w:r>
        <w:rPr>
          <w:rFonts w:hint="eastAsia" w:ascii="宋体" w:hAnsi="宋体" w:cs="宋体"/>
          <w:kern w:val="0"/>
          <w:sz w:val="21"/>
          <w:szCs w:val="21"/>
          <w:highlight w:val="none"/>
          <w:lang w:eastAsia="zh-CN"/>
        </w:rPr>
        <w:t>供应商</w:t>
      </w:r>
      <w:r>
        <w:rPr>
          <w:rFonts w:hint="eastAsia" w:ascii="宋体" w:hAnsi="宋体" w:cs="宋体"/>
          <w:kern w:val="0"/>
          <w:sz w:val="21"/>
          <w:szCs w:val="21"/>
          <w:highlight w:val="none"/>
          <w:lang w:val="en-US" w:eastAsia="zh-CN"/>
        </w:rPr>
        <w:t>名称</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企业</w:t>
      </w:r>
      <w:r>
        <w:rPr>
          <w:rFonts w:hint="eastAsia" w:ascii="宋体" w:hAnsi="宋体" w:eastAsia="宋体" w:cs="宋体"/>
          <w:sz w:val="21"/>
          <w:szCs w:val="21"/>
          <w:highlight w:val="none"/>
        </w:rPr>
        <w:t>电子签章</w:t>
      </w:r>
      <w:r>
        <w:rPr>
          <w:rFonts w:hint="eastAsia" w:ascii="宋体" w:hAnsi="宋体" w:eastAsia="宋体" w:cs="宋体"/>
          <w:kern w:val="0"/>
          <w:sz w:val="21"/>
          <w:szCs w:val="21"/>
          <w:highlight w:val="none"/>
        </w:rPr>
        <w:t>）</w:t>
      </w:r>
    </w:p>
    <w:p w14:paraId="6ADCD5C0">
      <w:pPr>
        <w:pStyle w:val="26"/>
        <w:ind w:firstLine="6090" w:firstLineChars="29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798D4E2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1C02903F">
      <w:pPr>
        <w:pStyle w:val="3"/>
        <w:bidi w:val="0"/>
        <w:jc w:val="center"/>
        <w:rPr>
          <w:rFonts w:hint="eastAsia" w:ascii="宋体" w:hAnsi="宋体" w:eastAsia="宋体" w:cs="宋体"/>
          <w:highlight w:val="none"/>
        </w:rPr>
      </w:pPr>
      <w:bookmarkStart w:id="196" w:name="_Toc31567"/>
      <w:bookmarkStart w:id="197" w:name="_Toc10944"/>
      <w:bookmarkStart w:id="198" w:name="_Toc19164"/>
      <w:bookmarkStart w:id="199" w:name="_Toc23945"/>
      <w:bookmarkStart w:id="200" w:name="_Toc24415"/>
      <w:r>
        <w:rPr>
          <w:rFonts w:hint="eastAsia" w:ascii="宋体" w:hAnsi="宋体" w:eastAsia="宋体" w:cs="宋体"/>
          <w:highlight w:val="none"/>
          <w:lang w:val="en-US" w:eastAsia="zh-CN"/>
        </w:rPr>
        <w:t>三、</w:t>
      </w:r>
      <w:r>
        <w:rPr>
          <w:rFonts w:hint="eastAsia" w:ascii="宋体" w:hAnsi="宋体" w:eastAsia="宋体" w:cs="宋体"/>
          <w:highlight w:val="none"/>
        </w:rPr>
        <w:t>授权委托书</w:t>
      </w:r>
      <w:bookmarkEnd w:id="196"/>
      <w:bookmarkEnd w:id="197"/>
      <w:bookmarkEnd w:id="198"/>
      <w:bookmarkEnd w:id="199"/>
      <w:bookmarkEnd w:id="200"/>
    </w:p>
    <w:p w14:paraId="599AA535">
      <w:pPr>
        <w:pageBreakBefore w:val="0"/>
        <w:tabs>
          <w:tab w:val="left" w:pos="3000"/>
          <w:tab w:val="left" w:pos="3580"/>
          <w:tab w:val="left" w:pos="5775"/>
          <w:tab w:val="left" w:pos="8355"/>
        </w:tabs>
        <w:kinsoku/>
        <w:overflowPunct/>
        <w:autoSpaceDE w:val="0"/>
        <w:autoSpaceDN w:val="0"/>
        <w:bidi w:val="0"/>
        <w:adjustRightInd w:val="0"/>
        <w:spacing w:line="360" w:lineRule="auto"/>
        <w:ind w:left="120" w:right="84"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r>
        <w:rPr>
          <w:rFonts w:hint="eastAsia" w:ascii="宋体" w:hAnsi="宋体" w:eastAsia="宋体" w:cs="宋体"/>
          <w:kern w:val="0"/>
          <w:sz w:val="21"/>
          <w:szCs w:val="21"/>
          <w:highlight w:val="none"/>
        </w:rPr>
        <w:t>（姓名）系</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名称）的法定代表人，现委托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r>
        <w:rPr>
          <w:rFonts w:hint="eastAsia" w:ascii="宋体" w:hAnsi="宋体" w:eastAsia="宋体" w:cs="宋体"/>
          <w:kern w:val="0"/>
          <w:sz w:val="21"/>
          <w:szCs w:val="21"/>
          <w:highlight w:val="none"/>
        </w:rPr>
        <w:t>（姓名）为我方代理人。代理人根据授权，以我方名义签署、澄清、说明、补正、递交、撤回、 修改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none"/>
        </w:rPr>
        <w:t>（项目名称）</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none"/>
          <w:lang w:val="en-US" w:eastAsia="zh-CN"/>
        </w:rPr>
        <w:t>标段</w:t>
      </w:r>
      <w:r>
        <w:rPr>
          <w:rFonts w:hint="eastAsia" w:ascii="宋体" w:hAnsi="宋体" w:eastAsia="宋体" w:cs="宋体"/>
          <w:kern w:val="0"/>
          <w:sz w:val="21"/>
          <w:szCs w:val="21"/>
          <w:highlight w:val="none"/>
        </w:rPr>
        <w:t>投标文件、签订合同和处理有关事宜，其法律后果由我方承担。</w:t>
      </w:r>
    </w:p>
    <w:p w14:paraId="7A105D2A">
      <w:pPr>
        <w:pageBreakBefore w:val="0"/>
        <w:tabs>
          <w:tab w:val="left" w:pos="8931"/>
        </w:tabs>
        <w:kinsoku/>
        <w:overflowPunct/>
        <w:autoSpaceDE w:val="0"/>
        <w:autoSpaceDN w:val="0"/>
        <w:bidi w:val="0"/>
        <w:adjustRightInd w:val="0"/>
        <w:spacing w:line="360" w:lineRule="auto"/>
        <w:ind w:left="540" w:right="5352" w:firstLine="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委托期限：</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14:paraId="555B23B0">
      <w:pPr>
        <w:pageBreakBefore w:val="0"/>
        <w:tabs>
          <w:tab w:val="left" w:pos="2940"/>
        </w:tabs>
        <w:kinsoku/>
        <w:overflowPunct/>
        <w:autoSpaceDE w:val="0"/>
        <w:autoSpaceDN w:val="0"/>
        <w:bidi w:val="0"/>
        <w:adjustRightInd w:val="0"/>
        <w:spacing w:line="360" w:lineRule="auto"/>
        <w:ind w:left="540" w:right="5352" w:firstLine="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代理人无转委托权。 </w:t>
      </w:r>
    </w:p>
    <w:p w14:paraId="7681074C">
      <w:pPr>
        <w:pageBreakBefore w:val="0"/>
        <w:tabs>
          <w:tab w:val="left" w:pos="2940"/>
        </w:tabs>
        <w:kinsoku/>
        <w:overflowPunct/>
        <w:autoSpaceDE w:val="0"/>
        <w:autoSpaceDN w:val="0"/>
        <w:bidi w:val="0"/>
        <w:adjustRightInd w:val="0"/>
        <w:spacing w:line="360" w:lineRule="auto"/>
        <w:ind w:right="5352"/>
        <w:jc w:val="left"/>
        <w:rPr>
          <w:rFonts w:hint="eastAsia" w:ascii="宋体" w:hAnsi="宋体" w:eastAsia="宋体" w:cs="宋体"/>
          <w:kern w:val="0"/>
          <w:sz w:val="21"/>
          <w:szCs w:val="21"/>
          <w:highlight w:val="none"/>
        </w:rPr>
      </w:pPr>
    </w:p>
    <w:p w14:paraId="02FE4534">
      <w:pPr>
        <w:pageBreakBefore w:val="0"/>
        <w:tabs>
          <w:tab w:val="left" w:pos="8364"/>
        </w:tabs>
        <w:kinsoku/>
        <w:overflowPunct/>
        <w:autoSpaceDE w:val="0"/>
        <w:autoSpaceDN w:val="0"/>
        <w:bidi w:val="0"/>
        <w:adjustRightInd w:val="0"/>
        <w:spacing w:line="360" w:lineRule="auto"/>
        <w:ind w:right="78" w:firstLine="422" w:firstLineChars="200"/>
        <w:jc w:val="left"/>
        <w:rPr>
          <w:rFonts w:hint="eastAsia" w:ascii="宋体" w:hAnsi="宋体" w:eastAsia="宋体" w:cs="宋体"/>
          <w:b/>
          <w:bCs/>
          <w:spacing w:val="-11"/>
          <w:kern w:val="0"/>
          <w:sz w:val="21"/>
          <w:szCs w:val="21"/>
          <w:highlight w:val="none"/>
        </w:rPr>
      </w:pPr>
      <w:r>
        <w:rPr>
          <w:rFonts w:hint="eastAsia" w:ascii="宋体" w:hAnsi="宋体" w:eastAsia="宋体" w:cs="宋体"/>
          <w:b/>
          <w:bCs/>
          <w:kern w:val="0"/>
          <w:sz w:val="21"/>
          <w:szCs w:val="21"/>
          <w:highlight w:val="none"/>
        </w:rPr>
        <w:t>注：需附委托代理人身份证、劳动合同及社保证明扫描件或复印件。</w:t>
      </w:r>
    </w:p>
    <w:p w14:paraId="6CED04A4">
      <w:pPr>
        <w:pageBreakBefore w:val="0"/>
        <w:kinsoku/>
        <w:overflowPunct/>
        <w:autoSpaceDE w:val="0"/>
        <w:autoSpaceDN w:val="0"/>
        <w:bidi w:val="0"/>
        <w:adjustRightInd w:val="0"/>
        <w:spacing w:before="6"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14:paraId="05D0B844">
      <w:pPr>
        <w:pageBreakBefore w:val="0"/>
        <w:tabs>
          <w:tab w:val="left" w:pos="4560"/>
          <w:tab w:val="left" w:pos="4620"/>
        </w:tabs>
        <w:kinsoku/>
        <w:overflowPunct/>
        <w:autoSpaceDE w:val="0"/>
        <w:autoSpaceDN w:val="0"/>
        <w:bidi w:val="0"/>
        <w:adjustRightInd w:val="0"/>
        <w:spacing w:line="360" w:lineRule="auto"/>
        <w:ind w:left="120" w:leftChars="57" w:right="2931" w:firstLine="315" w:firstLineChars="150"/>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供  应  商</w:t>
      </w: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企业</w:t>
      </w:r>
      <w:r>
        <w:rPr>
          <w:rFonts w:hint="eastAsia" w:ascii="宋体" w:hAnsi="宋体" w:eastAsia="宋体" w:cs="宋体"/>
          <w:sz w:val="21"/>
          <w:szCs w:val="21"/>
          <w:highlight w:val="none"/>
        </w:rPr>
        <w:t>电子签章</w:t>
      </w:r>
      <w:r>
        <w:rPr>
          <w:rFonts w:hint="eastAsia" w:ascii="宋体" w:hAnsi="宋体" w:eastAsia="宋体" w:cs="宋体"/>
          <w:kern w:val="0"/>
          <w:sz w:val="21"/>
          <w:szCs w:val="21"/>
          <w:highlight w:val="none"/>
        </w:rPr>
        <w:t>）</w:t>
      </w:r>
    </w:p>
    <w:p w14:paraId="626ADA65">
      <w:pPr>
        <w:pageBreakBefore w:val="0"/>
        <w:tabs>
          <w:tab w:val="left" w:pos="4440"/>
          <w:tab w:val="left" w:pos="4620"/>
        </w:tabs>
        <w:kinsoku/>
        <w:overflowPunct/>
        <w:autoSpaceDE w:val="0"/>
        <w:autoSpaceDN w:val="0"/>
        <w:bidi w:val="0"/>
        <w:adjustRightInd w:val="0"/>
        <w:spacing w:line="360" w:lineRule="auto"/>
        <w:ind w:left="120" w:leftChars="57" w:right="2931" w:firstLine="315" w:firstLineChars="15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企业</w:t>
      </w:r>
      <w:r>
        <w:rPr>
          <w:rFonts w:hint="eastAsia" w:ascii="宋体" w:hAnsi="宋体" w:eastAsia="宋体" w:cs="宋体"/>
          <w:sz w:val="21"/>
          <w:szCs w:val="21"/>
          <w:highlight w:val="none"/>
        </w:rPr>
        <w:t>电子签章</w:t>
      </w:r>
      <w:r>
        <w:rPr>
          <w:rFonts w:hint="eastAsia" w:ascii="宋体" w:hAnsi="宋体" w:eastAsia="宋体" w:cs="宋体"/>
          <w:kern w:val="0"/>
          <w:sz w:val="21"/>
          <w:szCs w:val="21"/>
          <w:highlight w:val="none"/>
        </w:rPr>
        <w:t>）</w:t>
      </w:r>
    </w:p>
    <w:p w14:paraId="78DA5067">
      <w:pPr>
        <w:pageBreakBefore w:val="0"/>
        <w:tabs>
          <w:tab w:val="left" w:pos="5340"/>
          <w:tab w:val="left" w:pos="5400"/>
        </w:tabs>
        <w:kinsoku/>
        <w:overflowPunct/>
        <w:autoSpaceDE w:val="0"/>
        <w:autoSpaceDN w:val="0"/>
        <w:bidi w:val="0"/>
        <w:adjustRightInd w:val="0"/>
        <w:spacing w:line="360" w:lineRule="auto"/>
        <w:ind w:left="120" w:leftChars="57" w:right="2931" w:firstLine="315" w:firstLineChars="150"/>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身份证号码：</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p>
    <w:p w14:paraId="27AE6E6F">
      <w:pPr>
        <w:pageBreakBefore w:val="0"/>
        <w:tabs>
          <w:tab w:val="left" w:pos="4440"/>
          <w:tab w:val="left" w:pos="4620"/>
          <w:tab w:val="left" w:pos="6300"/>
          <w:tab w:val="left" w:pos="6520"/>
        </w:tabs>
        <w:kinsoku/>
        <w:overflowPunct/>
        <w:autoSpaceDE w:val="0"/>
        <w:autoSpaceDN w:val="0"/>
        <w:bidi w:val="0"/>
        <w:adjustRightInd w:val="0"/>
        <w:spacing w:line="360" w:lineRule="auto"/>
        <w:ind w:left="120" w:leftChars="57" w:right="1780" w:rightChars="0" w:firstLine="315" w:firstLineChars="15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委托代理人：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r>
        <w:rPr>
          <w:rFonts w:hint="eastAsia" w:ascii="宋体" w:hAnsi="宋体" w:eastAsia="宋体" w:cs="宋体"/>
          <w:kern w:val="0"/>
          <w:sz w:val="21"/>
          <w:szCs w:val="21"/>
          <w:highlight w:val="none"/>
        </w:rPr>
        <w:t xml:space="preserve">（签字或盖电子签章） </w:t>
      </w:r>
    </w:p>
    <w:p w14:paraId="7D683586">
      <w:pPr>
        <w:pageBreakBefore w:val="0"/>
        <w:tabs>
          <w:tab w:val="left" w:pos="5280"/>
          <w:tab w:val="left" w:pos="5340"/>
        </w:tabs>
        <w:kinsoku/>
        <w:overflowPunct/>
        <w:autoSpaceDE w:val="0"/>
        <w:autoSpaceDN w:val="0"/>
        <w:bidi w:val="0"/>
        <w:adjustRightInd w:val="0"/>
        <w:spacing w:line="360" w:lineRule="auto"/>
        <w:ind w:left="120" w:leftChars="57" w:right="2931" w:firstLine="315" w:firstLineChars="15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身份证号码：</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rPr>
        <w:tab/>
      </w:r>
    </w:p>
    <w:p w14:paraId="72FF0202">
      <w:pPr>
        <w:pageBreakBefore w:val="0"/>
        <w:kinsoku/>
        <w:overflowPunct/>
        <w:autoSpaceDE w:val="0"/>
        <w:autoSpaceDN w:val="0"/>
        <w:bidi w:val="0"/>
        <w:adjustRightInd w:val="0"/>
        <w:spacing w:before="14" w:line="360" w:lineRule="auto"/>
        <w:jc w:val="right"/>
        <w:rPr>
          <w:rFonts w:hint="eastAsia" w:ascii="宋体" w:hAnsi="宋体" w:eastAsia="宋体" w:cs="宋体"/>
          <w:kern w:val="0"/>
          <w:sz w:val="21"/>
          <w:szCs w:val="21"/>
          <w:highlight w:val="none"/>
        </w:rPr>
      </w:pPr>
    </w:p>
    <w:p w14:paraId="5A515FC0">
      <w:pPr>
        <w:pageBreakBefore w:val="0"/>
        <w:kinsoku/>
        <w:wordWrap w:val="0"/>
        <w:overflowPunct/>
        <w:bidi w:val="0"/>
        <w:spacing w:line="360" w:lineRule="auto"/>
        <w:ind w:firstLine="630" w:firstLineChars="3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058DDA0E">
      <w:pPr>
        <w:pStyle w:val="31"/>
        <w:pageBreakBefore w:val="0"/>
        <w:kinsoku/>
        <w:overflowPunct/>
        <w:bidi w:val="0"/>
        <w:spacing w:line="360" w:lineRule="auto"/>
        <w:ind w:firstLine="5250" w:firstLineChars="2500"/>
        <w:jc w:val="center"/>
        <w:rPr>
          <w:rFonts w:hint="eastAsia" w:ascii="宋体" w:hAnsi="宋体" w:eastAsia="宋体" w:cs="宋体"/>
          <w:sz w:val="21"/>
          <w:szCs w:val="21"/>
          <w:highlight w:val="none"/>
        </w:rPr>
      </w:pPr>
    </w:p>
    <w:p w14:paraId="66933449">
      <w:pPr>
        <w:pStyle w:val="5"/>
        <w:pageBreakBefore w:val="0"/>
        <w:kinsoku/>
        <w:overflowPunct/>
        <w:bidi w:val="0"/>
        <w:spacing w:line="360" w:lineRule="auto"/>
        <w:jc w:val="center"/>
        <w:rPr>
          <w:rFonts w:hint="eastAsia" w:ascii="宋体" w:hAnsi="宋体" w:eastAsia="宋体" w:cs="宋体"/>
          <w:sz w:val="21"/>
          <w:szCs w:val="21"/>
          <w:highlight w:val="none"/>
        </w:rPr>
        <w:sectPr>
          <w:headerReference r:id="rId9" w:type="default"/>
          <w:footerReference r:id="rId10" w:type="default"/>
          <w:pgSz w:w="11906" w:h="16838"/>
          <w:pgMar w:top="1440" w:right="1803" w:bottom="1440" w:left="1803" w:header="850" w:footer="850" w:gutter="0"/>
          <w:pgNumType w:fmt="decimal"/>
          <w:cols w:space="0" w:num="1"/>
          <w:titlePg/>
          <w:rtlGutter w:val="0"/>
          <w:docGrid w:type="lines" w:linePitch="319" w:charSpace="0"/>
        </w:sectPr>
      </w:pPr>
    </w:p>
    <w:p w14:paraId="601B68A4">
      <w:pPr>
        <w:pStyle w:val="3"/>
        <w:keepNext/>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highlight w:val="none"/>
          <w:lang w:val="en-US" w:eastAsia="zh-CN"/>
        </w:rPr>
      </w:pPr>
      <w:bookmarkStart w:id="201" w:name="_Toc22339"/>
      <w:bookmarkStart w:id="202" w:name="_Toc459"/>
      <w:r>
        <w:rPr>
          <w:rFonts w:hint="eastAsia" w:ascii="宋体" w:hAnsi="宋体" w:eastAsia="宋体" w:cs="宋体"/>
          <w:highlight w:val="none"/>
          <w:lang w:val="en-US" w:eastAsia="zh-CN"/>
        </w:rPr>
        <w:t>四、资格审查资料</w:t>
      </w:r>
      <w:bookmarkEnd w:id="201"/>
      <w:bookmarkEnd w:id="202"/>
    </w:p>
    <w:p w14:paraId="37D80536">
      <w:pPr>
        <w:pStyle w:val="4"/>
        <w:keepNext/>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highlight w:val="none"/>
        </w:rPr>
      </w:pPr>
      <w:bookmarkStart w:id="203" w:name="_Toc15847"/>
      <w:bookmarkStart w:id="204" w:name="_Toc4666"/>
      <w:bookmarkStart w:id="205" w:name="_Toc10133"/>
      <w:bookmarkStart w:id="206" w:name="_Toc19602"/>
      <w:bookmarkStart w:id="207" w:name="_Toc24598"/>
      <w:bookmarkStart w:id="208" w:name="_Toc9821"/>
      <w:bookmarkStart w:id="209" w:name="_Toc19764"/>
      <w:bookmarkStart w:id="210" w:name="_Toc12832"/>
      <w:bookmarkStart w:id="211" w:name="_Toc25486"/>
      <w:bookmarkStart w:id="212" w:name="_Toc5221"/>
      <w:bookmarkStart w:id="213" w:name="_Toc3954"/>
      <w:bookmarkStart w:id="214" w:name="_Toc19845"/>
      <w:bookmarkStart w:id="215" w:name="_Toc8915"/>
      <w:bookmarkStart w:id="216" w:name="_Toc5013"/>
      <w:r>
        <w:rPr>
          <w:rFonts w:hint="eastAsia" w:ascii="宋体" w:hAnsi="宋体" w:eastAsia="宋体" w:cs="宋体"/>
          <w:highlight w:val="none"/>
        </w:rPr>
        <w:t>（一）</w:t>
      </w:r>
      <w:r>
        <w:rPr>
          <w:rFonts w:hint="eastAsia" w:ascii="宋体" w:hAnsi="宋体" w:cs="宋体"/>
          <w:highlight w:val="none"/>
          <w:lang w:eastAsia="zh-CN"/>
        </w:rPr>
        <w:t>供应商</w:t>
      </w:r>
      <w:r>
        <w:rPr>
          <w:rFonts w:hint="eastAsia" w:ascii="宋体" w:hAnsi="宋体" w:eastAsia="宋体" w:cs="宋体"/>
          <w:highlight w:val="none"/>
        </w:rPr>
        <w:t>基本情况表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920"/>
        <w:gridCol w:w="1048"/>
        <w:gridCol w:w="1019"/>
        <w:gridCol w:w="291"/>
        <w:gridCol w:w="202"/>
        <w:gridCol w:w="1279"/>
        <w:gridCol w:w="266"/>
        <w:gridCol w:w="727"/>
        <w:gridCol w:w="1458"/>
      </w:tblGrid>
      <w:tr w14:paraId="27C8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0B083B72">
            <w:pPr>
              <w:jc w:val="center"/>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p>
        </w:tc>
        <w:tc>
          <w:tcPr>
            <w:tcW w:w="7210" w:type="dxa"/>
            <w:gridSpan w:val="9"/>
            <w:noWrap w:val="0"/>
            <w:vAlign w:val="center"/>
          </w:tcPr>
          <w:p w14:paraId="5DF719E7">
            <w:pPr>
              <w:jc w:val="center"/>
              <w:rPr>
                <w:rFonts w:hint="eastAsia" w:ascii="宋体" w:hAnsi="宋体" w:eastAsia="宋体" w:cs="宋体"/>
                <w:szCs w:val="21"/>
                <w:highlight w:val="none"/>
              </w:rPr>
            </w:pPr>
          </w:p>
        </w:tc>
      </w:tr>
      <w:tr w14:paraId="2D3B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6CD7A46A">
            <w:pPr>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80" w:type="dxa"/>
            <w:gridSpan w:val="5"/>
            <w:noWrap w:val="0"/>
            <w:vAlign w:val="center"/>
          </w:tcPr>
          <w:p w14:paraId="6E0F3576">
            <w:pPr>
              <w:jc w:val="center"/>
              <w:rPr>
                <w:rFonts w:hint="eastAsia" w:ascii="宋体" w:hAnsi="宋体" w:eastAsia="宋体" w:cs="宋体"/>
                <w:szCs w:val="21"/>
                <w:highlight w:val="none"/>
              </w:rPr>
            </w:pPr>
          </w:p>
        </w:tc>
        <w:tc>
          <w:tcPr>
            <w:tcW w:w="1279" w:type="dxa"/>
            <w:noWrap w:val="0"/>
            <w:vAlign w:val="center"/>
          </w:tcPr>
          <w:p w14:paraId="44E145AF">
            <w:pPr>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451" w:type="dxa"/>
            <w:gridSpan w:val="3"/>
            <w:noWrap w:val="0"/>
            <w:vAlign w:val="center"/>
          </w:tcPr>
          <w:p w14:paraId="6483AE2C">
            <w:pPr>
              <w:jc w:val="center"/>
              <w:rPr>
                <w:rFonts w:hint="eastAsia" w:ascii="宋体" w:hAnsi="宋体" w:eastAsia="宋体" w:cs="宋体"/>
                <w:szCs w:val="21"/>
                <w:highlight w:val="none"/>
              </w:rPr>
            </w:pPr>
          </w:p>
        </w:tc>
      </w:tr>
      <w:tr w14:paraId="03A2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vMerge w:val="restart"/>
            <w:noWrap w:val="0"/>
            <w:vAlign w:val="center"/>
          </w:tcPr>
          <w:p w14:paraId="6CC6DBBE">
            <w:pPr>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920" w:type="dxa"/>
            <w:noWrap w:val="0"/>
            <w:vAlign w:val="center"/>
          </w:tcPr>
          <w:p w14:paraId="5563F11B">
            <w:pPr>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560" w:type="dxa"/>
            <w:gridSpan w:val="4"/>
            <w:noWrap w:val="0"/>
            <w:vAlign w:val="center"/>
          </w:tcPr>
          <w:p w14:paraId="57B34B7A">
            <w:pPr>
              <w:jc w:val="center"/>
              <w:rPr>
                <w:rFonts w:hint="eastAsia" w:ascii="宋体" w:hAnsi="宋体" w:eastAsia="宋体" w:cs="宋体"/>
                <w:szCs w:val="21"/>
                <w:highlight w:val="none"/>
              </w:rPr>
            </w:pPr>
          </w:p>
        </w:tc>
        <w:tc>
          <w:tcPr>
            <w:tcW w:w="1279" w:type="dxa"/>
            <w:noWrap w:val="0"/>
            <w:vAlign w:val="center"/>
          </w:tcPr>
          <w:p w14:paraId="7E15244C">
            <w:pPr>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451" w:type="dxa"/>
            <w:gridSpan w:val="3"/>
            <w:noWrap w:val="0"/>
            <w:vAlign w:val="center"/>
          </w:tcPr>
          <w:p w14:paraId="19A9463F">
            <w:pPr>
              <w:jc w:val="center"/>
              <w:rPr>
                <w:rFonts w:hint="eastAsia" w:ascii="宋体" w:hAnsi="宋体" w:eastAsia="宋体" w:cs="宋体"/>
                <w:szCs w:val="21"/>
                <w:highlight w:val="none"/>
              </w:rPr>
            </w:pPr>
          </w:p>
        </w:tc>
      </w:tr>
      <w:tr w14:paraId="4A33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vMerge w:val="continue"/>
            <w:noWrap w:val="0"/>
            <w:vAlign w:val="center"/>
          </w:tcPr>
          <w:p w14:paraId="52B9459B">
            <w:pPr>
              <w:jc w:val="center"/>
              <w:rPr>
                <w:rFonts w:hint="eastAsia" w:ascii="宋体" w:hAnsi="宋体" w:eastAsia="宋体" w:cs="宋体"/>
                <w:szCs w:val="21"/>
                <w:highlight w:val="none"/>
              </w:rPr>
            </w:pPr>
          </w:p>
        </w:tc>
        <w:tc>
          <w:tcPr>
            <w:tcW w:w="920" w:type="dxa"/>
            <w:noWrap w:val="0"/>
            <w:vAlign w:val="center"/>
          </w:tcPr>
          <w:p w14:paraId="56589B43">
            <w:pPr>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560" w:type="dxa"/>
            <w:gridSpan w:val="4"/>
            <w:noWrap w:val="0"/>
            <w:vAlign w:val="center"/>
          </w:tcPr>
          <w:p w14:paraId="36FCE123">
            <w:pPr>
              <w:jc w:val="center"/>
              <w:rPr>
                <w:rFonts w:hint="eastAsia" w:ascii="宋体" w:hAnsi="宋体" w:eastAsia="宋体" w:cs="宋体"/>
                <w:szCs w:val="21"/>
                <w:highlight w:val="none"/>
              </w:rPr>
            </w:pPr>
          </w:p>
        </w:tc>
        <w:tc>
          <w:tcPr>
            <w:tcW w:w="1279" w:type="dxa"/>
            <w:noWrap w:val="0"/>
            <w:vAlign w:val="center"/>
          </w:tcPr>
          <w:p w14:paraId="0ED0CC7E">
            <w:pPr>
              <w:jc w:val="center"/>
              <w:rPr>
                <w:rFonts w:hint="eastAsia" w:ascii="宋体" w:hAnsi="宋体" w:eastAsia="宋体" w:cs="宋体"/>
                <w:szCs w:val="21"/>
                <w:highlight w:val="none"/>
              </w:rPr>
            </w:pPr>
            <w:r>
              <w:rPr>
                <w:rFonts w:hint="eastAsia" w:ascii="宋体" w:hAnsi="宋体" w:eastAsia="宋体" w:cs="宋体"/>
                <w:szCs w:val="21"/>
                <w:highlight w:val="none"/>
              </w:rPr>
              <w:t>网  址</w:t>
            </w:r>
          </w:p>
        </w:tc>
        <w:tc>
          <w:tcPr>
            <w:tcW w:w="2451" w:type="dxa"/>
            <w:gridSpan w:val="3"/>
            <w:noWrap w:val="0"/>
            <w:vAlign w:val="center"/>
          </w:tcPr>
          <w:p w14:paraId="3C5031AA">
            <w:pPr>
              <w:jc w:val="center"/>
              <w:rPr>
                <w:rFonts w:hint="eastAsia" w:ascii="宋体" w:hAnsi="宋体" w:eastAsia="宋体" w:cs="宋体"/>
                <w:szCs w:val="21"/>
                <w:highlight w:val="none"/>
              </w:rPr>
            </w:pPr>
          </w:p>
        </w:tc>
      </w:tr>
      <w:tr w14:paraId="5AC2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752EBCBD">
            <w:pPr>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7210" w:type="dxa"/>
            <w:gridSpan w:val="9"/>
            <w:noWrap w:val="0"/>
            <w:vAlign w:val="center"/>
          </w:tcPr>
          <w:p w14:paraId="03E81D43">
            <w:pPr>
              <w:jc w:val="center"/>
              <w:rPr>
                <w:rFonts w:hint="eastAsia" w:ascii="宋体" w:hAnsi="宋体" w:eastAsia="宋体" w:cs="宋体"/>
                <w:szCs w:val="21"/>
                <w:highlight w:val="none"/>
              </w:rPr>
            </w:pPr>
          </w:p>
        </w:tc>
      </w:tr>
      <w:tr w14:paraId="7715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623E89AA">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920" w:type="dxa"/>
            <w:noWrap w:val="0"/>
            <w:vAlign w:val="center"/>
          </w:tcPr>
          <w:p w14:paraId="57C00890">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048" w:type="dxa"/>
            <w:noWrap w:val="0"/>
            <w:vAlign w:val="center"/>
          </w:tcPr>
          <w:p w14:paraId="2100975D">
            <w:pPr>
              <w:jc w:val="center"/>
              <w:rPr>
                <w:rFonts w:hint="eastAsia" w:ascii="宋体" w:hAnsi="宋体" w:eastAsia="宋体" w:cs="宋体"/>
                <w:szCs w:val="21"/>
                <w:highlight w:val="none"/>
              </w:rPr>
            </w:pPr>
          </w:p>
        </w:tc>
        <w:tc>
          <w:tcPr>
            <w:tcW w:w="1310" w:type="dxa"/>
            <w:gridSpan w:val="2"/>
            <w:noWrap w:val="0"/>
            <w:vAlign w:val="center"/>
          </w:tcPr>
          <w:p w14:paraId="7CCB6B8B">
            <w:pPr>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747" w:type="dxa"/>
            <w:gridSpan w:val="3"/>
            <w:noWrap w:val="0"/>
            <w:vAlign w:val="center"/>
          </w:tcPr>
          <w:p w14:paraId="60A62225">
            <w:pPr>
              <w:jc w:val="center"/>
              <w:rPr>
                <w:rFonts w:hint="eastAsia" w:ascii="宋体" w:hAnsi="宋体" w:eastAsia="宋体" w:cs="宋体"/>
                <w:szCs w:val="21"/>
                <w:highlight w:val="none"/>
              </w:rPr>
            </w:pPr>
          </w:p>
        </w:tc>
        <w:tc>
          <w:tcPr>
            <w:tcW w:w="727" w:type="dxa"/>
            <w:noWrap w:val="0"/>
            <w:vAlign w:val="center"/>
          </w:tcPr>
          <w:p w14:paraId="14A142BE">
            <w:pPr>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458" w:type="dxa"/>
            <w:noWrap w:val="0"/>
            <w:vAlign w:val="center"/>
          </w:tcPr>
          <w:p w14:paraId="23B169EF">
            <w:pPr>
              <w:jc w:val="center"/>
              <w:rPr>
                <w:rFonts w:hint="eastAsia" w:ascii="宋体" w:hAnsi="宋体" w:eastAsia="宋体" w:cs="宋体"/>
                <w:szCs w:val="21"/>
                <w:highlight w:val="none"/>
              </w:rPr>
            </w:pPr>
          </w:p>
        </w:tc>
      </w:tr>
      <w:tr w14:paraId="02F5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040A744D">
            <w:pPr>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920" w:type="dxa"/>
            <w:noWrap w:val="0"/>
            <w:vAlign w:val="center"/>
          </w:tcPr>
          <w:p w14:paraId="151C4AE5">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048" w:type="dxa"/>
            <w:noWrap w:val="0"/>
            <w:vAlign w:val="center"/>
          </w:tcPr>
          <w:p w14:paraId="31D07E10">
            <w:pPr>
              <w:jc w:val="center"/>
              <w:rPr>
                <w:rFonts w:hint="eastAsia" w:ascii="宋体" w:hAnsi="宋体" w:eastAsia="宋体" w:cs="宋体"/>
                <w:szCs w:val="21"/>
                <w:highlight w:val="none"/>
              </w:rPr>
            </w:pPr>
          </w:p>
        </w:tc>
        <w:tc>
          <w:tcPr>
            <w:tcW w:w="1310" w:type="dxa"/>
            <w:gridSpan w:val="2"/>
            <w:noWrap w:val="0"/>
            <w:vAlign w:val="center"/>
          </w:tcPr>
          <w:p w14:paraId="1DE052E6">
            <w:pPr>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747" w:type="dxa"/>
            <w:gridSpan w:val="3"/>
            <w:noWrap w:val="0"/>
            <w:vAlign w:val="center"/>
          </w:tcPr>
          <w:p w14:paraId="1174FBD8">
            <w:pPr>
              <w:jc w:val="center"/>
              <w:rPr>
                <w:rFonts w:hint="eastAsia" w:ascii="宋体" w:hAnsi="宋体" w:eastAsia="宋体" w:cs="宋体"/>
                <w:szCs w:val="21"/>
                <w:highlight w:val="none"/>
              </w:rPr>
            </w:pPr>
          </w:p>
        </w:tc>
        <w:tc>
          <w:tcPr>
            <w:tcW w:w="727" w:type="dxa"/>
            <w:noWrap w:val="0"/>
            <w:vAlign w:val="center"/>
          </w:tcPr>
          <w:p w14:paraId="196C0A82">
            <w:pPr>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458" w:type="dxa"/>
            <w:noWrap w:val="0"/>
            <w:vAlign w:val="center"/>
          </w:tcPr>
          <w:p w14:paraId="3FF7D81B">
            <w:pPr>
              <w:jc w:val="center"/>
              <w:rPr>
                <w:rFonts w:hint="eastAsia" w:ascii="宋体" w:hAnsi="宋体" w:eastAsia="宋体" w:cs="宋体"/>
                <w:szCs w:val="21"/>
                <w:highlight w:val="none"/>
              </w:rPr>
            </w:pPr>
          </w:p>
        </w:tc>
      </w:tr>
      <w:tr w14:paraId="3F0A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5F209A8E">
            <w:pPr>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968" w:type="dxa"/>
            <w:gridSpan w:val="2"/>
            <w:noWrap w:val="0"/>
            <w:vAlign w:val="center"/>
          </w:tcPr>
          <w:p w14:paraId="4943BF73">
            <w:pPr>
              <w:jc w:val="center"/>
              <w:rPr>
                <w:rFonts w:hint="eastAsia" w:ascii="宋体" w:hAnsi="宋体" w:eastAsia="宋体" w:cs="宋体"/>
                <w:szCs w:val="21"/>
                <w:highlight w:val="none"/>
              </w:rPr>
            </w:pPr>
          </w:p>
        </w:tc>
        <w:tc>
          <w:tcPr>
            <w:tcW w:w="5242" w:type="dxa"/>
            <w:gridSpan w:val="7"/>
            <w:noWrap w:val="0"/>
            <w:vAlign w:val="center"/>
          </w:tcPr>
          <w:p w14:paraId="5C81CBA0">
            <w:pPr>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0E16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vMerge w:val="restart"/>
            <w:noWrap w:val="0"/>
            <w:vAlign w:val="center"/>
          </w:tcPr>
          <w:p w14:paraId="4BC644D3">
            <w:pPr>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968" w:type="dxa"/>
            <w:gridSpan w:val="2"/>
            <w:vMerge w:val="restart"/>
            <w:noWrap w:val="0"/>
            <w:vAlign w:val="center"/>
          </w:tcPr>
          <w:p w14:paraId="0A1ECBA4">
            <w:pPr>
              <w:jc w:val="center"/>
              <w:rPr>
                <w:rFonts w:hint="eastAsia" w:ascii="宋体" w:hAnsi="宋体" w:eastAsia="宋体" w:cs="宋体"/>
                <w:szCs w:val="21"/>
                <w:highlight w:val="none"/>
              </w:rPr>
            </w:pPr>
          </w:p>
        </w:tc>
        <w:tc>
          <w:tcPr>
            <w:tcW w:w="1019" w:type="dxa"/>
            <w:vMerge w:val="restart"/>
            <w:noWrap w:val="0"/>
            <w:vAlign w:val="center"/>
          </w:tcPr>
          <w:p w14:paraId="447FDE47">
            <w:pPr>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038" w:type="dxa"/>
            <w:gridSpan w:val="4"/>
            <w:noWrap w:val="0"/>
            <w:vAlign w:val="center"/>
          </w:tcPr>
          <w:p w14:paraId="3A52A8F6">
            <w:pPr>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c>
          <w:tcPr>
            <w:tcW w:w="2185" w:type="dxa"/>
            <w:gridSpan w:val="2"/>
            <w:noWrap w:val="0"/>
            <w:vAlign w:val="center"/>
          </w:tcPr>
          <w:p w14:paraId="2AEF0033">
            <w:pPr>
              <w:jc w:val="center"/>
              <w:rPr>
                <w:rFonts w:hint="eastAsia" w:ascii="宋体" w:hAnsi="宋体" w:eastAsia="宋体" w:cs="宋体"/>
                <w:szCs w:val="21"/>
                <w:highlight w:val="none"/>
              </w:rPr>
            </w:pPr>
          </w:p>
        </w:tc>
      </w:tr>
      <w:tr w14:paraId="7A2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vMerge w:val="continue"/>
            <w:noWrap w:val="0"/>
            <w:vAlign w:val="center"/>
          </w:tcPr>
          <w:p w14:paraId="36949BA6">
            <w:pPr>
              <w:jc w:val="center"/>
              <w:rPr>
                <w:rFonts w:hint="eastAsia" w:ascii="宋体" w:hAnsi="宋体" w:eastAsia="宋体" w:cs="宋体"/>
                <w:szCs w:val="21"/>
                <w:highlight w:val="none"/>
              </w:rPr>
            </w:pPr>
          </w:p>
        </w:tc>
        <w:tc>
          <w:tcPr>
            <w:tcW w:w="1968" w:type="dxa"/>
            <w:gridSpan w:val="2"/>
            <w:vMerge w:val="continue"/>
            <w:noWrap w:val="0"/>
            <w:vAlign w:val="center"/>
          </w:tcPr>
          <w:p w14:paraId="2CC62288">
            <w:pPr>
              <w:jc w:val="center"/>
              <w:rPr>
                <w:rFonts w:hint="eastAsia" w:ascii="宋体" w:hAnsi="宋体" w:eastAsia="宋体" w:cs="宋体"/>
                <w:szCs w:val="21"/>
                <w:highlight w:val="none"/>
              </w:rPr>
            </w:pPr>
          </w:p>
        </w:tc>
        <w:tc>
          <w:tcPr>
            <w:tcW w:w="1019" w:type="dxa"/>
            <w:vMerge w:val="continue"/>
            <w:noWrap w:val="0"/>
            <w:vAlign w:val="center"/>
          </w:tcPr>
          <w:p w14:paraId="647757B5">
            <w:pPr>
              <w:jc w:val="center"/>
              <w:rPr>
                <w:rFonts w:hint="eastAsia" w:ascii="宋体" w:hAnsi="宋体" w:eastAsia="宋体" w:cs="宋体"/>
                <w:szCs w:val="21"/>
                <w:highlight w:val="none"/>
              </w:rPr>
            </w:pPr>
          </w:p>
        </w:tc>
        <w:tc>
          <w:tcPr>
            <w:tcW w:w="2038" w:type="dxa"/>
            <w:gridSpan w:val="4"/>
            <w:noWrap w:val="0"/>
            <w:vAlign w:val="center"/>
          </w:tcPr>
          <w:p w14:paraId="499FB95D">
            <w:pPr>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2185" w:type="dxa"/>
            <w:gridSpan w:val="2"/>
            <w:noWrap w:val="0"/>
            <w:vAlign w:val="center"/>
          </w:tcPr>
          <w:p w14:paraId="11BE4632">
            <w:pPr>
              <w:jc w:val="center"/>
              <w:rPr>
                <w:rFonts w:hint="eastAsia" w:ascii="宋体" w:hAnsi="宋体" w:eastAsia="宋体" w:cs="宋体"/>
                <w:szCs w:val="21"/>
                <w:highlight w:val="none"/>
              </w:rPr>
            </w:pPr>
          </w:p>
        </w:tc>
      </w:tr>
      <w:tr w14:paraId="632D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218D354A">
            <w:pPr>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920" w:type="dxa"/>
            <w:noWrap w:val="0"/>
            <w:vAlign w:val="center"/>
          </w:tcPr>
          <w:p w14:paraId="45662225">
            <w:pPr>
              <w:jc w:val="center"/>
              <w:rPr>
                <w:rFonts w:hint="eastAsia" w:ascii="宋体" w:hAnsi="宋体" w:eastAsia="宋体" w:cs="宋体"/>
                <w:szCs w:val="21"/>
                <w:highlight w:val="none"/>
              </w:rPr>
            </w:pPr>
          </w:p>
        </w:tc>
        <w:tc>
          <w:tcPr>
            <w:tcW w:w="1048" w:type="dxa"/>
            <w:noWrap w:val="0"/>
            <w:vAlign w:val="center"/>
          </w:tcPr>
          <w:p w14:paraId="13DD7A01">
            <w:pPr>
              <w:jc w:val="center"/>
              <w:rPr>
                <w:rFonts w:hint="eastAsia" w:ascii="宋体" w:hAnsi="宋体" w:eastAsia="宋体" w:cs="宋体"/>
                <w:szCs w:val="21"/>
                <w:highlight w:val="none"/>
              </w:rPr>
            </w:pPr>
          </w:p>
        </w:tc>
        <w:tc>
          <w:tcPr>
            <w:tcW w:w="1019" w:type="dxa"/>
            <w:vMerge w:val="continue"/>
            <w:noWrap w:val="0"/>
            <w:vAlign w:val="center"/>
          </w:tcPr>
          <w:p w14:paraId="4A0657B4">
            <w:pPr>
              <w:jc w:val="center"/>
              <w:rPr>
                <w:rFonts w:hint="eastAsia" w:ascii="宋体" w:hAnsi="宋体" w:eastAsia="宋体" w:cs="宋体"/>
                <w:szCs w:val="21"/>
                <w:highlight w:val="none"/>
              </w:rPr>
            </w:pPr>
          </w:p>
        </w:tc>
        <w:tc>
          <w:tcPr>
            <w:tcW w:w="2038" w:type="dxa"/>
            <w:gridSpan w:val="4"/>
            <w:noWrap w:val="0"/>
            <w:vAlign w:val="center"/>
          </w:tcPr>
          <w:p w14:paraId="099E47FC">
            <w:pPr>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2185" w:type="dxa"/>
            <w:gridSpan w:val="2"/>
            <w:noWrap w:val="0"/>
            <w:vAlign w:val="center"/>
          </w:tcPr>
          <w:p w14:paraId="072347DB">
            <w:pPr>
              <w:jc w:val="center"/>
              <w:rPr>
                <w:rFonts w:hint="eastAsia" w:ascii="宋体" w:hAnsi="宋体" w:eastAsia="宋体" w:cs="宋体"/>
                <w:szCs w:val="21"/>
                <w:highlight w:val="none"/>
              </w:rPr>
            </w:pPr>
          </w:p>
        </w:tc>
      </w:tr>
      <w:tr w14:paraId="3E7D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35789A6D">
            <w:pPr>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920" w:type="dxa"/>
            <w:noWrap w:val="0"/>
            <w:vAlign w:val="center"/>
          </w:tcPr>
          <w:p w14:paraId="74A71D58">
            <w:pPr>
              <w:jc w:val="center"/>
              <w:rPr>
                <w:rFonts w:hint="eastAsia" w:ascii="宋体" w:hAnsi="宋体" w:eastAsia="宋体" w:cs="宋体"/>
                <w:szCs w:val="21"/>
                <w:highlight w:val="none"/>
              </w:rPr>
            </w:pPr>
          </w:p>
        </w:tc>
        <w:tc>
          <w:tcPr>
            <w:tcW w:w="1048" w:type="dxa"/>
            <w:noWrap w:val="0"/>
            <w:vAlign w:val="center"/>
          </w:tcPr>
          <w:p w14:paraId="306F0F6D">
            <w:pPr>
              <w:jc w:val="center"/>
              <w:rPr>
                <w:rFonts w:hint="eastAsia" w:ascii="宋体" w:hAnsi="宋体" w:eastAsia="宋体" w:cs="宋体"/>
                <w:szCs w:val="21"/>
                <w:highlight w:val="none"/>
              </w:rPr>
            </w:pPr>
          </w:p>
        </w:tc>
        <w:tc>
          <w:tcPr>
            <w:tcW w:w="1019" w:type="dxa"/>
            <w:vMerge w:val="continue"/>
            <w:noWrap w:val="0"/>
            <w:vAlign w:val="center"/>
          </w:tcPr>
          <w:p w14:paraId="25048A9F">
            <w:pPr>
              <w:jc w:val="center"/>
              <w:rPr>
                <w:rFonts w:hint="eastAsia" w:ascii="宋体" w:hAnsi="宋体" w:eastAsia="宋体" w:cs="宋体"/>
                <w:szCs w:val="21"/>
                <w:highlight w:val="none"/>
              </w:rPr>
            </w:pPr>
          </w:p>
        </w:tc>
        <w:tc>
          <w:tcPr>
            <w:tcW w:w="2038" w:type="dxa"/>
            <w:gridSpan w:val="4"/>
            <w:noWrap w:val="0"/>
            <w:vAlign w:val="center"/>
          </w:tcPr>
          <w:p w14:paraId="7BEB200F">
            <w:pPr>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2185" w:type="dxa"/>
            <w:gridSpan w:val="2"/>
            <w:noWrap w:val="0"/>
            <w:vAlign w:val="center"/>
          </w:tcPr>
          <w:p w14:paraId="738F9CC2">
            <w:pPr>
              <w:jc w:val="center"/>
              <w:rPr>
                <w:rFonts w:hint="eastAsia" w:ascii="宋体" w:hAnsi="宋体" w:eastAsia="宋体" w:cs="宋体"/>
                <w:szCs w:val="21"/>
                <w:highlight w:val="none"/>
              </w:rPr>
            </w:pPr>
          </w:p>
        </w:tc>
      </w:tr>
      <w:tr w14:paraId="2CCD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69" w:type="dxa"/>
            <w:noWrap w:val="0"/>
            <w:vAlign w:val="center"/>
          </w:tcPr>
          <w:p w14:paraId="56F4C6A5">
            <w:pPr>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920" w:type="dxa"/>
            <w:noWrap w:val="0"/>
            <w:vAlign w:val="center"/>
          </w:tcPr>
          <w:p w14:paraId="290F9014">
            <w:pPr>
              <w:jc w:val="center"/>
              <w:rPr>
                <w:rFonts w:hint="eastAsia" w:ascii="宋体" w:hAnsi="宋体" w:eastAsia="宋体" w:cs="宋体"/>
                <w:szCs w:val="21"/>
                <w:highlight w:val="none"/>
              </w:rPr>
            </w:pPr>
          </w:p>
        </w:tc>
        <w:tc>
          <w:tcPr>
            <w:tcW w:w="1048" w:type="dxa"/>
            <w:noWrap w:val="0"/>
            <w:vAlign w:val="center"/>
          </w:tcPr>
          <w:p w14:paraId="680851B6">
            <w:pPr>
              <w:jc w:val="center"/>
              <w:rPr>
                <w:rFonts w:hint="eastAsia" w:ascii="宋体" w:hAnsi="宋体" w:eastAsia="宋体" w:cs="宋体"/>
                <w:szCs w:val="21"/>
                <w:highlight w:val="none"/>
              </w:rPr>
            </w:pPr>
          </w:p>
        </w:tc>
        <w:tc>
          <w:tcPr>
            <w:tcW w:w="1019" w:type="dxa"/>
            <w:vMerge w:val="continue"/>
            <w:noWrap w:val="0"/>
            <w:vAlign w:val="center"/>
          </w:tcPr>
          <w:p w14:paraId="3FC3F307">
            <w:pPr>
              <w:jc w:val="center"/>
              <w:rPr>
                <w:rFonts w:hint="eastAsia" w:ascii="宋体" w:hAnsi="宋体" w:eastAsia="宋体" w:cs="宋体"/>
                <w:szCs w:val="21"/>
                <w:highlight w:val="none"/>
              </w:rPr>
            </w:pPr>
          </w:p>
        </w:tc>
        <w:tc>
          <w:tcPr>
            <w:tcW w:w="2038" w:type="dxa"/>
            <w:gridSpan w:val="4"/>
            <w:noWrap w:val="0"/>
            <w:vAlign w:val="center"/>
          </w:tcPr>
          <w:p w14:paraId="00411B3A">
            <w:pPr>
              <w:jc w:val="center"/>
              <w:rPr>
                <w:rFonts w:hint="eastAsia" w:ascii="宋体" w:hAnsi="宋体" w:eastAsia="宋体" w:cs="宋体"/>
                <w:szCs w:val="21"/>
                <w:highlight w:val="none"/>
              </w:rPr>
            </w:pPr>
            <w:r>
              <w:rPr>
                <w:rFonts w:hint="eastAsia" w:ascii="宋体" w:hAnsi="宋体" w:eastAsia="宋体" w:cs="宋体"/>
                <w:szCs w:val="21"/>
                <w:highlight w:val="none"/>
              </w:rPr>
              <w:t>技  工</w:t>
            </w:r>
          </w:p>
        </w:tc>
        <w:tc>
          <w:tcPr>
            <w:tcW w:w="2185" w:type="dxa"/>
            <w:gridSpan w:val="2"/>
            <w:noWrap w:val="0"/>
            <w:vAlign w:val="center"/>
          </w:tcPr>
          <w:p w14:paraId="1B8FCC88">
            <w:pPr>
              <w:jc w:val="center"/>
              <w:rPr>
                <w:rFonts w:hint="eastAsia" w:ascii="宋体" w:hAnsi="宋体" w:eastAsia="宋体" w:cs="宋体"/>
                <w:szCs w:val="21"/>
                <w:highlight w:val="none"/>
              </w:rPr>
            </w:pPr>
          </w:p>
        </w:tc>
      </w:tr>
      <w:tr w14:paraId="593A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2569" w:type="dxa"/>
            <w:noWrap w:val="0"/>
            <w:vAlign w:val="center"/>
          </w:tcPr>
          <w:p w14:paraId="6655B358">
            <w:pPr>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7210" w:type="dxa"/>
            <w:gridSpan w:val="9"/>
            <w:noWrap w:val="0"/>
            <w:vAlign w:val="center"/>
          </w:tcPr>
          <w:p w14:paraId="3F998064">
            <w:pPr>
              <w:jc w:val="center"/>
              <w:rPr>
                <w:rFonts w:hint="eastAsia" w:ascii="宋体" w:hAnsi="宋体" w:eastAsia="宋体" w:cs="宋体"/>
                <w:szCs w:val="21"/>
                <w:highlight w:val="none"/>
              </w:rPr>
            </w:pPr>
          </w:p>
        </w:tc>
      </w:tr>
      <w:tr w14:paraId="7FF8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69" w:type="dxa"/>
            <w:noWrap w:val="0"/>
            <w:vAlign w:val="center"/>
          </w:tcPr>
          <w:p w14:paraId="0B0AD868">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210" w:type="dxa"/>
            <w:gridSpan w:val="9"/>
            <w:noWrap w:val="0"/>
            <w:vAlign w:val="center"/>
          </w:tcPr>
          <w:p w14:paraId="127ECC8B">
            <w:pPr>
              <w:jc w:val="center"/>
              <w:rPr>
                <w:rFonts w:hint="eastAsia" w:ascii="宋体" w:hAnsi="宋体" w:eastAsia="宋体" w:cs="宋体"/>
                <w:szCs w:val="21"/>
                <w:highlight w:val="none"/>
              </w:rPr>
            </w:pPr>
          </w:p>
        </w:tc>
      </w:tr>
    </w:tbl>
    <w:p w14:paraId="49E4C779">
      <w:pPr>
        <w:numPr>
          <w:ilvl w:val="0"/>
          <w:numId w:val="0"/>
        </w:numPr>
        <w:ind w:leftChars="0" w:firstLine="42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注：本表后应附企业法人三证合一的营业执照副本等材料的扫描件（以上内容若有无法填写项，请打“/”）。</w:t>
      </w:r>
    </w:p>
    <w:p w14:paraId="4118EFC6">
      <w:pP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br w:type="page"/>
      </w:r>
    </w:p>
    <w:p w14:paraId="5FB9D079">
      <w:pPr>
        <w:pStyle w:val="3"/>
        <w:keepNext/>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highlight w:val="none"/>
          <w:lang w:val="en-US" w:eastAsia="zh-CN"/>
        </w:rPr>
      </w:pPr>
      <w:bookmarkStart w:id="217" w:name="_Toc27042"/>
      <w:bookmarkStart w:id="218" w:name="_Toc9100"/>
      <w:r>
        <w:rPr>
          <w:rFonts w:hint="eastAsia" w:ascii="宋体" w:hAnsi="宋体" w:eastAsia="宋体" w:cs="宋体"/>
          <w:highlight w:val="none"/>
          <w:lang w:val="en-US" w:eastAsia="zh-CN"/>
        </w:rPr>
        <w:t>五、服务方案</w:t>
      </w:r>
      <w:bookmarkEnd w:id="217"/>
      <w:bookmarkEnd w:id="218"/>
    </w:p>
    <w:p w14:paraId="6B9476ED">
      <w:pPr>
        <w:numPr>
          <w:ilvl w:val="0"/>
          <w:numId w:val="0"/>
        </w:numPr>
        <w:ind w:leftChars="0"/>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格式自拟，内容参考第三章评标办法（包含但不限于）。</w:t>
      </w:r>
    </w:p>
    <w:p w14:paraId="2075223B">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14:paraId="62BA482E">
      <w:pPr>
        <w:pStyle w:val="3"/>
        <w:keepNext/>
        <w:keepLines/>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highlight w:val="none"/>
          <w:lang w:val="en-US" w:eastAsia="zh-CN"/>
        </w:rPr>
      </w:pPr>
      <w:bookmarkStart w:id="219" w:name="_Toc3725"/>
      <w:bookmarkStart w:id="220" w:name="_Toc11937"/>
      <w:r>
        <w:rPr>
          <w:rFonts w:hint="eastAsia" w:ascii="宋体" w:hAnsi="宋体" w:eastAsia="宋体" w:cs="宋体"/>
          <w:highlight w:val="none"/>
          <w:lang w:val="en-US" w:eastAsia="zh-CN"/>
        </w:rPr>
        <w:t>六、服务业绩</w:t>
      </w:r>
      <w:bookmarkEnd w:id="219"/>
      <w:bookmarkEnd w:id="220"/>
    </w:p>
    <w:p w14:paraId="009CAFC9">
      <w:pPr>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br w:type="page"/>
      </w:r>
    </w:p>
    <w:p w14:paraId="3A8056FB">
      <w:pPr>
        <w:pStyle w:val="3"/>
        <w:numPr>
          <w:ilvl w:val="0"/>
          <w:numId w:val="0"/>
        </w:numPr>
        <w:bidi w:val="0"/>
        <w:ind w:leftChars="0"/>
        <w:jc w:val="center"/>
        <w:rPr>
          <w:rFonts w:hint="eastAsia" w:ascii="宋体" w:hAnsi="宋体" w:eastAsia="宋体" w:cs="宋体"/>
          <w:szCs w:val="28"/>
          <w:highlight w:val="none"/>
          <w:lang w:val="en-US" w:eastAsia="zh-CN"/>
        </w:rPr>
      </w:pPr>
      <w:bookmarkStart w:id="221" w:name="_Toc31626"/>
      <w:bookmarkStart w:id="222" w:name="_Toc4663"/>
      <w:r>
        <w:rPr>
          <w:rFonts w:hint="eastAsia" w:ascii="宋体" w:hAnsi="宋体" w:eastAsia="宋体" w:cs="宋体"/>
          <w:highlight w:val="none"/>
          <w:lang w:val="en-US" w:eastAsia="zh-CN"/>
        </w:rPr>
        <w:t>七、</w:t>
      </w:r>
      <w:r>
        <w:rPr>
          <w:rFonts w:hint="eastAsia" w:ascii="宋体" w:hAnsi="宋体" w:eastAsia="宋体" w:cs="宋体"/>
          <w:szCs w:val="28"/>
          <w:highlight w:val="none"/>
          <w:lang w:val="en-US" w:eastAsia="zh-CN"/>
        </w:rPr>
        <w:t>供应商认为有必要的其他资料</w:t>
      </w:r>
      <w:bookmarkEnd w:id="221"/>
      <w:bookmarkEnd w:id="222"/>
    </w:p>
    <w:p w14:paraId="372BC25D">
      <w:pPr>
        <w:numPr>
          <w:ilvl w:val="0"/>
          <w:numId w:val="0"/>
        </w:numPr>
        <w:ind w:leftChars="0"/>
        <w:jc w:val="center"/>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供应商</w:t>
      </w:r>
      <w:r>
        <w:rPr>
          <w:rFonts w:hint="eastAsia" w:ascii="宋体" w:hAnsi="宋体" w:eastAsia="宋体" w:cs="宋体"/>
          <w:b w:val="0"/>
          <w:bCs w:val="0"/>
          <w:sz w:val="28"/>
          <w:szCs w:val="28"/>
          <w:highlight w:val="none"/>
          <w:lang w:val="en-US" w:eastAsia="zh-CN"/>
        </w:rPr>
        <w:t>认为应附的其他证明材料</w:t>
      </w:r>
    </w:p>
    <w:p w14:paraId="32C5D1A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6D4AC1D0">
      <w:pPr>
        <w:pStyle w:val="4"/>
        <w:pageBreakBefore w:val="0"/>
        <w:widowControl w:val="0"/>
        <w:kinsoku/>
        <w:wordWrap/>
        <w:overflowPunct/>
        <w:topLinePunct w:val="0"/>
        <w:autoSpaceDE/>
        <w:autoSpaceDN/>
        <w:bidi w:val="0"/>
        <w:adjustRightInd/>
        <w:snapToGrid/>
        <w:spacing w:line="440" w:lineRule="exact"/>
        <w:jc w:val="center"/>
        <w:textAlignment w:val="auto"/>
        <w:rPr>
          <w:rStyle w:val="32"/>
          <w:rFonts w:hint="eastAsia" w:ascii="宋体" w:hAnsi="宋体" w:eastAsia="宋体" w:cs="宋体"/>
          <w:b/>
          <w:bCs w:val="0"/>
          <w:color w:val="auto"/>
          <w:kern w:val="0"/>
          <w:sz w:val="28"/>
          <w:szCs w:val="28"/>
          <w:highlight w:val="none"/>
          <w:lang w:val="en-US" w:eastAsia="zh-CN" w:bidi="ar"/>
        </w:rPr>
      </w:pPr>
      <w:bookmarkStart w:id="223" w:name="_Toc2157"/>
      <w:bookmarkStart w:id="224" w:name="_Toc24950"/>
      <w:bookmarkStart w:id="225" w:name="_Toc4204"/>
      <w:bookmarkStart w:id="226" w:name="_Toc16837"/>
      <w:bookmarkStart w:id="227" w:name="_Toc21866"/>
      <w:bookmarkStart w:id="228" w:name="_Toc24843"/>
      <w:bookmarkStart w:id="229" w:name="_Toc9159"/>
      <w:bookmarkStart w:id="230" w:name="_Toc26914"/>
      <w:r>
        <w:rPr>
          <w:rStyle w:val="32"/>
          <w:rFonts w:hint="eastAsia" w:ascii="宋体" w:hAnsi="宋体" w:eastAsia="宋体" w:cs="宋体"/>
          <w:b/>
          <w:bCs w:val="0"/>
          <w:color w:val="auto"/>
          <w:kern w:val="0"/>
          <w:sz w:val="28"/>
          <w:szCs w:val="28"/>
          <w:highlight w:val="none"/>
          <w:lang w:val="en-US" w:eastAsia="zh-CN" w:bidi="ar"/>
        </w:rPr>
        <w:t>(一) 资格承诺声明函</w:t>
      </w:r>
      <w:bookmarkEnd w:id="223"/>
      <w:bookmarkEnd w:id="224"/>
      <w:bookmarkEnd w:id="225"/>
      <w:bookmarkEnd w:id="226"/>
      <w:bookmarkEnd w:id="227"/>
      <w:bookmarkEnd w:id="228"/>
      <w:bookmarkEnd w:id="229"/>
      <w:bookmarkEnd w:id="230"/>
    </w:p>
    <w:p w14:paraId="34EB77D4">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资格承诺声明函</w:t>
      </w:r>
    </w:p>
    <w:p w14:paraId="27AF3439">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致（本项目采购单位）</w:t>
      </w:r>
      <w:r>
        <w:rPr>
          <w:rFonts w:hint="eastAsia" w:ascii="宋体" w:hAnsi="宋体" w:eastAsia="宋体" w:cs="宋体"/>
          <w:color w:val="auto"/>
          <w:sz w:val="21"/>
          <w:szCs w:val="21"/>
          <w:highlight w:val="none"/>
          <w:lang w:val="en-US" w:eastAsia="zh-CN"/>
        </w:rPr>
        <w:t>：</w:t>
      </w:r>
    </w:p>
    <w:p w14:paraId="5D06B794">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我单位自愿参加本次政府采购活动，严格遵守《中华人民共和国政府采购法》及相关法律法规，依法诚信经营，依法遵守本次政府采购活动的各项规定。我单位郑重承诺声明如下：</w:t>
      </w:r>
    </w:p>
    <w:p w14:paraId="7F97740A">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一、我单位全称为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注册地点为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统一社会信用代码为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法定代表人（单位负责人）为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联系方式为</w:t>
      </w:r>
      <w:r>
        <w:rPr>
          <w:rFonts w:hint="eastAsia" w:ascii="宋体" w:hAnsi="宋体" w:eastAsia="宋体" w:cs="宋体"/>
          <w:color w:val="auto"/>
          <w:sz w:val="21"/>
          <w:szCs w:val="21"/>
          <w:highlight w:val="none"/>
          <w:u w:val="single"/>
          <w:lang w:val="en-US" w:eastAsia="zh-CN"/>
        </w:rPr>
        <w:t xml:space="preserve">                          。</w:t>
      </w:r>
    </w:p>
    <w:p w14:paraId="4B067317">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二、我单位具有独立承担民事责任的能力。</w:t>
      </w:r>
    </w:p>
    <w:p w14:paraId="375FA3D8">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三、我单位具有良好的商业信誉和健全的财务会计制度。</w:t>
      </w:r>
    </w:p>
    <w:p w14:paraId="7B4A8BCC">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四、我单位具有履行合同所必需的设备和专业技术能力。</w:t>
      </w:r>
    </w:p>
    <w:p w14:paraId="67215EC7">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五、我单位有依法缴纳税收和社会保障资金的良好记录。</w:t>
      </w:r>
    </w:p>
    <w:p w14:paraId="32A32A74">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六、我单位参加政府采购活动前三年内，在经营活动中没有重大违法记录。（重大违法记录，是指供应商因违法经营受到刑事处罚或者责令停产停业、吊销许可证或者执照、较大数额罚款等行政处罚）</w:t>
      </w:r>
    </w:p>
    <w:p w14:paraId="4BA037FD">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七、我单位具备法律、行政法规规定的其他条件。</w:t>
      </w:r>
    </w:p>
    <w:p w14:paraId="52F004DC">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我单位保证上述声明的事项都是真实的，符合</w:t>
      </w:r>
      <w:r>
        <w:rPr>
          <w:rFonts w:hint="eastAsia" w:ascii="宋体" w:hAnsi="宋体" w:eastAsia="宋体" w:cs="宋体"/>
          <w:color w:val="auto"/>
          <w:sz w:val="21"/>
          <w:szCs w:val="21"/>
          <w:highlight w:val="none"/>
          <w:lang w:val="en-US" w:eastAsia="zh-CN"/>
        </w:rPr>
        <w:t>《中华人民共和国政府采购法》规定的供应商资格条件。如有弄虚作假，我单位愿意按照“提交虚假材料谋取中标、成交”承担相应的法律责任，同意将违背承诺行为作为失信行为记录到社会信用信息平台，并承担因此造成的一切损失。</w:t>
      </w:r>
    </w:p>
    <w:p w14:paraId="4C4B20C0">
      <w:pPr>
        <w:jc w:val="both"/>
        <w:rPr>
          <w:rFonts w:hint="eastAsia" w:ascii="宋体" w:hAnsi="宋体" w:eastAsia="宋体" w:cs="宋体"/>
          <w:color w:val="auto"/>
          <w:sz w:val="21"/>
          <w:szCs w:val="21"/>
          <w:highlight w:val="none"/>
          <w:lang w:val="en-US" w:eastAsia="zh-CN"/>
        </w:rPr>
      </w:pPr>
    </w:p>
    <w:p w14:paraId="60B90BBC">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承诺单位（企业</w:t>
      </w:r>
      <w:r>
        <w:rPr>
          <w:rFonts w:hint="eastAsia" w:ascii="宋体" w:hAnsi="宋体" w:eastAsia="宋体" w:cs="宋体"/>
          <w:sz w:val="21"/>
          <w:szCs w:val="21"/>
          <w:highlight w:val="none"/>
        </w:rPr>
        <w:t>电子签章</w:t>
      </w:r>
      <w:r>
        <w:rPr>
          <w:rFonts w:hint="eastAsia" w:ascii="宋体" w:hAnsi="宋体" w:eastAsia="宋体" w:cs="宋体"/>
          <w:color w:val="auto"/>
          <w:sz w:val="21"/>
          <w:szCs w:val="21"/>
          <w:highlight w:val="none"/>
          <w:lang w:val="en-US" w:eastAsia="zh-CN"/>
        </w:rPr>
        <w:t>）：</w:t>
      </w:r>
    </w:p>
    <w:p w14:paraId="15F3FEE3">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法定代表人或委托代理人（签字或电子签章）：</w:t>
      </w:r>
    </w:p>
    <w:p w14:paraId="214602F4">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2A583D91">
      <w:pPr>
        <w:jc w:val="center"/>
        <w:rPr>
          <w:rFonts w:hint="eastAsia" w:ascii="宋体" w:hAnsi="宋体" w:eastAsia="宋体" w:cs="宋体"/>
          <w:color w:val="auto"/>
          <w:highlight w:val="none"/>
          <w:lang w:val="en-US" w:eastAsia="zh-CN"/>
        </w:rPr>
      </w:pPr>
    </w:p>
    <w:p w14:paraId="1B47A468">
      <w:pPr>
        <w:jc w:val="center"/>
        <w:rPr>
          <w:rFonts w:hint="eastAsia" w:ascii="宋体" w:hAnsi="宋体" w:eastAsia="宋体" w:cs="宋体"/>
          <w:color w:val="auto"/>
          <w:highlight w:val="none"/>
          <w:lang w:val="en-US" w:eastAsia="zh-CN"/>
        </w:rPr>
      </w:pPr>
    </w:p>
    <w:p w14:paraId="7D40682C">
      <w:pPr>
        <w:spacing w:line="360" w:lineRule="auto"/>
        <w:ind w:left="440" w:hanging="440" w:hangingChars="200"/>
        <w:jc w:val="left"/>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注：1.供应商须在响应文件中按此模板提供承诺函，未提供视为未实质性响应</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w:t>
      </w:r>
      <w:r>
        <w:rPr>
          <w:rFonts w:hint="eastAsia" w:ascii="宋体" w:hAnsi="宋体" w:eastAsia="宋体" w:cs="宋体"/>
          <w:color w:val="auto"/>
          <w:sz w:val="22"/>
          <w:szCs w:val="28"/>
          <w:highlight w:val="none"/>
          <w:lang w:val="en-US" w:eastAsia="zh-CN"/>
        </w:rPr>
        <w:t>要求，按无效投标处理。</w:t>
      </w:r>
    </w:p>
    <w:p w14:paraId="5D859D5D">
      <w:pPr>
        <w:spacing w:line="360" w:lineRule="auto"/>
        <w:ind w:left="437" w:leftChars="208" w:firstLine="0" w:firstLineChars="0"/>
        <w:jc w:val="left"/>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2.</w:t>
      </w:r>
      <w:r>
        <w:rPr>
          <w:rFonts w:hint="eastAsia" w:ascii="宋体" w:hAnsi="宋体" w:eastAsia="宋体" w:cs="宋体"/>
          <w:color w:val="auto"/>
          <w:sz w:val="22"/>
          <w:szCs w:val="28"/>
          <w:highlight w:val="none"/>
          <w:lang w:val="en-US" w:eastAsia="zh-CN"/>
        </w:rPr>
        <w:t>供应商的法定代表人或者授权代表的签字或盖章应真实、有效。</w:t>
      </w:r>
    </w:p>
    <w:p w14:paraId="6CE79F41">
      <w:pPr>
        <w:rPr>
          <w:rStyle w:val="32"/>
          <w:rFonts w:hint="eastAsia" w:ascii="宋体" w:hAnsi="宋体" w:eastAsia="宋体" w:cs="宋体"/>
          <w:b/>
          <w:color w:val="auto"/>
          <w:sz w:val="28"/>
          <w:szCs w:val="28"/>
          <w:highlight w:val="none"/>
          <w:lang w:val="en-US" w:eastAsia="zh-CN"/>
        </w:rPr>
      </w:pPr>
      <w:bookmarkStart w:id="231" w:name="_Toc14796"/>
      <w:bookmarkStart w:id="232" w:name="_Toc25505"/>
      <w:bookmarkStart w:id="233" w:name="_Toc11452"/>
      <w:bookmarkStart w:id="234" w:name="_Toc14278"/>
      <w:r>
        <w:rPr>
          <w:rStyle w:val="32"/>
          <w:rFonts w:hint="eastAsia" w:ascii="宋体" w:hAnsi="宋体" w:eastAsia="宋体" w:cs="宋体"/>
          <w:b/>
          <w:color w:val="auto"/>
          <w:sz w:val="28"/>
          <w:szCs w:val="28"/>
          <w:highlight w:val="none"/>
          <w:lang w:val="en-US" w:eastAsia="zh-CN"/>
        </w:rPr>
        <w:br w:type="page"/>
      </w:r>
    </w:p>
    <w:p w14:paraId="38A5F411">
      <w:pPr>
        <w:numPr>
          <w:ilvl w:val="0"/>
          <w:numId w:val="0"/>
        </w:numPr>
        <w:spacing w:line="360" w:lineRule="auto"/>
        <w:jc w:val="center"/>
        <w:rPr>
          <w:rFonts w:hint="eastAsia" w:ascii="宋体" w:hAnsi="宋体" w:eastAsia="宋体" w:cs="宋体"/>
          <w:color w:val="auto"/>
          <w:spacing w:val="8"/>
          <w:highlight w:val="none"/>
        </w:rPr>
      </w:pPr>
      <w:bookmarkStart w:id="235" w:name="_Toc12755"/>
      <w:bookmarkStart w:id="236" w:name="_Toc8369"/>
      <w:bookmarkStart w:id="237" w:name="_Toc28911"/>
      <w:bookmarkStart w:id="238" w:name="_Toc1914"/>
      <w:r>
        <w:rPr>
          <w:rStyle w:val="32"/>
          <w:rFonts w:hint="eastAsia" w:ascii="宋体" w:hAnsi="宋体" w:eastAsia="宋体" w:cs="宋体"/>
          <w:b/>
          <w:color w:val="auto"/>
          <w:sz w:val="28"/>
          <w:szCs w:val="28"/>
          <w:highlight w:val="none"/>
          <w:lang w:val="en-US" w:eastAsia="zh-CN"/>
        </w:rPr>
        <w:t>（二）招标代理服务费承诺函</w:t>
      </w:r>
      <w:bookmarkEnd w:id="231"/>
      <w:bookmarkEnd w:id="232"/>
      <w:bookmarkEnd w:id="233"/>
      <w:bookmarkEnd w:id="234"/>
      <w:bookmarkEnd w:id="235"/>
      <w:bookmarkEnd w:id="236"/>
      <w:bookmarkEnd w:id="237"/>
      <w:bookmarkEnd w:id="238"/>
    </w:p>
    <w:p w14:paraId="6F270E9E">
      <w:pPr>
        <w:pStyle w:val="18"/>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致采购代理机构：</w:t>
      </w:r>
    </w:p>
    <w:p w14:paraId="5CC3FF23">
      <w:pPr>
        <w:pStyle w:val="18"/>
        <w:widowControl/>
        <w:spacing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，项目编号：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）招标中若获成交，我们保证在成交公告发布后5个工作日内，按</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w:t>
      </w:r>
      <w:r>
        <w:rPr>
          <w:rFonts w:hint="eastAsia" w:ascii="宋体" w:hAnsi="宋体" w:eastAsia="宋体" w:cs="宋体"/>
          <w:color w:val="auto"/>
          <w:spacing w:val="8"/>
          <w:sz w:val="21"/>
          <w:szCs w:val="21"/>
          <w:highlight w:val="none"/>
          <w:shd w:val="clear" w:color="auto" w:fill="FFFFFF"/>
        </w:rPr>
        <w:t>的规定，以现金形式向贵公司一次性支付招标代理服务费用。否则，由此产生的一切法律后果和责任由我公司承担。我公司声明放弃对此提出任何异议和追索的权利。</w:t>
      </w:r>
    </w:p>
    <w:p w14:paraId="5EEE24C6">
      <w:pPr>
        <w:pStyle w:val="18"/>
        <w:widowControl/>
        <w:spacing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6707F54F">
      <w:pPr>
        <w:pStyle w:val="18"/>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35C80EBE">
      <w:pPr>
        <w:pStyle w:val="18"/>
        <w:widowControl/>
        <w:spacing w:line="360" w:lineRule="auto"/>
        <w:jc w:val="both"/>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 </w:t>
      </w:r>
    </w:p>
    <w:p w14:paraId="1FB31D1F">
      <w:pPr>
        <w:pStyle w:val="18"/>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cs="宋体"/>
          <w:color w:val="auto"/>
          <w:spacing w:val="8"/>
          <w:sz w:val="21"/>
          <w:szCs w:val="21"/>
          <w:highlight w:val="none"/>
          <w:shd w:val="clear" w:color="auto" w:fill="FFFFFF"/>
          <w:lang w:val="en-US" w:eastAsia="zh-CN"/>
        </w:rPr>
        <w:t>供应商</w:t>
      </w:r>
      <w:r>
        <w:rPr>
          <w:rFonts w:hint="eastAsia" w:ascii="宋体" w:hAnsi="宋体" w:eastAsia="宋体" w:cs="宋体"/>
          <w:color w:val="auto"/>
          <w:spacing w:val="8"/>
          <w:sz w:val="21"/>
          <w:szCs w:val="21"/>
          <w:highlight w:val="none"/>
          <w:shd w:val="clear" w:color="auto" w:fill="FFFFFF"/>
          <w:lang w:val="en-US" w:eastAsia="zh-CN"/>
        </w:rPr>
        <w:t>（企业电子签章）：</w:t>
      </w:r>
    </w:p>
    <w:p w14:paraId="41E2CFEB">
      <w:pPr>
        <w:pStyle w:val="18"/>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法定代表人或委托代理人（签字或盖电子签章）：</w:t>
      </w:r>
    </w:p>
    <w:p w14:paraId="1802C00C">
      <w:pPr>
        <w:pStyle w:val="18"/>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日期：  年  月  日</w:t>
      </w:r>
    </w:p>
    <w:p w14:paraId="6AC38644">
      <w:pPr>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br w:type="page"/>
      </w:r>
    </w:p>
    <w:p w14:paraId="15CF62A7">
      <w:pPr>
        <w:pStyle w:val="3"/>
        <w:numPr>
          <w:ilvl w:val="0"/>
          <w:numId w:val="0"/>
        </w:numPr>
        <w:bidi w:val="0"/>
        <w:ind w:leftChars="0"/>
        <w:jc w:val="center"/>
        <w:rPr>
          <w:rFonts w:hint="eastAsia" w:ascii="宋体" w:hAnsi="宋体" w:eastAsia="宋体" w:cs="宋体"/>
          <w:highlight w:val="none"/>
          <w:lang w:val="en-US" w:eastAsia="zh-CN"/>
        </w:rPr>
      </w:pPr>
      <w:bookmarkStart w:id="239" w:name="_Toc6226"/>
      <w:bookmarkStart w:id="240" w:name="_Toc16369"/>
      <w:r>
        <w:rPr>
          <w:rFonts w:hint="eastAsia" w:ascii="宋体" w:hAnsi="宋体" w:eastAsia="宋体" w:cs="宋体"/>
          <w:highlight w:val="none"/>
          <w:lang w:val="en-US" w:eastAsia="zh-CN"/>
        </w:rPr>
        <w:t>八、</w:t>
      </w:r>
      <w:r>
        <w:rPr>
          <w:rFonts w:hint="eastAsia" w:ascii="宋体" w:hAnsi="宋体" w:eastAsia="宋体" w:cs="宋体"/>
          <w:szCs w:val="28"/>
          <w:highlight w:val="none"/>
          <w:lang w:val="en-US" w:eastAsia="zh-CN"/>
        </w:rPr>
        <w:t>享受政府采购政策扶持的证明材料</w:t>
      </w:r>
      <w:bookmarkEnd w:id="239"/>
      <w:bookmarkEnd w:id="240"/>
    </w:p>
    <w:p w14:paraId="258D8691">
      <w:pPr>
        <w:keepNext w:val="0"/>
        <w:keepLines w:val="0"/>
        <w:pageBreakBefore w:val="0"/>
        <w:kinsoku/>
        <w:wordWrap/>
        <w:overflowPunct/>
        <w:topLinePunct w:val="0"/>
        <w:autoSpaceDE/>
        <w:autoSpaceDN/>
        <w:bidi w:val="0"/>
        <w:adjustRightInd/>
        <w:snapToGrid/>
        <w:spacing w:before="72" w:line="480" w:lineRule="auto"/>
        <w:jc w:val="center"/>
        <w:textAlignment w:val="auto"/>
        <w:outlineLvl w:val="6"/>
        <w:rPr>
          <w:rFonts w:hint="eastAsia" w:ascii="宋体" w:hAnsi="宋体" w:eastAsia="宋体" w:cs="宋体"/>
          <w:b/>
          <w:bCs/>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中小企业声明函(服务类)</w:t>
      </w:r>
    </w:p>
    <w:p w14:paraId="5A6DA99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（属于中小微企业的填写，不属于的无需填写此项内容）</w:t>
      </w:r>
    </w:p>
    <w:p w14:paraId="1E9E7BAF">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本公司（联合体）郑重声明，根据《政府采购促进中小企业发展管理办法》（财库﹝2020﹞46号）的规定，本公司（联合体）参加</w:t>
      </w:r>
      <w:r>
        <w:rPr>
          <w:rFonts w:hint="eastAsia" w:ascii="宋体" w:hAnsi="宋体" w:eastAsia="宋体" w:cs="宋体"/>
          <w:sz w:val="21"/>
          <w:szCs w:val="20"/>
          <w:highlight w:val="none"/>
          <w:u w:val="single"/>
          <w:lang w:val="en-US" w:eastAsia="zh-CN"/>
        </w:rPr>
        <w:t>（单位名称）</w:t>
      </w:r>
      <w:r>
        <w:rPr>
          <w:rFonts w:hint="eastAsia" w:ascii="宋体" w:hAnsi="宋体" w:eastAsia="宋体" w:cs="宋体"/>
          <w:sz w:val="21"/>
          <w:szCs w:val="20"/>
          <w:highlight w:val="none"/>
          <w:lang w:val="en-US" w:eastAsia="zh-CN"/>
        </w:rPr>
        <w:t>的</w:t>
      </w:r>
      <w:r>
        <w:rPr>
          <w:rFonts w:hint="eastAsia" w:ascii="宋体" w:hAnsi="宋体" w:eastAsia="宋体" w:cs="宋体"/>
          <w:sz w:val="21"/>
          <w:szCs w:val="20"/>
          <w:highlight w:val="none"/>
          <w:u w:val="single"/>
          <w:lang w:val="en-US" w:eastAsia="zh-CN"/>
        </w:rPr>
        <w:t>（项目名称）</w:t>
      </w:r>
      <w:r>
        <w:rPr>
          <w:rFonts w:hint="eastAsia" w:ascii="宋体" w:hAnsi="宋体" w:eastAsia="宋体" w:cs="宋体"/>
          <w:sz w:val="21"/>
          <w:szCs w:val="20"/>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DFED454">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1.</w:t>
      </w:r>
      <w:r>
        <w:rPr>
          <w:rFonts w:hint="eastAsia" w:ascii="宋体" w:hAnsi="宋体" w:eastAsia="宋体" w:cs="宋体"/>
          <w:sz w:val="21"/>
          <w:szCs w:val="20"/>
          <w:highlight w:val="none"/>
          <w:u w:val="single"/>
          <w:lang w:val="en-US" w:eastAsia="zh-CN"/>
        </w:rPr>
        <w:t>（标的名称）</w:t>
      </w:r>
      <w:r>
        <w:rPr>
          <w:rFonts w:hint="eastAsia" w:ascii="宋体" w:hAnsi="宋体" w:eastAsia="宋体" w:cs="宋体"/>
          <w:sz w:val="21"/>
          <w:szCs w:val="20"/>
          <w:highlight w:val="none"/>
          <w:lang w:val="en-US" w:eastAsia="zh-CN"/>
        </w:rPr>
        <w:t>，属于</w:t>
      </w:r>
      <w:r>
        <w:rPr>
          <w:rFonts w:hint="eastAsia" w:ascii="宋体" w:hAnsi="宋体" w:cs="宋体"/>
          <w:sz w:val="21"/>
          <w:szCs w:val="20"/>
          <w:highlight w:val="none"/>
          <w:u w:val="single"/>
          <w:lang w:val="en-US" w:eastAsia="zh-CN"/>
        </w:rPr>
        <w:t>（采购文件中明确的所属行业）</w:t>
      </w:r>
      <w:r>
        <w:rPr>
          <w:rFonts w:hint="eastAsia" w:ascii="宋体" w:hAnsi="宋体" w:eastAsia="宋体" w:cs="宋体"/>
          <w:sz w:val="21"/>
          <w:szCs w:val="20"/>
          <w:highlight w:val="none"/>
          <w:lang w:val="en-US" w:eastAsia="zh-CN"/>
        </w:rPr>
        <w:t>；承建（承接）企业为</w:t>
      </w:r>
      <w:r>
        <w:rPr>
          <w:rFonts w:hint="eastAsia" w:ascii="宋体" w:hAnsi="宋体" w:eastAsia="宋体" w:cs="宋体"/>
          <w:sz w:val="21"/>
          <w:szCs w:val="20"/>
          <w:highlight w:val="none"/>
          <w:u w:val="single"/>
          <w:lang w:val="en-US" w:eastAsia="zh-CN"/>
        </w:rPr>
        <w:t>（企业名称）</w:t>
      </w:r>
      <w:r>
        <w:rPr>
          <w:rFonts w:hint="eastAsia" w:ascii="宋体" w:hAnsi="宋体" w:eastAsia="宋体" w:cs="宋体"/>
          <w:sz w:val="21"/>
          <w:szCs w:val="20"/>
          <w:highlight w:val="none"/>
          <w:lang w:val="en-US" w:eastAsia="zh-CN"/>
        </w:rPr>
        <w:t>，从业人员</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人，营业收入为</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万元，资产总额为</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万元，属于</w:t>
      </w:r>
      <w:r>
        <w:rPr>
          <w:rFonts w:hint="eastAsia" w:ascii="宋体" w:hAnsi="宋体" w:eastAsia="宋体" w:cs="宋体"/>
          <w:sz w:val="21"/>
          <w:szCs w:val="20"/>
          <w:highlight w:val="none"/>
          <w:u w:val="single"/>
          <w:lang w:val="en-US" w:eastAsia="zh-CN"/>
        </w:rPr>
        <w:t>（中型企业、小型企业、微型企业）</w:t>
      </w:r>
      <w:r>
        <w:rPr>
          <w:rFonts w:hint="eastAsia" w:ascii="宋体" w:hAnsi="宋体" w:eastAsia="宋体" w:cs="宋体"/>
          <w:sz w:val="21"/>
          <w:szCs w:val="20"/>
          <w:highlight w:val="none"/>
          <w:lang w:val="en-US" w:eastAsia="zh-CN"/>
        </w:rPr>
        <w:t>；</w:t>
      </w:r>
    </w:p>
    <w:p w14:paraId="5C209FED">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2.</w:t>
      </w:r>
      <w:r>
        <w:rPr>
          <w:rFonts w:hint="eastAsia" w:ascii="宋体" w:hAnsi="宋体" w:eastAsia="宋体" w:cs="宋体"/>
          <w:sz w:val="21"/>
          <w:szCs w:val="20"/>
          <w:highlight w:val="none"/>
          <w:u w:val="single"/>
          <w:lang w:val="en-US" w:eastAsia="zh-CN"/>
        </w:rPr>
        <w:t>（标的名称）</w:t>
      </w:r>
      <w:r>
        <w:rPr>
          <w:rFonts w:hint="eastAsia" w:ascii="宋体" w:hAnsi="宋体" w:eastAsia="宋体" w:cs="宋体"/>
          <w:sz w:val="21"/>
          <w:szCs w:val="20"/>
          <w:highlight w:val="none"/>
          <w:lang w:val="en-US" w:eastAsia="zh-CN"/>
        </w:rPr>
        <w:t>，属于</w:t>
      </w:r>
      <w:r>
        <w:rPr>
          <w:rFonts w:hint="eastAsia" w:ascii="宋体" w:hAnsi="宋体" w:cs="宋体"/>
          <w:sz w:val="21"/>
          <w:szCs w:val="20"/>
          <w:highlight w:val="none"/>
          <w:u w:val="single"/>
          <w:lang w:val="en-US" w:eastAsia="zh-CN"/>
        </w:rPr>
        <w:t>（采购文件中明确的所属行业）</w:t>
      </w:r>
      <w:r>
        <w:rPr>
          <w:rFonts w:hint="eastAsia" w:ascii="宋体" w:hAnsi="宋体" w:eastAsia="宋体" w:cs="宋体"/>
          <w:sz w:val="21"/>
          <w:szCs w:val="20"/>
          <w:highlight w:val="none"/>
          <w:lang w:val="en-US" w:eastAsia="zh-CN"/>
        </w:rPr>
        <w:t>；承建（承接）企业为</w:t>
      </w:r>
      <w:r>
        <w:rPr>
          <w:rFonts w:hint="eastAsia" w:ascii="宋体" w:hAnsi="宋体" w:eastAsia="宋体" w:cs="宋体"/>
          <w:sz w:val="21"/>
          <w:szCs w:val="20"/>
          <w:highlight w:val="none"/>
          <w:u w:val="single"/>
          <w:lang w:val="en-US" w:eastAsia="zh-CN"/>
        </w:rPr>
        <w:t>（企业名称）</w:t>
      </w:r>
      <w:r>
        <w:rPr>
          <w:rFonts w:hint="eastAsia" w:ascii="宋体" w:hAnsi="宋体" w:eastAsia="宋体" w:cs="宋体"/>
          <w:sz w:val="21"/>
          <w:szCs w:val="20"/>
          <w:highlight w:val="none"/>
          <w:lang w:val="en-US" w:eastAsia="zh-CN"/>
        </w:rPr>
        <w:t>，从业人员</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人，营业收入为</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万元，资产总额为</w:t>
      </w:r>
      <w:r>
        <w:rPr>
          <w:rFonts w:hint="eastAsia" w:ascii="宋体" w:hAnsi="宋体" w:eastAsia="宋体" w:cs="宋体"/>
          <w:sz w:val="21"/>
          <w:szCs w:val="20"/>
          <w:highlight w:val="none"/>
          <w:u w:val="single"/>
          <w:lang w:val="en-US" w:eastAsia="zh-CN"/>
        </w:rPr>
        <w:t xml:space="preserve">     </w:t>
      </w:r>
      <w:r>
        <w:rPr>
          <w:rFonts w:hint="eastAsia" w:ascii="宋体" w:hAnsi="宋体" w:eastAsia="宋体" w:cs="宋体"/>
          <w:sz w:val="21"/>
          <w:szCs w:val="20"/>
          <w:highlight w:val="none"/>
          <w:lang w:val="en-US" w:eastAsia="zh-CN"/>
        </w:rPr>
        <w:t xml:space="preserve"> 万元，属于</w:t>
      </w:r>
      <w:r>
        <w:rPr>
          <w:rFonts w:hint="eastAsia" w:ascii="宋体" w:hAnsi="宋体" w:eastAsia="宋体" w:cs="宋体"/>
          <w:sz w:val="21"/>
          <w:szCs w:val="20"/>
          <w:highlight w:val="none"/>
          <w:u w:val="single"/>
          <w:lang w:val="en-US" w:eastAsia="zh-CN"/>
        </w:rPr>
        <w:t>（中型企业、小型企业、微型企业）</w:t>
      </w:r>
      <w:r>
        <w:rPr>
          <w:rFonts w:hint="eastAsia" w:ascii="宋体" w:hAnsi="宋体" w:eastAsia="宋体" w:cs="宋体"/>
          <w:sz w:val="21"/>
          <w:szCs w:val="20"/>
          <w:highlight w:val="none"/>
          <w:lang w:val="en-US" w:eastAsia="zh-CN"/>
        </w:rPr>
        <w:t>。</w:t>
      </w:r>
    </w:p>
    <w:p w14:paraId="0DA2C1C3">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w:t>
      </w:r>
    </w:p>
    <w:p w14:paraId="40B7E8B5">
      <w:pPr>
        <w:pStyle w:val="9"/>
        <w:keepNext w:val="0"/>
        <w:keepLines w:val="0"/>
        <w:pageBreakBefore w:val="0"/>
        <w:kinsoku/>
        <w:wordWrap/>
        <w:overflowPunct/>
        <w:topLinePunct w:val="0"/>
        <w:autoSpaceDE/>
        <w:autoSpaceDN/>
        <w:bidi w:val="0"/>
        <w:adjustRightInd/>
        <w:snapToGrid/>
        <w:spacing w:before="108" w:line="480" w:lineRule="auto"/>
        <w:ind w:left="0" w:leftChars="0" w:right="417"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以上企业，不属于大企业的分支机构，不存在控股股东为大企业的情形，也不存在与大企业的负责人为同一人的情形。</w:t>
      </w:r>
    </w:p>
    <w:p w14:paraId="0414D8B2">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2"/>
          <w:szCs w:val="21"/>
          <w:highlight w:val="none"/>
        </w:rPr>
      </w:pPr>
      <w:r>
        <w:rPr>
          <w:rFonts w:hint="eastAsia" w:ascii="宋体" w:hAnsi="宋体" w:eastAsia="宋体" w:cs="宋体"/>
          <w:kern w:val="2"/>
          <w:sz w:val="21"/>
          <w:szCs w:val="21"/>
          <w:highlight w:val="none"/>
          <w:lang w:val="en-US" w:eastAsia="zh-CN" w:bidi="ar-SA"/>
        </w:rPr>
        <w:t>本企业对上述声明内容的真实性负责。如有虚假，将依法承担相应责任。</w:t>
      </w:r>
    </w:p>
    <w:p w14:paraId="3B981171">
      <w:pPr>
        <w:keepNext w:val="0"/>
        <w:keepLines w:val="0"/>
        <w:pageBreakBefore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color w:val="auto"/>
          <w:kern w:val="2"/>
          <w:szCs w:val="21"/>
          <w:highlight w:val="none"/>
        </w:rPr>
      </w:pPr>
    </w:p>
    <w:p w14:paraId="24949B28">
      <w:pPr>
        <w:keepNext w:val="0"/>
        <w:keepLines w:val="0"/>
        <w:pageBreakBefore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企业名称：</w:t>
      </w:r>
      <w:r>
        <w:rPr>
          <w:rFonts w:hint="eastAsia" w:ascii="宋体" w:hAnsi="宋体" w:eastAsia="宋体" w:cs="宋体"/>
          <w:color w:val="auto"/>
          <w:kern w:val="2"/>
          <w:szCs w:val="21"/>
          <w:highlight w:val="none"/>
          <w:u w:val="single"/>
        </w:rPr>
        <w:t>　</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lang w:val="en-US" w:eastAsia="zh-CN"/>
        </w:rPr>
        <w:t>企业</w:t>
      </w:r>
      <w:r>
        <w:rPr>
          <w:rFonts w:hint="eastAsia" w:ascii="宋体" w:hAnsi="宋体" w:eastAsia="宋体" w:cs="宋体"/>
          <w:szCs w:val="21"/>
          <w:highlight w:val="none"/>
        </w:rPr>
        <w:t>电子签章</w:t>
      </w:r>
      <w:r>
        <w:rPr>
          <w:rFonts w:hint="eastAsia" w:ascii="宋体" w:hAnsi="宋体" w:eastAsia="宋体" w:cs="宋体"/>
          <w:color w:val="auto"/>
          <w:kern w:val="1"/>
          <w:szCs w:val="21"/>
          <w:highlight w:val="none"/>
        </w:rPr>
        <w:t>）</w:t>
      </w:r>
    </w:p>
    <w:p w14:paraId="35B589F3">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日 期：</w:t>
      </w:r>
    </w:p>
    <w:p w14:paraId="44D465C5">
      <w:pP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br w:type="page"/>
      </w:r>
    </w:p>
    <w:p w14:paraId="078A74B2">
      <w:pPr>
        <w:spacing w:line="360" w:lineRule="auto"/>
        <w:jc w:val="center"/>
        <w:rPr>
          <w:rFonts w:hint="eastAsia" w:ascii="宋体" w:hAnsi="宋体" w:eastAsia="宋体" w:cs="宋体"/>
          <w:b/>
          <w:bCs/>
          <w:sz w:val="28"/>
          <w:szCs w:val="28"/>
          <w:highlight w:val="none"/>
        </w:rPr>
      </w:pPr>
      <w:bookmarkStart w:id="241" w:name="_Toc30700"/>
      <w:bookmarkStart w:id="242" w:name="_Toc27749"/>
      <w:r>
        <w:rPr>
          <w:rFonts w:hint="eastAsia" w:ascii="宋体" w:hAnsi="宋体" w:eastAsia="宋体" w:cs="宋体"/>
          <w:b/>
          <w:bCs/>
          <w:sz w:val="28"/>
          <w:szCs w:val="28"/>
          <w:highlight w:val="none"/>
        </w:rPr>
        <w:t>大中小微型企业划分标准</w:t>
      </w:r>
      <w:bookmarkEnd w:id="241"/>
      <w:bookmarkEnd w:id="242"/>
    </w:p>
    <w:tbl>
      <w:tblPr>
        <w:tblStyle w:val="2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23D9BB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75F8D22E">
            <w:pPr>
              <w:widowControl/>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6C3E7F67">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74C8D3F7">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计量</w:t>
            </w:r>
          </w:p>
          <w:p w14:paraId="3E8BAC38">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57228210">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3048F11F">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66389E6A">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小型</w:t>
            </w:r>
          </w:p>
        </w:tc>
        <w:tc>
          <w:tcPr>
            <w:tcW w:w="992" w:type="dxa"/>
            <w:tcBorders>
              <w:top w:val="single" w:color="auto" w:sz="4" w:space="0"/>
              <w:left w:val="nil"/>
              <w:bottom w:val="single" w:color="auto" w:sz="4" w:space="0"/>
              <w:right w:val="nil"/>
            </w:tcBorders>
            <w:vAlign w:val="center"/>
          </w:tcPr>
          <w:p w14:paraId="568091A2">
            <w:pPr>
              <w:widowControl/>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微型</w:t>
            </w:r>
          </w:p>
        </w:tc>
      </w:tr>
      <w:tr w14:paraId="3B49911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152AB40">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556E62B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523867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656F20B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701" w:type="dxa"/>
            <w:tcBorders>
              <w:top w:val="nil"/>
              <w:left w:val="nil"/>
              <w:bottom w:val="single" w:color="auto" w:sz="4" w:space="0"/>
              <w:right w:val="single" w:color="auto" w:sz="4" w:space="0"/>
            </w:tcBorders>
            <w:vAlign w:val="center"/>
          </w:tcPr>
          <w:p w14:paraId="621F913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500≤Y＜20000</w:t>
            </w:r>
          </w:p>
        </w:tc>
        <w:tc>
          <w:tcPr>
            <w:tcW w:w="1426" w:type="dxa"/>
            <w:tcBorders>
              <w:top w:val="nil"/>
              <w:left w:val="nil"/>
              <w:bottom w:val="single" w:color="auto" w:sz="4" w:space="0"/>
              <w:right w:val="single" w:color="auto" w:sz="4" w:space="0"/>
            </w:tcBorders>
            <w:vAlign w:val="center"/>
          </w:tcPr>
          <w:p w14:paraId="47CF68B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50≤Y＜500</w:t>
            </w:r>
          </w:p>
        </w:tc>
        <w:tc>
          <w:tcPr>
            <w:tcW w:w="992" w:type="dxa"/>
            <w:tcBorders>
              <w:top w:val="nil"/>
              <w:left w:val="nil"/>
              <w:bottom w:val="single" w:color="auto" w:sz="4" w:space="0"/>
              <w:right w:val="nil"/>
            </w:tcBorders>
            <w:vAlign w:val="center"/>
          </w:tcPr>
          <w:p w14:paraId="6CE8151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w:t>
            </w:r>
          </w:p>
        </w:tc>
      </w:tr>
      <w:tr w14:paraId="4B3C8E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2A0B6E4">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工业 *</w:t>
            </w:r>
          </w:p>
        </w:tc>
        <w:tc>
          <w:tcPr>
            <w:tcW w:w="1369" w:type="dxa"/>
            <w:tcBorders>
              <w:top w:val="nil"/>
              <w:left w:val="nil"/>
              <w:bottom w:val="nil"/>
              <w:right w:val="single" w:color="auto" w:sz="4" w:space="0"/>
            </w:tcBorders>
            <w:vAlign w:val="center"/>
          </w:tcPr>
          <w:p w14:paraId="7588796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2317C68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073A175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701" w:type="dxa"/>
            <w:tcBorders>
              <w:top w:val="nil"/>
              <w:left w:val="nil"/>
              <w:bottom w:val="nil"/>
              <w:right w:val="single" w:color="auto" w:sz="4" w:space="0"/>
            </w:tcBorders>
            <w:vAlign w:val="center"/>
          </w:tcPr>
          <w:p w14:paraId="171E4201">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300≤X＜1000</w:t>
            </w:r>
          </w:p>
        </w:tc>
        <w:tc>
          <w:tcPr>
            <w:tcW w:w="1426" w:type="dxa"/>
            <w:tcBorders>
              <w:top w:val="nil"/>
              <w:left w:val="nil"/>
              <w:bottom w:val="nil"/>
              <w:right w:val="single" w:color="auto" w:sz="4" w:space="0"/>
            </w:tcBorders>
            <w:vAlign w:val="center"/>
          </w:tcPr>
          <w:p w14:paraId="2365548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20≤X＜300</w:t>
            </w:r>
          </w:p>
        </w:tc>
        <w:tc>
          <w:tcPr>
            <w:tcW w:w="992" w:type="dxa"/>
            <w:tcBorders>
              <w:top w:val="nil"/>
              <w:left w:val="nil"/>
              <w:bottom w:val="nil"/>
              <w:right w:val="nil"/>
            </w:tcBorders>
            <w:vAlign w:val="center"/>
          </w:tcPr>
          <w:p w14:paraId="714401A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w:t>
            </w:r>
          </w:p>
        </w:tc>
      </w:tr>
      <w:tr w14:paraId="53875F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4CAEE3">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7F205234">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06F553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2ABF67B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701" w:type="dxa"/>
            <w:tcBorders>
              <w:top w:val="nil"/>
              <w:left w:val="nil"/>
              <w:bottom w:val="single" w:color="auto" w:sz="4" w:space="0"/>
              <w:right w:val="single" w:color="auto" w:sz="4" w:space="0"/>
            </w:tcBorders>
            <w:vAlign w:val="center"/>
          </w:tcPr>
          <w:p w14:paraId="3878F3C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2000≤Y＜40000</w:t>
            </w:r>
          </w:p>
        </w:tc>
        <w:tc>
          <w:tcPr>
            <w:tcW w:w="1426" w:type="dxa"/>
            <w:tcBorders>
              <w:top w:val="nil"/>
              <w:left w:val="nil"/>
              <w:bottom w:val="single" w:color="auto" w:sz="4" w:space="0"/>
              <w:right w:val="single" w:color="auto" w:sz="4" w:space="0"/>
            </w:tcBorders>
            <w:vAlign w:val="center"/>
          </w:tcPr>
          <w:p w14:paraId="3698EFC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300≤Y＜2000</w:t>
            </w:r>
          </w:p>
        </w:tc>
        <w:tc>
          <w:tcPr>
            <w:tcW w:w="992" w:type="dxa"/>
            <w:tcBorders>
              <w:top w:val="nil"/>
              <w:left w:val="nil"/>
              <w:bottom w:val="single" w:color="auto" w:sz="4" w:space="0"/>
              <w:right w:val="nil"/>
            </w:tcBorders>
            <w:vAlign w:val="center"/>
          </w:tcPr>
          <w:p w14:paraId="6BF3538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w:t>
            </w:r>
          </w:p>
        </w:tc>
      </w:tr>
      <w:tr w14:paraId="4D9C179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0001EEE">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建筑业</w:t>
            </w:r>
          </w:p>
        </w:tc>
        <w:tc>
          <w:tcPr>
            <w:tcW w:w="1369" w:type="dxa"/>
            <w:tcBorders>
              <w:top w:val="nil"/>
              <w:left w:val="nil"/>
              <w:bottom w:val="nil"/>
              <w:right w:val="single" w:color="auto" w:sz="4" w:space="0"/>
            </w:tcBorders>
            <w:vAlign w:val="center"/>
          </w:tcPr>
          <w:p w14:paraId="5F3618D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nil"/>
              <w:right w:val="single" w:color="auto" w:sz="4" w:space="0"/>
            </w:tcBorders>
            <w:vAlign w:val="center"/>
          </w:tcPr>
          <w:p w14:paraId="0D983B9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nil"/>
              <w:right w:val="single" w:color="auto" w:sz="4" w:space="0"/>
            </w:tcBorders>
            <w:vAlign w:val="center"/>
          </w:tcPr>
          <w:p w14:paraId="7B899C0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Y≥80000</w:t>
            </w:r>
          </w:p>
        </w:tc>
        <w:tc>
          <w:tcPr>
            <w:tcW w:w="1701" w:type="dxa"/>
            <w:tcBorders>
              <w:top w:val="nil"/>
              <w:left w:val="nil"/>
              <w:bottom w:val="nil"/>
              <w:right w:val="single" w:color="auto" w:sz="4" w:space="0"/>
            </w:tcBorders>
            <w:vAlign w:val="center"/>
          </w:tcPr>
          <w:p w14:paraId="27E2BAB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6000≤Y＜80000</w:t>
            </w:r>
          </w:p>
        </w:tc>
        <w:tc>
          <w:tcPr>
            <w:tcW w:w="1426" w:type="dxa"/>
            <w:tcBorders>
              <w:top w:val="nil"/>
              <w:left w:val="nil"/>
              <w:bottom w:val="nil"/>
              <w:right w:val="single" w:color="auto" w:sz="4" w:space="0"/>
            </w:tcBorders>
            <w:vAlign w:val="center"/>
          </w:tcPr>
          <w:p w14:paraId="685F1E3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300≤Y＜6000</w:t>
            </w:r>
          </w:p>
        </w:tc>
        <w:tc>
          <w:tcPr>
            <w:tcW w:w="992" w:type="dxa"/>
            <w:tcBorders>
              <w:top w:val="nil"/>
              <w:left w:val="nil"/>
              <w:bottom w:val="nil"/>
              <w:right w:val="nil"/>
            </w:tcBorders>
            <w:vAlign w:val="center"/>
          </w:tcPr>
          <w:p w14:paraId="0F59A72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w:t>
            </w:r>
          </w:p>
        </w:tc>
      </w:tr>
      <w:tr w14:paraId="786F6E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89CC47">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01F425F7">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资产总额(Z)</w:t>
            </w:r>
          </w:p>
        </w:tc>
        <w:tc>
          <w:tcPr>
            <w:tcW w:w="709" w:type="dxa"/>
            <w:tcBorders>
              <w:top w:val="nil"/>
              <w:left w:val="nil"/>
              <w:bottom w:val="single" w:color="auto" w:sz="4" w:space="0"/>
              <w:right w:val="single" w:color="auto" w:sz="4" w:space="0"/>
            </w:tcBorders>
            <w:vAlign w:val="center"/>
          </w:tcPr>
          <w:p w14:paraId="750E411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21A6348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Z≥80000</w:t>
            </w:r>
          </w:p>
        </w:tc>
        <w:tc>
          <w:tcPr>
            <w:tcW w:w="1701" w:type="dxa"/>
            <w:tcBorders>
              <w:top w:val="nil"/>
              <w:left w:val="nil"/>
              <w:bottom w:val="single" w:color="auto" w:sz="4" w:space="0"/>
              <w:right w:val="single" w:color="auto" w:sz="4" w:space="0"/>
            </w:tcBorders>
            <w:vAlign w:val="center"/>
          </w:tcPr>
          <w:p w14:paraId="07E5B9C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5000≤Z＜80000</w:t>
            </w:r>
          </w:p>
        </w:tc>
        <w:tc>
          <w:tcPr>
            <w:tcW w:w="1426" w:type="dxa"/>
            <w:tcBorders>
              <w:top w:val="nil"/>
              <w:left w:val="nil"/>
              <w:bottom w:val="single" w:color="auto" w:sz="4" w:space="0"/>
              <w:right w:val="single" w:color="auto" w:sz="4" w:space="0"/>
            </w:tcBorders>
            <w:vAlign w:val="center"/>
          </w:tcPr>
          <w:p w14:paraId="3DFF30C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300≤Z＜5000</w:t>
            </w:r>
          </w:p>
        </w:tc>
        <w:tc>
          <w:tcPr>
            <w:tcW w:w="992" w:type="dxa"/>
            <w:tcBorders>
              <w:top w:val="nil"/>
              <w:left w:val="nil"/>
              <w:bottom w:val="single" w:color="auto" w:sz="4" w:space="0"/>
              <w:right w:val="nil"/>
            </w:tcBorders>
            <w:vAlign w:val="center"/>
          </w:tcPr>
          <w:p w14:paraId="60FEB03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Z＜300</w:t>
            </w:r>
          </w:p>
        </w:tc>
      </w:tr>
      <w:tr w14:paraId="2B2079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9444186">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批发业</w:t>
            </w:r>
          </w:p>
        </w:tc>
        <w:tc>
          <w:tcPr>
            <w:tcW w:w="1369" w:type="dxa"/>
            <w:tcBorders>
              <w:top w:val="nil"/>
              <w:left w:val="nil"/>
              <w:bottom w:val="nil"/>
              <w:right w:val="single" w:color="auto" w:sz="4" w:space="0"/>
            </w:tcBorders>
            <w:vAlign w:val="center"/>
          </w:tcPr>
          <w:p w14:paraId="0E0C1E9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033919D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6DFB300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701" w:type="dxa"/>
            <w:tcBorders>
              <w:top w:val="nil"/>
              <w:left w:val="nil"/>
              <w:bottom w:val="nil"/>
              <w:right w:val="single" w:color="auto" w:sz="4" w:space="0"/>
            </w:tcBorders>
            <w:vAlign w:val="center"/>
          </w:tcPr>
          <w:p w14:paraId="786025E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20≤X＜200</w:t>
            </w:r>
          </w:p>
        </w:tc>
        <w:tc>
          <w:tcPr>
            <w:tcW w:w="1426" w:type="dxa"/>
            <w:tcBorders>
              <w:top w:val="nil"/>
              <w:left w:val="nil"/>
              <w:bottom w:val="nil"/>
              <w:right w:val="single" w:color="auto" w:sz="4" w:space="0"/>
            </w:tcBorders>
            <w:vAlign w:val="center"/>
          </w:tcPr>
          <w:p w14:paraId="0B6E44F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5≤X＜20</w:t>
            </w:r>
          </w:p>
        </w:tc>
        <w:tc>
          <w:tcPr>
            <w:tcW w:w="992" w:type="dxa"/>
            <w:tcBorders>
              <w:top w:val="nil"/>
              <w:left w:val="nil"/>
              <w:bottom w:val="nil"/>
              <w:right w:val="nil"/>
            </w:tcBorders>
            <w:vAlign w:val="center"/>
          </w:tcPr>
          <w:p w14:paraId="2473A57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X＜5</w:t>
            </w:r>
          </w:p>
        </w:tc>
      </w:tr>
      <w:tr w14:paraId="48E31B5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008076">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0F6A20C1">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DB9511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35EF464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701" w:type="dxa"/>
            <w:tcBorders>
              <w:top w:val="nil"/>
              <w:left w:val="nil"/>
              <w:bottom w:val="single" w:color="auto" w:sz="4" w:space="0"/>
              <w:right w:val="single" w:color="auto" w:sz="4" w:space="0"/>
            </w:tcBorders>
            <w:vAlign w:val="center"/>
          </w:tcPr>
          <w:p w14:paraId="5518DE2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5000≤Y＜40000</w:t>
            </w:r>
          </w:p>
        </w:tc>
        <w:tc>
          <w:tcPr>
            <w:tcW w:w="1426" w:type="dxa"/>
            <w:tcBorders>
              <w:top w:val="nil"/>
              <w:left w:val="nil"/>
              <w:bottom w:val="single" w:color="auto" w:sz="4" w:space="0"/>
              <w:right w:val="single" w:color="auto" w:sz="4" w:space="0"/>
            </w:tcBorders>
            <w:vAlign w:val="center"/>
          </w:tcPr>
          <w:p w14:paraId="7A23C156">
            <w:pPr>
              <w:widowControl/>
              <w:ind w:left="-1" w:leftChars="-1" w:hanging="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1000≤Y＜5000</w:t>
            </w:r>
          </w:p>
        </w:tc>
        <w:tc>
          <w:tcPr>
            <w:tcW w:w="992" w:type="dxa"/>
            <w:tcBorders>
              <w:top w:val="nil"/>
              <w:left w:val="nil"/>
              <w:bottom w:val="single" w:color="auto" w:sz="4" w:space="0"/>
              <w:right w:val="nil"/>
            </w:tcBorders>
            <w:vAlign w:val="center"/>
          </w:tcPr>
          <w:p w14:paraId="0C556E6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w:t>
            </w:r>
          </w:p>
        </w:tc>
      </w:tr>
      <w:tr w14:paraId="07B12CD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9DE0C10">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零售业</w:t>
            </w:r>
          </w:p>
        </w:tc>
        <w:tc>
          <w:tcPr>
            <w:tcW w:w="1369" w:type="dxa"/>
            <w:tcBorders>
              <w:top w:val="nil"/>
              <w:left w:val="nil"/>
              <w:bottom w:val="nil"/>
              <w:right w:val="single" w:color="auto" w:sz="4" w:space="0"/>
            </w:tcBorders>
            <w:vAlign w:val="center"/>
          </w:tcPr>
          <w:p w14:paraId="68A75EA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0743A0D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36103E51">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nil"/>
              <w:right w:val="single" w:color="auto" w:sz="4" w:space="0"/>
            </w:tcBorders>
            <w:vAlign w:val="center"/>
          </w:tcPr>
          <w:p w14:paraId="4DEBF05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50≤X＜300</w:t>
            </w:r>
          </w:p>
        </w:tc>
        <w:tc>
          <w:tcPr>
            <w:tcW w:w="1426" w:type="dxa"/>
            <w:tcBorders>
              <w:top w:val="nil"/>
              <w:left w:val="nil"/>
              <w:bottom w:val="nil"/>
              <w:right w:val="single" w:color="auto" w:sz="4" w:space="0"/>
            </w:tcBorders>
            <w:vAlign w:val="center"/>
          </w:tcPr>
          <w:p w14:paraId="00243EFD">
            <w:pPr>
              <w:widowControl/>
              <w:ind w:left="-1" w:leftChars="-1" w:hanging="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10≤X＜50 </w:t>
            </w:r>
          </w:p>
        </w:tc>
        <w:tc>
          <w:tcPr>
            <w:tcW w:w="992" w:type="dxa"/>
            <w:tcBorders>
              <w:top w:val="nil"/>
              <w:left w:val="nil"/>
              <w:bottom w:val="nil"/>
              <w:right w:val="nil"/>
            </w:tcBorders>
            <w:vAlign w:val="center"/>
          </w:tcPr>
          <w:p w14:paraId="2AB280E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68C8E7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7A8770">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7FCCE099">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ECC898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66A2D0F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701" w:type="dxa"/>
            <w:tcBorders>
              <w:top w:val="nil"/>
              <w:left w:val="nil"/>
              <w:bottom w:val="single" w:color="auto" w:sz="4" w:space="0"/>
              <w:right w:val="single" w:color="auto" w:sz="4" w:space="0"/>
            </w:tcBorders>
            <w:vAlign w:val="center"/>
          </w:tcPr>
          <w:p w14:paraId="3C58AE6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1EB353C6">
            <w:pPr>
              <w:widowControl/>
              <w:ind w:left="-1" w:leftChars="-1" w:hanging="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100≤Y＜500 </w:t>
            </w:r>
          </w:p>
        </w:tc>
        <w:tc>
          <w:tcPr>
            <w:tcW w:w="992" w:type="dxa"/>
            <w:tcBorders>
              <w:top w:val="nil"/>
              <w:left w:val="nil"/>
              <w:bottom w:val="single" w:color="auto" w:sz="4" w:space="0"/>
              <w:right w:val="nil"/>
            </w:tcBorders>
            <w:vAlign w:val="center"/>
          </w:tcPr>
          <w:p w14:paraId="517BFE8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3149CF9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FD8DDBF">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交通运输业 *</w:t>
            </w:r>
          </w:p>
        </w:tc>
        <w:tc>
          <w:tcPr>
            <w:tcW w:w="1369" w:type="dxa"/>
            <w:tcBorders>
              <w:top w:val="nil"/>
              <w:left w:val="nil"/>
              <w:bottom w:val="nil"/>
              <w:right w:val="single" w:color="auto" w:sz="4" w:space="0"/>
            </w:tcBorders>
            <w:vAlign w:val="center"/>
          </w:tcPr>
          <w:p w14:paraId="5B3293C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749E781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474ABF3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701" w:type="dxa"/>
            <w:tcBorders>
              <w:top w:val="nil"/>
              <w:left w:val="nil"/>
              <w:bottom w:val="nil"/>
              <w:right w:val="single" w:color="auto" w:sz="4" w:space="0"/>
            </w:tcBorders>
            <w:vAlign w:val="center"/>
          </w:tcPr>
          <w:p w14:paraId="5745E95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300≤X＜1000</w:t>
            </w:r>
          </w:p>
        </w:tc>
        <w:tc>
          <w:tcPr>
            <w:tcW w:w="1426" w:type="dxa"/>
            <w:tcBorders>
              <w:top w:val="nil"/>
              <w:left w:val="nil"/>
              <w:bottom w:val="nil"/>
              <w:right w:val="single" w:color="auto" w:sz="4" w:space="0"/>
            </w:tcBorders>
            <w:vAlign w:val="center"/>
          </w:tcPr>
          <w:p w14:paraId="2066B90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20≤X＜300</w:t>
            </w:r>
          </w:p>
        </w:tc>
        <w:tc>
          <w:tcPr>
            <w:tcW w:w="992" w:type="dxa"/>
            <w:tcBorders>
              <w:top w:val="nil"/>
              <w:left w:val="nil"/>
              <w:bottom w:val="nil"/>
              <w:right w:val="nil"/>
            </w:tcBorders>
            <w:vAlign w:val="center"/>
          </w:tcPr>
          <w:p w14:paraId="4392E43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w:t>
            </w:r>
          </w:p>
        </w:tc>
      </w:tr>
      <w:tr w14:paraId="6999078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015B1A">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0E7F3AC9">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13E1AD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753CFD2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701" w:type="dxa"/>
            <w:tcBorders>
              <w:top w:val="nil"/>
              <w:left w:val="nil"/>
              <w:bottom w:val="single" w:color="auto" w:sz="4" w:space="0"/>
              <w:right w:val="single" w:color="auto" w:sz="4" w:space="0"/>
            </w:tcBorders>
            <w:vAlign w:val="center"/>
          </w:tcPr>
          <w:p w14:paraId="646170C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3000≤Y＜30000</w:t>
            </w:r>
          </w:p>
        </w:tc>
        <w:tc>
          <w:tcPr>
            <w:tcW w:w="1426" w:type="dxa"/>
            <w:tcBorders>
              <w:top w:val="nil"/>
              <w:left w:val="nil"/>
              <w:bottom w:val="single" w:color="auto" w:sz="4" w:space="0"/>
              <w:right w:val="single" w:color="auto" w:sz="4" w:space="0"/>
            </w:tcBorders>
            <w:vAlign w:val="center"/>
          </w:tcPr>
          <w:p w14:paraId="16264AC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200≤Y＜3000</w:t>
            </w:r>
          </w:p>
        </w:tc>
        <w:tc>
          <w:tcPr>
            <w:tcW w:w="992" w:type="dxa"/>
            <w:tcBorders>
              <w:top w:val="nil"/>
              <w:left w:val="nil"/>
              <w:bottom w:val="single" w:color="auto" w:sz="4" w:space="0"/>
              <w:right w:val="nil"/>
            </w:tcBorders>
            <w:vAlign w:val="center"/>
          </w:tcPr>
          <w:p w14:paraId="1D72E80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w:t>
            </w:r>
          </w:p>
        </w:tc>
      </w:tr>
      <w:tr w14:paraId="6A2803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547A0F4">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仓储业*</w:t>
            </w:r>
          </w:p>
        </w:tc>
        <w:tc>
          <w:tcPr>
            <w:tcW w:w="1369" w:type="dxa"/>
            <w:tcBorders>
              <w:top w:val="nil"/>
              <w:left w:val="nil"/>
              <w:bottom w:val="nil"/>
              <w:right w:val="single" w:color="auto" w:sz="4" w:space="0"/>
            </w:tcBorders>
            <w:vAlign w:val="center"/>
          </w:tcPr>
          <w:p w14:paraId="6664363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62B91F1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0C083D3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701" w:type="dxa"/>
            <w:tcBorders>
              <w:top w:val="nil"/>
              <w:left w:val="nil"/>
              <w:bottom w:val="nil"/>
              <w:right w:val="single" w:color="auto" w:sz="4" w:space="0"/>
            </w:tcBorders>
            <w:vAlign w:val="center"/>
          </w:tcPr>
          <w:p w14:paraId="424DC305">
            <w:pPr>
              <w:widowControl/>
              <w:ind w:left="1" w:leftChars="-51" w:hanging="108" w:hangingChars="6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100≤X＜200</w:t>
            </w:r>
          </w:p>
        </w:tc>
        <w:tc>
          <w:tcPr>
            <w:tcW w:w="1426" w:type="dxa"/>
            <w:tcBorders>
              <w:top w:val="nil"/>
              <w:left w:val="nil"/>
              <w:bottom w:val="nil"/>
              <w:right w:val="single" w:color="auto" w:sz="4" w:space="0"/>
            </w:tcBorders>
            <w:vAlign w:val="center"/>
          </w:tcPr>
          <w:p w14:paraId="3200CB9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20≤X＜100</w:t>
            </w:r>
          </w:p>
        </w:tc>
        <w:tc>
          <w:tcPr>
            <w:tcW w:w="992" w:type="dxa"/>
            <w:tcBorders>
              <w:top w:val="nil"/>
              <w:left w:val="nil"/>
              <w:bottom w:val="nil"/>
              <w:right w:val="nil"/>
            </w:tcBorders>
            <w:vAlign w:val="center"/>
          </w:tcPr>
          <w:p w14:paraId="7C5D52A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w:t>
            </w:r>
          </w:p>
        </w:tc>
      </w:tr>
      <w:tr w14:paraId="73623FA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0EAB52">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19B9194E">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C7ED85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52FDEBE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701" w:type="dxa"/>
            <w:tcBorders>
              <w:top w:val="nil"/>
              <w:left w:val="nil"/>
              <w:bottom w:val="single" w:color="auto" w:sz="4" w:space="0"/>
              <w:right w:val="single" w:color="auto" w:sz="4" w:space="0"/>
            </w:tcBorders>
            <w:vAlign w:val="center"/>
          </w:tcPr>
          <w:p w14:paraId="71EA302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1000≤Y＜30000</w:t>
            </w:r>
          </w:p>
        </w:tc>
        <w:tc>
          <w:tcPr>
            <w:tcW w:w="1426" w:type="dxa"/>
            <w:tcBorders>
              <w:top w:val="nil"/>
              <w:left w:val="nil"/>
              <w:bottom w:val="single" w:color="auto" w:sz="4" w:space="0"/>
              <w:right w:val="single" w:color="auto" w:sz="4" w:space="0"/>
            </w:tcBorders>
            <w:vAlign w:val="center"/>
          </w:tcPr>
          <w:p w14:paraId="24C39D2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100≤Y＜1000</w:t>
            </w:r>
          </w:p>
        </w:tc>
        <w:tc>
          <w:tcPr>
            <w:tcW w:w="992" w:type="dxa"/>
            <w:tcBorders>
              <w:top w:val="nil"/>
              <w:left w:val="nil"/>
              <w:bottom w:val="single" w:color="auto" w:sz="4" w:space="0"/>
              <w:right w:val="nil"/>
            </w:tcBorders>
            <w:vAlign w:val="center"/>
          </w:tcPr>
          <w:p w14:paraId="4DDA7031">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6E9948E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A31C786">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邮政业</w:t>
            </w:r>
          </w:p>
        </w:tc>
        <w:tc>
          <w:tcPr>
            <w:tcW w:w="1369" w:type="dxa"/>
            <w:tcBorders>
              <w:top w:val="nil"/>
              <w:left w:val="nil"/>
              <w:bottom w:val="nil"/>
              <w:right w:val="single" w:color="auto" w:sz="4" w:space="0"/>
            </w:tcBorders>
            <w:vAlign w:val="center"/>
          </w:tcPr>
          <w:p w14:paraId="475C51D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0CC48FC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5E16CAA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701" w:type="dxa"/>
            <w:tcBorders>
              <w:top w:val="nil"/>
              <w:left w:val="nil"/>
              <w:bottom w:val="nil"/>
              <w:right w:val="single" w:color="auto" w:sz="4" w:space="0"/>
            </w:tcBorders>
            <w:vAlign w:val="center"/>
          </w:tcPr>
          <w:p w14:paraId="4D58642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300≤X＜1000</w:t>
            </w:r>
          </w:p>
        </w:tc>
        <w:tc>
          <w:tcPr>
            <w:tcW w:w="1426" w:type="dxa"/>
            <w:tcBorders>
              <w:top w:val="nil"/>
              <w:left w:val="nil"/>
              <w:bottom w:val="nil"/>
              <w:right w:val="single" w:color="auto" w:sz="4" w:space="0"/>
            </w:tcBorders>
            <w:vAlign w:val="center"/>
          </w:tcPr>
          <w:p w14:paraId="796DE39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20≤X＜300</w:t>
            </w:r>
          </w:p>
        </w:tc>
        <w:tc>
          <w:tcPr>
            <w:tcW w:w="992" w:type="dxa"/>
            <w:tcBorders>
              <w:top w:val="nil"/>
              <w:left w:val="nil"/>
              <w:bottom w:val="nil"/>
              <w:right w:val="nil"/>
            </w:tcBorders>
            <w:vAlign w:val="center"/>
          </w:tcPr>
          <w:p w14:paraId="3B04A65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w:t>
            </w:r>
          </w:p>
        </w:tc>
      </w:tr>
      <w:tr w14:paraId="3FC1C12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5F8EA4">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617FE819">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825D79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135BE75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701" w:type="dxa"/>
            <w:tcBorders>
              <w:top w:val="nil"/>
              <w:left w:val="nil"/>
              <w:bottom w:val="single" w:color="auto" w:sz="4" w:space="0"/>
              <w:right w:val="single" w:color="auto" w:sz="4" w:space="0"/>
            </w:tcBorders>
            <w:vAlign w:val="center"/>
          </w:tcPr>
          <w:p w14:paraId="7DE1515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2000≤Y＜30000</w:t>
            </w:r>
          </w:p>
        </w:tc>
        <w:tc>
          <w:tcPr>
            <w:tcW w:w="1426" w:type="dxa"/>
            <w:tcBorders>
              <w:top w:val="nil"/>
              <w:left w:val="nil"/>
              <w:bottom w:val="single" w:color="auto" w:sz="4" w:space="0"/>
              <w:right w:val="single" w:color="auto" w:sz="4" w:space="0"/>
            </w:tcBorders>
            <w:vAlign w:val="center"/>
          </w:tcPr>
          <w:p w14:paraId="1F1497B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100≤Y＜2000</w:t>
            </w:r>
          </w:p>
        </w:tc>
        <w:tc>
          <w:tcPr>
            <w:tcW w:w="992" w:type="dxa"/>
            <w:tcBorders>
              <w:top w:val="nil"/>
              <w:left w:val="nil"/>
              <w:bottom w:val="single" w:color="auto" w:sz="4" w:space="0"/>
              <w:right w:val="nil"/>
            </w:tcBorders>
            <w:vAlign w:val="center"/>
          </w:tcPr>
          <w:p w14:paraId="15A269D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669C5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F79D8E2">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住宿业</w:t>
            </w:r>
          </w:p>
        </w:tc>
        <w:tc>
          <w:tcPr>
            <w:tcW w:w="1369" w:type="dxa"/>
            <w:tcBorders>
              <w:top w:val="nil"/>
              <w:left w:val="nil"/>
              <w:bottom w:val="nil"/>
              <w:right w:val="single" w:color="auto" w:sz="4" w:space="0"/>
            </w:tcBorders>
            <w:vAlign w:val="center"/>
          </w:tcPr>
          <w:p w14:paraId="068A5DC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290AAA8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48E76BC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nil"/>
              <w:right w:val="single" w:color="auto" w:sz="4" w:space="0"/>
            </w:tcBorders>
            <w:vAlign w:val="center"/>
          </w:tcPr>
          <w:p w14:paraId="657E6414">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1426" w:type="dxa"/>
            <w:tcBorders>
              <w:top w:val="nil"/>
              <w:left w:val="nil"/>
              <w:bottom w:val="nil"/>
              <w:right w:val="single" w:color="auto" w:sz="4" w:space="0"/>
            </w:tcBorders>
            <w:vAlign w:val="center"/>
          </w:tcPr>
          <w:p w14:paraId="7483C86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nil"/>
              <w:right w:val="nil"/>
            </w:tcBorders>
            <w:vAlign w:val="center"/>
          </w:tcPr>
          <w:p w14:paraId="2FC0378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099D0F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857051">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34C2CF7F">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9155D1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60D0B1B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701" w:type="dxa"/>
            <w:tcBorders>
              <w:top w:val="nil"/>
              <w:left w:val="nil"/>
              <w:bottom w:val="single" w:color="auto" w:sz="4" w:space="0"/>
              <w:right w:val="single" w:color="auto" w:sz="4" w:space="0"/>
            </w:tcBorders>
            <w:vAlign w:val="center"/>
          </w:tcPr>
          <w:p w14:paraId="65A23D3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2000≤Y＜10000</w:t>
            </w:r>
          </w:p>
        </w:tc>
        <w:tc>
          <w:tcPr>
            <w:tcW w:w="1426" w:type="dxa"/>
            <w:tcBorders>
              <w:top w:val="nil"/>
              <w:left w:val="nil"/>
              <w:bottom w:val="single" w:color="auto" w:sz="4" w:space="0"/>
              <w:right w:val="single" w:color="auto" w:sz="4" w:space="0"/>
            </w:tcBorders>
            <w:vAlign w:val="center"/>
          </w:tcPr>
          <w:p w14:paraId="7067E09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100≤Y＜2000</w:t>
            </w:r>
          </w:p>
        </w:tc>
        <w:tc>
          <w:tcPr>
            <w:tcW w:w="992" w:type="dxa"/>
            <w:tcBorders>
              <w:top w:val="nil"/>
              <w:left w:val="nil"/>
              <w:bottom w:val="single" w:color="auto" w:sz="4" w:space="0"/>
              <w:right w:val="nil"/>
            </w:tcBorders>
            <w:vAlign w:val="center"/>
          </w:tcPr>
          <w:p w14:paraId="6B3849C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52A7A9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73A535B">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餐饮业</w:t>
            </w:r>
          </w:p>
        </w:tc>
        <w:tc>
          <w:tcPr>
            <w:tcW w:w="1369" w:type="dxa"/>
            <w:tcBorders>
              <w:top w:val="nil"/>
              <w:left w:val="nil"/>
              <w:bottom w:val="nil"/>
              <w:right w:val="single" w:color="auto" w:sz="4" w:space="0"/>
            </w:tcBorders>
            <w:vAlign w:val="center"/>
          </w:tcPr>
          <w:p w14:paraId="439BF23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783B33E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3FFE970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nil"/>
              <w:right w:val="single" w:color="auto" w:sz="4" w:space="0"/>
            </w:tcBorders>
            <w:vAlign w:val="center"/>
          </w:tcPr>
          <w:p w14:paraId="4CFB868D">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1426" w:type="dxa"/>
            <w:tcBorders>
              <w:top w:val="nil"/>
              <w:left w:val="nil"/>
              <w:bottom w:val="nil"/>
              <w:right w:val="single" w:color="auto" w:sz="4" w:space="0"/>
            </w:tcBorders>
            <w:vAlign w:val="center"/>
          </w:tcPr>
          <w:p w14:paraId="23B8232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nil"/>
              <w:right w:val="nil"/>
            </w:tcBorders>
            <w:vAlign w:val="center"/>
          </w:tcPr>
          <w:p w14:paraId="0B9D9A0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1F3AE75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4A3666">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7B4B0D4A">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7D0629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03377D8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701" w:type="dxa"/>
            <w:tcBorders>
              <w:top w:val="nil"/>
              <w:left w:val="nil"/>
              <w:bottom w:val="single" w:color="auto" w:sz="4" w:space="0"/>
              <w:right w:val="single" w:color="auto" w:sz="4" w:space="0"/>
            </w:tcBorders>
            <w:vAlign w:val="center"/>
          </w:tcPr>
          <w:p w14:paraId="78ACEB51">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2000≤Y＜10000</w:t>
            </w:r>
          </w:p>
        </w:tc>
        <w:tc>
          <w:tcPr>
            <w:tcW w:w="1426" w:type="dxa"/>
            <w:tcBorders>
              <w:top w:val="nil"/>
              <w:left w:val="nil"/>
              <w:bottom w:val="single" w:color="auto" w:sz="4" w:space="0"/>
              <w:right w:val="single" w:color="auto" w:sz="4" w:space="0"/>
            </w:tcBorders>
            <w:vAlign w:val="center"/>
          </w:tcPr>
          <w:p w14:paraId="5F6B86F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100≤Y＜2000</w:t>
            </w:r>
          </w:p>
        </w:tc>
        <w:tc>
          <w:tcPr>
            <w:tcW w:w="992" w:type="dxa"/>
            <w:tcBorders>
              <w:top w:val="nil"/>
              <w:left w:val="nil"/>
              <w:bottom w:val="single" w:color="auto" w:sz="4" w:space="0"/>
              <w:right w:val="nil"/>
            </w:tcBorders>
            <w:vAlign w:val="center"/>
          </w:tcPr>
          <w:p w14:paraId="57CB6C9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02715F2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9D72691">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信息传输业*</w:t>
            </w:r>
          </w:p>
        </w:tc>
        <w:tc>
          <w:tcPr>
            <w:tcW w:w="1369" w:type="dxa"/>
            <w:tcBorders>
              <w:top w:val="nil"/>
              <w:left w:val="nil"/>
              <w:bottom w:val="nil"/>
              <w:right w:val="single" w:color="auto" w:sz="4" w:space="0"/>
            </w:tcBorders>
            <w:vAlign w:val="center"/>
          </w:tcPr>
          <w:p w14:paraId="3EA4628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78419C7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0799CF5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X≥2000</w:t>
            </w:r>
          </w:p>
        </w:tc>
        <w:tc>
          <w:tcPr>
            <w:tcW w:w="1701" w:type="dxa"/>
            <w:tcBorders>
              <w:top w:val="nil"/>
              <w:left w:val="nil"/>
              <w:bottom w:val="nil"/>
              <w:right w:val="single" w:color="auto" w:sz="4" w:space="0"/>
            </w:tcBorders>
            <w:vAlign w:val="center"/>
          </w:tcPr>
          <w:p w14:paraId="34195C5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100≤X＜2000</w:t>
            </w:r>
          </w:p>
        </w:tc>
        <w:tc>
          <w:tcPr>
            <w:tcW w:w="1426" w:type="dxa"/>
            <w:tcBorders>
              <w:top w:val="nil"/>
              <w:left w:val="nil"/>
              <w:bottom w:val="nil"/>
              <w:right w:val="single" w:color="auto" w:sz="4" w:space="0"/>
            </w:tcBorders>
            <w:vAlign w:val="center"/>
          </w:tcPr>
          <w:p w14:paraId="62130C1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nil"/>
              <w:right w:val="nil"/>
            </w:tcBorders>
            <w:vAlign w:val="center"/>
          </w:tcPr>
          <w:p w14:paraId="499C19C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2245417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3F5106">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47BE9445">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D299C7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25B0426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Y≥100000</w:t>
            </w:r>
          </w:p>
        </w:tc>
        <w:tc>
          <w:tcPr>
            <w:tcW w:w="1701" w:type="dxa"/>
            <w:tcBorders>
              <w:top w:val="nil"/>
              <w:left w:val="nil"/>
              <w:bottom w:val="single" w:color="auto" w:sz="4" w:space="0"/>
              <w:right w:val="single" w:color="auto" w:sz="4" w:space="0"/>
            </w:tcBorders>
            <w:vAlign w:val="center"/>
          </w:tcPr>
          <w:p w14:paraId="4DD4B12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1000≤Y＜100000</w:t>
            </w:r>
          </w:p>
        </w:tc>
        <w:tc>
          <w:tcPr>
            <w:tcW w:w="1426" w:type="dxa"/>
            <w:tcBorders>
              <w:top w:val="nil"/>
              <w:left w:val="nil"/>
              <w:bottom w:val="single" w:color="auto" w:sz="4" w:space="0"/>
              <w:right w:val="single" w:color="auto" w:sz="4" w:space="0"/>
            </w:tcBorders>
            <w:vAlign w:val="center"/>
          </w:tcPr>
          <w:p w14:paraId="0E5D65D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100≤Y＜1000</w:t>
            </w:r>
          </w:p>
        </w:tc>
        <w:tc>
          <w:tcPr>
            <w:tcW w:w="992" w:type="dxa"/>
            <w:tcBorders>
              <w:top w:val="nil"/>
              <w:left w:val="nil"/>
              <w:bottom w:val="single" w:color="auto" w:sz="4" w:space="0"/>
              <w:right w:val="nil"/>
            </w:tcBorders>
            <w:vAlign w:val="center"/>
          </w:tcPr>
          <w:p w14:paraId="49E66B6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5BF0D43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4CB55090">
            <w:pPr>
              <w:widowControl/>
              <w:spacing w:line="240" w:lineRule="exact"/>
              <w:rPr>
                <w:rFonts w:hint="eastAsia" w:ascii="宋体" w:hAnsi="宋体" w:eastAsia="宋体" w:cs="宋体"/>
                <w:spacing w:val="-12"/>
                <w:sz w:val="18"/>
                <w:szCs w:val="18"/>
                <w:highlight w:val="none"/>
              </w:rPr>
            </w:pPr>
            <w:r>
              <w:rPr>
                <w:rFonts w:hint="eastAsia" w:ascii="宋体" w:hAnsi="宋体" w:eastAsia="宋体" w:cs="宋体"/>
                <w:spacing w:val="-12"/>
                <w:sz w:val="18"/>
                <w:szCs w:val="18"/>
                <w:highlight w:val="none"/>
              </w:rPr>
              <w:t>软件和信息技术服</w:t>
            </w:r>
            <w:r>
              <w:rPr>
                <w:rFonts w:hint="eastAsia" w:ascii="宋体" w:hAnsi="宋体" w:eastAsia="宋体" w:cs="宋体"/>
                <w:sz w:val="18"/>
                <w:szCs w:val="18"/>
                <w:highlight w:val="none"/>
              </w:rPr>
              <w:t>务业</w:t>
            </w:r>
          </w:p>
        </w:tc>
        <w:tc>
          <w:tcPr>
            <w:tcW w:w="1369" w:type="dxa"/>
            <w:tcBorders>
              <w:top w:val="nil"/>
              <w:left w:val="nil"/>
              <w:bottom w:val="nil"/>
              <w:right w:val="single" w:color="auto" w:sz="4" w:space="0"/>
            </w:tcBorders>
            <w:vAlign w:val="center"/>
          </w:tcPr>
          <w:p w14:paraId="703CEA6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6DA47CA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2C66A74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nil"/>
              <w:right w:val="single" w:color="auto" w:sz="4" w:space="0"/>
            </w:tcBorders>
            <w:vAlign w:val="center"/>
          </w:tcPr>
          <w:p w14:paraId="6D47B3A6">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1426" w:type="dxa"/>
            <w:tcBorders>
              <w:top w:val="nil"/>
              <w:left w:val="nil"/>
              <w:bottom w:val="nil"/>
              <w:right w:val="single" w:color="auto" w:sz="4" w:space="0"/>
            </w:tcBorders>
            <w:vAlign w:val="center"/>
          </w:tcPr>
          <w:p w14:paraId="705603F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nil"/>
              <w:right w:val="nil"/>
            </w:tcBorders>
            <w:vAlign w:val="center"/>
          </w:tcPr>
          <w:p w14:paraId="33E4651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587C0A6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613D545">
            <w:pPr>
              <w:widowControl/>
              <w:rPr>
                <w:rFonts w:hint="eastAsia" w:ascii="宋体" w:hAnsi="宋体" w:eastAsia="宋体" w:cs="宋体"/>
                <w:spacing w:val="-12"/>
                <w:sz w:val="18"/>
                <w:szCs w:val="18"/>
                <w:highlight w:val="none"/>
              </w:rPr>
            </w:pPr>
          </w:p>
        </w:tc>
        <w:tc>
          <w:tcPr>
            <w:tcW w:w="1369" w:type="dxa"/>
            <w:tcBorders>
              <w:top w:val="nil"/>
              <w:left w:val="nil"/>
              <w:bottom w:val="single" w:color="auto" w:sz="4" w:space="0"/>
              <w:right w:val="single" w:color="auto" w:sz="4" w:space="0"/>
            </w:tcBorders>
            <w:vAlign w:val="center"/>
          </w:tcPr>
          <w:p w14:paraId="4C8319E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53162F2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6D4C766A">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701" w:type="dxa"/>
            <w:tcBorders>
              <w:top w:val="nil"/>
              <w:left w:val="nil"/>
              <w:bottom w:val="single" w:color="auto" w:sz="4" w:space="0"/>
              <w:right w:val="single" w:color="auto" w:sz="4" w:space="0"/>
            </w:tcBorders>
            <w:vAlign w:val="center"/>
          </w:tcPr>
          <w:p w14:paraId="2172616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1000≤Y＜10000</w:t>
            </w:r>
          </w:p>
        </w:tc>
        <w:tc>
          <w:tcPr>
            <w:tcW w:w="1426" w:type="dxa"/>
            <w:tcBorders>
              <w:top w:val="nil"/>
              <w:left w:val="nil"/>
              <w:bottom w:val="single" w:color="auto" w:sz="4" w:space="0"/>
              <w:right w:val="single" w:color="auto" w:sz="4" w:space="0"/>
            </w:tcBorders>
            <w:vAlign w:val="center"/>
          </w:tcPr>
          <w:p w14:paraId="6A94E3E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50≤Y＜1000</w:t>
            </w:r>
          </w:p>
        </w:tc>
        <w:tc>
          <w:tcPr>
            <w:tcW w:w="992" w:type="dxa"/>
            <w:tcBorders>
              <w:top w:val="nil"/>
              <w:left w:val="nil"/>
              <w:bottom w:val="single" w:color="auto" w:sz="4" w:space="0"/>
              <w:right w:val="nil"/>
            </w:tcBorders>
            <w:vAlign w:val="center"/>
          </w:tcPr>
          <w:p w14:paraId="2D0522A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w:t>
            </w:r>
          </w:p>
        </w:tc>
      </w:tr>
      <w:tr w14:paraId="669A5A1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90FA65E">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房地产开发经营</w:t>
            </w:r>
          </w:p>
        </w:tc>
        <w:tc>
          <w:tcPr>
            <w:tcW w:w="1369" w:type="dxa"/>
            <w:tcBorders>
              <w:top w:val="nil"/>
              <w:left w:val="nil"/>
              <w:bottom w:val="nil"/>
              <w:right w:val="single" w:color="auto" w:sz="4" w:space="0"/>
            </w:tcBorders>
            <w:vAlign w:val="center"/>
          </w:tcPr>
          <w:p w14:paraId="1D9043C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nil"/>
              <w:right w:val="single" w:color="auto" w:sz="4" w:space="0"/>
            </w:tcBorders>
            <w:vAlign w:val="center"/>
          </w:tcPr>
          <w:p w14:paraId="4C6242B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nil"/>
              <w:right w:val="single" w:color="auto" w:sz="4" w:space="0"/>
            </w:tcBorders>
            <w:vAlign w:val="center"/>
          </w:tcPr>
          <w:p w14:paraId="5B87F61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Y≥200000</w:t>
            </w:r>
          </w:p>
        </w:tc>
        <w:tc>
          <w:tcPr>
            <w:tcW w:w="1701" w:type="dxa"/>
            <w:tcBorders>
              <w:top w:val="nil"/>
              <w:left w:val="nil"/>
              <w:bottom w:val="nil"/>
              <w:right w:val="single" w:color="auto" w:sz="4" w:space="0"/>
            </w:tcBorders>
            <w:vAlign w:val="center"/>
          </w:tcPr>
          <w:p w14:paraId="3851238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1000≤Y＜200000</w:t>
            </w:r>
          </w:p>
        </w:tc>
        <w:tc>
          <w:tcPr>
            <w:tcW w:w="1426" w:type="dxa"/>
            <w:tcBorders>
              <w:top w:val="nil"/>
              <w:left w:val="nil"/>
              <w:bottom w:val="nil"/>
              <w:right w:val="single" w:color="auto" w:sz="4" w:space="0"/>
            </w:tcBorders>
            <w:vAlign w:val="center"/>
          </w:tcPr>
          <w:p w14:paraId="4BD4C624">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100≤Y＜1000</w:t>
            </w:r>
          </w:p>
        </w:tc>
        <w:tc>
          <w:tcPr>
            <w:tcW w:w="992" w:type="dxa"/>
            <w:tcBorders>
              <w:top w:val="nil"/>
              <w:left w:val="nil"/>
              <w:bottom w:val="nil"/>
              <w:right w:val="nil"/>
            </w:tcBorders>
            <w:vAlign w:val="center"/>
          </w:tcPr>
          <w:p w14:paraId="6571223D">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w:t>
            </w:r>
          </w:p>
        </w:tc>
      </w:tr>
      <w:tr w14:paraId="0F633F5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48BF2D">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52C2E6B8">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资产总额(Z)</w:t>
            </w:r>
          </w:p>
        </w:tc>
        <w:tc>
          <w:tcPr>
            <w:tcW w:w="709" w:type="dxa"/>
            <w:tcBorders>
              <w:top w:val="nil"/>
              <w:left w:val="nil"/>
              <w:bottom w:val="single" w:color="auto" w:sz="4" w:space="0"/>
              <w:right w:val="single" w:color="auto" w:sz="4" w:space="0"/>
            </w:tcBorders>
            <w:vAlign w:val="center"/>
          </w:tcPr>
          <w:p w14:paraId="312610FF">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24EE5FD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Z≥10000</w:t>
            </w:r>
          </w:p>
        </w:tc>
        <w:tc>
          <w:tcPr>
            <w:tcW w:w="1701" w:type="dxa"/>
            <w:tcBorders>
              <w:top w:val="nil"/>
              <w:left w:val="nil"/>
              <w:bottom w:val="single" w:color="auto" w:sz="4" w:space="0"/>
              <w:right w:val="single" w:color="auto" w:sz="4" w:space="0"/>
            </w:tcBorders>
            <w:vAlign w:val="center"/>
          </w:tcPr>
          <w:p w14:paraId="5DB2ED1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5000≤Z＜10000</w:t>
            </w:r>
          </w:p>
        </w:tc>
        <w:tc>
          <w:tcPr>
            <w:tcW w:w="1426" w:type="dxa"/>
            <w:tcBorders>
              <w:top w:val="nil"/>
              <w:left w:val="nil"/>
              <w:bottom w:val="single" w:color="auto" w:sz="4" w:space="0"/>
              <w:right w:val="single" w:color="auto" w:sz="4" w:space="0"/>
            </w:tcBorders>
            <w:vAlign w:val="center"/>
          </w:tcPr>
          <w:p w14:paraId="43310D01">
            <w:pPr>
              <w:widowControl/>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2000≤Z＜5000</w:t>
            </w:r>
          </w:p>
        </w:tc>
        <w:tc>
          <w:tcPr>
            <w:tcW w:w="992" w:type="dxa"/>
            <w:tcBorders>
              <w:top w:val="nil"/>
              <w:left w:val="nil"/>
              <w:bottom w:val="single" w:color="auto" w:sz="4" w:space="0"/>
              <w:right w:val="nil"/>
            </w:tcBorders>
            <w:vAlign w:val="center"/>
          </w:tcPr>
          <w:p w14:paraId="5E64849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Z＜2000</w:t>
            </w:r>
          </w:p>
        </w:tc>
      </w:tr>
      <w:tr w14:paraId="7BCE2D6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54BDD4E">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物业管理</w:t>
            </w:r>
          </w:p>
        </w:tc>
        <w:tc>
          <w:tcPr>
            <w:tcW w:w="1369" w:type="dxa"/>
            <w:tcBorders>
              <w:top w:val="nil"/>
              <w:left w:val="nil"/>
              <w:bottom w:val="nil"/>
              <w:right w:val="single" w:color="auto" w:sz="4" w:space="0"/>
            </w:tcBorders>
            <w:vAlign w:val="center"/>
          </w:tcPr>
          <w:p w14:paraId="33C8D66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06585F4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1FABCB5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701" w:type="dxa"/>
            <w:tcBorders>
              <w:top w:val="nil"/>
              <w:left w:val="nil"/>
              <w:bottom w:val="nil"/>
              <w:right w:val="single" w:color="auto" w:sz="4" w:space="0"/>
            </w:tcBorders>
            <w:vAlign w:val="center"/>
          </w:tcPr>
          <w:p w14:paraId="2590A62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300≤X＜1000</w:t>
            </w:r>
          </w:p>
        </w:tc>
        <w:tc>
          <w:tcPr>
            <w:tcW w:w="1426" w:type="dxa"/>
            <w:tcBorders>
              <w:top w:val="nil"/>
              <w:left w:val="nil"/>
              <w:bottom w:val="nil"/>
              <w:right w:val="single" w:color="auto" w:sz="4" w:space="0"/>
            </w:tcBorders>
            <w:vAlign w:val="center"/>
          </w:tcPr>
          <w:p w14:paraId="16C8C3CC">
            <w:pPr>
              <w:widowControl/>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992" w:type="dxa"/>
            <w:tcBorders>
              <w:top w:val="nil"/>
              <w:left w:val="nil"/>
              <w:bottom w:val="nil"/>
              <w:right w:val="nil"/>
            </w:tcBorders>
            <w:vAlign w:val="center"/>
          </w:tcPr>
          <w:p w14:paraId="7451D5B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w:t>
            </w:r>
          </w:p>
        </w:tc>
      </w:tr>
      <w:tr w14:paraId="691896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C8724D0">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61138756">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13C267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64AC6AD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Y≥5000</w:t>
            </w:r>
          </w:p>
        </w:tc>
        <w:tc>
          <w:tcPr>
            <w:tcW w:w="1701" w:type="dxa"/>
            <w:tcBorders>
              <w:top w:val="nil"/>
              <w:left w:val="nil"/>
              <w:bottom w:val="single" w:color="auto" w:sz="4" w:space="0"/>
              <w:right w:val="single" w:color="auto" w:sz="4" w:space="0"/>
            </w:tcBorders>
            <w:vAlign w:val="center"/>
          </w:tcPr>
          <w:p w14:paraId="7F060E94">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1000≤Y＜5000</w:t>
            </w:r>
          </w:p>
        </w:tc>
        <w:tc>
          <w:tcPr>
            <w:tcW w:w="1426" w:type="dxa"/>
            <w:tcBorders>
              <w:top w:val="nil"/>
              <w:left w:val="nil"/>
              <w:bottom w:val="single" w:color="auto" w:sz="4" w:space="0"/>
              <w:right w:val="single" w:color="auto" w:sz="4" w:space="0"/>
            </w:tcBorders>
            <w:vAlign w:val="center"/>
          </w:tcPr>
          <w:p w14:paraId="0D8A484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500≤Y＜1000</w:t>
            </w:r>
          </w:p>
        </w:tc>
        <w:tc>
          <w:tcPr>
            <w:tcW w:w="992" w:type="dxa"/>
            <w:tcBorders>
              <w:top w:val="nil"/>
              <w:left w:val="nil"/>
              <w:bottom w:val="single" w:color="auto" w:sz="4" w:space="0"/>
              <w:right w:val="nil"/>
            </w:tcBorders>
            <w:vAlign w:val="center"/>
          </w:tcPr>
          <w:p w14:paraId="2CF42D6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Y＜500</w:t>
            </w:r>
          </w:p>
        </w:tc>
      </w:tr>
      <w:tr w14:paraId="7173110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1DA4B12B">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租赁和商务服务业</w:t>
            </w:r>
          </w:p>
        </w:tc>
        <w:tc>
          <w:tcPr>
            <w:tcW w:w="1369" w:type="dxa"/>
            <w:tcBorders>
              <w:top w:val="nil"/>
              <w:left w:val="nil"/>
              <w:bottom w:val="nil"/>
              <w:right w:val="single" w:color="auto" w:sz="4" w:space="0"/>
            </w:tcBorders>
            <w:vAlign w:val="center"/>
          </w:tcPr>
          <w:p w14:paraId="74D4F60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nil"/>
              <w:right w:val="single" w:color="auto" w:sz="4" w:space="0"/>
            </w:tcBorders>
            <w:vAlign w:val="center"/>
          </w:tcPr>
          <w:p w14:paraId="17CE831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nil"/>
              <w:right w:val="single" w:color="auto" w:sz="4" w:space="0"/>
            </w:tcBorders>
            <w:vAlign w:val="center"/>
          </w:tcPr>
          <w:p w14:paraId="5F046F9E">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nil"/>
              <w:right w:val="single" w:color="auto" w:sz="4" w:space="0"/>
            </w:tcBorders>
            <w:vAlign w:val="center"/>
          </w:tcPr>
          <w:p w14:paraId="7A5359C7">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1426" w:type="dxa"/>
            <w:tcBorders>
              <w:top w:val="nil"/>
              <w:left w:val="nil"/>
              <w:bottom w:val="nil"/>
              <w:right w:val="single" w:color="auto" w:sz="4" w:space="0"/>
            </w:tcBorders>
            <w:vAlign w:val="center"/>
          </w:tcPr>
          <w:p w14:paraId="0796649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nil"/>
              <w:right w:val="nil"/>
            </w:tcBorders>
            <w:vAlign w:val="center"/>
          </w:tcPr>
          <w:p w14:paraId="1D5D95FB">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r w14:paraId="4FE6363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BC4E20A">
            <w:pPr>
              <w:widowControl/>
              <w:rPr>
                <w:rFonts w:hint="eastAsia" w:ascii="宋体" w:hAnsi="宋体" w:eastAsia="宋体" w:cs="宋体"/>
                <w:sz w:val="18"/>
                <w:szCs w:val="18"/>
                <w:highlight w:val="none"/>
              </w:rPr>
            </w:pPr>
          </w:p>
        </w:tc>
        <w:tc>
          <w:tcPr>
            <w:tcW w:w="1369" w:type="dxa"/>
            <w:tcBorders>
              <w:top w:val="nil"/>
              <w:left w:val="nil"/>
              <w:bottom w:val="single" w:color="auto" w:sz="4" w:space="0"/>
              <w:right w:val="single" w:color="auto" w:sz="4" w:space="0"/>
            </w:tcBorders>
            <w:vAlign w:val="center"/>
          </w:tcPr>
          <w:p w14:paraId="12B264A9">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资产总额(Z)</w:t>
            </w:r>
          </w:p>
        </w:tc>
        <w:tc>
          <w:tcPr>
            <w:tcW w:w="709" w:type="dxa"/>
            <w:tcBorders>
              <w:top w:val="nil"/>
              <w:left w:val="nil"/>
              <w:bottom w:val="single" w:color="auto" w:sz="4" w:space="0"/>
              <w:right w:val="single" w:color="auto" w:sz="4" w:space="0"/>
            </w:tcBorders>
            <w:vAlign w:val="center"/>
          </w:tcPr>
          <w:p w14:paraId="7FD4866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125" w:type="dxa"/>
            <w:tcBorders>
              <w:top w:val="nil"/>
              <w:left w:val="nil"/>
              <w:bottom w:val="single" w:color="auto" w:sz="4" w:space="0"/>
              <w:right w:val="single" w:color="auto" w:sz="4" w:space="0"/>
            </w:tcBorders>
            <w:vAlign w:val="center"/>
          </w:tcPr>
          <w:p w14:paraId="01364FE2">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Z≥120000</w:t>
            </w:r>
          </w:p>
        </w:tc>
        <w:tc>
          <w:tcPr>
            <w:tcW w:w="1701" w:type="dxa"/>
            <w:tcBorders>
              <w:top w:val="nil"/>
              <w:left w:val="nil"/>
              <w:bottom w:val="single" w:color="auto" w:sz="4" w:space="0"/>
              <w:right w:val="single" w:color="auto" w:sz="4" w:space="0"/>
            </w:tcBorders>
            <w:vAlign w:val="center"/>
          </w:tcPr>
          <w:p w14:paraId="6F032750">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8000≤Z＜120000</w:t>
            </w:r>
          </w:p>
        </w:tc>
        <w:tc>
          <w:tcPr>
            <w:tcW w:w="1426" w:type="dxa"/>
            <w:tcBorders>
              <w:top w:val="nil"/>
              <w:left w:val="nil"/>
              <w:bottom w:val="single" w:color="auto" w:sz="4" w:space="0"/>
              <w:right w:val="single" w:color="auto" w:sz="4" w:space="0"/>
            </w:tcBorders>
            <w:vAlign w:val="center"/>
          </w:tcPr>
          <w:p w14:paraId="1C390838">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100≤Z＜8000</w:t>
            </w:r>
          </w:p>
        </w:tc>
        <w:tc>
          <w:tcPr>
            <w:tcW w:w="992" w:type="dxa"/>
            <w:tcBorders>
              <w:top w:val="nil"/>
              <w:left w:val="nil"/>
              <w:bottom w:val="single" w:color="auto" w:sz="4" w:space="0"/>
              <w:right w:val="nil"/>
            </w:tcBorders>
            <w:vAlign w:val="center"/>
          </w:tcPr>
          <w:p w14:paraId="67BD013C">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Z＜100</w:t>
            </w:r>
          </w:p>
        </w:tc>
      </w:tr>
      <w:tr w14:paraId="611641C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414C7B33">
            <w:pPr>
              <w:widowControl/>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其他未列明行业*</w:t>
            </w:r>
          </w:p>
        </w:tc>
        <w:tc>
          <w:tcPr>
            <w:tcW w:w="1369" w:type="dxa"/>
            <w:tcBorders>
              <w:top w:val="nil"/>
              <w:left w:val="nil"/>
              <w:bottom w:val="single" w:color="auto" w:sz="4" w:space="0"/>
              <w:right w:val="single" w:color="auto" w:sz="4" w:space="0"/>
            </w:tcBorders>
            <w:vAlign w:val="center"/>
          </w:tcPr>
          <w:p w14:paraId="21AA9065">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从业人员(X)</w:t>
            </w:r>
          </w:p>
        </w:tc>
        <w:tc>
          <w:tcPr>
            <w:tcW w:w="709" w:type="dxa"/>
            <w:tcBorders>
              <w:top w:val="nil"/>
              <w:left w:val="nil"/>
              <w:bottom w:val="single" w:color="auto" w:sz="4" w:space="0"/>
              <w:right w:val="single" w:color="auto" w:sz="4" w:space="0"/>
            </w:tcBorders>
            <w:vAlign w:val="center"/>
          </w:tcPr>
          <w:p w14:paraId="7F632A76">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125" w:type="dxa"/>
            <w:tcBorders>
              <w:top w:val="nil"/>
              <w:left w:val="nil"/>
              <w:bottom w:val="single" w:color="auto" w:sz="4" w:space="0"/>
              <w:right w:val="single" w:color="auto" w:sz="4" w:space="0"/>
            </w:tcBorders>
            <w:vAlign w:val="center"/>
          </w:tcPr>
          <w:p w14:paraId="5F98EF59">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701" w:type="dxa"/>
            <w:tcBorders>
              <w:top w:val="nil"/>
              <w:left w:val="nil"/>
              <w:bottom w:val="single" w:color="auto" w:sz="4" w:space="0"/>
              <w:right w:val="single" w:color="auto" w:sz="4" w:space="0"/>
            </w:tcBorders>
            <w:vAlign w:val="center"/>
          </w:tcPr>
          <w:p w14:paraId="7DC4B189">
            <w:pPr>
              <w:widowControl/>
              <w:ind w:left="1" w:leftChars="-51" w:hanging="108" w:hangingChars="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100≤X＜300</w:t>
            </w:r>
          </w:p>
        </w:tc>
        <w:tc>
          <w:tcPr>
            <w:tcW w:w="1426" w:type="dxa"/>
            <w:tcBorders>
              <w:top w:val="nil"/>
              <w:left w:val="nil"/>
              <w:bottom w:val="single" w:color="auto" w:sz="4" w:space="0"/>
              <w:right w:val="single" w:color="auto" w:sz="4" w:space="0"/>
            </w:tcBorders>
            <w:vAlign w:val="center"/>
          </w:tcPr>
          <w:p w14:paraId="4DDB51B3">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10≤X＜100</w:t>
            </w:r>
          </w:p>
        </w:tc>
        <w:tc>
          <w:tcPr>
            <w:tcW w:w="992" w:type="dxa"/>
            <w:tcBorders>
              <w:top w:val="nil"/>
              <w:left w:val="nil"/>
              <w:bottom w:val="single" w:color="auto" w:sz="4" w:space="0"/>
              <w:right w:val="nil"/>
            </w:tcBorders>
            <w:vAlign w:val="center"/>
          </w:tcPr>
          <w:p w14:paraId="774EAA07">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w:t>
            </w:r>
          </w:p>
        </w:tc>
      </w:tr>
    </w:tbl>
    <w:p w14:paraId="4A661EA8">
      <w:pPr>
        <w:adjustRightInd w:val="0"/>
        <w:snapToGrid w:val="0"/>
        <w:spacing w:line="360" w:lineRule="auto"/>
        <w:ind w:right="105" w:rightChars="50"/>
        <w:rPr>
          <w:rFonts w:hint="eastAsia" w:ascii="宋体" w:hAnsi="宋体" w:eastAsia="宋体" w:cs="宋体"/>
          <w:szCs w:val="21"/>
          <w:highlight w:val="none"/>
        </w:rPr>
      </w:pPr>
      <w:r>
        <w:rPr>
          <w:rFonts w:hint="eastAsia" w:ascii="宋体" w:hAnsi="宋体" w:eastAsia="宋体" w:cs="宋体"/>
          <w:szCs w:val="21"/>
          <w:highlight w:val="none"/>
        </w:rPr>
        <w:t>说明：</w:t>
      </w:r>
    </w:p>
    <w:p w14:paraId="2F80B08C">
      <w:pPr>
        <w:adjustRightInd w:val="0"/>
        <w:snapToGrid w:val="0"/>
        <w:spacing w:line="360" w:lineRule="auto"/>
        <w:ind w:right="105" w:righ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1.大型、中型和小型企业须同时满足所列指标的下限，否则下划一档；微型企业只</w:t>
      </w:r>
      <w:r>
        <w:rPr>
          <w:rFonts w:hint="eastAsia" w:ascii="宋体" w:hAnsi="宋体" w:cs="宋体"/>
          <w:szCs w:val="21"/>
          <w:highlight w:val="none"/>
          <w:lang w:eastAsia="zh-CN"/>
        </w:rPr>
        <w:t>需</w:t>
      </w:r>
      <w:r>
        <w:rPr>
          <w:rFonts w:hint="eastAsia" w:ascii="宋体" w:hAnsi="宋体" w:eastAsia="宋体" w:cs="宋体"/>
          <w:szCs w:val="21"/>
          <w:highlight w:val="none"/>
        </w:rPr>
        <w:t>满足所列指标中的一项即可。</w:t>
      </w:r>
    </w:p>
    <w:p w14:paraId="0C6C0A5B">
      <w:pPr>
        <w:adjustRightInd w:val="0"/>
        <w:snapToGrid w:val="0"/>
        <w:spacing w:line="360" w:lineRule="auto"/>
        <w:ind w:right="105" w:righ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4909A5">
      <w:pPr>
        <w:adjustRightInd w:val="0"/>
        <w:snapToGrid w:val="0"/>
        <w:spacing w:line="360" w:lineRule="auto"/>
        <w:ind w:right="105" w:rightChars="50" w:firstLine="420" w:firstLineChars="200"/>
        <w:rPr>
          <w:rFonts w:hint="eastAsia" w:ascii="宋体" w:hAnsi="宋体" w:eastAsia="宋体" w:cs="宋体"/>
          <w:color w:val="auto"/>
          <w:kern w:val="2"/>
          <w:szCs w:val="21"/>
          <w:highlight w:val="none"/>
        </w:rPr>
      </w:pPr>
      <w:r>
        <w:rPr>
          <w:rFonts w:hint="eastAsia" w:ascii="宋体" w:hAnsi="宋体" w:eastAsia="宋体" w:cs="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kern w:val="2"/>
          <w:szCs w:val="21"/>
          <w:highlight w:val="none"/>
        </w:rPr>
        <w:br w:type="page"/>
      </w:r>
    </w:p>
    <w:p w14:paraId="1421C6E4">
      <w:pPr>
        <w:rPr>
          <w:rFonts w:hint="eastAsia" w:ascii="宋体" w:hAnsi="宋体" w:eastAsia="宋体" w:cs="宋体"/>
          <w:color w:val="auto"/>
          <w:kern w:val="2"/>
          <w:szCs w:val="21"/>
          <w:highlight w:val="none"/>
        </w:rPr>
        <w:sectPr>
          <w:footerReference r:id="rId11" w:type="default"/>
          <w:pgSz w:w="11907" w:h="16839"/>
          <w:pgMar w:top="1440" w:right="1080" w:bottom="1440" w:left="1080" w:header="0" w:footer="991" w:gutter="0"/>
          <w:pgNumType w:fmt="decimal"/>
          <w:cols w:space="720" w:num="1"/>
        </w:sectPr>
      </w:pPr>
    </w:p>
    <w:p w14:paraId="7A03C467">
      <w:pPr>
        <w:keepNext w:val="0"/>
        <w:keepLines w:val="0"/>
        <w:pageBreakBefore w:val="0"/>
        <w:widowControl w:val="0"/>
        <w:kinsoku/>
        <w:wordWrap/>
        <w:overflowPunct/>
        <w:topLinePunct w:val="0"/>
        <w:autoSpaceDE/>
        <w:autoSpaceDN/>
        <w:bidi w:val="0"/>
        <w:adjustRightInd/>
        <w:snapToGrid/>
        <w:spacing w:before="72" w:line="480" w:lineRule="auto"/>
        <w:jc w:val="center"/>
        <w:textAlignment w:val="auto"/>
        <w:outlineLvl w:val="6"/>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残疾人福利性单位声明函</w:t>
      </w:r>
    </w:p>
    <w:p w14:paraId="60FF8D57">
      <w:pPr>
        <w:keepNext w:val="0"/>
        <w:keepLines w:val="0"/>
        <w:pageBreakBefore w:val="0"/>
        <w:widowControl w:val="0"/>
        <w:tabs>
          <w:tab w:val="left" w:pos="840"/>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（属于残疾人福利性单位的填写，不属于的无需填写此项内容）</w:t>
      </w:r>
    </w:p>
    <w:p w14:paraId="6762E594">
      <w:pPr>
        <w:keepNext w:val="0"/>
        <w:keepLines w:val="0"/>
        <w:pageBreakBefore w:val="0"/>
        <w:widowControl w:val="0"/>
        <w:tabs>
          <w:tab w:val="left" w:pos="840"/>
        </w:tabs>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18844F">
      <w:pPr>
        <w:keepNext w:val="0"/>
        <w:keepLines w:val="0"/>
        <w:pageBreakBefore w:val="0"/>
        <w:widowControl w:val="0"/>
        <w:tabs>
          <w:tab w:val="left" w:pos="840"/>
        </w:tabs>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102E6034">
      <w:pPr>
        <w:keepNext w:val="0"/>
        <w:keepLines w:val="0"/>
        <w:pageBreakBefore w:val="0"/>
        <w:widowControl w:val="0"/>
        <w:tabs>
          <w:tab w:val="left" w:pos="840"/>
        </w:tabs>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Cs w:val="21"/>
          <w:highlight w:val="none"/>
        </w:rPr>
      </w:pPr>
    </w:p>
    <w:p w14:paraId="7E5C1F49">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企业名称：</w:t>
      </w:r>
      <w:r>
        <w:rPr>
          <w:rFonts w:hint="eastAsia" w:ascii="宋体" w:hAnsi="宋体" w:eastAsia="宋体" w:cs="宋体"/>
          <w:color w:val="auto"/>
          <w:kern w:val="2"/>
          <w:szCs w:val="21"/>
          <w:highlight w:val="none"/>
          <w:u w:val="single"/>
        </w:rPr>
        <w:t>　</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lang w:val="en-US" w:eastAsia="zh-CN"/>
        </w:rPr>
        <w:t>企业</w:t>
      </w:r>
      <w:r>
        <w:rPr>
          <w:rFonts w:hint="eastAsia" w:ascii="宋体" w:hAnsi="宋体" w:eastAsia="宋体" w:cs="宋体"/>
          <w:szCs w:val="21"/>
          <w:highlight w:val="none"/>
        </w:rPr>
        <w:t>电子签章</w:t>
      </w:r>
      <w:r>
        <w:rPr>
          <w:rFonts w:hint="eastAsia" w:ascii="宋体" w:hAnsi="宋体" w:eastAsia="宋体" w:cs="宋体"/>
          <w:color w:val="auto"/>
          <w:kern w:val="1"/>
          <w:szCs w:val="21"/>
          <w:highlight w:val="none"/>
        </w:rPr>
        <w:t>）</w:t>
      </w:r>
    </w:p>
    <w:p w14:paraId="7F410D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日 </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期：</w:t>
      </w:r>
    </w:p>
    <w:p w14:paraId="57BCF02A">
      <w:pPr>
        <w:rPr>
          <w:rFonts w:hint="eastAsia" w:ascii="宋体" w:hAnsi="宋体" w:eastAsia="宋体" w:cs="宋体"/>
          <w:highlight w:val="none"/>
        </w:rPr>
      </w:pPr>
      <w:r>
        <w:rPr>
          <w:rFonts w:hint="eastAsia" w:ascii="宋体" w:hAnsi="宋体" w:eastAsia="宋体" w:cs="宋体"/>
          <w:highlight w:val="none"/>
        </w:rPr>
        <w:br w:type="page"/>
      </w:r>
    </w:p>
    <w:p w14:paraId="402D0391">
      <w:pPr>
        <w:numPr>
          <w:ilvl w:val="0"/>
          <w:numId w:val="12"/>
        </w:numPr>
        <w:spacing w:before="72" w:line="360" w:lineRule="auto"/>
        <w:jc w:val="center"/>
        <w:outlineLvl w:val="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监狱企业证明文件</w:t>
      </w:r>
    </w:p>
    <w:p w14:paraId="4B1757BA">
      <w:pPr>
        <w:numPr>
          <w:ilvl w:val="0"/>
          <w:numId w:val="0"/>
        </w:numPr>
        <w:spacing w:before="72" w:line="360" w:lineRule="auto"/>
        <w:ind w:firstLine="220" w:firstLineChars="100"/>
        <w:jc w:val="center"/>
        <w:outlineLvl w:val="6"/>
        <w:rPr>
          <w:rFonts w:hint="eastAsia" w:ascii="宋体" w:hAnsi="宋体" w:eastAsia="宋体" w:cs="宋体"/>
          <w:sz w:val="22"/>
          <w:szCs w:val="22"/>
          <w:highlight w:val="none"/>
        </w:rPr>
      </w:pPr>
      <w:r>
        <w:rPr>
          <w:rFonts w:hint="eastAsia" w:ascii="宋体" w:hAnsi="宋体" w:eastAsia="宋体" w:cs="宋体"/>
          <w:sz w:val="22"/>
          <w:szCs w:val="22"/>
          <w:highlight w:val="none"/>
        </w:rPr>
        <w:t>(如有可提供，如无不需提供)</w:t>
      </w:r>
    </w:p>
    <w:p w14:paraId="75A0800E">
      <w:pPr>
        <w:spacing w:line="359" w:lineRule="auto"/>
        <w:rPr>
          <w:rFonts w:hint="eastAsia" w:ascii="宋体" w:hAnsi="宋体" w:eastAsia="宋体" w:cs="宋体"/>
          <w:highlight w:val="none"/>
        </w:rPr>
      </w:pPr>
    </w:p>
    <w:p w14:paraId="585CD044">
      <w:pPr>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由供应商提供由省级以上监狱管理局、戒毒管理局（含新疆生产建设兵团）出具的属于监狱企业的证明文件。</w:t>
      </w:r>
    </w:p>
    <w:p w14:paraId="6A488525">
      <w:pPr>
        <w:spacing w:before="69" w:line="360" w:lineRule="auto"/>
        <w:ind w:left="515"/>
        <w:rPr>
          <w:rFonts w:hint="eastAsia" w:ascii="宋体" w:hAnsi="宋体" w:eastAsia="宋体" w:cs="宋体"/>
          <w:szCs w:val="21"/>
          <w:highlight w:val="none"/>
        </w:rPr>
      </w:pPr>
    </w:p>
    <w:p w14:paraId="29FE97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4546">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D97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24D97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B25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B466D">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FB466D">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8C43">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3CF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C23CFE">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2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345D">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6BBC2449">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37E4">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38583">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738583">
                    <w:pPr>
                      <w:pStyle w:val="14"/>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rPr>
      <w:t xml:space="preserve"> </w:t>
    </w:r>
    <w:r>
      <w:rPr>
        <w:rFonts w:hint="eastAsia"/>
        <w:b/>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78AB">
    <w:pPr>
      <w:spacing w:line="186" w:lineRule="auto"/>
      <w:ind w:left="4776"/>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3F983">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53F983">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5579">
    <w:pPr>
      <w:pBdr>
        <w:bottom w:val="none" w:color="auto" w:sz="0" w:space="1"/>
      </w:pBdr>
      <w:ind w:right="210"/>
      <w:jc w:val="right"/>
      <w:rPr>
        <w:u w:val="single"/>
      </w:rPr>
    </w:pP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BE2D">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E73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EED52"/>
    <w:multiLevelType w:val="singleLevel"/>
    <w:tmpl w:val="92FEED52"/>
    <w:lvl w:ilvl="0" w:tentative="0">
      <w:start w:val="1"/>
      <w:numFmt w:val="decimal"/>
      <w:lvlText w:val="(%1)"/>
      <w:lvlJc w:val="left"/>
      <w:pPr>
        <w:ind w:left="425" w:hanging="425"/>
      </w:pPr>
      <w:rPr>
        <w:rFonts w:hint="default"/>
      </w:rPr>
    </w:lvl>
  </w:abstractNum>
  <w:abstractNum w:abstractNumId="1">
    <w:nsid w:val="9419E9B9"/>
    <w:multiLevelType w:val="singleLevel"/>
    <w:tmpl w:val="9419E9B9"/>
    <w:lvl w:ilvl="0" w:tentative="0">
      <w:start w:val="1"/>
      <w:numFmt w:val="chineseCounting"/>
      <w:suff w:val="nothing"/>
      <w:lvlText w:val="%1、"/>
      <w:lvlJc w:val="left"/>
      <w:rPr>
        <w:rFonts w:hint="eastAsia"/>
      </w:rPr>
    </w:lvl>
  </w:abstractNum>
  <w:abstractNum w:abstractNumId="2">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BD2723EC"/>
    <w:multiLevelType w:val="singleLevel"/>
    <w:tmpl w:val="BD2723EC"/>
    <w:lvl w:ilvl="0" w:tentative="0">
      <w:start w:val="3"/>
      <w:numFmt w:val="chineseCounting"/>
      <w:suff w:val="space"/>
      <w:lvlText w:val="第%1章"/>
      <w:lvlJc w:val="left"/>
      <w:rPr>
        <w:rFonts w:hint="eastAsia"/>
      </w:rPr>
    </w:lvl>
  </w:abstractNum>
  <w:abstractNum w:abstractNumId="4">
    <w:nsid w:val="BEEAD16D"/>
    <w:multiLevelType w:val="singleLevel"/>
    <w:tmpl w:val="BEEAD16D"/>
    <w:lvl w:ilvl="0" w:tentative="0">
      <w:start w:val="1"/>
      <w:numFmt w:val="decimal"/>
      <w:suff w:val="nothing"/>
      <w:lvlText w:val="%1、"/>
      <w:lvlJc w:val="left"/>
    </w:lvl>
  </w:abstractNum>
  <w:abstractNum w:abstractNumId="5">
    <w:nsid w:val="CD806B66"/>
    <w:multiLevelType w:val="singleLevel"/>
    <w:tmpl w:val="CD806B66"/>
    <w:lvl w:ilvl="0" w:tentative="0">
      <w:start w:val="1"/>
      <w:numFmt w:val="decimal"/>
      <w:lvlText w:val="(%1)"/>
      <w:lvlJc w:val="left"/>
      <w:pPr>
        <w:ind w:left="425" w:hanging="425"/>
      </w:pPr>
      <w:rPr>
        <w:rFonts w:hint="default"/>
      </w:rPr>
    </w:lvl>
  </w:abstractNum>
  <w:abstractNum w:abstractNumId="6">
    <w:nsid w:val="D678C8A3"/>
    <w:multiLevelType w:val="singleLevel"/>
    <w:tmpl w:val="D678C8A3"/>
    <w:lvl w:ilvl="0" w:tentative="0">
      <w:start w:val="1"/>
      <w:numFmt w:val="decimal"/>
      <w:suff w:val="nothing"/>
      <w:lvlText w:val="%1、"/>
      <w:lvlJc w:val="left"/>
    </w:lvl>
  </w:abstractNum>
  <w:abstractNum w:abstractNumId="7">
    <w:nsid w:val="E90FF52F"/>
    <w:multiLevelType w:val="singleLevel"/>
    <w:tmpl w:val="E90FF52F"/>
    <w:lvl w:ilvl="0" w:tentative="0">
      <w:start w:val="3"/>
      <w:numFmt w:val="chineseCounting"/>
      <w:suff w:val="nothing"/>
      <w:lvlText w:val="（%1）"/>
      <w:lvlJc w:val="left"/>
      <w:rPr>
        <w:rFonts w:hint="eastAsia"/>
      </w:rPr>
    </w:lvl>
  </w:abstractNum>
  <w:abstractNum w:abstractNumId="8">
    <w:nsid w:val="2D6A2507"/>
    <w:multiLevelType w:val="singleLevel"/>
    <w:tmpl w:val="2D6A2507"/>
    <w:lvl w:ilvl="0" w:tentative="0">
      <w:start w:val="1"/>
      <w:numFmt w:val="decimal"/>
      <w:lvlText w:val="(%1)"/>
      <w:lvlJc w:val="left"/>
      <w:pPr>
        <w:ind w:left="425" w:hanging="425"/>
      </w:pPr>
      <w:rPr>
        <w:rFonts w:hint="default"/>
      </w:rPr>
    </w:lvl>
  </w:abstractNum>
  <w:abstractNum w:abstractNumId="9">
    <w:nsid w:val="2E9F7553"/>
    <w:multiLevelType w:val="singleLevel"/>
    <w:tmpl w:val="2E9F7553"/>
    <w:lvl w:ilvl="0" w:tentative="0">
      <w:start w:val="6"/>
      <w:numFmt w:val="chineseCounting"/>
      <w:suff w:val="space"/>
      <w:lvlText w:val="第%1章"/>
      <w:lvlJc w:val="left"/>
      <w:rPr>
        <w:rFonts w:hint="eastAsia"/>
      </w:rPr>
    </w:lvl>
  </w:abstractNum>
  <w:abstractNum w:abstractNumId="10">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7A3072A"/>
    <w:multiLevelType w:val="singleLevel"/>
    <w:tmpl w:val="77A3072A"/>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8"/>
  </w:num>
  <w:num w:numId="4">
    <w:abstractNumId w:val="5"/>
  </w:num>
  <w:num w:numId="5">
    <w:abstractNumId w:val="11"/>
  </w:num>
  <w:num w:numId="6">
    <w:abstractNumId w:val="0"/>
  </w:num>
  <w:num w:numId="7">
    <w:abstractNumId w:val="1"/>
  </w:num>
  <w:num w:numId="8">
    <w:abstractNumId w:val="4"/>
  </w:num>
  <w:num w:numId="9">
    <w:abstractNumId w:val="6"/>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061A"/>
    <w:rsid w:val="016200A6"/>
    <w:rsid w:val="01E776EF"/>
    <w:rsid w:val="022E44A8"/>
    <w:rsid w:val="04DC4690"/>
    <w:rsid w:val="06F537E7"/>
    <w:rsid w:val="098F7F23"/>
    <w:rsid w:val="099F1D48"/>
    <w:rsid w:val="0D007BE0"/>
    <w:rsid w:val="1212646A"/>
    <w:rsid w:val="146E0EF0"/>
    <w:rsid w:val="15202377"/>
    <w:rsid w:val="159B0632"/>
    <w:rsid w:val="16E54CDA"/>
    <w:rsid w:val="1C8D3F3C"/>
    <w:rsid w:val="1D374A0D"/>
    <w:rsid w:val="1F8A4FBC"/>
    <w:rsid w:val="22280ABD"/>
    <w:rsid w:val="22C37B09"/>
    <w:rsid w:val="2301620F"/>
    <w:rsid w:val="25A14E24"/>
    <w:rsid w:val="292D0766"/>
    <w:rsid w:val="29EF720D"/>
    <w:rsid w:val="2A3B55D9"/>
    <w:rsid w:val="2DAC07F4"/>
    <w:rsid w:val="2FAC3E51"/>
    <w:rsid w:val="32470AEB"/>
    <w:rsid w:val="345E0A7B"/>
    <w:rsid w:val="351D5D56"/>
    <w:rsid w:val="36DA4EDD"/>
    <w:rsid w:val="3B04061A"/>
    <w:rsid w:val="3BEA2D4B"/>
    <w:rsid w:val="3CA8662A"/>
    <w:rsid w:val="3FB84DD6"/>
    <w:rsid w:val="3FED44BD"/>
    <w:rsid w:val="40394D95"/>
    <w:rsid w:val="458A21D7"/>
    <w:rsid w:val="47013507"/>
    <w:rsid w:val="477439FE"/>
    <w:rsid w:val="4A9F106C"/>
    <w:rsid w:val="4AE22A0E"/>
    <w:rsid w:val="4B1707A8"/>
    <w:rsid w:val="4D97626C"/>
    <w:rsid w:val="4DA150FB"/>
    <w:rsid w:val="51667774"/>
    <w:rsid w:val="538F3C48"/>
    <w:rsid w:val="542D76E9"/>
    <w:rsid w:val="574A6C36"/>
    <w:rsid w:val="57530502"/>
    <w:rsid w:val="583354EA"/>
    <w:rsid w:val="58966990"/>
    <w:rsid w:val="5A9A1850"/>
    <w:rsid w:val="5C49708A"/>
    <w:rsid w:val="5CD63DFB"/>
    <w:rsid w:val="5D3A2C25"/>
    <w:rsid w:val="5FC52ECB"/>
    <w:rsid w:val="63747675"/>
    <w:rsid w:val="656B5B4F"/>
    <w:rsid w:val="66CE2B13"/>
    <w:rsid w:val="67E72D40"/>
    <w:rsid w:val="6AE2678E"/>
    <w:rsid w:val="6C1256EA"/>
    <w:rsid w:val="6C983716"/>
    <w:rsid w:val="6D2A7B11"/>
    <w:rsid w:val="6D45389E"/>
    <w:rsid w:val="6DA34120"/>
    <w:rsid w:val="6DBD0671"/>
    <w:rsid w:val="6ECA6E08"/>
    <w:rsid w:val="70A628A5"/>
    <w:rsid w:val="71144B5C"/>
    <w:rsid w:val="71FA5C5D"/>
    <w:rsid w:val="72D61D67"/>
    <w:rsid w:val="75EF6915"/>
    <w:rsid w:val="7A0A576F"/>
    <w:rsid w:val="7C8F7446"/>
    <w:rsid w:val="7D187ED9"/>
    <w:rsid w:val="7DED767B"/>
    <w:rsid w:val="7ED0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2"/>
    <w:qFormat/>
    <w:uiPriority w:val="0"/>
    <w:pPr>
      <w:keepNext/>
      <w:keepLines/>
      <w:adjustRightInd w:val="0"/>
      <w:snapToGrid w:val="0"/>
      <w:spacing w:line="360" w:lineRule="auto"/>
      <w:outlineLvl w:val="2"/>
    </w:pPr>
    <w:rPr>
      <w:b/>
      <w:bCs/>
      <w:sz w:val="24"/>
      <w:szCs w:val="24"/>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caption"/>
    <w:basedOn w:val="1"/>
    <w:next w:val="1"/>
    <w:qFormat/>
    <w:uiPriority w:val="0"/>
    <w:pPr>
      <w:spacing w:line="240" w:lineRule="auto"/>
      <w:ind w:firstLine="0" w:firstLineChars="0"/>
    </w:pPr>
    <w:rPr>
      <w:rFonts w:ascii="Cambria" w:hAnsi="Cambria" w:eastAsia="黑体"/>
      <w:kern w:val="0"/>
      <w:sz w:val="20"/>
      <w:szCs w:val="20"/>
    </w:rPr>
  </w:style>
  <w:style w:type="paragraph" w:styleId="8">
    <w:name w:val="annotation text"/>
    <w:basedOn w:val="1"/>
    <w:qFormat/>
    <w:uiPriority w:val="0"/>
    <w:pPr>
      <w:jc w:val="left"/>
    </w:pPr>
  </w:style>
  <w:style w:type="paragraph" w:styleId="9">
    <w:name w:val="Body Text"/>
    <w:basedOn w:val="1"/>
    <w:qFormat/>
    <w:uiPriority w:val="0"/>
    <w:pPr>
      <w:spacing w:line="480" w:lineRule="exact"/>
    </w:pPr>
    <w:rPr>
      <w:rFonts w:ascii="宋体"/>
      <w:sz w:val="24"/>
      <w:szCs w:val="24"/>
    </w:rPr>
  </w:style>
  <w:style w:type="paragraph" w:styleId="10">
    <w:name w:val="Body Text Indent"/>
    <w:basedOn w:val="1"/>
    <w:qFormat/>
    <w:uiPriority w:val="0"/>
    <w:pPr>
      <w:ind w:firstLine="640" w:firstLineChars="200"/>
    </w:pPr>
    <w:rPr>
      <w:rFonts w:ascii="宋体" w:hAnsi="宋体"/>
      <w:sz w:val="32"/>
    </w:rPr>
  </w:style>
  <w:style w:type="paragraph" w:styleId="11">
    <w:name w:val="List Continue"/>
    <w:basedOn w:val="1"/>
    <w:qFormat/>
    <w:uiPriority w:val="0"/>
    <w:pPr>
      <w:spacing w:after="120"/>
      <w:ind w:left="420"/>
    </w:pPr>
    <w:rPr>
      <w:rFonts w:eastAsia="楷体_GB2312"/>
      <w:sz w:val="32"/>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w:basedOn w:val="9"/>
    <w:qFormat/>
    <w:uiPriority w:val="0"/>
    <w:pPr>
      <w:ind w:firstLine="360"/>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444444"/>
      <w:sz w:val="16"/>
      <w:szCs w:val="16"/>
      <w:u w:val="none"/>
    </w:rPr>
  </w:style>
  <w:style w:type="paragraph" w:customStyle="1" w:styleId="2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6">
    <w:name w:val="No Spacing1"/>
    <w:basedOn w:val="1"/>
    <w:autoRedefine/>
    <w:qFormat/>
    <w:uiPriority w:val="0"/>
    <w:pPr>
      <w:spacing w:line="400" w:lineRule="exact"/>
    </w:pPr>
    <w:rPr>
      <w:sz w:val="24"/>
    </w:rPr>
  </w:style>
  <w:style w:type="paragraph" w:customStyle="1" w:styleId="27">
    <w:name w:val="无间隔1"/>
    <w:basedOn w:val="28"/>
    <w:next w:val="7"/>
    <w:autoRedefine/>
    <w:qFormat/>
    <w:uiPriority w:val="1"/>
    <w:pPr>
      <w:spacing w:line="400" w:lineRule="exact"/>
    </w:pPr>
    <w:rPr>
      <w:rFonts w:ascii="Times New Roman" w:hAnsi="Times New Roman"/>
      <w:szCs w:val="24"/>
    </w:rPr>
  </w:style>
  <w:style w:type="paragraph" w:customStyle="1" w:styleId="28">
    <w:name w:val="正文_1"/>
    <w:next w:val="1"/>
    <w:autoRedefine/>
    <w:qFormat/>
    <w:uiPriority w:val="0"/>
    <w:pPr>
      <w:widowControl w:val="0"/>
      <w:jc w:val="both"/>
    </w:pPr>
    <w:rPr>
      <w:rFonts w:ascii="Calibri" w:hAnsi="Calibri" w:eastAsia="宋体" w:cs="Times New Roman"/>
      <w:lang w:val="en-US" w:eastAsia="zh-CN" w:bidi="ar-SA"/>
    </w:rPr>
  </w:style>
  <w:style w:type="paragraph" w:customStyle="1" w:styleId="29">
    <w:name w:val="Table Paragraph"/>
    <w:basedOn w:val="1"/>
    <w:autoRedefine/>
    <w:qFormat/>
    <w:uiPriority w:val="1"/>
  </w:style>
  <w:style w:type="paragraph" w:customStyle="1" w:styleId="30">
    <w:name w:val="列表段落1"/>
    <w:basedOn w:val="1"/>
    <w:autoRedefine/>
    <w:qFormat/>
    <w:uiPriority w:val="99"/>
    <w:pPr>
      <w:ind w:firstLine="420" w:firstLineChars="200"/>
    </w:pPr>
  </w:style>
  <w:style w:type="paragraph" w:customStyle="1" w:styleId="31">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character" w:customStyle="1" w:styleId="32">
    <w:name w:val="标题 3 Char"/>
    <w:link w:val="4"/>
    <w:autoRedefine/>
    <w:qFormat/>
    <w:uiPriority w:val="0"/>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3599</Words>
  <Characters>4300</Characters>
  <Lines>0</Lines>
  <Paragraphs>0</Paragraphs>
  <TotalTime>0</TotalTime>
  <ScaleCrop>false</ScaleCrop>
  <LinksUpToDate>false</LinksUpToDate>
  <CharactersWithSpaces>4378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2025-04-17T01:10:00Z</dcterms:created>
  <dc:creator>琳</dc:creator>
  <cp:lastModifiedBy>琳</cp:lastModifiedBy>
  <dcterms:modified xsi:type="dcterms:W3CDTF">2025-07-25T07:40:50Z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3456D49B915E432EA5E782ACCB89E20F_11</vt:lpwstr>
  </property>
  <property fmtid="{D5CDD505-2E9C-101B-9397-08002B2CF9AE}" pid="4" name="KSOTemplateDocerSaveRecord">
    <vt:lpwstr>eyJoZGlkIjoiYzkwOTNmNWE0OGM5NjFhYmE3YjlmYzQxNTQ3ZDRkYmQiLCJ1c2VySWQiOiIzNjI2Njg1MzQifQ==</vt:lpwstr>
  </property>
</Properties>
</file>