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A4C9E">
      <w:pPr>
        <w:tabs>
          <w:tab w:val="left" w:pos="4200"/>
        </w:tabs>
        <w:autoSpaceDE w:val="0"/>
        <w:autoSpaceDN w:val="0"/>
        <w:adjustRightInd w:val="0"/>
        <w:spacing w:before="1" w:line="360" w:lineRule="auto"/>
        <w:ind w:right="-214"/>
        <w:jc w:val="both"/>
        <w:rPr>
          <w:rFonts w:hint="eastAsia" w:ascii="宋体" w:hAnsi="宋体" w:cs="宋体"/>
          <w:b/>
          <w:color w:val="auto"/>
          <w:sz w:val="28"/>
          <w:szCs w:val="28"/>
          <w:u w:val="single"/>
          <w:lang w:eastAsia="zh-CN"/>
        </w:rPr>
      </w:pPr>
      <w:r>
        <w:rPr>
          <w:rFonts w:hint="eastAsia" w:ascii="宋体" w:hAnsi="宋体" w:cs="宋体"/>
          <w:b/>
          <w:color w:val="auto"/>
          <w:sz w:val="28"/>
          <w:szCs w:val="28"/>
          <w:u w:val="single"/>
          <w:lang w:eastAsia="zh-CN"/>
        </w:rPr>
        <w:t>评分办法变更为如下：</w:t>
      </w:r>
    </w:p>
    <w:p w14:paraId="1AEFD704">
      <w:pPr>
        <w:tabs>
          <w:tab w:val="left" w:pos="4200"/>
        </w:tabs>
        <w:autoSpaceDE w:val="0"/>
        <w:autoSpaceDN w:val="0"/>
        <w:adjustRightInd w:val="0"/>
        <w:spacing w:before="1" w:line="360" w:lineRule="auto"/>
        <w:ind w:right="-214"/>
        <w:jc w:val="both"/>
        <w:rPr>
          <w:rFonts w:ascii="宋体" w:hAnsi="宋体" w:cs="宋体"/>
          <w:b/>
          <w:color w:val="auto"/>
          <w:sz w:val="28"/>
          <w:szCs w:val="28"/>
          <w:u w:val="single"/>
        </w:rPr>
      </w:pPr>
      <w:r>
        <w:rPr>
          <w:rFonts w:hint="eastAsia" w:ascii="宋体" w:hAnsi="宋体" w:cs="宋体"/>
          <w:b/>
          <w:color w:val="auto"/>
          <w:sz w:val="28"/>
          <w:szCs w:val="28"/>
          <w:u w:val="single"/>
        </w:rPr>
        <w:t>评标方法： 综合评分法     基准分100分</w:t>
      </w:r>
    </w:p>
    <w:tbl>
      <w:tblPr>
        <w:tblStyle w:val="3"/>
        <w:tblW w:w="49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132"/>
        <w:gridCol w:w="7401"/>
      </w:tblGrid>
      <w:tr w14:paraId="71F5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73" w:type="pct"/>
            <w:gridSpan w:val="2"/>
            <w:noWrap w:val="0"/>
            <w:vAlign w:val="center"/>
          </w:tcPr>
          <w:p w14:paraId="1CB81B5D">
            <w:pPr>
              <w:spacing w:line="360" w:lineRule="auto"/>
              <w:jc w:val="center"/>
              <w:rPr>
                <w:rFonts w:hint="eastAsia" w:hAnsi="宋体"/>
                <w:b/>
                <w:color w:val="auto"/>
                <w:sz w:val="24"/>
                <w:szCs w:val="24"/>
              </w:rPr>
            </w:pPr>
            <w:r>
              <w:rPr>
                <w:rFonts w:hint="eastAsia" w:hAnsi="宋体"/>
                <w:b/>
                <w:color w:val="auto"/>
                <w:sz w:val="24"/>
                <w:szCs w:val="24"/>
              </w:rPr>
              <w:t>分值构成</w:t>
            </w:r>
          </w:p>
          <w:p w14:paraId="6CEB6523">
            <w:pPr>
              <w:spacing w:line="360" w:lineRule="auto"/>
              <w:jc w:val="center"/>
              <w:rPr>
                <w:rFonts w:ascii="宋体" w:hAnsi="宋体" w:cs="宋体"/>
                <w:b/>
                <w:bCs/>
                <w:color w:val="auto"/>
                <w:sz w:val="24"/>
                <w:szCs w:val="24"/>
              </w:rPr>
            </w:pPr>
            <w:r>
              <w:rPr>
                <w:rFonts w:hint="eastAsia" w:hAnsi="宋体"/>
                <w:b/>
                <w:color w:val="auto"/>
                <w:sz w:val="24"/>
                <w:szCs w:val="24"/>
              </w:rPr>
              <w:t>(总分100分)</w:t>
            </w:r>
          </w:p>
        </w:tc>
        <w:tc>
          <w:tcPr>
            <w:tcW w:w="3826" w:type="pct"/>
            <w:noWrap w:val="0"/>
            <w:vAlign w:val="center"/>
          </w:tcPr>
          <w:p w14:paraId="51C0D7C3">
            <w:pPr>
              <w:spacing w:line="360" w:lineRule="auto"/>
              <w:jc w:val="center"/>
              <w:rPr>
                <w:rFonts w:ascii="宋体" w:hAnsi="宋体" w:cs="宋体"/>
                <w:b/>
                <w:bCs/>
                <w:color w:val="auto"/>
                <w:sz w:val="24"/>
                <w:szCs w:val="24"/>
              </w:rPr>
            </w:pPr>
            <w:r>
              <w:rPr>
                <w:rFonts w:hint="eastAsia" w:ascii="宋体" w:hAnsi="宋体" w:cs="宋体"/>
                <w:b/>
                <w:color w:val="auto"/>
                <w:sz w:val="24"/>
                <w:szCs w:val="24"/>
              </w:rPr>
              <w:t>报价得分</w:t>
            </w:r>
            <w:r>
              <w:rPr>
                <w:rFonts w:hint="eastAsia" w:hAnsi="宋体"/>
                <w:b/>
                <w:color w:val="auto"/>
                <w:sz w:val="24"/>
                <w:szCs w:val="24"/>
              </w:rPr>
              <w:t xml:space="preserve">：40分   技术标：40分   综合标：20分 </w:t>
            </w:r>
          </w:p>
        </w:tc>
      </w:tr>
      <w:tr w14:paraId="1308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73" w:type="pct"/>
            <w:gridSpan w:val="2"/>
            <w:noWrap w:val="0"/>
            <w:vAlign w:val="center"/>
          </w:tcPr>
          <w:p w14:paraId="4F12906F">
            <w:pPr>
              <w:spacing w:line="360" w:lineRule="auto"/>
              <w:jc w:val="center"/>
              <w:rPr>
                <w:rFonts w:ascii="宋体" w:hAnsi="宋体" w:cs="宋体"/>
                <w:color w:val="auto"/>
                <w:sz w:val="24"/>
                <w:szCs w:val="24"/>
              </w:rPr>
            </w:pPr>
            <w:r>
              <w:rPr>
                <w:rFonts w:hint="eastAsia" w:ascii="宋体" w:hAnsi="宋体" w:cs="宋体"/>
                <w:color w:val="auto"/>
                <w:sz w:val="24"/>
                <w:szCs w:val="24"/>
              </w:rPr>
              <w:t>投标报价（40分）</w:t>
            </w:r>
          </w:p>
        </w:tc>
        <w:tc>
          <w:tcPr>
            <w:tcW w:w="3826" w:type="pct"/>
            <w:noWrap w:val="0"/>
            <w:vAlign w:val="center"/>
          </w:tcPr>
          <w:p w14:paraId="6CB3E20F">
            <w:pPr>
              <w:spacing w:line="360" w:lineRule="auto"/>
              <w:rPr>
                <w:rFonts w:ascii="宋体" w:hAnsi="宋体" w:cs="宋体"/>
                <w:bCs/>
                <w:color w:val="auto"/>
                <w:sz w:val="24"/>
                <w:szCs w:val="24"/>
              </w:rPr>
            </w:pPr>
            <w:r>
              <w:rPr>
                <w:rFonts w:hint="eastAsia" w:ascii="宋体" w:hAnsi="宋体" w:cs="宋体"/>
                <w:bCs/>
                <w:color w:val="auto"/>
                <w:sz w:val="24"/>
                <w:szCs w:val="24"/>
              </w:rPr>
              <w:t>1.综合评分法中的价格分统一采用低价优先法计算，即满足招标文件要求且投标价格最低的报价为评标基准价，其价格分为满分。其他投标人的价格分统一按以下公式计算：</w:t>
            </w:r>
          </w:p>
          <w:p w14:paraId="111077F7">
            <w:pPr>
              <w:spacing w:line="360" w:lineRule="auto"/>
              <w:rPr>
                <w:rFonts w:ascii="宋体" w:hAnsi="宋体" w:cs="宋体"/>
                <w:bCs/>
                <w:color w:val="auto"/>
                <w:sz w:val="24"/>
                <w:szCs w:val="24"/>
              </w:rPr>
            </w:pPr>
            <w:r>
              <w:rPr>
                <w:rFonts w:hint="eastAsia" w:ascii="宋体" w:hAnsi="宋体" w:cs="宋体"/>
                <w:bCs/>
                <w:color w:val="auto"/>
                <w:sz w:val="24"/>
                <w:szCs w:val="24"/>
              </w:rPr>
              <w:t>投标报价得分=（评标基准值／投标报价）×40×100%</w:t>
            </w:r>
          </w:p>
          <w:p w14:paraId="5649BA84">
            <w:pPr>
              <w:spacing w:line="360" w:lineRule="auto"/>
              <w:rPr>
                <w:rFonts w:ascii="宋体" w:hAnsi="宋体" w:cs="宋体"/>
                <w:bCs/>
                <w:color w:val="auto"/>
                <w:sz w:val="24"/>
                <w:szCs w:val="24"/>
              </w:rPr>
            </w:pPr>
            <w:r>
              <w:rPr>
                <w:rFonts w:hint="eastAsia" w:ascii="宋体" w:hAnsi="宋体" w:cs="宋体"/>
                <w:bCs/>
                <w:color w:val="auto"/>
                <w:sz w:val="24"/>
                <w:szCs w:val="24"/>
              </w:rPr>
              <w:t>2.投标人的报价超出招标控制价的，按无效标处理。</w:t>
            </w:r>
          </w:p>
          <w:p w14:paraId="52AE9512">
            <w:pPr>
              <w:spacing w:line="360" w:lineRule="auto"/>
              <w:rPr>
                <w:rFonts w:ascii="宋体" w:hAnsi="宋体" w:cs="宋体"/>
                <w:bCs/>
                <w:color w:val="auto"/>
                <w:sz w:val="24"/>
                <w:szCs w:val="24"/>
              </w:rPr>
            </w:pPr>
            <w:r>
              <w:rPr>
                <w:rFonts w:hint="eastAsia" w:ascii="宋体" w:hAnsi="宋体" w:cs="宋体"/>
                <w:bCs/>
                <w:color w:val="auto"/>
                <w:sz w:val="24"/>
                <w:szCs w:val="24"/>
              </w:rPr>
              <w:t>3.评标委员会认为投标人的报价明显低于其他通过符合性审查投标人的报价，有可能影响产品质量或者不能诚信履约的，应当要求其在电子交易系统中合理的时间内提供书面说明，必要时提交相关证明材料；投标人不能证明其报价合理性的，评标委员会应当将其作为无效投标处理。</w:t>
            </w:r>
          </w:p>
          <w:p w14:paraId="5F82674D">
            <w:pPr>
              <w:spacing w:line="360" w:lineRule="auto"/>
              <w:rPr>
                <w:rFonts w:ascii="宋体" w:hAnsi="宋体" w:cs="宋体"/>
                <w:bCs/>
                <w:color w:val="auto"/>
                <w:sz w:val="24"/>
                <w:szCs w:val="24"/>
              </w:rPr>
            </w:pPr>
            <w:r>
              <w:rPr>
                <w:rFonts w:hint="eastAsia" w:ascii="宋体" w:hAnsi="宋体" w:cs="宋体"/>
                <w:bCs/>
                <w:color w:val="auto"/>
                <w:sz w:val="24"/>
                <w:szCs w:val="24"/>
              </w:rPr>
              <w:t>（1）根据财政部、工业和信息化部印发的《政府采购促进中小企业发展管理办法》（财库[2020]46号）的规定，对小型和微型企业产品的价格给予20%的扣除（工程项目为5%），用扣除后的价格参与评审。</w:t>
            </w:r>
          </w:p>
          <w:p w14:paraId="5F292CB4">
            <w:pPr>
              <w:spacing w:line="360" w:lineRule="auto"/>
              <w:rPr>
                <w:rFonts w:ascii="宋体" w:hAnsi="宋体" w:cs="宋体"/>
                <w:bCs/>
                <w:color w:val="auto"/>
                <w:sz w:val="24"/>
                <w:szCs w:val="24"/>
              </w:rPr>
            </w:pPr>
            <w:r>
              <w:rPr>
                <w:rFonts w:hint="eastAsia" w:ascii="宋体" w:hAnsi="宋体" w:cs="宋体"/>
                <w:bCs/>
                <w:color w:val="auto"/>
                <w:sz w:val="24"/>
                <w:szCs w:val="24"/>
              </w:rPr>
              <w:t>（2）在政府采购活动中，供应商提供的货物、工程或者服务符合下列情形的，享受本办法规定的中小企业扶持政策：</w:t>
            </w:r>
          </w:p>
          <w:p w14:paraId="40E23FB7">
            <w:pPr>
              <w:spacing w:line="360" w:lineRule="auto"/>
              <w:rPr>
                <w:rFonts w:ascii="宋体" w:hAnsi="宋体" w:cs="宋体"/>
                <w:bCs/>
                <w:color w:val="auto"/>
                <w:sz w:val="24"/>
                <w:szCs w:val="24"/>
              </w:rPr>
            </w:pPr>
            <w:r>
              <w:rPr>
                <w:rFonts w:hint="eastAsia" w:ascii="宋体" w:hAnsi="宋体" w:cs="宋体"/>
                <w:bCs/>
                <w:color w:val="auto"/>
                <w:sz w:val="24"/>
                <w:szCs w:val="24"/>
              </w:rPr>
              <w:t>（一）在货物采购项目中，货物由中小企业制造，即货物由中小企业生产且使用该中小企业商号或者注册商标；</w:t>
            </w:r>
          </w:p>
          <w:p w14:paraId="082B6BBD">
            <w:pPr>
              <w:spacing w:line="360" w:lineRule="auto"/>
              <w:rPr>
                <w:rFonts w:ascii="宋体" w:hAnsi="宋体" w:cs="宋体"/>
                <w:bCs/>
                <w:color w:val="auto"/>
                <w:sz w:val="24"/>
                <w:szCs w:val="24"/>
              </w:rPr>
            </w:pPr>
            <w:r>
              <w:rPr>
                <w:rFonts w:hint="eastAsia" w:ascii="宋体" w:hAnsi="宋体" w:cs="宋体"/>
                <w:bCs/>
                <w:color w:val="auto"/>
                <w:sz w:val="24"/>
                <w:szCs w:val="24"/>
              </w:rPr>
              <w:t>（二）在工程采购项目中，工程由中小企业承建，即工程施工单位为中小企业；</w:t>
            </w:r>
          </w:p>
          <w:p w14:paraId="1F298D60">
            <w:pPr>
              <w:spacing w:line="360" w:lineRule="auto"/>
              <w:rPr>
                <w:rFonts w:ascii="宋体" w:hAnsi="宋体" w:cs="宋体"/>
                <w:bCs/>
                <w:color w:val="auto"/>
                <w:sz w:val="24"/>
                <w:szCs w:val="24"/>
              </w:rPr>
            </w:pPr>
            <w:r>
              <w:rPr>
                <w:rFonts w:hint="eastAsia" w:ascii="宋体" w:hAnsi="宋体" w:cs="宋体"/>
                <w:bCs/>
                <w:color w:val="auto"/>
                <w:sz w:val="24"/>
                <w:szCs w:val="24"/>
              </w:rPr>
              <w:t>（三）在服务采购项目中，服务由中小企业承接，即提供服务的人员为中小企业依照《中华人民共和国劳动合同法》订立劳动合同的从业人员。</w:t>
            </w:r>
          </w:p>
          <w:p w14:paraId="2DC34859">
            <w:pPr>
              <w:spacing w:line="360" w:lineRule="auto"/>
              <w:rPr>
                <w:rFonts w:ascii="宋体" w:hAnsi="宋体" w:cs="宋体"/>
                <w:bCs/>
                <w:color w:val="auto"/>
                <w:sz w:val="24"/>
                <w:szCs w:val="24"/>
              </w:rPr>
            </w:pPr>
            <w:r>
              <w:rPr>
                <w:rFonts w:hint="eastAsia" w:ascii="宋体" w:hAnsi="宋体" w:cs="宋体"/>
                <w:bCs/>
                <w:color w:val="auto"/>
                <w:sz w:val="24"/>
                <w:szCs w:val="24"/>
              </w:rPr>
              <w:t>在货物采购项目中，供应商提供的货物既有中小企业制造货物，也有大型企业制造货物的，不享受本办法规定的中小企业扶持政策。</w:t>
            </w:r>
          </w:p>
          <w:p w14:paraId="0CB75ED1">
            <w:pPr>
              <w:spacing w:line="360" w:lineRule="auto"/>
              <w:rPr>
                <w:rFonts w:ascii="宋体" w:hAnsi="宋体" w:cs="宋体"/>
                <w:bCs/>
                <w:color w:val="auto"/>
                <w:sz w:val="24"/>
                <w:szCs w:val="24"/>
              </w:rPr>
            </w:pPr>
            <w:r>
              <w:rPr>
                <w:rFonts w:hint="eastAsia" w:ascii="宋体" w:hAnsi="宋体" w:cs="宋体"/>
                <w:bCs/>
                <w:color w:val="auto"/>
                <w:sz w:val="24"/>
                <w:szCs w:val="24"/>
              </w:rPr>
              <w:t>以联合体形式参加政府采购活动，联合体各方均为中小企业的，联合体视同中小企业。其中，联合体各方均为小微企业的，联合体视同小微企业。</w:t>
            </w:r>
          </w:p>
          <w:p w14:paraId="6BD193D0">
            <w:pPr>
              <w:spacing w:line="360" w:lineRule="auto"/>
              <w:rPr>
                <w:rFonts w:ascii="宋体" w:hAnsi="宋体" w:cs="宋体"/>
                <w:bCs/>
                <w:color w:val="auto"/>
                <w:sz w:val="24"/>
                <w:szCs w:val="24"/>
              </w:rPr>
            </w:pPr>
            <w:r>
              <w:rPr>
                <w:rFonts w:hint="eastAsia" w:ascii="宋体" w:hAnsi="宋体" w:cs="宋体"/>
                <w:bCs/>
                <w:color w:val="auto"/>
                <w:sz w:val="24"/>
                <w:szCs w:val="24"/>
              </w:rPr>
              <w:t>中小企业参加政府采购活动，应当出具《中小企业声明函》，否则不得享受相关中小企业扶持政策。任何单位和个人不得要求供应商提供《中小企业声明函》之外的中小企业身份证明文件。</w:t>
            </w:r>
          </w:p>
          <w:p w14:paraId="2565ACCA">
            <w:pPr>
              <w:spacing w:line="360" w:lineRule="auto"/>
              <w:rPr>
                <w:rFonts w:ascii="宋体" w:hAnsi="宋体" w:cs="宋体"/>
                <w:bCs/>
                <w:color w:val="auto"/>
                <w:sz w:val="24"/>
                <w:szCs w:val="24"/>
              </w:rPr>
            </w:pPr>
            <w:r>
              <w:rPr>
                <w:rFonts w:hint="eastAsia" w:ascii="宋体" w:hAnsi="宋体" w:cs="宋体"/>
                <w:bCs/>
                <w:color w:val="auto"/>
                <w:sz w:val="24"/>
                <w:szCs w:val="24"/>
              </w:rPr>
              <w:t>（四）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提供由省级以上监狱管理局、戒毒管理局(含新疆生产建设兵团)出具的属于监狱企业的证明文件，不再提供《中小微企业声明函》。</w:t>
            </w:r>
          </w:p>
          <w:p w14:paraId="1CE947C0">
            <w:pPr>
              <w:spacing w:line="360" w:lineRule="auto"/>
              <w:rPr>
                <w:rFonts w:ascii="宋体" w:hAnsi="宋体" w:cs="宋体"/>
                <w:bCs/>
                <w:color w:val="auto"/>
                <w:sz w:val="24"/>
                <w:szCs w:val="24"/>
              </w:rPr>
            </w:pPr>
            <w:r>
              <w:rPr>
                <w:rFonts w:hint="eastAsia" w:ascii="宋体" w:hAnsi="宋体" w:cs="宋体"/>
                <w:bCs/>
                <w:color w:val="auto"/>
                <w:sz w:val="24"/>
                <w:szCs w:val="24"/>
              </w:rPr>
              <w:t>（五）残疾人福利性单位视同小型或微型企业（投标人若为残疾人福利性单位，须按规定提供《残疾人福利性单位声明函》（见投标文件格式部分），并对其真实性负责；）</w:t>
            </w:r>
          </w:p>
          <w:p w14:paraId="3EB881BA">
            <w:pPr>
              <w:pStyle w:val="5"/>
              <w:spacing w:line="360" w:lineRule="auto"/>
              <w:rPr>
                <w:rFonts w:ascii="宋体" w:hAnsi="宋体" w:cs="宋体"/>
                <w:color w:val="auto"/>
              </w:rPr>
            </w:pPr>
            <w:r>
              <w:rPr>
                <w:rFonts w:hint="eastAsia" w:ascii="宋体" w:hAnsi="宋体" w:cs="宋体"/>
                <w:bCs/>
                <w:color w:val="auto"/>
              </w:rPr>
              <w:t>同一投标人，小型企业或微型企业、监狱企业、残疾人福利性单位价格扣除优惠只享受一次，不得重复享受。</w:t>
            </w:r>
          </w:p>
        </w:tc>
      </w:tr>
      <w:tr w14:paraId="245E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88" w:type="pct"/>
            <w:noWrap w:val="0"/>
            <w:vAlign w:val="center"/>
          </w:tcPr>
          <w:p w14:paraId="3B8969CE">
            <w:pPr>
              <w:spacing w:line="360" w:lineRule="auto"/>
              <w:jc w:val="center"/>
              <w:rPr>
                <w:rFonts w:ascii="宋体" w:hAnsi="宋体" w:cs="宋体"/>
                <w:color w:val="auto"/>
                <w:sz w:val="24"/>
                <w:szCs w:val="24"/>
              </w:rPr>
            </w:pPr>
            <w:r>
              <w:rPr>
                <w:rFonts w:hint="eastAsia" w:ascii="宋体" w:hAnsi="宋体" w:cs="宋体"/>
                <w:color w:val="auto"/>
                <w:sz w:val="24"/>
                <w:szCs w:val="24"/>
              </w:rPr>
              <w:t>技术标（40分)</w:t>
            </w:r>
          </w:p>
        </w:tc>
        <w:tc>
          <w:tcPr>
            <w:tcW w:w="585" w:type="pct"/>
            <w:noWrap w:val="0"/>
            <w:vAlign w:val="center"/>
          </w:tcPr>
          <w:p w14:paraId="77684213">
            <w:pPr>
              <w:spacing w:line="360" w:lineRule="auto"/>
              <w:jc w:val="center"/>
              <w:rPr>
                <w:rFonts w:ascii="宋体" w:hAnsi="宋体" w:cs="宋体"/>
                <w:color w:val="auto"/>
                <w:sz w:val="24"/>
                <w:szCs w:val="24"/>
              </w:rPr>
            </w:pPr>
            <w:r>
              <w:rPr>
                <w:rFonts w:hint="eastAsia" w:ascii="宋体" w:hAnsi="宋体" w:cs="宋体"/>
                <w:color w:val="auto"/>
                <w:sz w:val="24"/>
                <w:szCs w:val="24"/>
              </w:rPr>
              <w:t>技术</w:t>
            </w:r>
          </w:p>
          <w:p w14:paraId="41213CC2">
            <w:pPr>
              <w:spacing w:line="360" w:lineRule="auto"/>
              <w:jc w:val="center"/>
              <w:rPr>
                <w:rFonts w:ascii="宋体" w:hAnsi="宋体" w:cs="宋体"/>
                <w:color w:val="auto"/>
                <w:sz w:val="24"/>
                <w:szCs w:val="24"/>
              </w:rPr>
            </w:pPr>
            <w:r>
              <w:rPr>
                <w:rFonts w:hint="eastAsia" w:ascii="宋体" w:hAnsi="宋体" w:cs="宋体"/>
                <w:color w:val="auto"/>
                <w:sz w:val="24"/>
                <w:szCs w:val="24"/>
              </w:rPr>
              <w:t>部分</w:t>
            </w:r>
          </w:p>
          <w:p w14:paraId="6816ACEC">
            <w:pPr>
              <w:spacing w:line="360" w:lineRule="auto"/>
              <w:jc w:val="center"/>
              <w:rPr>
                <w:rFonts w:ascii="宋体" w:hAnsi="宋体" w:cs="宋体"/>
                <w:bCs/>
                <w:color w:val="auto"/>
                <w:kern w:val="0"/>
                <w:sz w:val="24"/>
                <w:szCs w:val="24"/>
              </w:rPr>
            </w:pPr>
            <w:r>
              <w:rPr>
                <w:rFonts w:hint="eastAsia" w:ascii="宋体" w:hAnsi="宋体" w:cs="宋体"/>
                <w:color w:val="auto"/>
                <w:sz w:val="24"/>
                <w:szCs w:val="24"/>
              </w:rPr>
              <w:t>（40分）</w:t>
            </w:r>
          </w:p>
        </w:tc>
        <w:tc>
          <w:tcPr>
            <w:tcW w:w="3826" w:type="pct"/>
            <w:noWrap w:val="0"/>
            <w:vAlign w:val="center"/>
          </w:tcPr>
          <w:p w14:paraId="4BE6CDE4">
            <w:pPr>
              <w:pStyle w:val="6"/>
              <w:tabs>
                <w:tab w:val="left" w:pos="900"/>
              </w:tabs>
              <w:ind w:firstLine="0" w:firstLineChars="0"/>
              <w:rPr>
                <w:rFonts w:cs="宋体"/>
                <w:color w:val="auto"/>
                <w:szCs w:val="24"/>
              </w:rPr>
            </w:pPr>
            <w:r>
              <w:rPr>
                <w:rFonts w:hint="eastAsia" w:cs="宋体"/>
                <w:color w:val="auto"/>
                <w:szCs w:val="24"/>
              </w:rPr>
              <w:t>根据各投标人所投产品技术性能以及对招标文件各项基本要求（招标需求具体要求）的逐项响应等方面情况由评委进行评议打分，投标人所投设备完全满足招标文件技术要求的，得40分。</w:t>
            </w:r>
          </w:p>
          <w:p w14:paraId="65F43CFB">
            <w:pPr>
              <w:pStyle w:val="7"/>
              <w:spacing w:line="360" w:lineRule="auto"/>
              <w:ind w:left="0" w:leftChars="0"/>
              <w:rPr>
                <w:rFonts w:ascii="宋体" w:hAnsi="宋体" w:cs="宋体"/>
                <w:color w:val="auto"/>
                <w:sz w:val="24"/>
                <w:szCs w:val="24"/>
              </w:rPr>
            </w:pPr>
            <w:r>
              <w:rPr>
                <w:rFonts w:hint="eastAsia" w:ascii="宋体" w:hAnsi="宋体" w:cs="宋体"/>
                <w:color w:val="auto"/>
                <w:sz w:val="24"/>
                <w:szCs w:val="24"/>
              </w:rPr>
              <w:t>技术参数中带“★”的有一项不满足的扣2分，技术参数中不带“★”的每有一项不满足扣1分，扣完为止。</w:t>
            </w:r>
          </w:p>
        </w:tc>
      </w:tr>
      <w:tr w14:paraId="0E7B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88" w:type="pct"/>
            <w:vMerge w:val="restart"/>
            <w:noWrap w:val="0"/>
            <w:vAlign w:val="center"/>
          </w:tcPr>
          <w:p w14:paraId="435D9974">
            <w:pPr>
              <w:spacing w:line="360" w:lineRule="auto"/>
              <w:rPr>
                <w:rFonts w:ascii="宋体" w:hAnsi="宋体" w:cs="宋体"/>
                <w:color w:val="auto"/>
                <w:sz w:val="24"/>
                <w:szCs w:val="24"/>
              </w:rPr>
            </w:pPr>
            <w:r>
              <w:rPr>
                <w:rFonts w:hint="eastAsia" w:ascii="宋体" w:hAnsi="宋体" w:cs="宋体"/>
                <w:color w:val="auto"/>
                <w:sz w:val="24"/>
                <w:szCs w:val="24"/>
              </w:rPr>
              <w:t>综合标（20分）</w:t>
            </w:r>
          </w:p>
        </w:tc>
        <w:tc>
          <w:tcPr>
            <w:tcW w:w="585" w:type="pct"/>
            <w:noWrap w:val="0"/>
            <w:vAlign w:val="center"/>
          </w:tcPr>
          <w:p w14:paraId="29A1865C">
            <w:pPr>
              <w:spacing w:line="360" w:lineRule="auto"/>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供货</w:t>
            </w:r>
          </w:p>
          <w:p w14:paraId="6CA1661E">
            <w:pPr>
              <w:spacing w:line="360" w:lineRule="auto"/>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方案</w:t>
            </w:r>
          </w:p>
          <w:p w14:paraId="459B1A91">
            <w:pPr>
              <w:spacing w:line="360" w:lineRule="auto"/>
              <w:rPr>
                <w:rFonts w:ascii="宋体" w:hAnsi="宋体" w:cs="宋体"/>
                <w:bCs/>
                <w:color w:val="auto"/>
                <w:kern w:val="0"/>
                <w:sz w:val="24"/>
                <w:szCs w:val="24"/>
              </w:rPr>
            </w:pPr>
            <w:r>
              <w:rPr>
                <w:rFonts w:hint="eastAsia" w:ascii="宋体" w:hAnsi="宋体" w:cs="宋体"/>
                <w:bCs/>
                <w:color w:val="auto"/>
                <w:kern w:val="0"/>
                <w:sz w:val="24"/>
                <w:szCs w:val="24"/>
              </w:rPr>
              <w:t>（4分）</w:t>
            </w:r>
          </w:p>
          <w:p w14:paraId="123B6B2A">
            <w:pPr>
              <w:spacing w:line="360" w:lineRule="auto"/>
              <w:jc w:val="center"/>
              <w:rPr>
                <w:rFonts w:ascii="宋体" w:hAnsi="宋体" w:cs="宋体"/>
                <w:color w:val="auto"/>
                <w:sz w:val="24"/>
                <w:szCs w:val="24"/>
              </w:rPr>
            </w:pPr>
          </w:p>
        </w:tc>
        <w:tc>
          <w:tcPr>
            <w:tcW w:w="3826" w:type="pct"/>
            <w:noWrap w:val="0"/>
            <w:vAlign w:val="center"/>
          </w:tcPr>
          <w:p w14:paraId="41711CD2">
            <w:pPr>
              <w:widowControl/>
              <w:spacing w:line="360" w:lineRule="auto"/>
              <w:jc w:val="left"/>
              <w:textAlignment w:val="center"/>
              <w:rPr>
                <w:rFonts w:ascii="宋体" w:hAnsi="宋体"/>
                <w:color w:val="auto"/>
                <w:sz w:val="24"/>
                <w:szCs w:val="24"/>
              </w:rPr>
            </w:pPr>
            <w:r>
              <w:rPr>
                <w:rFonts w:hint="eastAsia" w:ascii="宋体" w:hAnsi="宋体"/>
                <w:color w:val="auto"/>
                <w:sz w:val="24"/>
                <w:szCs w:val="24"/>
              </w:rPr>
              <w:t>1、投标人供货方案内容全面、安排科学、工作细致、逻辑清晰、可操性强、有保障措施；包括供货实施方案、供货期、供货保障措施、运输、设备安装调试、人员安排等优的得4分；</w:t>
            </w:r>
          </w:p>
          <w:p w14:paraId="0F6D85E5">
            <w:pPr>
              <w:widowControl/>
              <w:spacing w:line="360" w:lineRule="auto"/>
              <w:jc w:val="left"/>
              <w:textAlignment w:val="center"/>
              <w:rPr>
                <w:rFonts w:ascii="宋体" w:hAnsi="宋体"/>
                <w:color w:val="auto"/>
                <w:sz w:val="24"/>
                <w:szCs w:val="24"/>
              </w:rPr>
            </w:pPr>
            <w:r>
              <w:rPr>
                <w:rFonts w:hint="eastAsia" w:ascii="宋体" w:hAnsi="宋体"/>
                <w:color w:val="auto"/>
                <w:sz w:val="24"/>
                <w:szCs w:val="24"/>
              </w:rPr>
              <w:t>2、投标人供货方案内容较全、工作计划清晰、安排较科学、针对性可操作性较强、措施保障较具体；包括供货方案实施、供货期、供货保障措施、运输、设备安装调试、人员安排等内容良的得2分；</w:t>
            </w:r>
          </w:p>
          <w:p w14:paraId="04B5C39C">
            <w:pPr>
              <w:widowControl/>
              <w:spacing w:line="360" w:lineRule="auto"/>
              <w:jc w:val="left"/>
              <w:textAlignment w:val="center"/>
              <w:rPr>
                <w:color w:val="auto"/>
              </w:rPr>
            </w:pPr>
            <w:r>
              <w:rPr>
                <w:rFonts w:hint="eastAsia" w:ascii="宋体" w:hAnsi="宋体"/>
                <w:color w:val="auto"/>
                <w:sz w:val="24"/>
                <w:szCs w:val="24"/>
              </w:rPr>
              <w:t>3、投标人供货方案内容不全、合理性针对性不强、保障措施不具体；包括供货方案实施、供货期、供货保障措施、运输、设备安装调试、人员安排等内容一般的得1分；</w:t>
            </w:r>
          </w:p>
        </w:tc>
      </w:tr>
      <w:tr w14:paraId="5087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88" w:type="pct"/>
            <w:vMerge w:val="continue"/>
            <w:noWrap w:val="0"/>
            <w:vAlign w:val="center"/>
          </w:tcPr>
          <w:p w14:paraId="2AB0A0E1">
            <w:pPr>
              <w:spacing w:line="360" w:lineRule="auto"/>
              <w:rPr>
                <w:rFonts w:ascii="宋体" w:hAnsi="宋体" w:cs="宋体"/>
                <w:color w:val="auto"/>
                <w:sz w:val="24"/>
                <w:szCs w:val="24"/>
              </w:rPr>
            </w:pPr>
          </w:p>
        </w:tc>
        <w:tc>
          <w:tcPr>
            <w:tcW w:w="585" w:type="pct"/>
            <w:noWrap w:val="0"/>
            <w:vAlign w:val="center"/>
          </w:tcPr>
          <w:p w14:paraId="25A7EB2D">
            <w:pPr>
              <w:autoSpaceDE w:val="0"/>
              <w:autoSpaceDN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培训计划（4分）</w:t>
            </w:r>
          </w:p>
          <w:p w14:paraId="321D5027">
            <w:pPr>
              <w:autoSpaceDE w:val="0"/>
              <w:autoSpaceDN w:val="0"/>
              <w:spacing w:line="360" w:lineRule="auto"/>
              <w:jc w:val="center"/>
              <w:rPr>
                <w:rFonts w:ascii="宋体" w:hAnsi="宋体" w:cs="宋体"/>
                <w:color w:val="auto"/>
                <w:kern w:val="0"/>
                <w:sz w:val="24"/>
                <w:szCs w:val="24"/>
              </w:rPr>
            </w:pPr>
          </w:p>
        </w:tc>
        <w:tc>
          <w:tcPr>
            <w:tcW w:w="3826" w:type="pct"/>
            <w:noWrap w:val="0"/>
            <w:vAlign w:val="center"/>
          </w:tcPr>
          <w:p w14:paraId="0DFE9A29">
            <w:pPr>
              <w:widowControl/>
              <w:numPr>
                <w:ilvl w:val="0"/>
                <w:numId w:val="0"/>
              </w:numPr>
              <w:spacing w:line="360" w:lineRule="auto"/>
              <w:jc w:val="left"/>
              <w:textAlignment w:val="center"/>
              <w:rPr>
                <w:rFonts w:hint="eastAsia" w:ascii="宋体" w:hAnsi="宋体"/>
                <w:color w:val="auto"/>
                <w:sz w:val="24"/>
                <w:szCs w:val="24"/>
              </w:rPr>
            </w:pPr>
            <w:r>
              <w:rPr>
                <w:rFonts w:hint="eastAsia" w:ascii="宋体" w:hAnsi="宋体"/>
                <w:color w:val="auto"/>
                <w:kern w:val="2"/>
                <w:sz w:val="24"/>
                <w:szCs w:val="24"/>
                <w:lang w:val="en-US" w:eastAsia="zh-CN" w:bidi="ar-SA"/>
              </w:rPr>
              <w:t>1、</w:t>
            </w:r>
            <w:r>
              <w:rPr>
                <w:rFonts w:hint="eastAsia" w:ascii="宋体" w:hAnsi="宋体"/>
                <w:color w:val="auto"/>
                <w:sz w:val="24"/>
                <w:szCs w:val="24"/>
              </w:rPr>
              <w:t>培训计划（培训目标、培训（授课）内容、培训方式、培训的材料和文件、培训效果承诺）内容详尽、合理、逻辑清晰、可行性程度高的得4分；</w:t>
            </w:r>
          </w:p>
          <w:p w14:paraId="436E29EF">
            <w:pPr>
              <w:pStyle w:val="8"/>
              <w:rPr>
                <w:rFonts w:hint="eastAsia"/>
                <w:color w:val="auto"/>
              </w:rPr>
            </w:pPr>
            <w:r>
              <w:rPr>
                <w:rFonts w:hint="eastAsia"/>
                <w:color w:val="auto"/>
              </w:rPr>
              <w:t>2、</w:t>
            </w:r>
            <w:r>
              <w:rPr>
                <w:rFonts w:hint="eastAsia" w:hAnsi="宋体"/>
                <w:color w:val="auto"/>
              </w:rPr>
              <w:t>培训计划（培训目标、培训（授课）内容、培训方式、培训的材料和文件、培训效果承诺）内容较详尽、合理、逻辑较清晰、可行性程度较高的得2分；</w:t>
            </w:r>
          </w:p>
          <w:p w14:paraId="757AE56B">
            <w:pPr>
              <w:widowControl/>
              <w:spacing w:line="360" w:lineRule="auto"/>
              <w:jc w:val="left"/>
              <w:textAlignment w:val="center"/>
              <w:rPr>
                <w:color w:val="auto"/>
              </w:rPr>
            </w:pPr>
            <w:r>
              <w:rPr>
                <w:rFonts w:hint="eastAsia" w:ascii="宋体" w:hAnsi="宋体"/>
                <w:color w:val="auto"/>
                <w:sz w:val="24"/>
                <w:szCs w:val="24"/>
              </w:rPr>
              <w:t>3、培训计划（培训目标、培训（授课）内容、培训方式、培训的材料和文件、培训效果承诺）内容一般、但基本合理、逻辑清晰、可行性程度一般的得1分；</w:t>
            </w:r>
          </w:p>
        </w:tc>
      </w:tr>
      <w:tr w14:paraId="0C0F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88" w:type="pct"/>
            <w:vMerge w:val="continue"/>
            <w:noWrap w:val="0"/>
            <w:vAlign w:val="center"/>
          </w:tcPr>
          <w:p w14:paraId="18743CBB">
            <w:pPr>
              <w:spacing w:line="360" w:lineRule="auto"/>
              <w:rPr>
                <w:rFonts w:ascii="宋体" w:hAnsi="宋体" w:cs="宋体"/>
                <w:color w:val="auto"/>
                <w:sz w:val="24"/>
                <w:szCs w:val="24"/>
              </w:rPr>
            </w:pPr>
          </w:p>
        </w:tc>
        <w:tc>
          <w:tcPr>
            <w:tcW w:w="585" w:type="pct"/>
            <w:noWrap w:val="0"/>
            <w:vAlign w:val="center"/>
          </w:tcPr>
          <w:p w14:paraId="7B6CF419">
            <w:pPr>
              <w:spacing w:line="360" w:lineRule="auto"/>
              <w:jc w:val="center"/>
              <w:rPr>
                <w:rFonts w:ascii="宋体" w:hAnsi="宋体" w:cs="宋体"/>
                <w:bCs/>
                <w:color w:val="auto"/>
                <w:kern w:val="0"/>
                <w:sz w:val="24"/>
                <w:szCs w:val="24"/>
              </w:rPr>
            </w:pPr>
          </w:p>
          <w:p w14:paraId="52E82EC5">
            <w:pPr>
              <w:spacing w:line="360" w:lineRule="auto"/>
              <w:jc w:val="center"/>
              <w:rPr>
                <w:rFonts w:ascii="宋体" w:hAnsi="宋体" w:cs="宋体"/>
                <w:bCs/>
                <w:color w:val="auto"/>
                <w:kern w:val="0"/>
                <w:sz w:val="24"/>
                <w:szCs w:val="24"/>
              </w:rPr>
            </w:pPr>
          </w:p>
          <w:p w14:paraId="7A55C7BE">
            <w:pPr>
              <w:spacing w:line="360" w:lineRule="auto"/>
              <w:jc w:val="center"/>
              <w:rPr>
                <w:rFonts w:ascii="宋体" w:hAnsi="宋体" w:cs="宋体"/>
                <w:bCs/>
                <w:color w:val="auto"/>
                <w:kern w:val="0"/>
                <w:sz w:val="24"/>
                <w:szCs w:val="24"/>
              </w:rPr>
            </w:pPr>
          </w:p>
          <w:p w14:paraId="77FAC847">
            <w:pPr>
              <w:spacing w:line="360" w:lineRule="auto"/>
              <w:jc w:val="center"/>
              <w:rPr>
                <w:rFonts w:ascii="宋体" w:hAnsi="宋体" w:cs="宋体"/>
                <w:bCs/>
                <w:color w:val="auto"/>
                <w:kern w:val="0"/>
                <w:sz w:val="24"/>
                <w:szCs w:val="24"/>
              </w:rPr>
            </w:pPr>
          </w:p>
          <w:p w14:paraId="5FCDE2D6">
            <w:pPr>
              <w:spacing w:line="360" w:lineRule="auto"/>
              <w:jc w:val="center"/>
              <w:rPr>
                <w:rFonts w:ascii="宋体" w:hAnsi="宋体" w:cs="宋体"/>
                <w:bCs/>
                <w:color w:val="auto"/>
                <w:kern w:val="0"/>
                <w:sz w:val="24"/>
                <w:szCs w:val="24"/>
              </w:rPr>
            </w:pPr>
            <w:r>
              <w:rPr>
                <w:rFonts w:hint="eastAsia" w:ascii="宋体" w:hAnsi="宋体" w:cs="宋体"/>
                <w:bCs/>
                <w:color w:val="auto"/>
                <w:kern w:val="0"/>
                <w:sz w:val="24"/>
                <w:szCs w:val="24"/>
              </w:rPr>
              <w:t>售后服务方案（6分）</w:t>
            </w:r>
          </w:p>
        </w:tc>
        <w:tc>
          <w:tcPr>
            <w:tcW w:w="3826" w:type="pct"/>
            <w:noWrap w:val="0"/>
            <w:vAlign w:val="center"/>
          </w:tcPr>
          <w:p w14:paraId="0FF376ED">
            <w:pPr>
              <w:widowControl/>
              <w:spacing w:line="360" w:lineRule="auto"/>
              <w:jc w:val="left"/>
              <w:textAlignment w:val="center"/>
              <w:rPr>
                <w:rFonts w:ascii="宋体" w:hAnsi="宋体"/>
                <w:color w:val="auto"/>
                <w:sz w:val="24"/>
                <w:szCs w:val="24"/>
              </w:rPr>
            </w:pPr>
            <w:r>
              <w:rPr>
                <w:rFonts w:hint="eastAsia" w:ascii="宋体" w:hAnsi="宋体"/>
                <w:color w:val="auto"/>
                <w:sz w:val="24"/>
                <w:szCs w:val="24"/>
              </w:rPr>
              <w:t>1、质保期内和质保期外售后服务保障措施（包括但不限于人员培训方案、应急保障措施、售后人员保障、服务承诺、响应时间、维修备品备件等）内容全面详尽、具体、合理、逻辑清晰、可操作性优的得2分；</w:t>
            </w:r>
          </w:p>
          <w:p w14:paraId="33F4310C">
            <w:pPr>
              <w:widowControl/>
              <w:spacing w:line="360" w:lineRule="auto"/>
              <w:jc w:val="left"/>
              <w:textAlignment w:val="center"/>
              <w:rPr>
                <w:rFonts w:ascii="宋体" w:hAnsi="宋体"/>
                <w:color w:val="auto"/>
                <w:sz w:val="24"/>
                <w:szCs w:val="24"/>
              </w:rPr>
            </w:pPr>
            <w:r>
              <w:rPr>
                <w:rFonts w:hint="eastAsia" w:ascii="宋体" w:hAnsi="宋体"/>
                <w:color w:val="auto"/>
                <w:sz w:val="24"/>
                <w:szCs w:val="24"/>
              </w:rPr>
              <w:t>2、质保期内和质保期外售后服务保障措施（包括但不限于人员培训方案、应急保障措施、售后人员保障、服务承诺、响应时间、维修备品备件等）内容基本全面、合理、可操作性良的得1分；</w:t>
            </w:r>
          </w:p>
          <w:p w14:paraId="25DC0425">
            <w:pPr>
              <w:widowControl/>
              <w:spacing w:line="360" w:lineRule="auto"/>
              <w:jc w:val="left"/>
              <w:textAlignment w:val="center"/>
              <w:rPr>
                <w:color w:val="auto"/>
                <w:lang w:val="zh-CN"/>
              </w:rPr>
            </w:pPr>
            <w:r>
              <w:rPr>
                <w:rFonts w:hint="eastAsia" w:ascii="宋体" w:hAnsi="宋体"/>
                <w:color w:val="auto"/>
                <w:sz w:val="24"/>
                <w:szCs w:val="24"/>
              </w:rPr>
              <w:t>3、要求设备厂商在原质保期基础上，每增加1年加2分，最高加4分；</w:t>
            </w:r>
          </w:p>
        </w:tc>
      </w:tr>
      <w:tr w14:paraId="6C92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88" w:type="pct"/>
            <w:noWrap w:val="0"/>
            <w:vAlign w:val="center"/>
          </w:tcPr>
          <w:p w14:paraId="41CAE8D0">
            <w:pPr>
              <w:spacing w:line="360" w:lineRule="auto"/>
              <w:jc w:val="center"/>
              <w:rPr>
                <w:rFonts w:ascii="宋体" w:hAnsi="宋体" w:cs="宋体"/>
                <w:color w:val="auto"/>
                <w:sz w:val="24"/>
                <w:szCs w:val="24"/>
              </w:rPr>
            </w:pPr>
          </w:p>
        </w:tc>
        <w:tc>
          <w:tcPr>
            <w:tcW w:w="585" w:type="pct"/>
            <w:noWrap w:val="0"/>
            <w:vAlign w:val="center"/>
          </w:tcPr>
          <w:p w14:paraId="265496AA">
            <w:pPr>
              <w:spacing w:line="360" w:lineRule="auto"/>
              <w:jc w:val="center"/>
              <w:rPr>
                <w:rFonts w:ascii="宋体" w:hAnsi="宋体" w:cs="宋体"/>
                <w:bCs/>
                <w:color w:val="auto"/>
                <w:kern w:val="0"/>
                <w:sz w:val="24"/>
                <w:szCs w:val="24"/>
              </w:rPr>
            </w:pPr>
            <w:r>
              <w:rPr>
                <w:rFonts w:hint="eastAsia" w:ascii="宋体" w:hAnsi="宋体" w:cs="宋体"/>
                <w:color w:val="auto"/>
                <w:sz w:val="24"/>
              </w:rPr>
              <w:t>绿色产品认证（2分）</w:t>
            </w:r>
          </w:p>
        </w:tc>
        <w:tc>
          <w:tcPr>
            <w:tcW w:w="3826" w:type="pct"/>
            <w:noWrap w:val="0"/>
            <w:vAlign w:val="center"/>
          </w:tcPr>
          <w:p w14:paraId="34460D40">
            <w:pPr>
              <w:spacing w:line="360" w:lineRule="auto"/>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 xml:space="preserve">、投标人所投货物在节能产品政府采购品目清单内的，提供具有国家确定的认证机构出具的、处于有效期之内的节能产品认证证书原件扫描件的得1分，如没有不得分。 </w:t>
            </w:r>
          </w:p>
          <w:p w14:paraId="6C3B7FF8">
            <w:pPr>
              <w:spacing w:line="360" w:lineRule="auto"/>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、投标人所投货物在环境标志产品品目清单内的，提供具有国家确定的认证机构出具的、处于有效期之内的环境标志产品认证证书原件扫描件的得1</w:t>
            </w:r>
            <w:r>
              <w:rPr>
                <w:rFonts w:ascii="宋体" w:hAnsi="宋体" w:cs="宋体"/>
                <w:color w:val="auto"/>
                <w:sz w:val="24"/>
              </w:rPr>
              <w:t xml:space="preserve"> </w:t>
            </w:r>
            <w:r>
              <w:rPr>
                <w:rFonts w:hint="eastAsia" w:ascii="宋体" w:hAnsi="宋体" w:cs="宋体"/>
                <w:color w:val="auto"/>
                <w:sz w:val="24"/>
              </w:rPr>
              <w:t>分，如没有不得分。</w:t>
            </w:r>
          </w:p>
          <w:p w14:paraId="5580A983">
            <w:pPr>
              <w:spacing w:line="360" w:lineRule="auto"/>
              <w:rPr>
                <w:rFonts w:ascii="宋体" w:hAnsi="宋体" w:cs="宋体"/>
                <w:bCs/>
                <w:color w:val="auto"/>
                <w:kern w:val="0"/>
                <w:sz w:val="24"/>
                <w:szCs w:val="24"/>
              </w:rPr>
            </w:pPr>
            <w:r>
              <w:rPr>
                <w:rFonts w:ascii="宋体" w:hAnsi="宋体" w:cs="宋体"/>
                <w:color w:val="auto"/>
                <w:sz w:val="24"/>
              </w:rPr>
              <w:t>（提供任意一个</w:t>
            </w:r>
            <w:r>
              <w:rPr>
                <w:rFonts w:hint="eastAsia" w:ascii="宋体" w:hAnsi="宋体" w:cs="宋体"/>
                <w:color w:val="auto"/>
                <w:sz w:val="24"/>
              </w:rPr>
              <w:t>投标</w:t>
            </w:r>
            <w:r>
              <w:rPr>
                <w:rFonts w:ascii="宋体" w:hAnsi="宋体" w:cs="宋体"/>
                <w:color w:val="auto"/>
                <w:sz w:val="24"/>
              </w:rPr>
              <w:t>产品</w:t>
            </w:r>
            <w:r>
              <w:rPr>
                <w:rFonts w:hint="eastAsia" w:ascii="宋体" w:hAnsi="宋体" w:cs="宋体"/>
                <w:color w:val="auto"/>
                <w:sz w:val="24"/>
              </w:rPr>
              <w:t>的相关</w:t>
            </w:r>
            <w:r>
              <w:rPr>
                <w:rFonts w:ascii="宋体" w:hAnsi="宋体" w:cs="宋体"/>
                <w:color w:val="auto"/>
                <w:sz w:val="24"/>
              </w:rPr>
              <w:t>认证证书</w:t>
            </w:r>
            <w:r>
              <w:rPr>
                <w:rFonts w:hint="eastAsia" w:ascii="宋体" w:hAnsi="宋体" w:cs="宋体"/>
                <w:color w:val="auto"/>
                <w:sz w:val="24"/>
              </w:rPr>
              <w:t>即可)</w:t>
            </w:r>
          </w:p>
        </w:tc>
      </w:tr>
      <w:tr w14:paraId="447E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88" w:type="pct"/>
            <w:noWrap w:val="0"/>
            <w:vAlign w:val="center"/>
          </w:tcPr>
          <w:p w14:paraId="73D4A22D">
            <w:pPr>
              <w:spacing w:line="360" w:lineRule="auto"/>
              <w:jc w:val="center"/>
              <w:rPr>
                <w:rFonts w:ascii="宋体" w:hAnsi="宋体" w:cs="宋体"/>
                <w:color w:val="auto"/>
                <w:sz w:val="24"/>
                <w:szCs w:val="24"/>
              </w:rPr>
            </w:pPr>
          </w:p>
        </w:tc>
        <w:tc>
          <w:tcPr>
            <w:tcW w:w="585" w:type="pct"/>
            <w:noWrap w:val="0"/>
            <w:vAlign w:val="center"/>
          </w:tcPr>
          <w:p w14:paraId="485E4493">
            <w:pPr>
              <w:spacing w:line="360" w:lineRule="auto"/>
              <w:jc w:val="center"/>
              <w:rPr>
                <w:rFonts w:ascii="宋体" w:hAnsi="宋体" w:cs="宋体"/>
                <w:color w:val="auto"/>
                <w:sz w:val="24"/>
              </w:rPr>
            </w:pPr>
            <w:r>
              <w:rPr>
                <w:rFonts w:hint="eastAsia" w:ascii="宋体" w:hAnsi="宋体" w:cs="宋体"/>
                <w:color w:val="auto"/>
                <w:sz w:val="24"/>
              </w:rPr>
              <w:t>类似业绩（4分）</w:t>
            </w:r>
          </w:p>
        </w:tc>
        <w:tc>
          <w:tcPr>
            <w:tcW w:w="3826" w:type="pct"/>
            <w:noWrap w:val="0"/>
            <w:vAlign w:val="center"/>
          </w:tcPr>
          <w:p w14:paraId="04F190DF">
            <w:pPr>
              <w:spacing w:line="360" w:lineRule="auto"/>
              <w:rPr>
                <w:rFonts w:ascii="宋体" w:hAnsi="宋体" w:cs="宋体"/>
                <w:color w:val="auto"/>
                <w:sz w:val="24"/>
              </w:rPr>
            </w:pPr>
            <w:r>
              <w:rPr>
                <w:rFonts w:hint="eastAsia" w:ascii="宋体" w:hAnsi="宋体" w:cs="宋体"/>
                <w:color w:val="auto"/>
                <w:sz w:val="24"/>
              </w:rPr>
              <w:t>提供2021年1月1日（以合同签订时间为准）以来的类似业绩，每提供一份类似业绩得2分，最多得4分。</w:t>
            </w:r>
          </w:p>
          <w:p w14:paraId="211298F0">
            <w:pPr>
              <w:spacing w:line="360" w:lineRule="auto"/>
              <w:rPr>
                <w:rFonts w:ascii="宋体" w:hAnsi="宋体" w:cs="宋体"/>
                <w:color w:val="auto"/>
                <w:sz w:val="24"/>
              </w:rPr>
            </w:pPr>
            <w:r>
              <w:rPr>
                <w:rFonts w:hint="eastAsia" w:ascii="宋体" w:hAnsi="宋体" w:cs="宋体"/>
                <w:color w:val="auto"/>
                <w:sz w:val="24"/>
              </w:rPr>
              <w:t>注：供应商须按照投标文件格式中“类似业绩一览表”填写类似业绩的相关内容，并同时提供</w:t>
            </w:r>
            <w:bookmarkStart w:id="0" w:name="_GoBack"/>
            <w:bookmarkEnd w:id="0"/>
            <w:r>
              <w:rPr>
                <w:rFonts w:hint="eastAsia" w:ascii="宋体" w:hAnsi="宋体" w:cs="宋体"/>
                <w:color w:val="auto"/>
                <w:sz w:val="24"/>
              </w:rPr>
              <w:t>中标公示页截图、中标通知书扫描件、合同扫描件，未提供或提供不全不得分。</w:t>
            </w:r>
          </w:p>
        </w:tc>
      </w:tr>
    </w:tbl>
    <w:p w14:paraId="60259C05"/>
    <w:sectPr>
      <w:pgSz w:w="11906" w:h="16838"/>
      <w:pgMar w:top="873"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jgxNDYxZmY4ZGRkNjc1OGU5N2M0MzdhODk5NjIifQ=="/>
  </w:docVars>
  <w:rsids>
    <w:rsidRoot w:val="00000000"/>
    <w:rsid w:val="12143754"/>
    <w:rsid w:val="3AF44140"/>
    <w:rsid w:val="4D870498"/>
    <w:rsid w:val="54FB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rPr>
  </w:style>
  <w:style w:type="paragraph" w:customStyle="1" w:styleId="5">
    <w:name w:val="无间隔1"/>
    <w:basedOn w:val="1"/>
    <w:qFormat/>
    <w:uiPriority w:val="99"/>
    <w:pPr>
      <w:spacing w:line="400" w:lineRule="exact"/>
    </w:pPr>
    <w:rPr>
      <w:sz w:val="24"/>
      <w:szCs w:val="24"/>
    </w:rPr>
  </w:style>
  <w:style w:type="paragraph" w:customStyle="1" w:styleId="6">
    <w:name w:val="List Paragraph1"/>
    <w:basedOn w:val="1"/>
    <w:next w:val="1"/>
    <w:qFormat/>
    <w:uiPriority w:val="0"/>
    <w:pPr>
      <w:widowControl/>
      <w:spacing w:line="360" w:lineRule="auto"/>
      <w:ind w:firstLine="480" w:firstLineChars="200"/>
      <w:jc w:val="left"/>
    </w:pPr>
    <w:rPr>
      <w:rFonts w:ascii="宋体" w:hAnsi="宋体"/>
      <w:sz w:val="24"/>
    </w:rPr>
  </w:style>
  <w:style w:type="paragraph" w:customStyle="1" w:styleId="7">
    <w:name w:val="BodyTextIndent2"/>
    <w:basedOn w:val="1"/>
    <w:qFormat/>
    <w:uiPriority w:val="0"/>
    <w:pPr>
      <w:spacing w:after="120" w:line="480" w:lineRule="auto"/>
      <w:ind w:left="420" w:leftChars="200"/>
    </w:p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2329</Words>
  <Characters>2365</Characters>
  <Lines>0</Lines>
  <Paragraphs>0</Paragraphs>
  <TotalTime>0</TotalTime>
  <ScaleCrop>false</ScaleCrop>
  <LinksUpToDate>false</LinksUpToDate>
  <CharactersWithSpaces>2380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2022-09-22T08:05:00Z</dcterms:created>
  <dc:creator>Administrator</dc:creator>
  <cp:lastModifiedBy>答案</cp:lastModifiedBy>
  <dcterms:modified xsi:type="dcterms:W3CDTF">2024-08-21T10:29:52Z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ABEACA5BAF074EC687720BB6431156C3</vt:lpwstr>
  </property>
</Properties>
</file>