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18B18">
      <w:pPr>
        <w:widowControl/>
        <w:jc w:val="center"/>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eastAsia="zh-CN"/>
        </w:rPr>
        <w:t>洛阳职业技术学院202</w:t>
      </w:r>
      <w:r>
        <w:rPr>
          <w:rFonts w:hint="eastAsia" w:ascii="仿宋" w:hAnsi="仿宋" w:eastAsia="仿宋" w:cs="仿宋"/>
          <w:b/>
          <w:bCs/>
          <w:kern w:val="2"/>
          <w:sz w:val="32"/>
          <w:szCs w:val="32"/>
          <w:lang w:val="en-US" w:eastAsia="zh-CN"/>
        </w:rPr>
        <w:t>5</w:t>
      </w:r>
      <w:r>
        <w:rPr>
          <w:rFonts w:hint="eastAsia" w:ascii="仿宋" w:hAnsi="仿宋" w:eastAsia="仿宋" w:cs="仿宋"/>
          <w:b/>
          <w:bCs/>
          <w:kern w:val="2"/>
          <w:sz w:val="32"/>
          <w:szCs w:val="32"/>
          <w:lang w:eastAsia="zh-CN"/>
        </w:rPr>
        <w:t>年数字资源采购项目</w:t>
      </w:r>
      <w:r>
        <w:rPr>
          <w:rFonts w:hint="eastAsia" w:ascii="仿宋" w:hAnsi="仿宋" w:eastAsia="仿宋" w:cs="仿宋"/>
          <w:b/>
          <w:bCs/>
          <w:kern w:val="2"/>
          <w:sz w:val="32"/>
          <w:szCs w:val="32"/>
        </w:rPr>
        <w:t>参数</w:t>
      </w:r>
    </w:p>
    <w:tbl>
      <w:tblPr>
        <w:tblStyle w:val="7"/>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1448"/>
        <w:gridCol w:w="1971"/>
        <w:gridCol w:w="9163"/>
        <w:gridCol w:w="693"/>
        <w:gridCol w:w="693"/>
      </w:tblGrid>
      <w:tr w14:paraId="1127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69" w:type="dxa"/>
            <w:noWrap w:val="0"/>
            <w:tcMar>
              <w:top w:w="0" w:type="dxa"/>
              <w:left w:w="108" w:type="dxa"/>
              <w:bottom w:w="0" w:type="dxa"/>
              <w:right w:w="108" w:type="dxa"/>
            </w:tcMar>
            <w:vAlign w:val="center"/>
          </w:tcPr>
          <w:p w14:paraId="6798A63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序号</w:t>
            </w:r>
          </w:p>
        </w:tc>
        <w:tc>
          <w:tcPr>
            <w:tcW w:w="1448" w:type="dxa"/>
            <w:noWrap w:val="0"/>
            <w:tcMar>
              <w:top w:w="0" w:type="dxa"/>
              <w:left w:w="108" w:type="dxa"/>
              <w:bottom w:w="0" w:type="dxa"/>
              <w:right w:w="108" w:type="dxa"/>
            </w:tcMar>
            <w:vAlign w:val="center"/>
          </w:tcPr>
          <w:p w14:paraId="76437B48">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资源名称</w:t>
            </w:r>
          </w:p>
        </w:tc>
        <w:tc>
          <w:tcPr>
            <w:tcW w:w="1971" w:type="dxa"/>
            <w:noWrap w:val="0"/>
            <w:tcMar>
              <w:top w:w="0" w:type="dxa"/>
              <w:left w:w="108" w:type="dxa"/>
              <w:bottom w:w="0" w:type="dxa"/>
              <w:right w:w="108" w:type="dxa"/>
            </w:tcMar>
            <w:vAlign w:val="center"/>
          </w:tcPr>
          <w:p w14:paraId="6FCB857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单一来源供应商</w:t>
            </w:r>
          </w:p>
        </w:tc>
        <w:tc>
          <w:tcPr>
            <w:tcW w:w="9163" w:type="dxa"/>
            <w:noWrap w:val="0"/>
            <w:tcMar>
              <w:top w:w="0" w:type="dxa"/>
              <w:left w:w="108" w:type="dxa"/>
              <w:bottom w:w="0" w:type="dxa"/>
              <w:right w:w="108" w:type="dxa"/>
            </w:tcMar>
            <w:vAlign w:val="center"/>
          </w:tcPr>
          <w:p w14:paraId="2E26742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功能及参数</w:t>
            </w:r>
          </w:p>
        </w:tc>
        <w:tc>
          <w:tcPr>
            <w:tcW w:w="693" w:type="dxa"/>
            <w:noWrap w:val="0"/>
            <w:tcMar>
              <w:top w:w="0" w:type="dxa"/>
              <w:left w:w="108" w:type="dxa"/>
              <w:bottom w:w="0" w:type="dxa"/>
              <w:right w:w="108" w:type="dxa"/>
            </w:tcMar>
            <w:vAlign w:val="center"/>
          </w:tcPr>
          <w:p w14:paraId="52CB0B8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数量</w:t>
            </w:r>
          </w:p>
        </w:tc>
        <w:tc>
          <w:tcPr>
            <w:tcW w:w="693" w:type="dxa"/>
            <w:noWrap w:val="0"/>
            <w:tcMar>
              <w:top w:w="0" w:type="dxa"/>
              <w:left w:w="108" w:type="dxa"/>
              <w:bottom w:w="0" w:type="dxa"/>
              <w:right w:w="108" w:type="dxa"/>
            </w:tcMar>
            <w:vAlign w:val="center"/>
          </w:tcPr>
          <w:p w14:paraId="1B1074DF">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单位</w:t>
            </w:r>
          </w:p>
        </w:tc>
      </w:tr>
      <w:tr w14:paraId="3D306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5" w:hRule="atLeast"/>
          <w:jc w:val="center"/>
        </w:trPr>
        <w:tc>
          <w:tcPr>
            <w:tcW w:w="469" w:type="dxa"/>
            <w:noWrap w:val="0"/>
            <w:tcMar>
              <w:top w:w="0" w:type="dxa"/>
              <w:left w:w="108" w:type="dxa"/>
              <w:bottom w:w="0" w:type="dxa"/>
              <w:right w:w="108" w:type="dxa"/>
            </w:tcMar>
            <w:vAlign w:val="center"/>
          </w:tcPr>
          <w:p w14:paraId="3C4F9DC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1448" w:type="dxa"/>
            <w:noWrap w:val="0"/>
            <w:tcMar>
              <w:top w:w="0" w:type="dxa"/>
              <w:left w:w="108" w:type="dxa"/>
              <w:bottom w:w="0" w:type="dxa"/>
              <w:right w:w="108" w:type="dxa"/>
            </w:tcMar>
            <w:vAlign w:val="center"/>
          </w:tcPr>
          <w:p w14:paraId="16EB0F2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中国知网</w:t>
            </w:r>
          </w:p>
        </w:tc>
        <w:tc>
          <w:tcPr>
            <w:tcW w:w="1971" w:type="dxa"/>
            <w:noWrap w:val="0"/>
            <w:tcMar>
              <w:top w:w="0" w:type="dxa"/>
              <w:left w:w="108" w:type="dxa"/>
              <w:bottom w:w="0" w:type="dxa"/>
              <w:right w:w="108" w:type="dxa"/>
            </w:tcMar>
            <w:vAlign w:val="center"/>
          </w:tcPr>
          <w:p w14:paraId="1A73BDF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同方知网数字科技有限公司</w:t>
            </w:r>
          </w:p>
        </w:tc>
        <w:tc>
          <w:tcPr>
            <w:tcW w:w="9163" w:type="dxa"/>
            <w:noWrap w:val="0"/>
            <w:tcMar>
              <w:top w:w="0" w:type="dxa"/>
              <w:left w:w="108" w:type="dxa"/>
              <w:bottom w:w="0" w:type="dxa"/>
              <w:right w:w="108" w:type="dxa"/>
            </w:tcMar>
            <w:vAlign w:val="center"/>
          </w:tcPr>
          <w:p w14:paraId="69637D9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1、采购内容：</w:t>
            </w:r>
          </w:p>
          <w:p w14:paraId="6735EE5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涵盖：基础科学专辑，工程科技I辑，工程科技Ⅱ辑，医药卫生科技专辑，哲学与人文科学专辑，社会科学I辑，社会科学Ⅱ辑，信息科技专辑，经济与管理科学专辑</w:t>
            </w:r>
          </w:p>
          <w:p w14:paraId="450D95D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2、文献类型：期刊、博士论文、硕士论文、报纸、中国会议。</w:t>
            </w:r>
          </w:p>
          <w:p w14:paraId="76D4C35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3、文献年限：2025年度</w:t>
            </w:r>
          </w:p>
          <w:p w14:paraId="33D7112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4、服务模式：云租用：远程访问，学校访问供应商服务器，供应商应提供阅览下载创刊日起至当日所有订购内容</w:t>
            </w:r>
          </w:p>
          <w:p w14:paraId="5C4D9B3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期刊：截至2025年2月底，全库累计收录8500余种期刊，中文全文文献总量达6400余万篇。其中，收录核心期刊1970余种。</w:t>
            </w:r>
          </w:p>
          <w:p w14:paraId="1B68A97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博士论文：截止2024年11月收录博士学位论文59.7万余篇，收录来自530余家博士培养单位（涉及国家保密的单位除外），的博士学位论文。“双一流”建设高校覆盖率达到100%。国家，重点学科覆盖率达98%，收全率达90%。特色学科覆盖率达100%，收全率90%</w:t>
            </w:r>
          </w:p>
          <w:p w14:paraId="3234F81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硕士论文：截止2024年11月，收录硕士学位论文625.4万余篇。收录来自810余家硕士培养单位（涉及国家保密的单位除外）的硕士学位论文。“双一流”建设高校覆盖率达到100%。国家重点学科覆盖率达98%，收全率达90%。特色学科覆盖率达100%，收全率90%。</w:t>
            </w:r>
          </w:p>
          <w:p w14:paraId="7B5C18A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报纸：截至2024年12月末，共收录各级党报及特色行业报等重要报纸约500种，出版文献总量达1690万余篇。</w:t>
            </w:r>
          </w:p>
          <w:p w14:paraId="23AC35B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中国会议：截至2025年1月收录论文289万余篇。</w:t>
            </w:r>
          </w:p>
        </w:tc>
        <w:tc>
          <w:tcPr>
            <w:tcW w:w="693" w:type="dxa"/>
            <w:noWrap w:val="0"/>
            <w:tcMar>
              <w:top w:w="0" w:type="dxa"/>
              <w:left w:w="108" w:type="dxa"/>
              <w:bottom w:w="0" w:type="dxa"/>
              <w:right w:w="108" w:type="dxa"/>
            </w:tcMar>
            <w:vAlign w:val="center"/>
          </w:tcPr>
          <w:p w14:paraId="027BB03A">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358D894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27D0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6" w:hRule="atLeast"/>
          <w:jc w:val="center"/>
        </w:trPr>
        <w:tc>
          <w:tcPr>
            <w:tcW w:w="469" w:type="dxa"/>
            <w:noWrap w:val="0"/>
            <w:tcMar>
              <w:top w:w="0" w:type="dxa"/>
              <w:left w:w="108" w:type="dxa"/>
              <w:bottom w:w="0" w:type="dxa"/>
              <w:right w:w="108" w:type="dxa"/>
            </w:tcMar>
            <w:vAlign w:val="center"/>
          </w:tcPr>
          <w:p w14:paraId="12EE321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w:t>
            </w:r>
          </w:p>
        </w:tc>
        <w:tc>
          <w:tcPr>
            <w:tcW w:w="1448" w:type="dxa"/>
            <w:noWrap w:val="0"/>
            <w:tcMar>
              <w:top w:w="0" w:type="dxa"/>
              <w:left w:w="108" w:type="dxa"/>
              <w:bottom w:w="0" w:type="dxa"/>
              <w:right w:w="108" w:type="dxa"/>
            </w:tcMar>
            <w:vAlign w:val="center"/>
          </w:tcPr>
          <w:p w14:paraId="11600E04">
            <w:pPr>
              <w:spacing w:line="320" w:lineRule="exact"/>
              <w:jc w:val="center"/>
              <w:rPr>
                <w:rFonts w:hint="default" w:ascii="仿宋_GB2312" w:hAnsi="仿宋_GB2312" w:eastAsia="仿宋_GB2312" w:cs="仿宋_GB2312"/>
                <w:bCs/>
                <w:kern w:val="2"/>
                <w:sz w:val="24"/>
                <w:szCs w:val="24"/>
                <w:lang w:val="en-US" w:eastAsia="zh-CN"/>
              </w:rPr>
            </w:pPr>
          </w:p>
          <w:p w14:paraId="791D74B7">
            <w:pPr>
              <w:spacing w:line="320" w:lineRule="exact"/>
              <w:jc w:val="center"/>
              <w:rPr>
                <w:rFonts w:hint="default" w:ascii="仿宋_GB2312" w:hAnsi="仿宋_GB2312" w:eastAsia="仿宋_GB2312" w:cs="仿宋_GB2312"/>
                <w:bCs/>
                <w:kern w:val="2"/>
                <w:sz w:val="24"/>
                <w:szCs w:val="24"/>
                <w:lang w:val="en-US" w:eastAsia="zh-CN"/>
              </w:rPr>
            </w:pPr>
            <w:r>
              <w:rPr>
                <w:rFonts w:hint="default" w:ascii="仿宋_GB2312" w:hAnsi="仿宋_GB2312" w:eastAsia="仿宋_GB2312" w:cs="仿宋_GB2312"/>
                <w:bCs/>
                <w:kern w:val="2"/>
                <w:sz w:val="24"/>
                <w:szCs w:val="24"/>
                <w:lang w:val="en-US" w:eastAsia="zh-CN"/>
              </w:rPr>
              <w:t>百度文库</w:t>
            </w:r>
            <w:r>
              <w:rPr>
                <w:rFonts w:hint="eastAsia" w:ascii="仿宋_GB2312" w:hAnsi="仿宋_GB2312" w:eastAsia="仿宋_GB2312" w:cs="仿宋_GB2312"/>
                <w:bCs/>
                <w:kern w:val="2"/>
                <w:sz w:val="24"/>
                <w:szCs w:val="24"/>
                <w:lang w:val="en-US" w:eastAsia="zh-CN"/>
              </w:rPr>
              <w:t>高校版</w:t>
            </w:r>
          </w:p>
        </w:tc>
        <w:tc>
          <w:tcPr>
            <w:tcW w:w="1971" w:type="dxa"/>
            <w:noWrap w:val="0"/>
            <w:tcMar>
              <w:top w:w="0" w:type="dxa"/>
              <w:left w:w="108" w:type="dxa"/>
              <w:bottom w:w="0" w:type="dxa"/>
              <w:right w:w="108" w:type="dxa"/>
            </w:tcMar>
            <w:vAlign w:val="center"/>
          </w:tcPr>
          <w:p w14:paraId="41D6AFBC">
            <w:pPr>
              <w:spacing w:line="320" w:lineRule="exact"/>
              <w:jc w:val="center"/>
              <w:rPr>
                <w:rFonts w:hint="eastAsia" w:ascii="仿宋_GB2312" w:hAnsi="仿宋_GB2312" w:eastAsia="仿宋_GB2312" w:cs="仿宋_GB2312"/>
                <w:bCs/>
                <w:kern w:val="2"/>
                <w:sz w:val="24"/>
                <w:szCs w:val="24"/>
                <w:lang w:val="en-US" w:eastAsia="zh-CN"/>
              </w:rPr>
            </w:pPr>
          </w:p>
          <w:p w14:paraId="57EA3EE6">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北京万博书香文化有限</w:t>
            </w:r>
            <w:bookmarkStart w:id="0" w:name="_GoBack"/>
            <w:bookmarkEnd w:id="0"/>
            <w:r>
              <w:rPr>
                <w:rFonts w:hint="eastAsia" w:ascii="仿宋_GB2312" w:hAnsi="仿宋_GB2312" w:eastAsia="仿宋_GB2312" w:cs="仿宋_GB2312"/>
                <w:bCs/>
                <w:kern w:val="2"/>
                <w:sz w:val="24"/>
                <w:szCs w:val="24"/>
                <w:lang w:val="en-US" w:eastAsia="zh-CN"/>
              </w:rPr>
              <w:t>公司</w:t>
            </w:r>
          </w:p>
          <w:p w14:paraId="6E08923F">
            <w:pPr>
              <w:spacing w:line="320" w:lineRule="exact"/>
              <w:jc w:val="center"/>
              <w:rPr>
                <w:rFonts w:hint="eastAsia" w:ascii="仿宋_GB2312" w:hAnsi="仿宋_GB2312" w:eastAsia="仿宋_GB2312" w:cs="仿宋_GB2312"/>
                <w:bCs/>
                <w:kern w:val="2"/>
                <w:sz w:val="24"/>
                <w:szCs w:val="24"/>
                <w:lang w:val="en-US" w:eastAsia="zh-CN"/>
              </w:rPr>
            </w:pPr>
          </w:p>
        </w:tc>
        <w:tc>
          <w:tcPr>
            <w:tcW w:w="9163" w:type="dxa"/>
            <w:noWrap w:val="0"/>
            <w:tcMar>
              <w:top w:w="0" w:type="dxa"/>
              <w:left w:w="108" w:type="dxa"/>
              <w:bottom w:w="0" w:type="dxa"/>
              <w:right w:w="108" w:type="dxa"/>
            </w:tcMar>
            <w:vAlign w:val="center"/>
          </w:tcPr>
          <w:p w14:paraId="698889D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1.资源介绍：文档涉及教育、专业资料、实用文档、资格考试等领域。</w:t>
            </w:r>
          </w:p>
          <w:p w14:paraId="6984335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2.服务内容：全库。</w:t>
            </w:r>
          </w:p>
          <w:p w14:paraId="4FC8E7A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3.人工智能知识图谱技术：知识体系化精细梳理，覆盖高校12个一级学科，92个二级学科，504个专业，按照知识图谱按照学科-学科分类-专业-课程的结果进行展示。</w:t>
            </w:r>
          </w:p>
          <w:p w14:paraId="6DEBA8DF">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4.访问方式：用户可通过学校IP访问，对硬件环境无要求。</w:t>
            </w:r>
          </w:p>
          <w:p w14:paraId="7817232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5.资源使用：支持在线预览、本地下载及二次编辑。</w:t>
            </w:r>
          </w:p>
          <w:p w14:paraId="686779E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检索系统：用户可输入检索词，在所购买数据库范围内，进行实时检索，并可依据“相关性”、“上传时间”、“好评度”等因素将结果排序；此外用户可根据资源所在分类及专业机构类型进行筛选，快速找到所需的资料。</w:t>
            </w:r>
          </w:p>
        </w:tc>
        <w:tc>
          <w:tcPr>
            <w:tcW w:w="693" w:type="dxa"/>
            <w:noWrap w:val="0"/>
            <w:tcMar>
              <w:top w:w="0" w:type="dxa"/>
              <w:left w:w="108" w:type="dxa"/>
              <w:bottom w:w="0" w:type="dxa"/>
              <w:right w:w="108" w:type="dxa"/>
            </w:tcMar>
            <w:vAlign w:val="center"/>
          </w:tcPr>
          <w:p w14:paraId="7689EF5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28905C0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1507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69" w:type="dxa"/>
            <w:noWrap w:val="0"/>
            <w:tcMar>
              <w:top w:w="0" w:type="dxa"/>
              <w:left w:w="108" w:type="dxa"/>
              <w:bottom w:w="0" w:type="dxa"/>
              <w:right w:w="108" w:type="dxa"/>
            </w:tcMar>
            <w:vAlign w:val="center"/>
          </w:tcPr>
          <w:p w14:paraId="73BC2019">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w:t>
            </w:r>
          </w:p>
        </w:tc>
        <w:tc>
          <w:tcPr>
            <w:tcW w:w="1448" w:type="dxa"/>
            <w:noWrap w:val="0"/>
            <w:tcMar>
              <w:top w:w="0" w:type="dxa"/>
              <w:left w:w="108" w:type="dxa"/>
              <w:bottom w:w="0" w:type="dxa"/>
              <w:right w:w="108" w:type="dxa"/>
            </w:tcMar>
            <w:vAlign w:val="center"/>
          </w:tcPr>
          <w:p w14:paraId="2FAA82DA">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外刊资源服务系统</w:t>
            </w:r>
          </w:p>
        </w:tc>
        <w:tc>
          <w:tcPr>
            <w:tcW w:w="1971" w:type="dxa"/>
            <w:noWrap w:val="0"/>
            <w:tcMar>
              <w:top w:w="0" w:type="dxa"/>
              <w:left w:w="108" w:type="dxa"/>
              <w:bottom w:w="0" w:type="dxa"/>
              <w:right w:w="108" w:type="dxa"/>
            </w:tcMar>
            <w:vAlign w:val="center"/>
          </w:tcPr>
          <w:p w14:paraId="519EC17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河南颂腾信息科技有限公司</w:t>
            </w:r>
          </w:p>
        </w:tc>
        <w:tc>
          <w:tcPr>
            <w:tcW w:w="9163" w:type="dxa"/>
            <w:noWrap w:val="0"/>
            <w:tcMar>
              <w:top w:w="0" w:type="dxa"/>
              <w:left w:w="108" w:type="dxa"/>
              <w:bottom w:w="0" w:type="dxa"/>
              <w:right w:w="108" w:type="dxa"/>
            </w:tcMar>
            <w:vAlign w:val="center"/>
          </w:tcPr>
          <w:p w14:paraId="643C573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产品收录外文期刊数量不低于20000种，其中SCI&amp;SSCI收录期刊不低于8800种，文献总量不低于8000万篇，年新增量不低于200万篇，收录年限为1995-至今，收录范围涵盖健康科学、生命科学、自然科学和工程技术、人文艺术与社会科学。提供快速检索、高级检索、期刊导航功能；数据按月更新。</w:t>
            </w:r>
          </w:p>
          <w:p w14:paraId="766B60A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产品收录外文博硕士论文文献总量不低于150万篇，年新增量不低于3万篇，数据年限为1876-至今，收录范围涵盖欧美国家1000余所知名大学的优秀博硕士论文，涉及哲学、经济学、法学、教育学、文学、历史学、理学、工学、农学、医学、军事学、管理学等全部学科领域。具有快速检索、高级检索、学科导航、学校导航功能，实现主站数据按月更新。</w:t>
            </w:r>
          </w:p>
          <w:p w14:paraId="3415CF3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3、产品收录不低于570万篇外文会议文献，支持通过“学科”“会议所属机构”进行会议文献检索，实现主站数据按月更新。</w:t>
            </w:r>
          </w:p>
        </w:tc>
        <w:tc>
          <w:tcPr>
            <w:tcW w:w="693" w:type="dxa"/>
            <w:noWrap w:val="0"/>
            <w:tcMar>
              <w:top w:w="0" w:type="dxa"/>
              <w:left w:w="108" w:type="dxa"/>
              <w:bottom w:w="0" w:type="dxa"/>
              <w:right w:w="108" w:type="dxa"/>
            </w:tcMar>
            <w:vAlign w:val="center"/>
          </w:tcPr>
          <w:p w14:paraId="262C5E7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50A7236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1EE8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69" w:type="dxa"/>
            <w:noWrap w:val="0"/>
            <w:tcMar>
              <w:top w:w="0" w:type="dxa"/>
              <w:left w:w="108" w:type="dxa"/>
              <w:bottom w:w="0" w:type="dxa"/>
              <w:right w:w="108" w:type="dxa"/>
            </w:tcMar>
            <w:vAlign w:val="center"/>
          </w:tcPr>
          <w:p w14:paraId="1E9E5EB1">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w:t>
            </w:r>
          </w:p>
        </w:tc>
        <w:tc>
          <w:tcPr>
            <w:tcW w:w="1448" w:type="dxa"/>
            <w:noWrap w:val="0"/>
            <w:tcMar>
              <w:top w:w="0" w:type="dxa"/>
              <w:left w:w="108" w:type="dxa"/>
              <w:bottom w:w="0" w:type="dxa"/>
              <w:right w:w="108" w:type="dxa"/>
            </w:tcMar>
            <w:vAlign w:val="center"/>
          </w:tcPr>
          <w:p w14:paraId="7FE7C2BF">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万方数据知识平台</w:t>
            </w:r>
          </w:p>
          <w:p w14:paraId="366F04E4">
            <w:pPr>
              <w:spacing w:line="320" w:lineRule="exact"/>
              <w:jc w:val="center"/>
              <w:rPr>
                <w:rFonts w:hint="eastAsia" w:ascii="仿宋_GB2312" w:hAnsi="仿宋_GB2312" w:eastAsia="仿宋_GB2312" w:cs="仿宋_GB2312"/>
                <w:bCs/>
                <w:kern w:val="2"/>
                <w:sz w:val="24"/>
                <w:szCs w:val="24"/>
                <w:lang w:val="en-US" w:eastAsia="zh-CN"/>
              </w:rPr>
            </w:pPr>
          </w:p>
        </w:tc>
        <w:tc>
          <w:tcPr>
            <w:tcW w:w="1971" w:type="dxa"/>
            <w:noWrap w:val="0"/>
            <w:tcMar>
              <w:top w:w="0" w:type="dxa"/>
              <w:left w:w="108" w:type="dxa"/>
              <w:bottom w:w="0" w:type="dxa"/>
              <w:right w:w="108" w:type="dxa"/>
            </w:tcMar>
            <w:vAlign w:val="center"/>
          </w:tcPr>
          <w:p w14:paraId="1209F7D2">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北京万方数据股份有限公司</w:t>
            </w:r>
          </w:p>
          <w:p w14:paraId="0872267D">
            <w:pPr>
              <w:spacing w:line="320" w:lineRule="exact"/>
              <w:jc w:val="center"/>
              <w:rPr>
                <w:rFonts w:hint="eastAsia" w:ascii="仿宋_GB2312" w:hAnsi="仿宋_GB2312" w:eastAsia="仿宋_GB2312" w:cs="仿宋_GB2312"/>
                <w:bCs/>
                <w:kern w:val="2"/>
                <w:sz w:val="24"/>
                <w:szCs w:val="24"/>
                <w:lang w:val="en-US" w:eastAsia="zh-CN"/>
              </w:rPr>
            </w:pPr>
          </w:p>
        </w:tc>
        <w:tc>
          <w:tcPr>
            <w:tcW w:w="9163" w:type="dxa"/>
            <w:noWrap w:val="0"/>
            <w:tcMar>
              <w:top w:w="0" w:type="dxa"/>
              <w:left w:w="108" w:type="dxa"/>
              <w:bottom w:w="0" w:type="dxa"/>
              <w:right w:w="108" w:type="dxa"/>
            </w:tcMar>
            <w:vAlign w:val="center"/>
          </w:tcPr>
          <w:p w14:paraId="0D85966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1、具有初级检索（字段检索）、高级检索（逻辑组合检索）、专业检索（用CQL表达式检索）、作者发文检索、二次检索（在结果中进行检索）等功能。</w:t>
            </w:r>
          </w:p>
          <w:p w14:paraId="1ABF1FC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2、智能排序功能：提供按相关度、出版时间、被引频次进行排序。</w:t>
            </w:r>
          </w:p>
          <w:p w14:paraId="596CA145">
            <w:pPr>
              <w:spacing w:line="320" w:lineRule="exact"/>
              <w:jc w:val="left"/>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3、期刊论文数据库：总库不少于7000种，论文数量不少于4000万篇，覆盖理、工、农、医、经济、教育、文艺、社科、哲学政法等学科。开通医药卫生、工业技术、哲学政法专辑使用一年。</w:t>
            </w:r>
          </w:p>
          <w:p w14:paraId="2CAB9F7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会议论文数据库：总库收录了自1982年至今会议总量250余万篇。以国家级学会、协会、研究会组织、部委、高校召开的全国性学术会议论文为主，年收集约2000个重要的学术会议。开通医药卫生、工业技术、哲学政法专辑使用一年。</w:t>
            </w:r>
          </w:p>
          <w:p w14:paraId="41695A6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5、专利数据库：总库收录了国内外的发明、实用新型及外观设计等专利不少于1.5亿余项，其中中国专利不少于4000余万项，外国专利不少于1.1亿余项。开通医药卫生、工业技术、哲学政法专辑使用一年。</w:t>
            </w:r>
          </w:p>
          <w:p w14:paraId="134BB09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法律法规数据库：总库收录始于1949年，涵盖国家法律法规、行政法规、地方法规、国际条约及惯例、司法解释、合同范本等，全库的数据总条数不少于140万余条，年新增量不低于8万条。开通医药卫生、工业技术、哲学政法专辑使用一年。</w:t>
            </w:r>
          </w:p>
          <w:p w14:paraId="21DC4145">
            <w:pPr>
              <w:spacing w:line="320" w:lineRule="exact"/>
              <w:jc w:val="left"/>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7、万方视频数据库：开通中国名师讲坛系列、高校精品课程系列、中华医学会系列、中医药管理局系列使用一年。</w:t>
            </w:r>
          </w:p>
          <w:p w14:paraId="0788CF4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8、服务方式：网络ip包库远程访问服务方式。</w:t>
            </w:r>
          </w:p>
        </w:tc>
        <w:tc>
          <w:tcPr>
            <w:tcW w:w="693" w:type="dxa"/>
            <w:noWrap w:val="0"/>
            <w:tcMar>
              <w:top w:w="0" w:type="dxa"/>
              <w:left w:w="108" w:type="dxa"/>
              <w:bottom w:w="0" w:type="dxa"/>
              <w:right w:w="108" w:type="dxa"/>
            </w:tcMar>
            <w:vAlign w:val="center"/>
          </w:tcPr>
          <w:p w14:paraId="4177C6B4">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55C35D9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0DB0D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69" w:type="dxa"/>
            <w:noWrap w:val="0"/>
            <w:tcMar>
              <w:top w:w="0" w:type="dxa"/>
              <w:left w:w="108" w:type="dxa"/>
              <w:bottom w:w="0" w:type="dxa"/>
              <w:right w:w="108" w:type="dxa"/>
            </w:tcMar>
            <w:vAlign w:val="center"/>
          </w:tcPr>
          <w:p w14:paraId="667D524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w:t>
            </w:r>
          </w:p>
        </w:tc>
        <w:tc>
          <w:tcPr>
            <w:tcW w:w="1448" w:type="dxa"/>
            <w:noWrap w:val="0"/>
            <w:tcMar>
              <w:top w:w="0" w:type="dxa"/>
              <w:left w:w="108" w:type="dxa"/>
              <w:bottom w:w="0" w:type="dxa"/>
              <w:right w:w="108" w:type="dxa"/>
            </w:tcMar>
            <w:vAlign w:val="center"/>
          </w:tcPr>
          <w:p w14:paraId="241082C6">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工程科技数字图书馆</w:t>
            </w:r>
          </w:p>
          <w:p w14:paraId="4C6C5AE2">
            <w:pPr>
              <w:spacing w:line="320" w:lineRule="exact"/>
              <w:jc w:val="center"/>
              <w:rPr>
                <w:rFonts w:hint="eastAsia" w:ascii="仿宋_GB2312" w:hAnsi="仿宋_GB2312" w:eastAsia="仿宋_GB2312" w:cs="仿宋_GB2312"/>
                <w:bCs/>
                <w:kern w:val="2"/>
                <w:sz w:val="24"/>
                <w:szCs w:val="24"/>
                <w:lang w:val="en-US" w:eastAsia="zh-CN"/>
              </w:rPr>
            </w:pPr>
          </w:p>
        </w:tc>
        <w:tc>
          <w:tcPr>
            <w:tcW w:w="1971" w:type="dxa"/>
            <w:noWrap w:val="0"/>
            <w:tcMar>
              <w:top w:w="0" w:type="dxa"/>
              <w:left w:w="108" w:type="dxa"/>
              <w:bottom w:w="0" w:type="dxa"/>
              <w:right w:w="108" w:type="dxa"/>
            </w:tcMar>
            <w:vAlign w:val="center"/>
          </w:tcPr>
          <w:p w14:paraId="4ACD221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机械工业出版社有限公司</w:t>
            </w:r>
          </w:p>
        </w:tc>
        <w:tc>
          <w:tcPr>
            <w:tcW w:w="9163" w:type="dxa"/>
            <w:noWrap w:val="0"/>
            <w:tcMar>
              <w:top w:w="0" w:type="dxa"/>
              <w:left w:w="108" w:type="dxa"/>
              <w:bottom w:w="0" w:type="dxa"/>
              <w:right w:w="108" w:type="dxa"/>
            </w:tcMar>
            <w:vAlign w:val="center"/>
          </w:tcPr>
          <w:p w14:paraId="69846D1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一、资源情况</w:t>
            </w:r>
          </w:p>
          <w:p w14:paraId="0B23B63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1、电子书数量不低于18000本；2、品牌专业期刊不低于20种；</w:t>
            </w:r>
          </w:p>
          <w:p w14:paraId="057AB71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3、百余行业之年鉴不低于250本，含“中国科技奖励年鉴”“中国通用机械工业年鉴”等；4、工具书不低于240种；5、数字化手册资源不低于180条；6、系列专题不低于8个；7、年更新量不低于800种；</w:t>
            </w:r>
          </w:p>
          <w:p w14:paraId="5D88763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二、独家资源</w:t>
            </w:r>
          </w:p>
          <w:p w14:paraId="18CB818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1、装备制造业视频库：</w:t>
            </w:r>
          </w:p>
          <w:p w14:paraId="5D3AB82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视频不低于970个，时长不低于400个小时。</w:t>
            </w:r>
            <w:r>
              <w:rPr>
                <w:rFonts w:hint="eastAsia" w:ascii="仿宋_GB2312" w:hAnsi="仿宋_GB2312" w:eastAsia="仿宋_GB2312" w:cs="仿宋_GB2312"/>
                <w:bCs/>
                <w:kern w:val="2"/>
                <w:sz w:val="24"/>
                <w:szCs w:val="24"/>
                <w:lang w:val="en-US" w:eastAsia="zh-CN"/>
              </w:rPr>
              <w:br w:type="textWrapping"/>
            </w:r>
            <w:r>
              <w:rPr>
                <w:rFonts w:hint="eastAsia" w:ascii="仿宋_GB2312" w:hAnsi="仿宋_GB2312" w:eastAsia="仿宋_GB2312" w:cs="仿宋_GB2312"/>
                <w:bCs/>
                <w:kern w:val="2"/>
                <w:sz w:val="24"/>
                <w:szCs w:val="24"/>
                <w:lang w:val="en-US" w:eastAsia="zh-CN"/>
              </w:rPr>
              <w:t>2、金属热加工知识库：</w:t>
            </w:r>
          </w:p>
          <w:p w14:paraId="4B4331C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短视频不低于300个，时长不低于18个小时，图片数量不低于14000张，微课程不低于5门，电子课件不低于700个。</w:t>
            </w:r>
          </w:p>
          <w:p w14:paraId="236C729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汽车工程知识库:</w:t>
            </w:r>
          </w:p>
          <w:p w14:paraId="3429795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短视频资源不低于4700个，时长不低于903个小时，汽车专业相关图片不低于49000张，汽车百科知识不低于33000条，汽车专业相关电子课件不低于1400个，电子期刊不低于260本。</w:t>
            </w:r>
          </w:p>
          <w:p w14:paraId="1F259E7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金属冷加工知识库：</w:t>
            </w:r>
          </w:p>
          <w:p w14:paraId="0DEF17E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短视频资源不低于1400个，时长不低于158个小时，专业相关图片不低于20000张，视频不低于1400个，相关电子课件不低于200个，微课堂不低于12门。</w:t>
            </w:r>
          </w:p>
          <w:p w14:paraId="3D42532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电气工程知识库：</w:t>
            </w:r>
          </w:p>
          <w:p w14:paraId="70C1BCC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短视频资源不低于1000个，时长不低于270个小时，专业相关图片不低于39000张，相关电子课件不低于1700个。</w:t>
            </w:r>
          </w:p>
          <w:p w14:paraId="1C8C61A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计算机工程知识库：</w:t>
            </w:r>
          </w:p>
          <w:p w14:paraId="0DACDFA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短视频资源不低于1000个，时长不低于300个小时，相关专业图片不低于30000张，相关电子课件不低于680个，微课程不低于7门资源。</w:t>
            </w:r>
          </w:p>
          <w:p w14:paraId="54789AF3">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建筑工程知识库：</w:t>
            </w:r>
          </w:p>
          <w:p w14:paraId="54971FE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短视频资源不低于2000个，时长不低于600个小时，相关专业图片不低于50000张，微课程不低于12个，相关电子课件不低于1000个。</w:t>
            </w:r>
          </w:p>
          <w:p w14:paraId="26D617A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机电工程百科：</w:t>
            </w:r>
          </w:p>
          <w:p w14:paraId="7652F0B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不低于9000条知识条目，电子版手册不低于26本，涵盖机电全领域。</w:t>
            </w:r>
          </w:p>
          <w:p w14:paraId="4A933D5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机器人工程知识库：</w:t>
            </w:r>
          </w:p>
          <w:p w14:paraId="0842A78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相关电子书不低于758本，相关专业图片不低于24000张，相关电子课件不低于510个，微课程不低于23门。</w:t>
            </w:r>
          </w:p>
        </w:tc>
        <w:tc>
          <w:tcPr>
            <w:tcW w:w="693" w:type="dxa"/>
            <w:noWrap w:val="0"/>
            <w:tcMar>
              <w:top w:w="0" w:type="dxa"/>
              <w:left w:w="108" w:type="dxa"/>
              <w:bottom w:w="0" w:type="dxa"/>
              <w:right w:w="108" w:type="dxa"/>
            </w:tcMar>
            <w:vAlign w:val="center"/>
          </w:tcPr>
          <w:p w14:paraId="688D15B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1E192D2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2EA7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469" w:type="dxa"/>
            <w:noWrap w:val="0"/>
            <w:tcMar>
              <w:top w:w="0" w:type="dxa"/>
              <w:left w:w="108" w:type="dxa"/>
              <w:bottom w:w="0" w:type="dxa"/>
              <w:right w:w="108" w:type="dxa"/>
            </w:tcMar>
            <w:vAlign w:val="center"/>
          </w:tcPr>
          <w:p w14:paraId="013AD516">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w:t>
            </w:r>
          </w:p>
        </w:tc>
        <w:tc>
          <w:tcPr>
            <w:tcW w:w="1448" w:type="dxa"/>
            <w:noWrap w:val="0"/>
            <w:tcMar>
              <w:top w:w="0" w:type="dxa"/>
              <w:left w:w="108" w:type="dxa"/>
              <w:bottom w:w="0" w:type="dxa"/>
              <w:right w:w="108" w:type="dxa"/>
            </w:tcMar>
            <w:vAlign w:val="center"/>
          </w:tcPr>
          <w:p w14:paraId="1BA52DF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杰程专升本云课堂</w:t>
            </w:r>
          </w:p>
          <w:p w14:paraId="0762F14D">
            <w:pPr>
              <w:spacing w:line="320" w:lineRule="exact"/>
              <w:jc w:val="center"/>
              <w:rPr>
                <w:rFonts w:hint="eastAsia" w:ascii="仿宋_GB2312" w:hAnsi="仿宋_GB2312" w:eastAsia="仿宋_GB2312" w:cs="仿宋_GB2312"/>
                <w:bCs/>
                <w:kern w:val="2"/>
                <w:sz w:val="24"/>
                <w:szCs w:val="24"/>
                <w:lang w:val="en-US" w:eastAsia="zh-CN"/>
              </w:rPr>
            </w:pPr>
          </w:p>
        </w:tc>
        <w:tc>
          <w:tcPr>
            <w:tcW w:w="1971" w:type="dxa"/>
            <w:noWrap w:val="0"/>
            <w:tcMar>
              <w:top w:w="0" w:type="dxa"/>
              <w:left w:w="108" w:type="dxa"/>
              <w:bottom w:w="0" w:type="dxa"/>
              <w:right w:w="108" w:type="dxa"/>
            </w:tcMar>
            <w:vAlign w:val="center"/>
          </w:tcPr>
          <w:p w14:paraId="38934A4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杭州杰程教育科技有限公司</w:t>
            </w:r>
          </w:p>
        </w:tc>
        <w:tc>
          <w:tcPr>
            <w:tcW w:w="9163" w:type="dxa"/>
            <w:noWrap w:val="0"/>
            <w:tcMar>
              <w:top w:w="0" w:type="dxa"/>
              <w:left w:w="108" w:type="dxa"/>
              <w:bottom w:w="0" w:type="dxa"/>
              <w:right w:w="108" w:type="dxa"/>
            </w:tcMar>
            <w:vAlign w:val="center"/>
          </w:tcPr>
          <w:p w14:paraId="51799C43">
            <w:pPr>
              <w:spacing w:line="320" w:lineRule="exact"/>
              <w:jc w:val="left"/>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一、资源内容要求：</w:t>
            </w:r>
          </w:p>
          <w:p w14:paraId="3C05AA3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杰程专升本云课堂考试科目包含大学语文、大学英语、高等数学，学习内容符合《河南省普通高校专升本考试大纲》要求。每门课程具备完整的知识体系，视频课程内容与知识体系匹配，视频课程配套随堂练习，练习题目提供正确答案、题目解析、知识点展示。</w:t>
            </w:r>
          </w:p>
          <w:p w14:paraId="3EE3D23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2、杰程专升本云课堂包括大学语文、大学英语、高等数学2020年以后的真题试卷，保持原试卷的基本信息，包括题干、选项、分值、答卷时间、答案、解析等。</w:t>
            </w:r>
          </w:p>
          <w:p w14:paraId="57D1FA1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3、视频课程不低于800课时，时长不低于500小时，真题试卷不低于360套，知识点试题不低于20000道。</w:t>
            </w:r>
          </w:p>
          <w:p w14:paraId="0342FAB1">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4、所有资源具有合法版权。</w:t>
            </w:r>
          </w:p>
          <w:p w14:paraId="08E3303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二、平台功能要求：</w:t>
            </w:r>
          </w:p>
          <w:p w14:paraId="453CFF9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1、杰程专升本云课堂具有随堂练习、知识点练习、自由训练、错题分类练习（考点错题、自由错题、真题做题）、真题练习等学习功能。</w:t>
            </w:r>
          </w:p>
          <w:p w14:paraId="71F7DDF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2、杰程专升本云课堂支持关键词检索、分类排序，支持客观题自动阅卷，支持试卷主观题目自评，支持试卷重做、连续考试、查看题目解析。</w:t>
            </w:r>
          </w:p>
          <w:p w14:paraId="7CAFE813">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3、杰程专升本云课堂具有个人学习能力评估，包括按天、周、月统计个人练习成绩的正确率，能按照知识点统计正确率，按题型统计正确率。</w:t>
            </w:r>
          </w:p>
          <w:p w14:paraId="5B3431B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杰程专升本云课堂学习中心能显示个人学习总体情况，如课程学习进度，当天学习时长、学习天数、完成课时数、做题总量、做试卷总数、正确率等关键数据。</w:t>
            </w:r>
          </w:p>
          <w:p w14:paraId="5F5907D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有效使用范围内不受时间、空间的限制，无并发数限制，通过电脑和手机上观看视频学习。</w:t>
            </w:r>
          </w:p>
        </w:tc>
        <w:tc>
          <w:tcPr>
            <w:tcW w:w="693" w:type="dxa"/>
            <w:noWrap w:val="0"/>
            <w:tcMar>
              <w:top w:w="0" w:type="dxa"/>
              <w:left w:w="108" w:type="dxa"/>
              <w:bottom w:w="0" w:type="dxa"/>
              <w:right w:w="108" w:type="dxa"/>
            </w:tcMar>
            <w:vAlign w:val="center"/>
          </w:tcPr>
          <w:p w14:paraId="03B6370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74709F6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21CC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jc w:val="center"/>
        </w:trPr>
        <w:tc>
          <w:tcPr>
            <w:tcW w:w="469" w:type="dxa"/>
            <w:noWrap w:val="0"/>
            <w:tcMar>
              <w:top w:w="0" w:type="dxa"/>
              <w:left w:w="108" w:type="dxa"/>
              <w:bottom w:w="0" w:type="dxa"/>
              <w:right w:w="108" w:type="dxa"/>
            </w:tcMar>
            <w:vAlign w:val="center"/>
          </w:tcPr>
          <w:p w14:paraId="49A1E9B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7</w:t>
            </w:r>
          </w:p>
        </w:tc>
        <w:tc>
          <w:tcPr>
            <w:tcW w:w="1448" w:type="dxa"/>
            <w:noWrap w:val="0"/>
            <w:tcMar>
              <w:top w:w="0" w:type="dxa"/>
              <w:left w:w="108" w:type="dxa"/>
              <w:bottom w:w="0" w:type="dxa"/>
              <w:right w:w="108" w:type="dxa"/>
            </w:tcMar>
            <w:vAlign w:val="center"/>
          </w:tcPr>
          <w:p w14:paraId="6DCBE3BF">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软件通 IT 技能总库</w:t>
            </w:r>
          </w:p>
          <w:p w14:paraId="4F3085ED">
            <w:pPr>
              <w:spacing w:line="320" w:lineRule="exact"/>
              <w:jc w:val="center"/>
              <w:rPr>
                <w:rFonts w:hint="eastAsia" w:ascii="仿宋_GB2312" w:hAnsi="仿宋_GB2312" w:eastAsia="仿宋_GB2312" w:cs="仿宋_GB2312"/>
                <w:bCs/>
                <w:kern w:val="2"/>
                <w:sz w:val="24"/>
                <w:szCs w:val="24"/>
                <w:lang w:val="en-US" w:eastAsia="zh-CN"/>
              </w:rPr>
            </w:pPr>
          </w:p>
        </w:tc>
        <w:tc>
          <w:tcPr>
            <w:tcW w:w="1971" w:type="dxa"/>
            <w:noWrap w:val="0"/>
            <w:tcMar>
              <w:top w:w="0" w:type="dxa"/>
              <w:left w:w="108" w:type="dxa"/>
              <w:bottom w:w="0" w:type="dxa"/>
              <w:right w:w="108" w:type="dxa"/>
            </w:tcMar>
            <w:vAlign w:val="center"/>
          </w:tcPr>
          <w:p w14:paraId="1B2DB260">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中新金桥信息技术（北京）有限公司</w:t>
            </w:r>
          </w:p>
        </w:tc>
        <w:tc>
          <w:tcPr>
            <w:tcW w:w="9163" w:type="dxa"/>
            <w:noWrap w:val="0"/>
            <w:tcMar>
              <w:top w:w="0" w:type="dxa"/>
              <w:left w:w="108" w:type="dxa"/>
              <w:bottom w:w="0" w:type="dxa"/>
              <w:right w:w="108" w:type="dxa"/>
            </w:tcMar>
            <w:vAlign w:val="center"/>
          </w:tcPr>
          <w:p w14:paraId="3C7F0289">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涵盖计算机软件最主流的23个大类，包括：办公自动化类、全民学电脑类、等级考试、计算机基础类、多媒体设计类、工业设计类、平面设计类、三维设计类、影视后期类、设计艺术类、网页网站设计类、计算机程序语言类、网络程序语言类、计算机数据库语言类、系统开发、专业软件、互联网营销、大数据、虚拟现实、云计算、网络安全、人工智能、3D打印等类型。</w:t>
            </w:r>
          </w:p>
          <w:p w14:paraId="24A35700">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2、囊括了不低于280种的软件种类，不低于71000个视频，学习时长不低于7400小时。每年新增视频数量不低于4000个，并仍将持续新增软件门类，扩充新的资源。</w:t>
            </w:r>
          </w:p>
          <w:p w14:paraId="3083B015">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3、软件的知识点，是按照教材章节顺序，并由浅入深，并配备“知识点+实例”的体系进行授课，完全遵循高校教学的特点。</w:t>
            </w:r>
          </w:p>
          <w:p w14:paraId="413A9C0A">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4、所有课程拥有独立自主知识产权</w:t>
            </w:r>
          </w:p>
        </w:tc>
        <w:tc>
          <w:tcPr>
            <w:tcW w:w="693" w:type="dxa"/>
            <w:noWrap w:val="0"/>
            <w:tcMar>
              <w:top w:w="0" w:type="dxa"/>
              <w:left w:w="108" w:type="dxa"/>
              <w:bottom w:w="0" w:type="dxa"/>
              <w:right w:w="108" w:type="dxa"/>
            </w:tcMar>
            <w:vAlign w:val="center"/>
          </w:tcPr>
          <w:p w14:paraId="0D8372A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1C243713">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5EEC7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469" w:type="dxa"/>
            <w:noWrap w:val="0"/>
            <w:tcMar>
              <w:top w:w="0" w:type="dxa"/>
              <w:left w:w="108" w:type="dxa"/>
              <w:bottom w:w="0" w:type="dxa"/>
              <w:right w:w="108" w:type="dxa"/>
            </w:tcMar>
            <w:vAlign w:val="center"/>
          </w:tcPr>
          <w:p w14:paraId="62A379F7">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8</w:t>
            </w:r>
          </w:p>
        </w:tc>
        <w:tc>
          <w:tcPr>
            <w:tcW w:w="1448" w:type="dxa"/>
            <w:noWrap w:val="0"/>
            <w:tcMar>
              <w:top w:w="0" w:type="dxa"/>
              <w:left w:w="108" w:type="dxa"/>
              <w:bottom w:w="0" w:type="dxa"/>
              <w:right w:w="108" w:type="dxa"/>
            </w:tcMar>
            <w:vAlign w:val="center"/>
          </w:tcPr>
          <w:p w14:paraId="1F5706C7">
            <w:pPr>
              <w:spacing w:line="320" w:lineRule="exact"/>
              <w:jc w:val="center"/>
              <w:rPr>
                <w:rFonts w:hint="default" w:ascii="仿宋_GB2312" w:hAnsi="仿宋_GB2312" w:eastAsia="仿宋_GB2312" w:cs="仿宋_GB2312"/>
                <w:bCs/>
                <w:kern w:val="2"/>
                <w:sz w:val="24"/>
                <w:szCs w:val="24"/>
                <w:lang w:val="en-US" w:eastAsia="zh-CN"/>
              </w:rPr>
            </w:pPr>
          </w:p>
          <w:p w14:paraId="5AD71880">
            <w:pPr>
              <w:spacing w:line="320" w:lineRule="exact"/>
              <w:jc w:val="center"/>
              <w:rPr>
                <w:rFonts w:hint="default" w:ascii="仿宋_GB2312" w:hAnsi="仿宋_GB2312" w:eastAsia="仿宋_GB2312" w:cs="仿宋_GB2312"/>
                <w:bCs/>
                <w:kern w:val="2"/>
                <w:sz w:val="24"/>
                <w:szCs w:val="24"/>
                <w:lang w:val="en-US" w:eastAsia="zh-CN"/>
              </w:rPr>
            </w:pPr>
          </w:p>
          <w:p w14:paraId="657839E8">
            <w:pPr>
              <w:spacing w:line="320" w:lineRule="exact"/>
              <w:jc w:val="center"/>
              <w:rPr>
                <w:rFonts w:hint="default" w:ascii="仿宋_GB2312" w:hAnsi="仿宋_GB2312" w:eastAsia="仿宋_GB2312" w:cs="仿宋_GB2312"/>
                <w:bCs/>
                <w:kern w:val="2"/>
                <w:sz w:val="24"/>
                <w:szCs w:val="24"/>
                <w:lang w:val="en-US" w:eastAsia="zh-CN"/>
              </w:rPr>
            </w:pPr>
          </w:p>
          <w:p w14:paraId="16EE4575">
            <w:pPr>
              <w:spacing w:line="320" w:lineRule="exact"/>
              <w:jc w:val="center"/>
              <w:rPr>
                <w:rFonts w:hint="default" w:ascii="仿宋_GB2312" w:hAnsi="仿宋_GB2312" w:eastAsia="仿宋_GB2312" w:cs="仿宋_GB2312"/>
                <w:bCs/>
                <w:kern w:val="2"/>
                <w:sz w:val="24"/>
                <w:szCs w:val="24"/>
                <w:lang w:val="en-US" w:eastAsia="zh-CN"/>
              </w:rPr>
            </w:pPr>
          </w:p>
          <w:p w14:paraId="6B2E2412">
            <w:pPr>
              <w:spacing w:line="320" w:lineRule="exact"/>
              <w:jc w:val="center"/>
              <w:rPr>
                <w:rFonts w:hint="default" w:ascii="仿宋_GB2312" w:hAnsi="仿宋_GB2312" w:eastAsia="仿宋_GB2312" w:cs="仿宋_GB2312"/>
                <w:bCs/>
                <w:kern w:val="2"/>
                <w:sz w:val="24"/>
                <w:szCs w:val="24"/>
                <w:lang w:val="en-US" w:eastAsia="zh-CN"/>
              </w:rPr>
            </w:pPr>
          </w:p>
          <w:p w14:paraId="05231D3C">
            <w:pPr>
              <w:spacing w:line="320" w:lineRule="exact"/>
              <w:jc w:val="center"/>
              <w:rPr>
                <w:rFonts w:hint="default" w:ascii="仿宋_GB2312" w:hAnsi="仿宋_GB2312" w:eastAsia="仿宋_GB2312" w:cs="仿宋_GB2312"/>
                <w:bCs/>
                <w:kern w:val="2"/>
                <w:sz w:val="24"/>
                <w:szCs w:val="24"/>
                <w:lang w:val="en-US" w:eastAsia="zh-CN"/>
              </w:rPr>
            </w:pPr>
            <w:r>
              <w:rPr>
                <w:rFonts w:hint="default" w:ascii="仿宋_GB2312" w:hAnsi="仿宋_GB2312" w:eastAsia="仿宋_GB2312" w:cs="仿宋_GB2312"/>
                <w:bCs/>
                <w:kern w:val="2"/>
                <w:sz w:val="24"/>
                <w:szCs w:val="24"/>
                <w:lang w:val="en-US" w:eastAsia="zh-CN"/>
              </w:rPr>
              <w:t>喻白-在心理</w:t>
            </w:r>
          </w:p>
          <w:p w14:paraId="378B5B01">
            <w:pPr>
              <w:spacing w:line="320" w:lineRule="exact"/>
              <w:jc w:val="center"/>
              <w:rPr>
                <w:rFonts w:hint="default" w:ascii="仿宋_GB2312" w:hAnsi="仿宋_GB2312" w:eastAsia="仿宋_GB2312" w:cs="仿宋_GB2312"/>
                <w:bCs/>
                <w:kern w:val="2"/>
                <w:sz w:val="24"/>
                <w:szCs w:val="24"/>
                <w:lang w:val="en-US" w:eastAsia="zh-CN"/>
              </w:rPr>
            </w:pPr>
          </w:p>
        </w:tc>
        <w:tc>
          <w:tcPr>
            <w:tcW w:w="1971" w:type="dxa"/>
            <w:noWrap w:val="0"/>
            <w:tcMar>
              <w:top w:w="0" w:type="dxa"/>
              <w:left w:w="108" w:type="dxa"/>
              <w:bottom w:w="0" w:type="dxa"/>
              <w:right w:w="108" w:type="dxa"/>
            </w:tcMar>
            <w:vAlign w:val="center"/>
          </w:tcPr>
          <w:p w14:paraId="2CB81738">
            <w:pPr>
              <w:spacing w:line="320" w:lineRule="exact"/>
              <w:jc w:val="center"/>
              <w:rPr>
                <w:rFonts w:hint="eastAsia" w:ascii="仿宋_GB2312" w:hAnsi="仿宋_GB2312" w:eastAsia="仿宋_GB2312" w:cs="仿宋_GB2312"/>
                <w:bCs/>
                <w:kern w:val="2"/>
                <w:sz w:val="24"/>
                <w:szCs w:val="24"/>
                <w:lang w:val="en-US" w:eastAsia="zh-CN"/>
              </w:rPr>
            </w:pPr>
          </w:p>
          <w:p w14:paraId="32C3A51B">
            <w:pPr>
              <w:spacing w:line="320" w:lineRule="exact"/>
              <w:jc w:val="center"/>
              <w:rPr>
                <w:rFonts w:hint="eastAsia" w:ascii="仿宋_GB2312" w:hAnsi="仿宋_GB2312" w:eastAsia="仿宋_GB2312" w:cs="仿宋_GB2312"/>
                <w:bCs/>
                <w:kern w:val="2"/>
                <w:sz w:val="24"/>
                <w:szCs w:val="24"/>
                <w:lang w:val="en-US" w:eastAsia="zh-CN"/>
              </w:rPr>
            </w:pPr>
          </w:p>
          <w:p w14:paraId="21FAFC06">
            <w:pPr>
              <w:spacing w:line="320" w:lineRule="exact"/>
              <w:jc w:val="center"/>
              <w:rPr>
                <w:rFonts w:hint="eastAsia" w:ascii="仿宋_GB2312" w:hAnsi="仿宋_GB2312" w:eastAsia="仿宋_GB2312" w:cs="仿宋_GB2312"/>
                <w:bCs/>
                <w:kern w:val="2"/>
                <w:sz w:val="24"/>
                <w:szCs w:val="24"/>
                <w:lang w:val="en-US" w:eastAsia="zh-CN"/>
              </w:rPr>
            </w:pPr>
          </w:p>
          <w:p w14:paraId="6D6ACBD3">
            <w:pPr>
              <w:spacing w:line="320" w:lineRule="exact"/>
              <w:jc w:val="center"/>
              <w:rPr>
                <w:rFonts w:hint="eastAsia" w:ascii="仿宋_GB2312" w:hAnsi="仿宋_GB2312" w:eastAsia="仿宋_GB2312" w:cs="仿宋_GB2312"/>
                <w:bCs/>
                <w:kern w:val="2"/>
                <w:sz w:val="24"/>
                <w:szCs w:val="24"/>
                <w:lang w:val="en-US" w:eastAsia="zh-CN"/>
              </w:rPr>
            </w:pPr>
          </w:p>
          <w:p w14:paraId="1081DE2C">
            <w:pPr>
              <w:spacing w:line="320" w:lineRule="exact"/>
              <w:jc w:val="center"/>
              <w:rPr>
                <w:rFonts w:hint="eastAsia" w:ascii="仿宋_GB2312" w:hAnsi="仿宋_GB2312" w:eastAsia="仿宋_GB2312" w:cs="仿宋_GB2312"/>
                <w:bCs/>
                <w:kern w:val="2"/>
                <w:sz w:val="24"/>
                <w:szCs w:val="24"/>
                <w:lang w:val="en-US" w:eastAsia="zh-CN"/>
              </w:rPr>
            </w:pPr>
          </w:p>
          <w:p w14:paraId="2DD62B25">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山东喻白信息技术有限公司</w:t>
            </w:r>
          </w:p>
          <w:p w14:paraId="0A1FA8BA">
            <w:pPr>
              <w:spacing w:line="320" w:lineRule="exact"/>
              <w:jc w:val="center"/>
              <w:rPr>
                <w:rFonts w:hint="eastAsia" w:ascii="仿宋_GB2312" w:hAnsi="仿宋_GB2312" w:eastAsia="仿宋_GB2312" w:cs="仿宋_GB2312"/>
                <w:bCs/>
                <w:kern w:val="2"/>
                <w:sz w:val="24"/>
                <w:szCs w:val="24"/>
                <w:lang w:val="en-US" w:eastAsia="zh-CN"/>
              </w:rPr>
            </w:pPr>
          </w:p>
        </w:tc>
        <w:tc>
          <w:tcPr>
            <w:tcW w:w="9163" w:type="dxa"/>
            <w:noWrap w:val="0"/>
            <w:tcMar>
              <w:top w:w="0" w:type="dxa"/>
              <w:left w:w="108" w:type="dxa"/>
              <w:bottom w:w="0" w:type="dxa"/>
              <w:right w:w="108" w:type="dxa"/>
            </w:tcMar>
            <w:vAlign w:val="center"/>
          </w:tcPr>
          <w:p w14:paraId="50ADDC4F">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(1)平台及课程有独立的商标，软著，版权等知识产权保护，不会给使用方造成相关纠纷隐患；</w:t>
            </w:r>
          </w:p>
          <w:p w14:paraId="38E99BF1">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(2)平台课程能按照科学的心理学知识进行分类管理，方便用户浏览使用；</w:t>
            </w:r>
          </w:p>
          <w:p w14:paraId="0895081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(3)课程内容是应用心理学知识，基本能覆盖大学生在校内所能遇到的情绪和心理问题，并给出切实可行的指导建议及解决方法；</w:t>
            </w:r>
          </w:p>
          <w:p w14:paraId="2644C648">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(4)平台现已有课程不低于1400节，平均每周更新不低于4节，并具有移动端展示窗口，每周更新热点话题文章不低于4篇；</w:t>
            </w:r>
          </w:p>
          <w:p w14:paraId="37778B6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功能要求：</w:t>
            </w:r>
          </w:p>
          <w:p w14:paraId="298C0AB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(1)平台课程分辨率能达到1080p，并提供不同分辨率版本，以满足不同网络环境下的正常使用；</w:t>
            </w:r>
          </w:p>
          <w:p w14:paraId="7C83BBB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(2)课程可实现电脑端，移动端观看，并能做到使用信息同步；</w:t>
            </w:r>
          </w:p>
          <w:p w14:paraId="64C61EC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(3)平台能解决校外访问和寒暑假异地访问的问题；</w:t>
            </w:r>
          </w:p>
          <w:p w14:paraId="3548443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(4)服务模式：IP终端远程服务，IP内注册专属账号，可实现IP外访问。</w:t>
            </w:r>
          </w:p>
        </w:tc>
        <w:tc>
          <w:tcPr>
            <w:tcW w:w="693" w:type="dxa"/>
            <w:noWrap w:val="0"/>
            <w:tcMar>
              <w:top w:w="0" w:type="dxa"/>
              <w:left w:w="108" w:type="dxa"/>
              <w:bottom w:w="0" w:type="dxa"/>
              <w:right w:w="108" w:type="dxa"/>
            </w:tcMar>
            <w:vAlign w:val="center"/>
          </w:tcPr>
          <w:p w14:paraId="1D56A772">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0B78E2E7">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2739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469" w:type="dxa"/>
            <w:noWrap w:val="0"/>
            <w:tcMar>
              <w:top w:w="0" w:type="dxa"/>
              <w:left w:w="108" w:type="dxa"/>
              <w:bottom w:w="0" w:type="dxa"/>
              <w:right w:w="108" w:type="dxa"/>
            </w:tcMar>
            <w:vAlign w:val="center"/>
          </w:tcPr>
          <w:p w14:paraId="1D40D329">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9</w:t>
            </w:r>
          </w:p>
        </w:tc>
        <w:tc>
          <w:tcPr>
            <w:tcW w:w="1448" w:type="dxa"/>
            <w:noWrap w:val="0"/>
            <w:tcMar>
              <w:top w:w="0" w:type="dxa"/>
              <w:left w:w="108" w:type="dxa"/>
              <w:bottom w:w="0" w:type="dxa"/>
              <w:right w:w="108" w:type="dxa"/>
            </w:tcMar>
            <w:vAlign w:val="center"/>
          </w:tcPr>
          <w:p w14:paraId="15588AC9">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超星名师讲坛（超星学术视频）</w:t>
            </w:r>
          </w:p>
          <w:p w14:paraId="34B29429">
            <w:pPr>
              <w:spacing w:line="320" w:lineRule="exact"/>
              <w:jc w:val="center"/>
              <w:rPr>
                <w:rFonts w:hint="eastAsia" w:ascii="仿宋_GB2312" w:hAnsi="仿宋_GB2312" w:eastAsia="仿宋_GB2312" w:cs="仿宋_GB2312"/>
                <w:bCs/>
                <w:kern w:val="2"/>
                <w:sz w:val="24"/>
                <w:szCs w:val="24"/>
                <w:lang w:val="en-US" w:eastAsia="zh-CN"/>
              </w:rPr>
            </w:pPr>
          </w:p>
        </w:tc>
        <w:tc>
          <w:tcPr>
            <w:tcW w:w="1971" w:type="dxa"/>
            <w:noWrap w:val="0"/>
            <w:tcMar>
              <w:top w:w="0" w:type="dxa"/>
              <w:left w:w="108" w:type="dxa"/>
              <w:bottom w:w="0" w:type="dxa"/>
              <w:right w:w="108" w:type="dxa"/>
            </w:tcMar>
            <w:vAlign w:val="center"/>
          </w:tcPr>
          <w:p w14:paraId="288190ED">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河南超星数图信息技术有限公司</w:t>
            </w:r>
          </w:p>
        </w:tc>
        <w:tc>
          <w:tcPr>
            <w:tcW w:w="9163" w:type="dxa"/>
            <w:noWrap w:val="0"/>
            <w:tcMar>
              <w:top w:w="0" w:type="dxa"/>
              <w:left w:w="108" w:type="dxa"/>
              <w:bottom w:w="0" w:type="dxa"/>
              <w:right w:w="108" w:type="dxa"/>
            </w:tcMar>
            <w:vAlign w:val="center"/>
          </w:tcPr>
          <w:p w14:paraId="142FDAF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1、具备专业的编导、摄像、后期制作、技术服务团队。节目内容合法授权，自主拍摄，自主制作；</w:t>
            </w:r>
          </w:p>
          <w:p w14:paraId="0C64EE8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2、拥有完备的数据保障体系和源文件备份、拷贝、应急恢复等流程；</w:t>
            </w:r>
          </w:p>
          <w:p w14:paraId="7DEA41B8">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 未有购买第三方视频内容；所有节目均为自主录制并在自身平台发布；未有盗用、转链网络公开资源；与网络第三方资源无有大量重复（重复率小于百分之一）。</w:t>
            </w:r>
          </w:p>
          <w:p w14:paraId="001194B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4、学科分类参照国家标准全日制大学体系；学科：哲学、经济学、法学、教育学、文学、历史学、理学、工学、农学、医学、管理学和艺术学等，向二级学科以及各专业延伸。</w:t>
            </w:r>
          </w:p>
          <w:p w14:paraId="1CE4045F">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 xml:space="preserve">5、来源优质，主要收录985、211高校、科研机构、行业组织的学术权威和国内外名师名人的课程和讲座；陆续拍摄300余位院士、500余位长江学者、5000余位博士生导师等众多专家学者的珍贵影像； </w:t>
            </w:r>
          </w:p>
          <w:p w14:paraId="745A90AD">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6、功能强大的手机页，单独开发适用于手机端的网页，采用H5播放器，具有很好的兼容性和容错性， 无需单独下载app，打开直接观看，简单方便；可将手机页内嵌入图书馆现有移动图书馆中，统一读者终端，丰富移动图书馆内容。</w:t>
            </w:r>
          </w:p>
          <w:p w14:paraId="1F0A99BC">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7、 多终端互动展示，采用响应式技术，支持兼容多终端设备展示：手机移动、电脑PC、iPad，实现多终端资源互联互通，无须独立App。同时，与电子借阅机、大屏、瀑布流对接等设备，每日更新最新讲座，用户扫码即可观看视频。</w:t>
            </w:r>
          </w:p>
          <w:p w14:paraId="12CFC746">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8、 多元活动，策划编辑“每天30分钟一讲座”，每日推出高质量的微信公众号文章，用以运营客户单位微信公众号。精选主体策划21天打卡视频打卡活动，并提供微信推文、宣传海报等材料，为图书馆提供优质活动运营方案。如：《何以中国，何以你我》、《向美而生 与美同行》、《世界很奇妙，想让你知道》、《做一个博学而有趣的人》等主体活动。</w:t>
            </w:r>
          </w:p>
        </w:tc>
        <w:tc>
          <w:tcPr>
            <w:tcW w:w="693" w:type="dxa"/>
            <w:noWrap w:val="0"/>
            <w:tcMar>
              <w:top w:w="0" w:type="dxa"/>
              <w:left w:w="108" w:type="dxa"/>
              <w:bottom w:w="0" w:type="dxa"/>
              <w:right w:w="108" w:type="dxa"/>
            </w:tcMar>
            <w:vAlign w:val="center"/>
          </w:tcPr>
          <w:p w14:paraId="2C5EC55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w:t>
            </w:r>
          </w:p>
        </w:tc>
        <w:tc>
          <w:tcPr>
            <w:tcW w:w="693" w:type="dxa"/>
            <w:noWrap w:val="0"/>
            <w:tcMar>
              <w:top w:w="0" w:type="dxa"/>
              <w:left w:w="108" w:type="dxa"/>
              <w:bottom w:w="0" w:type="dxa"/>
              <w:right w:w="108" w:type="dxa"/>
            </w:tcMar>
            <w:vAlign w:val="center"/>
          </w:tcPr>
          <w:p w14:paraId="4B58CE60">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套</w:t>
            </w:r>
          </w:p>
        </w:tc>
      </w:tr>
      <w:tr w14:paraId="0701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469" w:type="dxa"/>
            <w:noWrap w:val="0"/>
            <w:tcMar>
              <w:top w:w="0" w:type="dxa"/>
              <w:left w:w="108" w:type="dxa"/>
              <w:bottom w:w="0" w:type="dxa"/>
              <w:right w:w="108" w:type="dxa"/>
            </w:tcMar>
            <w:vAlign w:val="center"/>
          </w:tcPr>
          <w:p w14:paraId="2876E780">
            <w:pPr>
              <w:spacing w:line="320" w:lineRule="exact"/>
              <w:jc w:val="center"/>
              <w:rPr>
                <w:rFonts w:hint="default"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10</w:t>
            </w:r>
          </w:p>
        </w:tc>
        <w:tc>
          <w:tcPr>
            <w:tcW w:w="1448" w:type="dxa"/>
            <w:noWrap w:val="0"/>
            <w:vAlign w:val="center"/>
          </w:tcPr>
          <w:p w14:paraId="7AA581EC">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畅想之星馆配电子书平台</w:t>
            </w:r>
          </w:p>
          <w:p w14:paraId="49F969C9">
            <w:pPr>
              <w:spacing w:line="320" w:lineRule="exact"/>
              <w:jc w:val="center"/>
              <w:rPr>
                <w:rFonts w:hint="eastAsia" w:ascii="仿宋_GB2312" w:hAnsi="仿宋_GB2312" w:eastAsia="仿宋_GB2312" w:cs="仿宋_GB2312"/>
                <w:bCs/>
                <w:kern w:val="2"/>
                <w:sz w:val="24"/>
                <w:szCs w:val="24"/>
                <w:lang w:val="en-US" w:eastAsia="zh-CN"/>
              </w:rPr>
            </w:pPr>
          </w:p>
        </w:tc>
        <w:tc>
          <w:tcPr>
            <w:tcW w:w="1971" w:type="dxa"/>
            <w:noWrap w:val="0"/>
            <w:vAlign w:val="center"/>
          </w:tcPr>
          <w:p w14:paraId="7FBBE57E">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北京畅想之星信息技术有限公司</w:t>
            </w:r>
          </w:p>
        </w:tc>
        <w:tc>
          <w:tcPr>
            <w:tcW w:w="9163" w:type="dxa"/>
            <w:noWrap w:val="0"/>
            <w:vAlign w:val="center"/>
          </w:tcPr>
          <w:p w14:paraId="516A001B">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1、所有电子书均为出版方发行的正版电子出版物，均有合法授权；</w:t>
            </w:r>
          </w:p>
          <w:p w14:paraId="36E66707">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2、可提供不少于60万种的电子图书供图书馆采选；</w:t>
            </w:r>
          </w:p>
          <w:p w14:paraId="72F4A204">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3、编目数据：可提供符合国图标准和CALIS标准的电子图书的CNMARC数据，支持编目入藏，可导入图书馆自动化管理系统，纳入馆藏统计册数，并做图书馆资产管理；</w:t>
            </w:r>
          </w:p>
          <w:p w14:paraId="1303D6EE">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4、电子书的文件格式为：EBK\CXBP、CXBF，电子书原文件均为出版社提供的标准排版格式文件转换的矢量格式文件，非扫描PDF文件；</w:t>
            </w:r>
          </w:p>
          <w:p w14:paraId="4808304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5、图书馆采购的电子书可以镜像到本地，在内部局域网内使用，并供认证持卡读者远程访问使用，电子书平台永久免费升级维护，保证所购电子图书正常使用。</w:t>
            </w:r>
          </w:p>
          <w:p w14:paraId="7E4875B2">
            <w:pPr>
              <w:spacing w:line="320" w:lineRule="exact"/>
              <w:jc w:val="left"/>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6、支持PC Web、PC客户端、Android、IOS及H5、触摸屏电子书借阅设备等多终端设备的使用，电子书无需安装APP即可微信阅读，并可嵌入图书馆微信公众号，并绑定读者卡号实现免登录使用；</w:t>
            </w:r>
          </w:p>
        </w:tc>
        <w:tc>
          <w:tcPr>
            <w:tcW w:w="693" w:type="dxa"/>
            <w:noWrap w:val="0"/>
            <w:vAlign w:val="center"/>
          </w:tcPr>
          <w:p w14:paraId="24CF0AFA">
            <w:pPr>
              <w:spacing w:line="320" w:lineRule="exact"/>
              <w:jc w:val="center"/>
              <w:rPr>
                <w:rFonts w:hint="default" w:ascii="仿宋_GB2312" w:hAnsi="仿宋_GB2312" w:eastAsia="仿宋_GB2312" w:cs="仿宋_GB2312"/>
                <w:bCs/>
                <w:kern w:val="2"/>
                <w:sz w:val="24"/>
                <w:szCs w:val="24"/>
                <w:lang w:val="en-US" w:eastAsia="zh-CN"/>
              </w:rPr>
            </w:pPr>
          </w:p>
        </w:tc>
        <w:tc>
          <w:tcPr>
            <w:tcW w:w="693" w:type="dxa"/>
            <w:noWrap w:val="0"/>
            <w:vAlign w:val="center"/>
          </w:tcPr>
          <w:p w14:paraId="30B35903">
            <w:pPr>
              <w:spacing w:line="320" w:lineRule="exact"/>
              <w:jc w:val="center"/>
              <w:rPr>
                <w:rFonts w:hint="eastAsia" w:ascii="仿宋_GB2312" w:hAnsi="仿宋_GB2312" w:eastAsia="仿宋_GB2312" w:cs="仿宋_GB2312"/>
                <w:bCs/>
                <w:kern w:val="2"/>
                <w:sz w:val="24"/>
                <w:szCs w:val="24"/>
                <w:lang w:val="en-US" w:eastAsia="zh-CN"/>
              </w:rPr>
            </w:pPr>
          </w:p>
        </w:tc>
      </w:tr>
      <w:tr w14:paraId="2CEC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469" w:type="dxa"/>
            <w:noWrap w:val="0"/>
            <w:tcMar>
              <w:top w:w="0" w:type="dxa"/>
              <w:left w:w="108" w:type="dxa"/>
              <w:bottom w:w="0" w:type="dxa"/>
              <w:right w:w="108" w:type="dxa"/>
            </w:tcMar>
            <w:vAlign w:val="center"/>
          </w:tcPr>
          <w:p w14:paraId="713C1892">
            <w:pPr>
              <w:spacing w:line="320" w:lineRule="exact"/>
              <w:jc w:val="center"/>
              <w:rPr>
                <w:rFonts w:hint="eastAsia" w:ascii="仿宋_GB2312" w:hAnsi="仿宋_GB2312" w:eastAsia="仿宋_GB2312" w:cs="仿宋_GB2312"/>
                <w:bCs/>
                <w:kern w:val="2"/>
                <w:sz w:val="24"/>
                <w:szCs w:val="24"/>
                <w:lang w:val="en-US" w:eastAsia="zh-CN"/>
              </w:rPr>
            </w:pPr>
          </w:p>
        </w:tc>
        <w:tc>
          <w:tcPr>
            <w:tcW w:w="1448" w:type="dxa"/>
            <w:noWrap w:val="0"/>
            <w:vAlign w:val="center"/>
          </w:tcPr>
          <w:p w14:paraId="51688247">
            <w:pPr>
              <w:spacing w:line="320" w:lineRule="exact"/>
              <w:jc w:val="center"/>
              <w:rPr>
                <w:rFonts w:hint="eastAsia" w:ascii="仿宋_GB2312" w:hAnsi="仿宋_GB2312" w:eastAsia="仿宋_GB2312" w:cs="仿宋_GB2312"/>
                <w:bCs/>
                <w:kern w:val="2"/>
                <w:sz w:val="24"/>
                <w:szCs w:val="24"/>
                <w:lang w:val="en-US" w:eastAsia="zh-CN"/>
              </w:rPr>
            </w:pPr>
            <w:r>
              <w:rPr>
                <w:rFonts w:hint="eastAsia" w:ascii="仿宋_GB2312" w:hAnsi="仿宋_GB2312" w:eastAsia="仿宋_GB2312" w:cs="仿宋_GB2312"/>
                <w:bCs/>
                <w:kern w:val="2"/>
                <w:sz w:val="24"/>
                <w:szCs w:val="24"/>
                <w:lang w:val="en-US" w:eastAsia="zh-CN"/>
              </w:rPr>
              <w:t>合计</w:t>
            </w:r>
          </w:p>
        </w:tc>
        <w:tc>
          <w:tcPr>
            <w:tcW w:w="1971" w:type="dxa"/>
            <w:noWrap w:val="0"/>
            <w:vAlign w:val="center"/>
          </w:tcPr>
          <w:p w14:paraId="78808C58">
            <w:pPr>
              <w:spacing w:line="320" w:lineRule="exact"/>
              <w:jc w:val="center"/>
              <w:rPr>
                <w:rFonts w:hint="eastAsia" w:ascii="仿宋_GB2312" w:hAnsi="仿宋_GB2312" w:eastAsia="仿宋_GB2312" w:cs="仿宋_GB2312"/>
                <w:bCs/>
                <w:kern w:val="2"/>
                <w:sz w:val="24"/>
                <w:szCs w:val="24"/>
                <w:lang w:val="en-US" w:eastAsia="zh-CN"/>
              </w:rPr>
            </w:pPr>
          </w:p>
        </w:tc>
        <w:tc>
          <w:tcPr>
            <w:tcW w:w="9163" w:type="dxa"/>
            <w:noWrap w:val="0"/>
            <w:vAlign w:val="center"/>
          </w:tcPr>
          <w:p w14:paraId="26ACA204">
            <w:pPr>
              <w:spacing w:line="320" w:lineRule="exact"/>
              <w:jc w:val="center"/>
              <w:rPr>
                <w:rFonts w:hint="eastAsia" w:ascii="仿宋_GB2312" w:hAnsi="仿宋_GB2312" w:eastAsia="仿宋_GB2312" w:cs="仿宋_GB2312"/>
                <w:bCs/>
                <w:kern w:val="2"/>
                <w:sz w:val="24"/>
                <w:szCs w:val="24"/>
                <w:lang w:val="en-US" w:eastAsia="zh-CN"/>
              </w:rPr>
            </w:pPr>
          </w:p>
        </w:tc>
        <w:tc>
          <w:tcPr>
            <w:tcW w:w="693" w:type="dxa"/>
            <w:shd w:val="clear" w:color="auto" w:fill="auto"/>
            <w:noWrap w:val="0"/>
            <w:vAlign w:val="center"/>
          </w:tcPr>
          <w:p w14:paraId="2DE975E7">
            <w:pPr>
              <w:spacing w:line="32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rPr>
              <w:t>10</w:t>
            </w:r>
          </w:p>
        </w:tc>
        <w:tc>
          <w:tcPr>
            <w:tcW w:w="693" w:type="dxa"/>
            <w:shd w:val="clear" w:color="auto" w:fill="auto"/>
            <w:noWrap w:val="0"/>
            <w:vAlign w:val="center"/>
          </w:tcPr>
          <w:p w14:paraId="144D0753">
            <w:pPr>
              <w:spacing w:line="320" w:lineRule="exact"/>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rPr>
              <w:t>套</w:t>
            </w:r>
          </w:p>
        </w:tc>
      </w:tr>
    </w:tbl>
    <w:p w14:paraId="5F86CB8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OTFlZTliMDliZWJhZDBhYzk0YWIxMGM1MWEwNTgifQ=="/>
  </w:docVars>
  <w:rsids>
    <w:rsidRoot w:val="00000000"/>
    <w:rsid w:val="065E2599"/>
    <w:rsid w:val="077946F5"/>
    <w:rsid w:val="0CA262E2"/>
    <w:rsid w:val="10C34956"/>
    <w:rsid w:val="10F53D5D"/>
    <w:rsid w:val="11FC5A31"/>
    <w:rsid w:val="1744663C"/>
    <w:rsid w:val="1773582D"/>
    <w:rsid w:val="19CE111B"/>
    <w:rsid w:val="1B32775E"/>
    <w:rsid w:val="319A122D"/>
    <w:rsid w:val="336D632F"/>
    <w:rsid w:val="3AD066F6"/>
    <w:rsid w:val="42100F0D"/>
    <w:rsid w:val="431547EB"/>
    <w:rsid w:val="463D59A3"/>
    <w:rsid w:val="48845173"/>
    <w:rsid w:val="59A7217C"/>
    <w:rsid w:val="5A2A0227"/>
    <w:rsid w:val="5D4E3CA0"/>
    <w:rsid w:val="5D945CBE"/>
    <w:rsid w:val="60433DF0"/>
    <w:rsid w:val="626061A3"/>
    <w:rsid w:val="663F4313"/>
    <w:rsid w:val="667D2BB4"/>
    <w:rsid w:val="68E1397A"/>
    <w:rsid w:val="6BFB30A2"/>
    <w:rsid w:val="7341607C"/>
    <w:rsid w:val="735A2213"/>
    <w:rsid w:val="760B1EFE"/>
    <w:rsid w:val="77E1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Arial" w:hAnsi="Arial"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iPriority w:val="0"/>
    <w:pPr>
      <w:ind w:firstLine="420" w:firstLineChars="200"/>
    </w:pPr>
  </w:style>
  <w:style w:type="paragraph" w:styleId="4">
    <w:name w:val="Body Text"/>
    <w:basedOn w:val="1"/>
    <w:next w:val="1"/>
    <w:qFormat/>
    <w:uiPriority w:val="99"/>
    <w:pPr>
      <w:spacing w:before="130"/>
      <w:ind w:left="126"/>
      <w:jc w:val="left"/>
    </w:pPr>
    <w:rPr>
      <w:rFonts w:ascii="宋体" w:hAnsi="宋体" w:cs="宋体"/>
      <w:kern w:val="0"/>
      <w:lang w:eastAsia="en-US"/>
    </w:rPr>
  </w:style>
  <w:style w:type="paragraph" w:styleId="5">
    <w:name w:val="Normal (Web)"/>
    <w:basedOn w:val="1"/>
    <w:qFormat/>
    <w:uiPriority w:val="0"/>
    <w:rPr>
      <w:sz w:val="24"/>
    </w:rPr>
  </w:style>
  <w:style w:type="paragraph" w:styleId="6">
    <w:name w:val="Body Text First Indent"/>
    <w:basedOn w:val="4"/>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1"/>
    <w:qFormat/>
    <w:uiPriority w:val="0"/>
    <w:pPr>
      <w:widowControl w:val="0"/>
      <w:autoSpaceDE w:val="0"/>
      <w:autoSpaceDN w:val="0"/>
      <w:adjustRightInd w:val="0"/>
    </w:pPr>
    <w:rPr>
      <w:rFonts w:ascii="宋体" w:hAnsi="Calibri" w:eastAsia="等线" w:cs="Times New Roman"/>
      <w:color w:val="000000"/>
      <w:sz w:val="24"/>
      <w:szCs w:val="22"/>
      <w:lang w:val="en-US" w:eastAsia="zh-CN" w:bidi="ar-SA"/>
    </w:rPr>
  </w:style>
  <w:style w:type="paragraph" w:customStyle="1" w:styleId="11">
    <w:name w:val="表格文字"/>
    <w:basedOn w:val="1"/>
    <w:next w:val="4"/>
    <w:qFormat/>
    <w:uiPriority w:val="0"/>
    <w:pPr>
      <w:adjustRightInd w:val="0"/>
      <w:spacing w:line="420" w:lineRule="atLeast"/>
      <w:jc w:val="left"/>
      <w:textAlignment w:val="baseline"/>
    </w:pPr>
    <w:rPr>
      <w:kern w:val="0"/>
    </w:rPr>
  </w:style>
  <w:style w:type="paragraph" w:customStyle="1" w:styleId="1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4737</Words>
  <Characters>5109</Characters>
  <Lines>0</Lines>
  <Paragraphs>0</Paragraphs>
  <TotalTime>1</TotalTime>
  <ScaleCrop>false</ScaleCrop>
  <LinksUpToDate>false</LinksUpToDate>
  <CharactersWithSpaces>5118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2023-10-31T01:57:00Z</dcterms:created>
  <dc:creator>Administrator</dc:creator>
  <cp:lastModifiedBy>微信用户</cp:lastModifiedBy>
  <dcterms:modified xsi:type="dcterms:W3CDTF">2025-05-14T08:24:55Z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F69B0BABE0FB4A6BB5C7EA1367C3A183</vt:lpwstr>
  </property>
  <property fmtid="{D5CDD505-2E9C-101B-9397-08002B2CF9AE}" pid="4" name="KSOTemplateDocerSaveRecord">
    <vt:lpwstr>eyJoZGlkIjoiM2U2NjljMTVkNDkxNjYxOTU2MzgyYzEwZjFlOGJlMTYiLCJ1c2VySWQiOiIxNDc2MjcwNzE2In0=</vt:lpwstr>
  </property>
</Properties>
</file>