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D5019">
      <w:pPr>
        <w:widowControl/>
        <w:spacing w:line="360" w:lineRule="auto"/>
        <w:jc w:val="center"/>
        <w:rPr>
          <w:rFonts w:hint="eastAsia" w:ascii="宋体" w:hAnsi="宋体" w:eastAsia="宋体" w:cs="宋体"/>
          <w:b/>
          <w:color w:val="auto"/>
          <w:sz w:val="40"/>
          <w:szCs w:val="40"/>
          <w:highlight w:val="none"/>
        </w:rPr>
      </w:pPr>
    </w:p>
    <w:p w14:paraId="0BF56274">
      <w:pPr>
        <w:widowControl/>
        <w:spacing w:line="360" w:lineRule="auto"/>
        <w:jc w:val="center"/>
        <w:rPr>
          <w:rFonts w:hint="eastAsia" w:ascii="宋体" w:hAnsi="宋体" w:eastAsia="宋体" w:cs="宋体"/>
          <w:b/>
          <w:color w:val="auto"/>
          <w:sz w:val="40"/>
          <w:szCs w:val="40"/>
          <w:highlight w:val="none"/>
        </w:rPr>
      </w:pPr>
      <w:r>
        <w:rPr>
          <w:rFonts w:hint="eastAsia" w:ascii="宋体" w:hAnsi="宋体" w:eastAsia="宋体" w:cs="宋体"/>
          <w:b/>
          <w:color w:val="auto"/>
          <w:sz w:val="40"/>
          <w:szCs w:val="40"/>
          <w:highlight w:val="none"/>
        </w:rPr>
        <w:t>河南省人民医院</w:t>
      </w:r>
      <w:r>
        <w:rPr>
          <w:rFonts w:hint="eastAsia" w:ascii="宋体" w:hAnsi="宋体" w:eastAsia="宋体" w:cs="宋体"/>
          <w:b/>
          <w:color w:val="auto"/>
          <w:sz w:val="40"/>
          <w:szCs w:val="40"/>
          <w:highlight w:val="none"/>
          <w:lang w:eastAsia="zh-CN"/>
        </w:rPr>
        <w:t>工会</w:t>
      </w:r>
      <w:r>
        <w:rPr>
          <w:rFonts w:hint="eastAsia" w:ascii="宋体" w:hAnsi="宋体" w:eastAsia="宋体" w:cs="宋体"/>
          <w:b/>
          <w:color w:val="auto"/>
          <w:sz w:val="40"/>
          <w:szCs w:val="40"/>
          <w:highlight w:val="none"/>
        </w:rPr>
        <w:t>202</w:t>
      </w:r>
      <w:r>
        <w:rPr>
          <w:rFonts w:hint="eastAsia" w:ascii="宋体" w:hAnsi="宋体" w:eastAsia="宋体" w:cs="宋体"/>
          <w:b/>
          <w:color w:val="auto"/>
          <w:sz w:val="40"/>
          <w:szCs w:val="40"/>
          <w:highlight w:val="none"/>
          <w:lang w:val="en-US" w:eastAsia="zh-CN"/>
        </w:rPr>
        <w:t>6</w:t>
      </w:r>
      <w:r>
        <w:rPr>
          <w:rFonts w:hint="eastAsia" w:ascii="宋体" w:hAnsi="宋体" w:eastAsia="宋体" w:cs="宋体"/>
          <w:b/>
          <w:color w:val="auto"/>
          <w:sz w:val="40"/>
          <w:szCs w:val="40"/>
          <w:highlight w:val="none"/>
        </w:rPr>
        <w:t>-202</w:t>
      </w:r>
      <w:r>
        <w:rPr>
          <w:rFonts w:hint="eastAsia" w:ascii="宋体" w:hAnsi="宋体" w:eastAsia="宋体" w:cs="宋体"/>
          <w:b/>
          <w:color w:val="auto"/>
          <w:sz w:val="40"/>
          <w:szCs w:val="40"/>
          <w:highlight w:val="none"/>
          <w:lang w:val="en-US" w:eastAsia="zh-CN"/>
        </w:rPr>
        <w:t>7</w:t>
      </w:r>
      <w:r>
        <w:rPr>
          <w:rFonts w:hint="eastAsia" w:ascii="宋体" w:hAnsi="宋体" w:eastAsia="宋体" w:cs="宋体"/>
          <w:b/>
          <w:color w:val="auto"/>
          <w:sz w:val="40"/>
          <w:szCs w:val="40"/>
          <w:highlight w:val="none"/>
        </w:rPr>
        <w:t>年</w:t>
      </w:r>
      <w:r>
        <w:rPr>
          <w:rFonts w:hint="eastAsia" w:ascii="宋体" w:hAnsi="宋体" w:eastAsia="宋体" w:cs="宋体"/>
          <w:b/>
          <w:color w:val="auto"/>
          <w:sz w:val="40"/>
          <w:szCs w:val="40"/>
          <w:highlight w:val="none"/>
          <w:lang w:eastAsia="zh-CN"/>
        </w:rPr>
        <w:t>会员</w:t>
      </w:r>
      <w:r>
        <w:rPr>
          <w:rFonts w:hint="eastAsia" w:ascii="宋体" w:hAnsi="宋体" w:eastAsia="宋体" w:cs="宋体"/>
          <w:b/>
          <w:color w:val="auto"/>
          <w:sz w:val="40"/>
          <w:szCs w:val="40"/>
          <w:highlight w:val="none"/>
        </w:rPr>
        <w:t>生日慰问品采购项目</w:t>
      </w:r>
    </w:p>
    <w:p w14:paraId="27E00D00">
      <w:pPr>
        <w:widowControl/>
        <w:jc w:val="center"/>
        <w:rPr>
          <w:rFonts w:hint="eastAsia" w:ascii="宋体" w:hAnsi="宋体" w:eastAsia="宋体" w:cs="宋体"/>
          <w:b/>
          <w:color w:val="auto"/>
          <w:sz w:val="44"/>
          <w:szCs w:val="44"/>
          <w:highlight w:val="none"/>
        </w:rPr>
      </w:pPr>
    </w:p>
    <w:p w14:paraId="1D1901F7">
      <w:pPr>
        <w:widowControl/>
        <w:jc w:val="center"/>
        <w:rPr>
          <w:rFonts w:hint="eastAsia" w:ascii="宋体" w:hAnsi="宋体" w:eastAsia="宋体" w:cs="宋体"/>
          <w:b/>
          <w:color w:val="auto"/>
          <w:sz w:val="44"/>
          <w:szCs w:val="44"/>
          <w:highlight w:val="none"/>
        </w:rPr>
      </w:pPr>
    </w:p>
    <w:p w14:paraId="6DA977CE">
      <w:pPr>
        <w:widowControl/>
        <w:jc w:val="center"/>
        <w:rPr>
          <w:rFonts w:hint="eastAsia" w:ascii="宋体" w:hAnsi="宋体" w:eastAsia="宋体" w:cs="宋体"/>
          <w:b/>
          <w:color w:val="auto"/>
          <w:sz w:val="44"/>
          <w:szCs w:val="44"/>
          <w:highlight w:val="none"/>
        </w:rPr>
      </w:pPr>
    </w:p>
    <w:p w14:paraId="449744DA">
      <w:pPr>
        <w:widowControl/>
        <w:jc w:val="center"/>
        <w:rPr>
          <w:rFonts w:hint="eastAsia" w:ascii="宋体" w:hAnsi="宋体" w:eastAsia="宋体" w:cs="宋体"/>
          <w:b/>
          <w:color w:val="auto"/>
          <w:sz w:val="96"/>
          <w:szCs w:val="44"/>
          <w:highlight w:val="none"/>
        </w:rPr>
      </w:pPr>
      <w:r>
        <w:rPr>
          <w:rFonts w:hint="eastAsia" w:ascii="宋体" w:hAnsi="宋体" w:eastAsia="宋体" w:cs="宋体"/>
          <w:b/>
          <w:color w:val="auto"/>
          <w:sz w:val="96"/>
          <w:szCs w:val="44"/>
          <w:highlight w:val="none"/>
        </w:rPr>
        <w:t>招标文件</w:t>
      </w:r>
    </w:p>
    <w:p w14:paraId="6784692A">
      <w:pPr>
        <w:widowControl/>
        <w:ind w:firstLine="1393" w:firstLineChars="347"/>
        <w:rPr>
          <w:rFonts w:hint="eastAsia" w:ascii="宋体" w:hAnsi="宋体" w:eastAsia="宋体" w:cs="宋体"/>
          <w:b/>
          <w:color w:val="auto"/>
          <w:sz w:val="40"/>
          <w:szCs w:val="40"/>
          <w:highlight w:val="none"/>
        </w:rPr>
      </w:pPr>
    </w:p>
    <w:p w14:paraId="72B592FD">
      <w:pPr>
        <w:widowControl/>
        <w:ind w:firstLine="1393" w:firstLineChars="347"/>
        <w:rPr>
          <w:rFonts w:hint="default" w:ascii="宋体" w:hAnsi="宋体" w:eastAsia="宋体" w:cs="宋体"/>
          <w:b/>
          <w:color w:val="auto"/>
          <w:sz w:val="40"/>
          <w:szCs w:val="40"/>
          <w:highlight w:val="none"/>
          <w:lang w:val="en-US" w:eastAsia="zh-CN"/>
        </w:rPr>
      </w:pPr>
      <w:r>
        <w:rPr>
          <w:rFonts w:hint="eastAsia" w:ascii="宋体" w:hAnsi="宋体" w:eastAsia="宋体" w:cs="宋体"/>
          <w:b/>
          <w:color w:val="auto"/>
          <w:sz w:val="40"/>
          <w:szCs w:val="40"/>
          <w:highlight w:val="none"/>
        </w:rPr>
        <w:t>项目编号：豫财招标采购-202</w:t>
      </w:r>
      <w:r>
        <w:rPr>
          <w:rFonts w:hint="eastAsia" w:ascii="宋体" w:hAnsi="宋体" w:eastAsia="宋体" w:cs="宋体"/>
          <w:b/>
          <w:color w:val="auto"/>
          <w:sz w:val="40"/>
          <w:szCs w:val="40"/>
          <w:highlight w:val="none"/>
          <w:lang w:val="en-US" w:eastAsia="zh-CN"/>
        </w:rPr>
        <w:t>5-1427</w:t>
      </w:r>
    </w:p>
    <w:p w14:paraId="6A9E8673">
      <w:pPr>
        <w:widowControl/>
        <w:jc w:val="center"/>
        <w:rPr>
          <w:rFonts w:hint="eastAsia" w:ascii="宋体" w:hAnsi="宋体" w:eastAsia="宋体" w:cs="宋体"/>
          <w:b/>
          <w:color w:val="auto"/>
          <w:sz w:val="44"/>
          <w:szCs w:val="44"/>
          <w:highlight w:val="none"/>
        </w:rPr>
      </w:pPr>
    </w:p>
    <w:p w14:paraId="67276E6A">
      <w:pPr>
        <w:pStyle w:val="38"/>
        <w:rPr>
          <w:rFonts w:hint="eastAsia" w:ascii="宋体" w:hAnsi="宋体" w:eastAsia="宋体" w:cs="宋体"/>
          <w:b/>
          <w:color w:val="auto"/>
          <w:sz w:val="44"/>
          <w:szCs w:val="44"/>
          <w:highlight w:val="none"/>
        </w:rPr>
      </w:pPr>
    </w:p>
    <w:p w14:paraId="72D60C5E">
      <w:pPr>
        <w:pStyle w:val="38"/>
        <w:rPr>
          <w:rFonts w:hint="eastAsia" w:ascii="宋体" w:hAnsi="宋体" w:eastAsia="宋体" w:cs="宋体"/>
          <w:b/>
          <w:color w:val="auto"/>
          <w:sz w:val="44"/>
          <w:szCs w:val="44"/>
          <w:highlight w:val="none"/>
        </w:rPr>
      </w:pPr>
    </w:p>
    <w:p w14:paraId="62C7BA31">
      <w:pPr>
        <w:pStyle w:val="38"/>
        <w:rPr>
          <w:rFonts w:hint="eastAsia" w:ascii="宋体" w:hAnsi="宋体" w:eastAsia="宋体" w:cs="宋体"/>
          <w:color w:val="auto"/>
          <w:highlight w:val="none"/>
        </w:rPr>
      </w:pPr>
    </w:p>
    <w:p w14:paraId="14CA1399">
      <w:pPr>
        <w:widowControl/>
        <w:jc w:val="center"/>
        <w:rPr>
          <w:rFonts w:hint="eastAsia" w:ascii="宋体" w:hAnsi="宋体" w:eastAsia="宋体" w:cs="宋体"/>
          <w:b/>
          <w:color w:val="auto"/>
          <w:sz w:val="44"/>
          <w:szCs w:val="44"/>
          <w:highlight w:val="none"/>
        </w:rPr>
      </w:pPr>
    </w:p>
    <w:p w14:paraId="6A71C24F">
      <w:pPr>
        <w:widowControl/>
        <w:jc w:val="center"/>
        <w:rPr>
          <w:rFonts w:hint="eastAsia" w:ascii="宋体" w:hAnsi="宋体" w:eastAsia="宋体" w:cs="宋体"/>
          <w:b/>
          <w:color w:val="auto"/>
          <w:sz w:val="44"/>
          <w:szCs w:val="44"/>
          <w:highlight w:val="none"/>
        </w:rPr>
      </w:pPr>
    </w:p>
    <w:p w14:paraId="1452C11A">
      <w:pPr>
        <w:widowControl/>
        <w:jc w:val="center"/>
        <w:rPr>
          <w:rFonts w:hint="eastAsia" w:ascii="宋体" w:hAnsi="宋体" w:eastAsia="宋体" w:cs="宋体"/>
          <w:b/>
          <w:color w:val="auto"/>
          <w:sz w:val="44"/>
          <w:szCs w:val="44"/>
          <w:highlight w:val="none"/>
        </w:rPr>
      </w:pPr>
    </w:p>
    <w:p w14:paraId="14AE2832">
      <w:pPr>
        <w:widowControl/>
        <w:jc w:val="center"/>
        <w:rPr>
          <w:rFonts w:hint="eastAsia" w:ascii="宋体" w:hAnsi="宋体" w:eastAsia="宋体" w:cs="宋体"/>
          <w:b/>
          <w:color w:val="auto"/>
          <w:sz w:val="36"/>
          <w:szCs w:val="44"/>
          <w:highlight w:val="none"/>
        </w:rPr>
      </w:pPr>
    </w:p>
    <w:p w14:paraId="05D4E373">
      <w:pPr>
        <w:widowControl/>
        <w:jc w:val="center"/>
        <w:rPr>
          <w:rFonts w:hint="eastAsia" w:ascii="宋体" w:hAnsi="宋体" w:eastAsia="宋体" w:cs="宋体"/>
          <w:b/>
          <w:color w:val="auto"/>
          <w:sz w:val="36"/>
          <w:szCs w:val="44"/>
          <w:highlight w:val="none"/>
        </w:rPr>
      </w:pPr>
    </w:p>
    <w:p w14:paraId="73D4119C">
      <w:pPr>
        <w:widowControl/>
        <w:jc w:val="center"/>
        <w:rPr>
          <w:rFonts w:hint="eastAsia" w:ascii="宋体" w:hAnsi="宋体" w:eastAsia="宋体" w:cs="宋体"/>
          <w:b/>
          <w:color w:val="auto"/>
          <w:sz w:val="36"/>
          <w:szCs w:val="44"/>
          <w:highlight w:val="none"/>
        </w:rPr>
      </w:pPr>
    </w:p>
    <w:p w14:paraId="4842EC1D">
      <w:pPr>
        <w:widowControl/>
        <w:jc w:val="center"/>
        <w:rPr>
          <w:rFonts w:hint="eastAsia" w:ascii="宋体" w:hAnsi="宋体" w:eastAsia="宋体" w:cs="宋体"/>
          <w:b/>
          <w:color w:val="auto"/>
          <w:sz w:val="36"/>
          <w:szCs w:val="44"/>
          <w:highlight w:val="none"/>
        </w:rPr>
      </w:pPr>
    </w:p>
    <w:p w14:paraId="513607D5">
      <w:pPr>
        <w:widowControl/>
        <w:spacing w:line="360" w:lineRule="auto"/>
        <w:ind w:firstLine="1084" w:firstLineChars="300"/>
        <w:rPr>
          <w:rFonts w:hint="eastAsia" w:ascii="宋体" w:hAnsi="宋体" w:eastAsia="宋体" w:cs="宋体"/>
          <w:b/>
          <w:color w:val="auto"/>
          <w:sz w:val="36"/>
          <w:szCs w:val="44"/>
          <w:highlight w:val="none"/>
        </w:rPr>
      </w:pPr>
      <w:r>
        <w:rPr>
          <w:rFonts w:hint="eastAsia" w:ascii="宋体" w:hAnsi="宋体" w:eastAsia="宋体" w:cs="宋体"/>
          <w:b/>
          <w:color w:val="auto"/>
          <w:sz w:val="36"/>
          <w:szCs w:val="44"/>
          <w:highlight w:val="none"/>
        </w:rPr>
        <w:t>采   购   人：河南省人民医院</w:t>
      </w:r>
    </w:p>
    <w:p w14:paraId="551B8619">
      <w:pPr>
        <w:widowControl/>
        <w:spacing w:line="360" w:lineRule="auto"/>
        <w:jc w:val="center"/>
        <w:rPr>
          <w:rFonts w:hint="eastAsia" w:ascii="宋体" w:hAnsi="宋体" w:eastAsia="宋体" w:cs="宋体"/>
          <w:b/>
          <w:color w:val="auto"/>
          <w:sz w:val="36"/>
          <w:szCs w:val="44"/>
          <w:highlight w:val="none"/>
        </w:rPr>
      </w:pPr>
      <w:r>
        <w:rPr>
          <w:rFonts w:hint="eastAsia" w:ascii="宋体" w:hAnsi="宋体" w:eastAsia="宋体" w:cs="宋体"/>
          <w:b/>
          <w:color w:val="auto"/>
          <w:sz w:val="36"/>
          <w:szCs w:val="44"/>
          <w:highlight w:val="none"/>
        </w:rPr>
        <w:t xml:space="preserve">采购代理机构：河南精工工程管理咨询有限公司 </w:t>
      </w:r>
    </w:p>
    <w:p w14:paraId="18B6DBBF">
      <w:pPr>
        <w:widowControl/>
        <w:spacing w:line="360" w:lineRule="auto"/>
        <w:jc w:val="center"/>
        <w:rPr>
          <w:rFonts w:hint="eastAsia" w:ascii="宋体" w:hAnsi="宋体" w:eastAsia="宋体" w:cs="宋体"/>
          <w:b/>
          <w:color w:val="auto"/>
          <w:sz w:val="36"/>
          <w:szCs w:val="44"/>
          <w:highlight w:val="none"/>
        </w:rPr>
      </w:pPr>
      <w:r>
        <w:rPr>
          <w:rFonts w:hint="eastAsia" w:ascii="宋体" w:hAnsi="宋体" w:eastAsia="宋体" w:cs="宋体"/>
          <w:b/>
          <w:color w:val="auto"/>
          <w:sz w:val="36"/>
          <w:szCs w:val="44"/>
          <w:highlight w:val="none"/>
        </w:rPr>
        <w:t>日期：二○二</w:t>
      </w:r>
      <w:r>
        <w:rPr>
          <w:rFonts w:hint="eastAsia" w:ascii="宋体" w:hAnsi="宋体" w:eastAsia="宋体" w:cs="宋体"/>
          <w:b/>
          <w:color w:val="auto"/>
          <w:sz w:val="36"/>
          <w:szCs w:val="44"/>
          <w:highlight w:val="none"/>
          <w:lang w:val="en-US" w:eastAsia="zh-CN"/>
        </w:rPr>
        <w:t>五</w:t>
      </w:r>
      <w:r>
        <w:rPr>
          <w:rFonts w:hint="eastAsia" w:ascii="宋体" w:hAnsi="宋体" w:eastAsia="宋体" w:cs="宋体"/>
          <w:b/>
          <w:color w:val="auto"/>
          <w:sz w:val="36"/>
          <w:szCs w:val="44"/>
          <w:highlight w:val="none"/>
        </w:rPr>
        <w:t>年</w:t>
      </w:r>
      <w:r>
        <w:rPr>
          <w:rFonts w:hint="eastAsia" w:ascii="宋体" w:hAnsi="宋体" w:eastAsia="宋体" w:cs="宋体"/>
          <w:b/>
          <w:color w:val="auto"/>
          <w:sz w:val="36"/>
          <w:szCs w:val="44"/>
          <w:highlight w:val="none"/>
          <w:lang w:val="en-US" w:eastAsia="zh-CN"/>
        </w:rPr>
        <w:t>十一</w:t>
      </w:r>
      <w:r>
        <w:rPr>
          <w:rFonts w:hint="eastAsia" w:ascii="宋体" w:hAnsi="宋体" w:eastAsia="宋体" w:cs="宋体"/>
          <w:b/>
          <w:color w:val="auto"/>
          <w:sz w:val="36"/>
          <w:szCs w:val="44"/>
          <w:highlight w:val="none"/>
        </w:rPr>
        <w:t>月</w:t>
      </w:r>
    </w:p>
    <w:p w14:paraId="430C6CE6">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sdt>
      <w:sdtPr>
        <w:rPr>
          <w:rFonts w:ascii="宋体" w:hAnsi="宋体" w:eastAsia="宋体" w:cstheme="minorBidi"/>
          <w:b/>
          <w:bCs/>
          <w:color w:val="auto"/>
          <w:kern w:val="2"/>
          <w:sz w:val="36"/>
          <w:szCs w:val="40"/>
          <w:highlight w:val="none"/>
          <w:lang w:val="en-US" w:eastAsia="zh-CN" w:bidi="ar-SA"/>
        </w:rPr>
        <w:id w:val="147480558"/>
        <w15:color w:val="DBDBDB"/>
        <w:docPartObj>
          <w:docPartGallery w:val="Table of Contents"/>
          <w:docPartUnique/>
        </w:docPartObj>
      </w:sdtPr>
      <w:sdtEndPr>
        <w:rPr>
          <w:rFonts w:hint="eastAsia" w:ascii="宋体" w:hAnsi="宋体" w:eastAsia="宋体" w:cs="宋体"/>
          <w:b/>
          <w:bCs/>
          <w:color w:val="auto"/>
          <w:kern w:val="2"/>
          <w:sz w:val="21"/>
          <w:szCs w:val="21"/>
          <w:highlight w:val="none"/>
          <w:lang w:val="en-US" w:eastAsia="zh-CN" w:bidi="ar-SA"/>
        </w:rPr>
      </w:sdtEndPr>
      <w:sdtContent>
        <w:p w14:paraId="0C319D4A">
          <w:pPr>
            <w:spacing w:before="0" w:beforeLines="0" w:after="0" w:afterLines="0" w:line="360" w:lineRule="auto"/>
            <w:ind w:left="0" w:leftChars="0" w:right="0" w:rightChars="0" w:firstLine="0" w:firstLineChars="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764467DE">
          <w:pPr>
            <w:pStyle w:val="13"/>
            <w:tabs>
              <w:tab w:val="right" w:leader="dot" w:pos="907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"1-3"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_Toc29119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特别提示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_Toc29119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A497224">
          <w:pPr>
            <w:pStyle w:val="13"/>
            <w:tabs>
              <w:tab w:val="right" w:leader="dot" w:pos="907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_Toc1163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第一章 招标公告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C66958F">
          <w:pPr>
            <w:pStyle w:val="13"/>
            <w:tabs>
              <w:tab w:val="right" w:leader="dot" w:pos="907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_Toc29213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en-US" w:eastAsia="zh-CN"/>
            </w:rPr>
            <w:t>第二章 供应商须知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_Toc29213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685D0A7">
          <w:pPr>
            <w:pStyle w:val="13"/>
            <w:tabs>
              <w:tab w:val="right" w:leader="dot" w:pos="907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_Toc10618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_Toc10618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B94A05A">
          <w:pPr>
            <w:pStyle w:val="13"/>
            <w:tabs>
              <w:tab w:val="right" w:leader="dot" w:pos="907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_Toc27988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2.招标文件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_Toc27988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D6CF380">
          <w:pPr>
            <w:pStyle w:val="13"/>
            <w:tabs>
              <w:tab w:val="right" w:leader="dot" w:pos="907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_Toc25954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3.投标文件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_Toc25954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D70CBA3">
          <w:pPr>
            <w:pStyle w:val="13"/>
            <w:tabs>
              <w:tab w:val="right" w:leader="dot" w:pos="907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_Toc28184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4.投标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_Toc28184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A8B5529">
          <w:pPr>
            <w:pStyle w:val="13"/>
            <w:tabs>
              <w:tab w:val="right" w:leader="dot" w:pos="907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_Toc3657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5.开标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_Toc3657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365F015">
          <w:pPr>
            <w:pStyle w:val="13"/>
            <w:tabs>
              <w:tab w:val="right" w:leader="dot" w:pos="907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_Toc6121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6.评标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_Toc6121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AC55999">
          <w:pPr>
            <w:pStyle w:val="13"/>
            <w:tabs>
              <w:tab w:val="right" w:leader="dot" w:pos="907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_Toc12514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7.合同授予</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_Toc12514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270A4B3">
          <w:pPr>
            <w:pStyle w:val="13"/>
            <w:tabs>
              <w:tab w:val="right" w:leader="dot" w:pos="907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_Toc10012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8.纪律和监督</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_Toc10012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FF07B5F">
          <w:pPr>
            <w:pStyle w:val="13"/>
            <w:tabs>
              <w:tab w:val="right" w:leader="dot" w:pos="907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_Toc6383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9.是否采用电子招标投标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_Toc6383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56B2F0A">
          <w:pPr>
            <w:pStyle w:val="13"/>
            <w:tabs>
              <w:tab w:val="right" w:leader="dot" w:pos="907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_Toc15908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10.需要补充的其他内容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_Toc15908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4FAC26E">
          <w:pPr>
            <w:pStyle w:val="13"/>
            <w:tabs>
              <w:tab w:val="right" w:leader="dot" w:pos="907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_Toc13799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第三章 评标方法和标准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_Toc13799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51FF144">
          <w:pPr>
            <w:pStyle w:val="13"/>
            <w:tabs>
              <w:tab w:val="right" w:leader="dot" w:pos="907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_Toc21030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（一）资格审查表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_Toc21030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BCD2EE3">
          <w:pPr>
            <w:pStyle w:val="13"/>
            <w:tabs>
              <w:tab w:val="right" w:leader="dot" w:pos="907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_Toc1473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（二）形式评审表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_Toc1473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C32056A">
          <w:pPr>
            <w:pStyle w:val="13"/>
            <w:tabs>
              <w:tab w:val="right" w:leader="dot" w:pos="907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_Toc22810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（三）符合性评审表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_Toc22810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509487F">
          <w:pPr>
            <w:pStyle w:val="13"/>
            <w:tabs>
              <w:tab w:val="right" w:leader="dot" w:pos="907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_Toc16135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eastAsia="zh-CN"/>
            </w:rPr>
            <w:t>（四）综合评分办法细则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_Toc16135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57E72BF">
          <w:pPr>
            <w:pStyle w:val="13"/>
            <w:tabs>
              <w:tab w:val="right" w:leader="dot" w:pos="907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_Toc11781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eastAsia="zh-CN"/>
            </w:rPr>
            <w:t>第四章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_Toc11781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38D46AE">
          <w:pPr>
            <w:pStyle w:val="13"/>
            <w:tabs>
              <w:tab w:val="right" w:leader="dot" w:pos="907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_Toc31912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en-US" w:eastAsia="zh-CN"/>
            </w:rPr>
            <w:t>第五章 采购需求</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_Toc31912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A5F6EFB">
          <w:pPr>
            <w:pStyle w:val="13"/>
            <w:tabs>
              <w:tab w:val="right" w:leader="dot" w:pos="907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_Toc1052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第六章 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_Toc1052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E0305D1">
          <w:pPr>
            <w:pStyle w:val="13"/>
            <w:tabs>
              <w:tab w:val="right" w:leader="dot" w:pos="907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第一部分资格证明文件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AEA9A95">
          <w:pPr>
            <w:pStyle w:val="13"/>
            <w:tabs>
              <w:tab w:val="right" w:leader="dot" w:pos="9072"/>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_Toc18375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第二部分商务、技术文件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_Toc18375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B260EE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end"/>
          </w:r>
        </w:p>
      </w:sdtContent>
    </w:sdt>
    <w:p w14:paraId="64336E88">
      <w:pPr>
        <w:rPr>
          <w:color w:val="auto"/>
          <w:highlight w:val="none"/>
        </w:rPr>
      </w:pPr>
    </w:p>
    <w:p w14:paraId="0FAAD356">
      <w:pPr>
        <w:rPr>
          <w:rFonts w:hint="eastAsia" w:ascii="宋体" w:hAnsi="宋体" w:eastAsia="宋体" w:cs="宋体"/>
          <w:color w:val="auto"/>
          <w:sz w:val="36"/>
          <w:szCs w:val="36"/>
          <w:highlight w:val="none"/>
        </w:rPr>
      </w:pPr>
      <w:bookmarkStart w:id="0" w:name="_Toc29119"/>
      <w:bookmarkStart w:id="1" w:name="_Toc9042"/>
      <w:r>
        <w:rPr>
          <w:rFonts w:hint="eastAsia" w:ascii="宋体" w:hAnsi="宋体" w:eastAsia="宋体" w:cs="宋体"/>
          <w:color w:val="auto"/>
          <w:sz w:val="36"/>
          <w:szCs w:val="36"/>
          <w:highlight w:val="none"/>
        </w:rPr>
        <w:br w:type="page"/>
      </w:r>
    </w:p>
    <w:p w14:paraId="053F817D">
      <w:pPr>
        <w:pStyle w:val="2"/>
        <w:jc w:val="center"/>
        <w:rPr>
          <w:rFonts w:hint="eastAsia" w:ascii="宋体" w:hAnsi="宋体" w:eastAsia="宋体" w:cs="宋体"/>
          <w:b/>
          <w:bCs/>
          <w:color w:val="auto"/>
          <w:sz w:val="24"/>
          <w:szCs w:val="24"/>
          <w:highlight w:val="none"/>
        </w:rPr>
      </w:pPr>
      <w:r>
        <w:rPr>
          <w:rFonts w:hint="eastAsia" w:ascii="宋体" w:hAnsi="宋体" w:eastAsia="宋体" w:cs="宋体"/>
          <w:color w:val="auto"/>
          <w:sz w:val="36"/>
          <w:szCs w:val="36"/>
          <w:highlight w:val="none"/>
        </w:rPr>
        <w:t>特别提示</w:t>
      </w:r>
      <w:bookmarkEnd w:id="0"/>
      <w:bookmarkEnd w:id="1"/>
    </w:p>
    <w:p w14:paraId="7AF7CA84">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1、供应商注册</w:t>
      </w:r>
    </w:p>
    <w:p w14:paraId="2EA6391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供应商首先通过“河南省公共资源交易中心（</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"http://www.hnggzy.com）"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http://hnsggzyjy.henan.gov.cn/）”网站进行</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注册，然后按网站公共服务（办事指南及下载专区）公共资源项目CA办理流程准备齐注册资料，最后到CA公司办理 CA密钥，完成注册。</w:t>
      </w:r>
    </w:p>
    <w:p w14:paraId="5673E249">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2、投标文件制作</w:t>
      </w:r>
    </w:p>
    <w:p w14:paraId="5124DFC6">
      <w:pPr>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2.1</w:t>
      </w:r>
      <w:r>
        <w:rPr>
          <w:rFonts w:hint="eastAsia" w:ascii="宋体" w:hAnsi="宋体" w:eastAsia="宋体" w:cs="宋体"/>
          <w:color w:val="auto"/>
          <w:szCs w:val="21"/>
          <w:highlight w:val="none"/>
        </w:rPr>
        <w:t>供应商通过“河南省公共资源交易中心（http://hnsggzyjy.henan.gov.cn/）”网站公共服务（办事指南及下载专区）：下载“投标文件制作工具安装包压缩文件下载”等。</w:t>
      </w:r>
    </w:p>
    <w:p w14:paraId="70E24A84">
      <w:pPr>
        <w:tabs>
          <w:tab w:val="left" w:pos="720"/>
        </w:tabs>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2.2</w:t>
      </w:r>
      <w:r>
        <w:rPr>
          <w:rFonts w:hint="eastAsia" w:ascii="宋体" w:hAnsi="宋体" w:eastAsia="宋体" w:cs="宋体"/>
          <w:color w:val="auto"/>
          <w:szCs w:val="21"/>
          <w:highlight w:val="none"/>
        </w:rPr>
        <w:t>供应商凭CA密钥，并按网上提示自行下载每个项目所含格式（.hnzf）的招标文件。</w:t>
      </w:r>
    </w:p>
    <w:p w14:paraId="009D4DCC">
      <w:pPr>
        <w:tabs>
          <w:tab w:val="left" w:pos="720"/>
        </w:tabs>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2.3</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须在</w:t>
      </w:r>
      <w:r>
        <w:rPr>
          <w:rFonts w:hint="eastAsia" w:ascii="宋体" w:hAnsi="宋体" w:eastAsia="宋体" w:cs="宋体"/>
          <w:color w:val="auto"/>
          <w:szCs w:val="21"/>
          <w:highlight w:val="none"/>
          <w:lang w:val="zh-CN"/>
        </w:rPr>
        <w:t>投标文件递交截止时间</w:t>
      </w:r>
      <w:r>
        <w:rPr>
          <w:rFonts w:hint="eastAsia" w:ascii="宋体" w:hAnsi="宋体" w:eastAsia="宋体" w:cs="宋体"/>
          <w:color w:val="auto"/>
          <w:szCs w:val="21"/>
          <w:highlight w:val="none"/>
        </w:rPr>
        <w:t>前制作并提交：</w:t>
      </w:r>
    </w:p>
    <w:p w14:paraId="17A2277C">
      <w:pPr>
        <w:tabs>
          <w:tab w:val="left" w:pos="720"/>
        </w:tabs>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加密的电子投标文件（*.hntf格式），应在投标文件截止时间前通过“河南省公共资源交易中心（http://hnsggzyjy.henan.gov.cn/）”电子交易平台内上传</w:t>
      </w:r>
      <w:r>
        <w:rPr>
          <w:rFonts w:hint="eastAsia" w:ascii="宋体" w:hAnsi="宋体" w:eastAsia="宋体" w:cs="宋体"/>
          <w:color w:val="auto"/>
          <w:szCs w:val="21"/>
          <w:highlight w:val="none"/>
          <w:lang w:eastAsia="zh-CN"/>
        </w:rPr>
        <w:t>。</w:t>
      </w:r>
    </w:p>
    <w:p w14:paraId="68978ACE">
      <w:pPr>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lang w:val="zh-CN"/>
        </w:rPr>
        <w:t>2.4</w:t>
      </w:r>
      <w:r>
        <w:rPr>
          <w:rFonts w:hint="eastAsia" w:ascii="宋体" w:hAnsi="宋体" w:eastAsia="宋体" w:cs="宋体"/>
          <w:color w:val="auto"/>
          <w:szCs w:val="21"/>
          <w:highlight w:val="none"/>
        </w:rPr>
        <w:t>加密的电子投标文件为“河南省公共资源交易中心（http://hnsggzyjy.henan.gov.cn/）” 网站提供的“投标文件制作工具”软件制作生成的加密版投标文件。</w:t>
      </w:r>
    </w:p>
    <w:p w14:paraId="66E64D62">
      <w:pPr>
        <w:tabs>
          <w:tab w:val="left" w:pos="720"/>
        </w:tabs>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2.5</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在制作电子投标文件时，除文件中特殊说明外，需要盖单位章的均指单位电子CA锁印章，个人签字或盖章的可以盖个人的电子CA锁印章或签字扫描件或物理印章扫描件。</w:t>
      </w:r>
    </w:p>
    <w:p w14:paraId="62AD16C8">
      <w:pPr>
        <w:tabs>
          <w:tab w:val="left" w:pos="720"/>
        </w:tabs>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2.6</w:t>
      </w:r>
      <w:r>
        <w:rPr>
          <w:rFonts w:hint="eastAsia" w:ascii="宋体" w:hAnsi="宋体" w:eastAsia="宋体" w:cs="宋体"/>
          <w:color w:val="auto"/>
          <w:szCs w:val="21"/>
          <w:highlight w:val="none"/>
        </w:rPr>
        <w:t>招标文件格式所要求包含的全部资料制作在电子投标文件内，严格按照本项目招标文件所有格式如实填写（不涉及的内容除外），不应存在漏项或缺项，否则将存在投标文件被拒绝的风险。投标函及开标一览表，须严格按照格式编辑，并作为电子开评标系统上传的依据。</w:t>
      </w:r>
    </w:p>
    <w:p w14:paraId="74489A53">
      <w:pPr>
        <w:tabs>
          <w:tab w:val="left" w:pos="720"/>
        </w:tabs>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2.7</w:t>
      </w:r>
      <w:r>
        <w:rPr>
          <w:rFonts w:hint="eastAsia" w:ascii="宋体" w:hAnsi="宋体" w:eastAsia="宋体" w:cs="宋体"/>
          <w:color w:val="auto"/>
          <w:szCs w:val="21"/>
          <w:highlight w:val="none"/>
        </w:rPr>
        <w:t>本项目采用远程不见面开标，不提交任何原件等其他资料，无原件核验内容，投标文件以外的任何资料采购人和采购代理机构将拒收。</w:t>
      </w:r>
    </w:p>
    <w:p w14:paraId="5DEBB5AA">
      <w:pPr>
        <w:snapToGrid w:val="0"/>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2.8</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编辑电子投标文件时，根据招标文件要求用法定代表人CA密钥和企业CA密钥进行签章制作；最后一步生成电子投标文件（*.hntf格式和*.nhntf格式）时，只能用本单位的企业CA密钥。</w:t>
      </w:r>
    </w:p>
    <w:p w14:paraId="3E73D52F">
      <w:pPr>
        <w:snapToGrid w:val="0"/>
        <w:spacing w:line="360" w:lineRule="auto"/>
        <w:ind w:firstLine="434" w:firstLineChars="20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3、评标前的澄清与变更</w:t>
      </w:r>
    </w:p>
    <w:p w14:paraId="134987A0">
      <w:pPr>
        <w:snapToGrid w:val="0"/>
        <w:spacing w:line="360" w:lineRule="auto"/>
        <w:ind w:firstLine="432" w:firstLineChars="206"/>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采购人、采购代理机构对已发出的招标文件进行的澄清、更正或更改，澄清、更正或更改的内容将作为招标文件的组成部分。采购代理机构将通过网站“变更公告”和系统内部“答疑文件”告知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，对于各项目中已经成功下载招标文件的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，系统可能通过第三方短信群发方式提醒</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进行查询。各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须重新下载最新的招标文件和答疑文件，以此编制投标文件。</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注册时所留手机联系方式要保持畅通，因联系方式变更而未及时更新系统内联系方式的，将会造成收不到短信。此短信仅系友情提示，并不具有任何约束性和必要性，采购代理机构不承担供应商或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未收到短信而引起的一切后果和法律责任。</w:t>
      </w:r>
    </w:p>
    <w:p w14:paraId="3355C432">
      <w:pPr>
        <w:snapToGrid w:val="0"/>
        <w:spacing w:line="360" w:lineRule="auto"/>
        <w:ind w:firstLine="434" w:firstLineChars="20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4、评标过程的澄清</w:t>
      </w:r>
    </w:p>
    <w:p w14:paraId="6652CFF1">
      <w:pPr>
        <w:snapToGrid w:val="0"/>
        <w:spacing w:line="360" w:lineRule="auto"/>
        <w:ind w:firstLine="432" w:firstLineChars="206"/>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评标委员会在评审的过程中已发出的澄清作为评审过程的组成部分。</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应当在评标结束前时刻关注系统内部发出的“答疑”，系统也可能通过第三方短信群发方式提醒供应商或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须在规定的时间内进行回复。</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注册时所留手机联系方式要保持畅通，因联系方式变更而未及时更新系统内联系方式的，将会造成收不到短信。此短信仅系友情提示，并不具有任何约束性和必要性，采购代理机构和采购人不承担供应商或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未收到短信而引起的一切后果和法律责任。</w:t>
      </w:r>
    </w:p>
    <w:p w14:paraId="0D393683">
      <w:pPr>
        <w:snapToGrid w:val="0"/>
        <w:spacing w:line="360" w:lineRule="auto"/>
        <w:ind w:firstLine="434" w:firstLineChars="20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w:t>
      </w:r>
      <w:r>
        <w:rPr>
          <w:rFonts w:hint="eastAsia" w:ascii="宋体" w:hAnsi="宋体" w:eastAsia="宋体" w:cs="宋体"/>
          <w:b/>
          <w:color w:val="auto"/>
          <w:szCs w:val="21"/>
          <w:highlight w:val="none"/>
          <w:lang w:eastAsia="zh-CN"/>
        </w:rPr>
        <w:t>供应商</w:t>
      </w:r>
      <w:r>
        <w:rPr>
          <w:rFonts w:hint="eastAsia" w:ascii="宋体" w:hAnsi="宋体" w:eastAsia="宋体" w:cs="宋体"/>
          <w:b/>
          <w:color w:val="auto"/>
          <w:szCs w:val="21"/>
          <w:highlight w:val="none"/>
        </w:rPr>
        <w:t>须自行查看项目进展、变更通知、澄清及回复、群发的消息通知等，</w:t>
      </w:r>
      <w:r>
        <w:rPr>
          <w:rFonts w:hint="eastAsia" w:ascii="宋体" w:hAnsi="宋体" w:eastAsia="宋体" w:cs="宋体"/>
          <w:b/>
          <w:color w:val="auto"/>
          <w:szCs w:val="21"/>
          <w:highlight w:val="none"/>
          <w:lang w:eastAsia="zh-CN"/>
        </w:rPr>
        <w:t>供应商</w:t>
      </w:r>
      <w:r>
        <w:rPr>
          <w:rFonts w:hint="eastAsia" w:ascii="宋体" w:hAnsi="宋体" w:eastAsia="宋体" w:cs="宋体"/>
          <w:b/>
          <w:color w:val="auto"/>
          <w:szCs w:val="21"/>
          <w:highlight w:val="none"/>
        </w:rPr>
        <w:t>未及时查看而造成的后果自负。</w:t>
      </w:r>
    </w:p>
    <w:p w14:paraId="1189D932">
      <w:pPr>
        <w:snapToGrid w:val="0"/>
        <w:spacing w:line="360" w:lineRule="auto"/>
        <w:ind w:firstLine="434" w:firstLineChars="206"/>
        <w:rPr>
          <w:rFonts w:hint="eastAsia" w:ascii="宋体" w:hAnsi="宋体" w:eastAsia="宋体" w:cs="宋体"/>
          <w:b/>
          <w:color w:val="auto"/>
          <w:szCs w:val="21"/>
          <w:highlight w:val="none"/>
        </w:rPr>
        <w:sectPr>
          <w:headerReference r:id="rId4" w:type="first"/>
          <w:footerReference r:id="rId6" w:type="first"/>
          <w:headerReference r:id="rId3" w:type="default"/>
          <w:footerReference r:id="rId5" w:type="default"/>
          <w:pgSz w:w="11906" w:h="16838"/>
          <w:pgMar w:top="1417" w:right="1417" w:bottom="1417" w:left="1417" w:header="777" w:footer="641" w:gutter="0"/>
          <w:pgNumType w:start="1"/>
          <w:cols w:space="720" w:num="1"/>
          <w:titlePg/>
          <w:docGrid w:linePitch="285" w:charSpace="0"/>
        </w:sectPr>
      </w:pPr>
      <w:bookmarkStart w:id="2" w:name="_Toc11516"/>
      <w:r>
        <w:rPr>
          <w:rFonts w:hint="eastAsia" w:ascii="宋体" w:hAnsi="宋体" w:eastAsia="宋体" w:cs="宋体"/>
          <w:b/>
          <w:color w:val="auto"/>
          <w:szCs w:val="21"/>
          <w:highlight w:val="none"/>
        </w:rPr>
        <w:t>6、因本项目为远程不见面电子开评标，所以招标文件中如果有原件或复印件的要求均指其扫描件，书面形式或文件均指正确程序下有效的电子文件或指令。</w:t>
      </w:r>
      <w:bookmarkEnd w:id="2"/>
    </w:p>
    <w:p w14:paraId="1D8A96DE">
      <w:pPr>
        <w:pStyle w:val="2"/>
        <w:spacing w:before="0" w:after="0"/>
        <w:jc w:val="center"/>
        <w:rPr>
          <w:rFonts w:hint="eastAsia" w:ascii="宋体" w:hAnsi="宋体" w:eastAsia="宋体" w:cs="宋体"/>
          <w:color w:val="auto"/>
          <w:kern w:val="0"/>
          <w:sz w:val="24"/>
          <w:szCs w:val="24"/>
          <w:highlight w:val="none"/>
          <w:lang w:val="zh-CN"/>
        </w:rPr>
      </w:pPr>
      <w:bookmarkStart w:id="3" w:name="_Toc14425"/>
      <w:bookmarkStart w:id="4" w:name="_Toc1163"/>
      <w:bookmarkStart w:id="5" w:name="_Toc11173"/>
      <w:bookmarkStart w:id="6" w:name="_Toc9062"/>
      <w:r>
        <w:rPr>
          <w:rFonts w:hint="eastAsia" w:ascii="宋体" w:hAnsi="宋体" w:eastAsia="宋体" w:cs="宋体"/>
          <w:color w:val="auto"/>
          <w:sz w:val="32"/>
          <w:highlight w:val="none"/>
        </w:rPr>
        <w:t>第一章 招标公告</w:t>
      </w:r>
      <w:bookmarkEnd w:id="3"/>
      <w:bookmarkEnd w:id="4"/>
      <w:bookmarkEnd w:id="5"/>
      <w:bookmarkEnd w:id="6"/>
      <w:bookmarkStart w:id="7" w:name="_Hlk41555224"/>
      <w:bookmarkEnd w:id="7"/>
    </w:p>
    <w:p w14:paraId="72DC8A17">
      <w:pPr>
        <w:jc w:val="center"/>
        <w:outlineLvl w:val="9"/>
        <w:rPr>
          <w:rFonts w:hint="eastAsia" w:ascii="宋体" w:hAnsi="宋体" w:eastAsia="宋体" w:cs="宋体"/>
          <w:b/>
          <w:bCs/>
          <w:color w:val="auto"/>
          <w:sz w:val="28"/>
          <w:szCs w:val="32"/>
          <w:highlight w:val="none"/>
        </w:rPr>
      </w:pPr>
      <w:bookmarkStart w:id="8" w:name="_Toc20314"/>
      <w:bookmarkStart w:id="9" w:name="_Toc1741"/>
      <w:r>
        <w:rPr>
          <w:rFonts w:hint="eastAsia" w:ascii="宋体" w:hAnsi="宋体" w:eastAsia="宋体" w:cs="宋体"/>
          <w:b/>
          <w:bCs/>
          <w:color w:val="auto"/>
          <w:kern w:val="0"/>
          <w:sz w:val="36"/>
          <w:szCs w:val="36"/>
          <w:highlight w:val="none"/>
          <w:lang w:val="zh-CN"/>
        </w:rPr>
        <w:t>河南省人民医院</w:t>
      </w:r>
      <w:r>
        <w:rPr>
          <w:rFonts w:hint="eastAsia" w:ascii="宋体" w:hAnsi="宋体" w:eastAsia="宋体" w:cs="宋体"/>
          <w:b/>
          <w:bCs/>
          <w:color w:val="auto"/>
          <w:kern w:val="0"/>
          <w:sz w:val="36"/>
          <w:szCs w:val="36"/>
          <w:highlight w:val="none"/>
          <w:lang w:val="zh-CN" w:eastAsia="zh-CN"/>
        </w:rPr>
        <w:t>工会</w:t>
      </w:r>
      <w:r>
        <w:rPr>
          <w:rFonts w:hint="eastAsia" w:ascii="宋体" w:hAnsi="宋体" w:eastAsia="宋体" w:cs="宋体"/>
          <w:b/>
          <w:bCs/>
          <w:color w:val="auto"/>
          <w:kern w:val="0"/>
          <w:sz w:val="36"/>
          <w:szCs w:val="36"/>
          <w:highlight w:val="none"/>
          <w:lang w:val="zh-CN"/>
        </w:rPr>
        <w:t>202</w:t>
      </w:r>
      <w:r>
        <w:rPr>
          <w:rFonts w:hint="eastAsia" w:ascii="宋体" w:hAnsi="宋体" w:eastAsia="宋体" w:cs="宋体"/>
          <w:b/>
          <w:bCs/>
          <w:color w:val="auto"/>
          <w:kern w:val="0"/>
          <w:sz w:val="36"/>
          <w:szCs w:val="36"/>
          <w:highlight w:val="none"/>
          <w:lang w:val="zh-CN" w:eastAsia="zh-CN"/>
        </w:rPr>
        <w:t>6</w:t>
      </w:r>
      <w:r>
        <w:rPr>
          <w:rFonts w:hint="eastAsia" w:ascii="宋体" w:hAnsi="宋体" w:eastAsia="宋体" w:cs="宋体"/>
          <w:b/>
          <w:bCs/>
          <w:color w:val="auto"/>
          <w:kern w:val="0"/>
          <w:sz w:val="36"/>
          <w:szCs w:val="36"/>
          <w:highlight w:val="none"/>
          <w:lang w:val="zh-CN"/>
        </w:rPr>
        <w:t>-202</w:t>
      </w:r>
      <w:r>
        <w:rPr>
          <w:rFonts w:hint="eastAsia" w:ascii="宋体" w:hAnsi="宋体" w:eastAsia="宋体" w:cs="宋体"/>
          <w:b/>
          <w:bCs/>
          <w:color w:val="auto"/>
          <w:kern w:val="0"/>
          <w:sz w:val="36"/>
          <w:szCs w:val="36"/>
          <w:highlight w:val="none"/>
          <w:lang w:val="zh-CN" w:eastAsia="zh-CN"/>
        </w:rPr>
        <w:t>7</w:t>
      </w:r>
      <w:r>
        <w:rPr>
          <w:rFonts w:hint="eastAsia" w:ascii="宋体" w:hAnsi="宋体" w:eastAsia="宋体" w:cs="宋体"/>
          <w:b/>
          <w:bCs/>
          <w:color w:val="auto"/>
          <w:kern w:val="0"/>
          <w:sz w:val="36"/>
          <w:szCs w:val="36"/>
          <w:highlight w:val="none"/>
          <w:lang w:val="zh-CN"/>
        </w:rPr>
        <w:t>年</w:t>
      </w:r>
      <w:r>
        <w:rPr>
          <w:rFonts w:hint="eastAsia" w:ascii="宋体" w:hAnsi="宋体" w:eastAsia="宋体" w:cs="宋体"/>
          <w:b/>
          <w:bCs/>
          <w:color w:val="auto"/>
          <w:kern w:val="0"/>
          <w:sz w:val="36"/>
          <w:szCs w:val="36"/>
          <w:highlight w:val="none"/>
          <w:lang w:val="zh-CN" w:eastAsia="zh-CN"/>
        </w:rPr>
        <w:t>会员</w:t>
      </w:r>
      <w:r>
        <w:rPr>
          <w:rFonts w:hint="eastAsia" w:ascii="宋体" w:hAnsi="宋体" w:eastAsia="宋体" w:cs="宋体"/>
          <w:b/>
          <w:bCs/>
          <w:color w:val="auto"/>
          <w:kern w:val="0"/>
          <w:sz w:val="36"/>
          <w:szCs w:val="36"/>
          <w:highlight w:val="none"/>
          <w:lang w:val="zh-CN"/>
        </w:rPr>
        <w:t>生日慰问品采购项目-</w:t>
      </w:r>
      <w:r>
        <w:rPr>
          <w:rFonts w:hint="eastAsia" w:ascii="宋体" w:hAnsi="宋体" w:eastAsia="宋体" w:cs="宋体"/>
          <w:b/>
          <w:bCs/>
          <w:color w:val="auto"/>
          <w:kern w:val="0"/>
          <w:sz w:val="36"/>
          <w:szCs w:val="36"/>
          <w:highlight w:val="none"/>
        </w:rPr>
        <w:t>公开</w:t>
      </w:r>
      <w:r>
        <w:rPr>
          <w:rFonts w:hint="eastAsia" w:ascii="宋体" w:hAnsi="宋体" w:eastAsia="宋体" w:cs="宋体"/>
          <w:b/>
          <w:bCs/>
          <w:color w:val="auto"/>
          <w:kern w:val="0"/>
          <w:sz w:val="36"/>
          <w:szCs w:val="36"/>
          <w:highlight w:val="none"/>
          <w:lang w:val="zh-CN"/>
        </w:rPr>
        <w:t>招标公告</w:t>
      </w:r>
      <w:bookmarkEnd w:id="8"/>
      <w:bookmarkEnd w:id="9"/>
    </w:p>
    <w:p w14:paraId="3C68F04A">
      <w:pPr>
        <w:spacing w:line="360" w:lineRule="auto"/>
        <w:ind w:firstLine="420" w:firstLineChars="200"/>
        <w:jc w:val="left"/>
        <w:rPr>
          <w:rFonts w:hint="eastAsia" w:ascii="宋体" w:hAnsi="宋体" w:eastAsia="宋体" w:cs="宋体"/>
          <w:color w:val="auto"/>
          <w:szCs w:val="21"/>
          <w:highlight w:val="none"/>
        </w:rPr>
      </w:pPr>
    </w:p>
    <w:p w14:paraId="478FEC4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129D76C3">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河南省人民医院</w:t>
      </w:r>
      <w:r>
        <w:rPr>
          <w:rFonts w:hint="eastAsia" w:ascii="宋体" w:hAnsi="宋体" w:eastAsia="宋体" w:cs="宋体"/>
          <w:color w:val="auto"/>
          <w:szCs w:val="21"/>
          <w:highlight w:val="none"/>
          <w:lang w:eastAsia="zh-CN"/>
        </w:rPr>
        <w:t>工会</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eastAsia="zh-CN"/>
        </w:rPr>
        <w:t>会员</w:t>
      </w:r>
      <w:r>
        <w:rPr>
          <w:rFonts w:hint="eastAsia" w:ascii="宋体" w:hAnsi="宋体" w:eastAsia="宋体" w:cs="宋体"/>
          <w:color w:val="auto"/>
          <w:szCs w:val="21"/>
          <w:highlight w:val="none"/>
        </w:rPr>
        <w:t>生日慰问品采购项目的潜在</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应在河南省公共资源交易中心网站（http://www.hnggzy.net/）获取招标文件，并于202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27</w:t>
      </w:r>
      <w:r>
        <w:rPr>
          <w:rFonts w:hint="eastAsia" w:ascii="宋体" w:hAnsi="宋体" w:eastAsia="宋体" w:cs="宋体"/>
          <w:color w:val="auto"/>
          <w:szCs w:val="21"/>
          <w:highlight w:val="none"/>
        </w:rPr>
        <w:t>日09时00分（北京时间）前递交投标文件。</w:t>
      </w:r>
    </w:p>
    <w:p w14:paraId="50BD779E">
      <w:pPr>
        <w:widowControl/>
        <w:adjustRightInd w:val="0"/>
        <w:snapToGrid w:val="0"/>
        <w:spacing w:line="360" w:lineRule="auto"/>
        <w:jc w:val="left"/>
        <w:outlineLvl w:val="9"/>
        <w:rPr>
          <w:rFonts w:hint="eastAsia" w:ascii="宋体" w:hAnsi="宋体" w:eastAsia="宋体" w:cs="宋体"/>
          <w:color w:val="auto"/>
          <w:kern w:val="0"/>
          <w:szCs w:val="21"/>
          <w:highlight w:val="none"/>
        </w:rPr>
      </w:pPr>
      <w:bookmarkStart w:id="10" w:name="_Toc20639"/>
      <w:bookmarkStart w:id="11" w:name="_Toc21793"/>
      <w:r>
        <w:rPr>
          <w:rFonts w:hint="eastAsia" w:ascii="宋体" w:hAnsi="宋体" w:eastAsia="宋体" w:cs="宋体"/>
          <w:color w:val="auto"/>
          <w:kern w:val="0"/>
          <w:szCs w:val="21"/>
          <w:highlight w:val="none"/>
        </w:rPr>
        <w:t>一、项目基本情况</w:t>
      </w:r>
      <w:bookmarkEnd w:id="10"/>
      <w:bookmarkEnd w:id="11"/>
    </w:p>
    <w:p w14:paraId="2FFBD428">
      <w:pPr>
        <w:widowControl/>
        <w:adjustRightInd w:val="0"/>
        <w:snapToGrid w:val="0"/>
        <w:spacing w:line="360" w:lineRule="auto"/>
        <w:ind w:firstLine="420" w:firstLineChars="200"/>
        <w:jc w:val="left"/>
        <w:rPr>
          <w:rFonts w:hint="default"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rPr>
        <w:t>1、项目编号：豫财招标采购-202</w:t>
      </w:r>
      <w:r>
        <w:rPr>
          <w:rFonts w:hint="eastAsia" w:ascii="宋体" w:hAnsi="宋体" w:eastAsia="宋体" w:cs="宋体"/>
          <w:color w:val="auto"/>
          <w:kern w:val="0"/>
          <w:szCs w:val="21"/>
          <w:highlight w:val="none"/>
          <w:lang w:val="en-US" w:eastAsia="zh-CN"/>
        </w:rPr>
        <w:t>5-1427</w:t>
      </w:r>
    </w:p>
    <w:p w14:paraId="122E564C">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2、项目名称：河南省人民医院</w:t>
      </w:r>
      <w:r>
        <w:rPr>
          <w:rFonts w:hint="eastAsia" w:ascii="宋体" w:hAnsi="宋体" w:eastAsia="宋体" w:cs="宋体"/>
          <w:color w:val="auto"/>
          <w:kern w:val="0"/>
          <w:szCs w:val="21"/>
          <w:highlight w:val="none"/>
          <w:lang w:eastAsia="zh-CN"/>
        </w:rPr>
        <w:t>工会</w:t>
      </w: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eastAsia="zh-CN"/>
        </w:rPr>
        <w:t>会员</w:t>
      </w:r>
      <w:r>
        <w:rPr>
          <w:rFonts w:hint="eastAsia" w:ascii="宋体" w:hAnsi="宋体" w:eastAsia="宋体" w:cs="宋体"/>
          <w:color w:val="auto"/>
          <w:kern w:val="0"/>
          <w:szCs w:val="21"/>
          <w:highlight w:val="none"/>
        </w:rPr>
        <w:t>生日慰问品采购项目</w:t>
      </w:r>
    </w:p>
    <w:p w14:paraId="4F97D1E3">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3、采购方式：公开招标</w:t>
      </w:r>
    </w:p>
    <w:p w14:paraId="46D175A7">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4、预算金额：5160000.00元</w:t>
      </w:r>
    </w:p>
    <w:p w14:paraId="62F2155E">
      <w:pPr>
        <w:widowControl/>
        <w:adjustRightInd w:val="0"/>
        <w:snapToGrid w:val="0"/>
        <w:spacing w:line="360" w:lineRule="auto"/>
        <w:ind w:firstLine="630" w:firstLineChars="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最高限价：5160000.00元</w:t>
      </w:r>
    </w:p>
    <w:tbl>
      <w:tblPr>
        <w:tblStyle w:val="23"/>
        <w:tblW w:w="9290"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43"/>
        <w:gridCol w:w="1620"/>
        <w:gridCol w:w="3023"/>
        <w:gridCol w:w="1879"/>
        <w:gridCol w:w="2125"/>
      </w:tblGrid>
      <w:tr w14:paraId="7637AD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8" w:hRule="atLeast"/>
          <w:tblCellSpacing w:w="0" w:type="dxa"/>
        </w:trPr>
        <w:tc>
          <w:tcPr>
            <w:tcW w:w="643" w:type="dxa"/>
            <w:tcBorders>
              <w:top w:val="single" w:color="auto" w:sz="4" w:space="0"/>
              <w:left w:val="single" w:color="auto" w:sz="6" w:space="0"/>
              <w:bottom w:val="single" w:color="auto" w:sz="4" w:space="0"/>
              <w:right w:val="single" w:color="auto" w:sz="4" w:space="0"/>
            </w:tcBorders>
            <w:tcMar>
              <w:top w:w="120" w:type="dxa"/>
            </w:tcMar>
            <w:vAlign w:val="center"/>
          </w:tcPr>
          <w:p w14:paraId="47697209">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tcMar>
              <w:top w:w="120" w:type="dxa"/>
            </w:tcMar>
            <w:vAlign w:val="center"/>
          </w:tcPr>
          <w:p w14:paraId="7C5807FF">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包号</w:t>
            </w:r>
          </w:p>
        </w:tc>
        <w:tc>
          <w:tcPr>
            <w:tcW w:w="3023" w:type="dxa"/>
            <w:tcBorders>
              <w:top w:val="single" w:color="auto" w:sz="4" w:space="0"/>
              <w:left w:val="single" w:color="auto" w:sz="4" w:space="0"/>
              <w:bottom w:val="single" w:color="auto" w:sz="4" w:space="0"/>
              <w:right w:val="single" w:color="auto" w:sz="4" w:space="0"/>
            </w:tcBorders>
            <w:tcMar>
              <w:top w:w="120" w:type="dxa"/>
            </w:tcMar>
            <w:vAlign w:val="center"/>
          </w:tcPr>
          <w:p w14:paraId="30F3EB1C">
            <w:pPr>
              <w:widowControl/>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包名称</w:t>
            </w:r>
          </w:p>
        </w:tc>
        <w:tc>
          <w:tcPr>
            <w:tcW w:w="1879" w:type="dxa"/>
            <w:tcBorders>
              <w:top w:val="single" w:color="auto" w:sz="4" w:space="0"/>
              <w:left w:val="single" w:color="auto" w:sz="4" w:space="0"/>
              <w:bottom w:val="single" w:color="auto" w:sz="4" w:space="0"/>
              <w:right w:val="single" w:color="auto" w:sz="4" w:space="0"/>
            </w:tcBorders>
            <w:tcMar>
              <w:top w:w="120" w:type="dxa"/>
            </w:tcMar>
            <w:vAlign w:val="center"/>
          </w:tcPr>
          <w:p w14:paraId="50E2A41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包预算（元）</w:t>
            </w:r>
          </w:p>
        </w:tc>
        <w:tc>
          <w:tcPr>
            <w:tcW w:w="2125" w:type="dxa"/>
            <w:tcBorders>
              <w:top w:val="single" w:color="auto" w:sz="4" w:space="0"/>
              <w:left w:val="single" w:color="auto" w:sz="4" w:space="0"/>
              <w:bottom w:val="single" w:color="auto" w:sz="4" w:space="0"/>
              <w:right w:val="single" w:color="auto" w:sz="4" w:space="0"/>
            </w:tcBorders>
            <w:tcMar>
              <w:top w:w="120" w:type="dxa"/>
            </w:tcMar>
            <w:vAlign w:val="center"/>
          </w:tcPr>
          <w:p w14:paraId="08A702B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包最高限价（元）</w:t>
            </w:r>
          </w:p>
        </w:tc>
      </w:tr>
      <w:tr w14:paraId="40E744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1" w:hRule="atLeast"/>
          <w:tblCellSpacing w:w="0" w:type="dxa"/>
        </w:trPr>
        <w:tc>
          <w:tcPr>
            <w:tcW w:w="643" w:type="dxa"/>
            <w:tcBorders>
              <w:top w:val="single" w:color="auto" w:sz="4" w:space="0"/>
              <w:left w:val="single" w:color="auto" w:sz="4" w:space="0"/>
              <w:bottom w:val="single" w:color="auto" w:sz="4" w:space="0"/>
              <w:right w:val="single" w:color="auto" w:sz="4" w:space="0"/>
            </w:tcBorders>
            <w:tcMar>
              <w:top w:w="120" w:type="dxa"/>
            </w:tcMar>
            <w:vAlign w:val="center"/>
          </w:tcPr>
          <w:p w14:paraId="10A8040B">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20" w:type="dxa"/>
            <w:tcBorders>
              <w:top w:val="single" w:color="auto" w:sz="4" w:space="0"/>
              <w:left w:val="single" w:color="auto" w:sz="4" w:space="0"/>
              <w:bottom w:val="single" w:color="auto" w:sz="4" w:space="0"/>
              <w:right w:val="single" w:color="auto" w:sz="4" w:space="0"/>
            </w:tcBorders>
            <w:tcMar>
              <w:top w:w="120" w:type="dxa"/>
            </w:tcMar>
            <w:vAlign w:val="center"/>
          </w:tcPr>
          <w:p w14:paraId="0228159C">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豫财招标采购-202</w:t>
            </w:r>
            <w:r>
              <w:rPr>
                <w:rFonts w:hint="eastAsia" w:ascii="宋体" w:hAnsi="宋体" w:eastAsia="宋体" w:cs="宋体"/>
                <w:color w:val="auto"/>
                <w:kern w:val="0"/>
                <w:szCs w:val="21"/>
                <w:highlight w:val="none"/>
                <w:lang w:val="en-US" w:eastAsia="zh-CN"/>
              </w:rPr>
              <w:t>5-1427</w:t>
            </w:r>
          </w:p>
        </w:tc>
        <w:tc>
          <w:tcPr>
            <w:tcW w:w="3023" w:type="dxa"/>
            <w:tcBorders>
              <w:top w:val="single" w:color="auto" w:sz="4" w:space="0"/>
              <w:left w:val="single" w:color="auto" w:sz="4" w:space="0"/>
              <w:bottom w:val="single" w:color="auto" w:sz="4" w:space="0"/>
              <w:right w:val="single" w:color="auto" w:sz="4" w:space="0"/>
            </w:tcBorders>
            <w:tcMar>
              <w:top w:w="120" w:type="dxa"/>
            </w:tcMar>
            <w:vAlign w:val="center"/>
          </w:tcPr>
          <w:p w14:paraId="4A2A88BB">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河南省人民医院</w:t>
            </w:r>
            <w:r>
              <w:rPr>
                <w:rFonts w:hint="eastAsia" w:ascii="宋体" w:hAnsi="宋体" w:eastAsia="宋体" w:cs="宋体"/>
                <w:color w:val="auto"/>
                <w:szCs w:val="21"/>
                <w:highlight w:val="none"/>
                <w:lang w:val="zh-CN" w:eastAsia="zh-CN"/>
              </w:rPr>
              <w:t>工会</w:t>
            </w:r>
            <w:r>
              <w:rPr>
                <w:rFonts w:hint="eastAsia" w:ascii="宋体" w:hAnsi="宋体" w:eastAsia="宋体" w:cs="宋体"/>
                <w:color w:val="auto"/>
                <w:szCs w:val="21"/>
                <w:highlight w:val="none"/>
                <w:lang w:val="zh-CN"/>
              </w:rPr>
              <w:t>202</w:t>
            </w:r>
            <w:r>
              <w:rPr>
                <w:rFonts w:hint="eastAsia" w:ascii="宋体" w:hAnsi="宋体" w:eastAsia="宋体" w:cs="宋体"/>
                <w:color w:val="auto"/>
                <w:szCs w:val="21"/>
                <w:highlight w:val="none"/>
                <w:lang w:val="zh-CN" w:eastAsia="zh-CN"/>
              </w:rPr>
              <w:t>6</w:t>
            </w:r>
            <w:r>
              <w:rPr>
                <w:rFonts w:hint="eastAsia" w:ascii="宋体" w:hAnsi="宋体" w:eastAsia="宋体" w:cs="宋体"/>
                <w:color w:val="auto"/>
                <w:szCs w:val="21"/>
                <w:highlight w:val="none"/>
                <w:lang w:val="zh-CN"/>
              </w:rPr>
              <w:t>-202</w:t>
            </w:r>
            <w:r>
              <w:rPr>
                <w:rFonts w:hint="eastAsia" w:ascii="宋体" w:hAnsi="宋体" w:eastAsia="宋体" w:cs="宋体"/>
                <w:color w:val="auto"/>
                <w:szCs w:val="21"/>
                <w:highlight w:val="none"/>
                <w:lang w:val="zh-CN" w:eastAsia="zh-CN"/>
              </w:rPr>
              <w:t>7</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lang w:val="zh-CN" w:eastAsia="zh-CN"/>
              </w:rPr>
              <w:t>会员</w:t>
            </w:r>
            <w:r>
              <w:rPr>
                <w:rFonts w:hint="eastAsia" w:ascii="宋体" w:hAnsi="宋体" w:eastAsia="宋体" w:cs="宋体"/>
                <w:color w:val="auto"/>
                <w:szCs w:val="21"/>
                <w:highlight w:val="none"/>
                <w:lang w:val="zh-CN"/>
              </w:rPr>
              <w:t>生日慰问品采购项目</w:t>
            </w:r>
          </w:p>
        </w:tc>
        <w:tc>
          <w:tcPr>
            <w:tcW w:w="1879" w:type="dxa"/>
            <w:tcBorders>
              <w:top w:val="single" w:color="auto" w:sz="4" w:space="0"/>
              <w:left w:val="single" w:color="auto" w:sz="4" w:space="0"/>
              <w:bottom w:val="single" w:color="auto" w:sz="4" w:space="0"/>
              <w:right w:val="single" w:color="auto" w:sz="4" w:space="0"/>
            </w:tcBorders>
            <w:tcMar>
              <w:top w:w="120" w:type="dxa"/>
            </w:tcMar>
            <w:vAlign w:val="center"/>
          </w:tcPr>
          <w:p w14:paraId="0BAF4700">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5160000.00</w:t>
            </w:r>
          </w:p>
        </w:tc>
        <w:tc>
          <w:tcPr>
            <w:tcW w:w="2125" w:type="dxa"/>
            <w:tcBorders>
              <w:top w:val="single" w:color="auto" w:sz="4" w:space="0"/>
              <w:left w:val="single" w:color="auto" w:sz="4" w:space="0"/>
              <w:bottom w:val="single" w:color="auto" w:sz="4" w:space="0"/>
              <w:right w:val="single" w:color="auto" w:sz="4" w:space="0"/>
            </w:tcBorders>
            <w:tcMar>
              <w:top w:w="120" w:type="dxa"/>
            </w:tcMar>
            <w:vAlign w:val="center"/>
          </w:tcPr>
          <w:p w14:paraId="62576801">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5160000.00</w:t>
            </w:r>
          </w:p>
        </w:tc>
      </w:tr>
    </w:tbl>
    <w:p w14:paraId="0B47FDFE">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zh-CN"/>
        </w:rPr>
        <w:t>采购需求：（包括但不限于标的的名称、数量、简要技术需求或服务要求等）</w:t>
      </w:r>
    </w:p>
    <w:p w14:paraId="4664C6FD">
      <w:pPr>
        <w:pStyle w:val="40"/>
        <w:widowControl/>
        <w:adjustRightInd w:val="0"/>
        <w:snapToGrid w:val="0"/>
        <w:spacing w:line="360" w:lineRule="auto"/>
        <w:ind w:left="640"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5.1采购</w:t>
      </w:r>
      <w:r>
        <w:rPr>
          <w:rFonts w:hint="eastAsia" w:ascii="宋体" w:hAnsi="宋体" w:eastAsia="宋体" w:cs="宋体"/>
          <w:color w:val="auto"/>
          <w:kern w:val="0"/>
          <w:szCs w:val="21"/>
          <w:highlight w:val="none"/>
          <w:lang w:val="en-US" w:eastAsia="zh-CN"/>
        </w:rPr>
        <w:t>内容</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生日慰问品，</w:t>
      </w:r>
      <w:r>
        <w:rPr>
          <w:rFonts w:hint="eastAsia" w:ascii="宋体" w:hAnsi="宋体" w:eastAsia="宋体" w:cs="宋体"/>
          <w:color w:val="auto"/>
          <w:kern w:val="0"/>
          <w:szCs w:val="21"/>
          <w:highlight w:val="none"/>
        </w:rPr>
        <w:t>采购量</w:t>
      </w:r>
      <w:r>
        <w:rPr>
          <w:rFonts w:hint="eastAsia" w:ascii="宋体" w:hAnsi="宋体" w:eastAsia="宋体" w:cs="宋体"/>
          <w:color w:val="auto"/>
          <w:kern w:val="0"/>
          <w:szCs w:val="21"/>
          <w:highlight w:val="none"/>
          <w:lang w:eastAsia="zh-CN"/>
        </w:rPr>
        <w:t>每年</w:t>
      </w:r>
      <w:r>
        <w:rPr>
          <w:rFonts w:hint="eastAsia" w:ascii="宋体" w:hAnsi="宋体" w:eastAsia="宋体" w:cs="宋体"/>
          <w:color w:val="auto"/>
          <w:kern w:val="0"/>
          <w:szCs w:val="21"/>
          <w:highlight w:val="none"/>
        </w:rPr>
        <w:t>约</w:t>
      </w:r>
      <w:r>
        <w:rPr>
          <w:rFonts w:hint="eastAsia" w:ascii="宋体" w:hAnsi="宋体" w:eastAsia="宋体" w:cs="宋体"/>
          <w:color w:val="auto"/>
          <w:kern w:val="0"/>
          <w:szCs w:val="21"/>
          <w:highlight w:val="none"/>
          <w:lang w:val="en-US" w:eastAsia="zh-CN"/>
        </w:rPr>
        <w:t>8600</w:t>
      </w:r>
      <w:r>
        <w:rPr>
          <w:rFonts w:hint="eastAsia" w:ascii="宋体" w:hAnsi="宋体" w:eastAsia="宋体" w:cs="宋体"/>
          <w:color w:val="auto"/>
          <w:kern w:val="0"/>
          <w:szCs w:val="21"/>
          <w:highlight w:val="none"/>
        </w:rPr>
        <w:t>份</w:t>
      </w:r>
      <w:r>
        <w:rPr>
          <w:rFonts w:hint="eastAsia" w:ascii="宋体" w:hAnsi="宋体" w:eastAsia="宋体" w:cs="宋体"/>
          <w:color w:val="auto"/>
          <w:kern w:val="0"/>
          <w:szCs w:val="21"/>
          <w:highlight w:val="none"/>
          <w:lang w:eastAsia="zh-CN"/>
        </w:rPr>
        <w:t>，两年约</w:t>
      </w:r>
      <w:r>
        <w:rPr>
          <w:rFonts w:hint="eastAsia" w:ascii="宋体" w:hAnsi="宋体" w:eastAsia="宋体" w:cs="宋体"/>
          <w:color w:val="auto"/>
          <w:kern w:val="0"/>
          <w:szCs w:val="21"/>
          <w:highlight w:val="none"/>
          <w:lang w:val="en-US" w:eastAsia="zh-CN"/>
        </w:rPr>
        <w:t>17200份</w:t>
      </w:r>
      <w:r>
        <w:rPr>
          <w:rFonts w:hint="eastAsia" w:ascii="宋体" w:hAnsi="宋体" w:eastAsia="宋体" w:cs="宋体"/>
          <w:color w:val="auto"/>
          <w:kern w:val="0"/>
          <w:szCs w:val="21"/>
          <w:highlight w:val="none"/>
        </w:rPr>
        <w:t>（该数量仅作为</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的参考数据，实际采购量以采购人的实际需求为准）。</w:t>
      </w:r>
    </w:p>
    <w:p w14:paraId="65F59EED">
      <w:pPr>
        <w:pStyle w:val="40"/>
        <w:widowControl/>
        <w:adjustRightInd w:val="0"/>
        <w:snapToGrid w:val="0"/>
        <w:spacing w:line="360" w:lineRule="auto"/>
        <w:ind w:left="640" w:firstLine="0" w:firstLineChars="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5.2采购标准：每份每年300元。</w:t>
      </w:r>
    </w:p>
    <w:p w14:paraId="7053BCB9">
      <w:pPr>
        <w:pStyle w:val="40"/>
        <w:widowControl/>
        <w:adjustRightInd w:val="0"/>
        <w:snapToGrid w:val="0"/>
        <w:spacing w:line="360" w:lineRule="auto"/>
        <w:ind w:left="640"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采购范围：生日慰问品及其供货、运输配送、保险、质保、售后及相关伴随的服务。</w:t>
      </w:r>
    </w:p>
    <w:p w14:paraId="3ABE4040">
      <w:pPr>
        <w:pStyle w:val="40"/>
        <w:widowControl/>
        <w:adjustRightInd w:val="0"/>
        <w:snapToGrid w:val="0"/>
        <w:spacing w:line="360" w:lineRule="auto"/>
        <w:ind w:left="640"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资金来源及落实情况：自筹资金,已落实。</w:t>
      </w:r>
    </w:p>
    <w:p w14:paraId="0D74D89D">
      <w:pPr>
        <w:pStyle w:val="40"/>
        <w:widowControl/>
        <w:adjustRightInd w:val="0"/>
        <w:snapToGrid w:val="0"/>
        <w:spacing w:line="360" w:lineRule="auto"/>
        <w:ind w:left="640"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供提货要求：按采购人要求供货（具体要求详见招标文件第五章）。</w:t>
      </w:r>
    </w:p>
    <w:p w14:paraId="20E8A21E">
      <w:pPr>
        <w:pStyle w:val="40"/>
        <w:widowControl/>
        <w:adjustRightInd w:val="0"/>
        <w:snapToGrid w:val="0"/>
        <w:spacing w:line="360" w:lineRule="auto"/>
        <w:ind w:left="640"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服务期限：</w:t>
      </w:r>
      <w:r>
        <w:rPr>
          <w:rFonts w:hint="eastAsia" w:ascii="宋体" w:hAnsi="宋体" w:eastAsia="宋体" w:cs="宋体"/>
          <w:color w:val="auto"/>
          <w:kern w:val="0"/>
          <w:szCs w:val="21"/>
          <w:highlight w:val="none"/>
          <w:lang w:eastAsia="zh-CN"/>
        </w:rPr>
        <w:t>两年，即</w:t>
      </w:r>
      <w:r>
        <w:rPr>
          <w:rFonts w:hint="eastAsia" w:ascii="宋体" w:hAnsi="宋体" w:eastAsia="宋体" w:cs="宋体"/>
          <w:color w:val="auto"/>
          <w:kern w:val="0"/>
          <w:szCs w:val="21"/>
          <w:highlight w:val="none"/>
          <w:lang w:val="en-US" w:eastAsia="zh-CN"/>
        </w:rPr>
        <w:t>2026年1月1日--2027年12月31日</w:t>
      </w:r>
      <w:r>
        <w:rPr>
          <w:rFonts w:hint="eastAsia" w:ascii="宋体" w:hAnsi="宋体" w:eastAsia="宋体" w:cs="宋体"/>
          <w:color w:val="auto"/>
          <w:kern w:val="0"/>
          <w:szCs w:val="21"/>
          <w:highlight w:val="none"/>
        </w:rPr>
        <w:t>。</w:t>
      </w:r>
    </w:p>
    <w:p w14:paraId="4BD8D8AF">
      <w:pPr>
        <w:pStyle w:val="40"/>
        <w:widowControl/>
        <w:adjustRightInd w:val="0"/>
        <w:snapToGrid w:val="0"/>
        <w:spacing w:line="360" w:lineRule="auto"/>
        <w:ind w:left="640"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交货地点：采购人</w:t>
      </w:r>
      <w:r>
        <w:rPr>
          <w:rFonts w:hint="eastAsia" w:ascii="宋体" w:hAnsi="宋体" w:eastAsia="宋体" w:cs="宋体"/>
          <w:color w:val="auto"/>
          <w:kern w:val="0"/>
          <w:szCs w:val="21"/>
          <w:highlight w:val="none"/>
          <w:lang w:val="zh-CN"/>
        </w:rPr>
        <w:t>指定地点</w:t>
      </w:r>
      <w:r>
        <w:rPr>
          <w:rFonts w:hint="eastAsia" w:ascii="宋体" w:hAnsi="宋体" w:eastAsia="宋体" w:cs="宋体"/>
          <w:color w:val="auto"/>
          <w:kern w:val="0"/>
          <w:szCs w:val="21"/>
          <w:highlight w:val="none"/>
        </w:rPr>
        <w:t>。</w:t>
      </w:r>
    </w:p>
    <w:p w14:paraId="58FD7E02">
      <w:pPr>
        <w:pStyle w:val="40"/>
        <w:widowControl/>
        <w:adjustRightInd w:val="0"/>
        <w:snapToGrid w:val="0"/>
        <w:spacing w:line="360" w:lineRule="auto"/>
        <w:ind w:left="640"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质量标准：所供产品须符合《中华人民共和国食品安全法》、《中华人民共和国产品质量法》及其他相关规定，且符合国家和行业相应标准、规格及包装要求。</w:t>
      </w:r>
    </w:p>
    <w:p w14:paraId="232D3C7D">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6、合</w:t>
      </w:r>
      <w:r>
        <w:rPr>
          <w:rFonts w:hint="eastAsia" w:ascii="宋体" w:hAnsi="宋体" w:eastAsia="宋体" w:cs="宋体"/>
          <w:color w:val="auto"/>
          <w:szCs w:val="21"/>
          <w:highlight w:val="none"/>
        </w:rPr>
        <w:t>同履行期限：同服务期限。</w:t>
      </w:r>
    </w:p>
    <w:p w14:paraId="32D88483">
      <w:pPr>
        <w:widowControl/>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7、本</w:t>
      </w:r>
      <w:r>
        <w:rPr>
          <w:rFonts w:hint="eastAsia" w:ascii="宋体" w:hAnsi="宋体" w:eastAsia="宋体" w:cs="宋体"/>
          <w:color w:val="auto"/>
          <w:szCs w:val="21"/>
          <w:highlight w:val="none"/>
        </w:rPr>
        <w:t>项目</w:t>
      </w:r>
      <w:r>
        <w:rPr>
          <w:rFonts w:hint="eastAsia" w:ascii="宋体" w:hAnsi="宋体" w:eastAsia="宋体" w:cs="宋体"/>
          <w:color w:val="auto"/>
          <w:szCs w:val="21"/>
          <w:highlight w:val="none"/>
          <w:lang w:val="zh-CN"/>
        </w:rPr>
        <w:t>是否接受</w:t>
      </w:r>
      <w:r>
        <w:rPr>
          <w:rFonts w:hint="eastAsia" w:ascii="宋体" w:hAnsi="宋体" w:eastAsia="宋体" w:cs="宋体"/>
          <w:color w:val="auto"/>
          <w:szCs w:val="21"/>
          <w:highlight w:val="none"/>
        </w:rPr>
        <w:t>联合体投标</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否。</w:t>
      </w:r>
    </w:p>
    <w:p w14:paraId="110E9DE4">
      <w:pPr>
        <w:widowControl/>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8、</w:t>
      </w:r>
      <w:r>
        <w:rPr>
          <w:rFonts w:hint="eastAsia" w:ascii="宋体" w:hAnsi="宋体" w:eastAsia="宋体" w:cs="宋体"/>
          <w:color w:val="auto"/>
          <w:szCs w:val="21"/>
          <w:highlight w:val="none"/>
        </w:rPr>
        <w:t>是否接受进口产品：否。</w:t>
      </w:r>
    </w:p>
    <w:p w14:paraId="078CE75B">
      <w:pPr>
        <w:widowControl/>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9、是否专门面向中小企业：否。</w:t>
      </w:r>
    </w:p>
    <w:p w14:paraId="5255F5AA">
      <w:pPr>
        <w:widowControl/>
        <w:adjustRightInd w:val="0"/>
        <w:snapToGrid w:val="0"/>
        <w:spacing w:line="360" w:lineRule="auto"/>
        <w:jc w:val="left"/>
        <w:outlineLvl w:val="9"/>
        <w:rPr>
          <w:rFonts w:hint="eastAsia" w:ascii="宋体" w:hAnsi="宋体" w:eastAsia="宋体" w:cs="宋体"/>
          <w:color w:val="auto"/>
          <w:kern w:val="0"/>
          <w:szCs w:val="21"/>
          <w:highlight w:val="none"/>
        </w:rPr>
      </w:pPr>
      <w:bookmarkStart w:id="12" w:name="_Toc22064"/>
      <w:bookmarkStart w:id="13" w:name="_Toc26465"/>
      <w:r>
        <w:rPr>
          <w:rFonts w:hint="eastAsia" w:ascii="宋体" w:hAnsi="宋体" w:eastAsia="宋体" w:cs="宋体"/>
          <w:color w:val="auto"/>
          <w:kern w:val="0"/>
          <w:szCs w:val="21"/>
          <w:highlight w:val="none"/>
        </w:rPr>
        <w:t>二、申请人资格要求</w:t>
      </w:r>
      <w:bookmarkEnd w:id="12"/>
      <w:bookmarkEnd w:id="13"/>
    </w:p>
    <w:p w14:paraId="592A42A7">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1、满足《中华人民共和国政府采购法》第二十二条规定；</w:t>
      </w:r>
    </w:p>
    <w:p w14:paraId="5276DE91">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2、落实政府采购政策需满足的资格要求：无</w:t>
      </w:r>
    </w:p>
    <w:p w14:paraId="005DFF17">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3、本项目的特定资格要求：</w:t>
      </w:r>
    </w:p>
    <w:p w14:paraId="7267D040">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3.1 具有独立承担民事责任的能力：供应商提供法人或者其他组织的营业执照等证明文件或自然人的身份证明。</w:t>
      </w:r>
    </w:p>
    <w:p w14:paraId="7A315023">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3.2 具有良好的商业信誉和健全的财务会计制度：供应商提供2024年度经审计的财务审计报告或其基本户开户银行出具的资信证明。</w:t>
      </w:r>
    </w:p>
    <w:p w14:paraId="6EE735F8">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3.3 具有履行合同所必需的设备和专业技术能力：供应商出具证明材料或加盖公章的承诺书。</w:t>
      </w:r>
    </w:p>
    <w:p w14:paraId="7935AFD5">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3.4 有依法缴纳税收和社会保障资金的良好记录：供应商提供</w:t>
      </w:r>
      <w:r>
        <w:rPr>
          <w:rFonts w:hint="eastAsia" w:ascii="宋体" w:hAnsi="宋体" w:eastAsia="宋体" w:cs="宋体"/>
          <w:color w:val="auto"/>
          <w:kern w:val="0"/>
          <w:szCs w:val="21"/>
          <w:highlight w:val="none"/>
          <w:lang w:val="en-US" w:eastAsia="zh-CN"/>
        </w:rPr>
        <w:t>近半年</w:t>
      </w:r>
      <w:r>
        <w:rPr>
          <w:rFonts w:hint="eastAsia" w:ascii="宋体" w:hAnsi="宋体" w:eastAsia="宋体" w:cs="宋体"/>
          <w:color w:val="auto"/>
          <w:kern w:val="0"/>
          <w:szCs w:val="21"/>
          <w:highlight w:val="none"/>
          <w:lang w:val="zh-CN"/>
        </w:rPr>
        <w:t>以来任意一个月的供应商缴纳税收证明材料和供应商缴纳社会保障资金证明材料（依法免税或不需要缴纳社会保障资金的供应商，应提供相关证明文件证明其依法免税或不需要缴纳社会保障金）。</w:t>
      </w:r>
    </w:p>
    <w:p w14:paraId="415B30F6">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3.5 参加政府采购活动前三年内在经营活动中没有重大违法记录的书面声明：供应商提供加盖公章的无重大违法记录的书面声明（格式自拟）。</w:t>
      </w:r>
    </w:p>
    <w:p w14:paraId="7DD9FBE4">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3.6信用要求：根据《关于在政府采购活动中查询及使用信用记录有关问题的通知》（财库〔2016〕125号）和《河南省财政厅关于转发财政部关于在政府采购活动中查询及使用信用记录有关问题的通知的通知》（豫财购〔2016〕15号）的规定，对列入失信被执行人、重大税收违法失信主体名单、政府采购严重违法失信行为记录名单的供应商，拒绝参与本项目政府采购活动（查询渠道：“中国执行信息公开网”网站：查询失信被执行人；“信用中国”网站：查询重大税收违法失信主体名单；“中国政府采购网”网站：查询政府采购严重违法失信行为记录名单）。注：采购代理机构在开标当天将对所有参与本项目投标的供应商的信用情况（失信被执行人名单、重大税收违法失信主体名单、政府采购严重违法失信行为记录名单）进行查询、打印留存。若在开标当天查询到供应商有相关负面信息的，则该供应商为无效供应商。</w:t>
      </w:r>
    </w:p>
    <w:p w14:paraId="25114B10">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3.7单位负责人为同一人或者存在直接控股、管理关系的不同供应商，不得参加同一合同项下的政府采购活动。</w:t>
      </w:r>
    </w:p>
    <w:p w14:paraId="30AEB990">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4.符合法律法规规定的其他条件。</w:t>
      </w:r>
    </w:p>
    <w:p w14:paraId="5B47D62F">
      <w:pPr>
        <w:widowControl/>
        <w:wordWrap w:val="0"/>
        <w:adjustRightInd w:val="0"/>
        <w:snapToGrid w:val="0"/>
        <w:spacing w:line="360" w:lineRule="auto"/>
        <w:jc w:val="left"/>
        <w:outlineLvl w:val="9"/>
        <w:rPr>
          <w:rFonts w:hint="eastAsia" w:ascii="宋体" w:hAnsi="宋体" w:eastAsia="宋体" w:cs="宋体"/>
          <w:color w:val="auto"/>
          <w:kern w:val="0"/>
          <w:szCs w:val="21"/>
          <w:highlight w:val="none"/>
        </w:rPr>
      </w:pPr>
      <w:bookmarkStart w:id="14" w:name="_Toc25748"/>
      <w:bookmarkStart w:id="15" w:name="_Toc11409"/>
      <w:r>
        <w:rPr>
          <w:rFonts w:hint="eastAsia" w:ascii="宋体" w:hAnsi="宋体" w:eastAsia="宋体" w:cs="宋体"/>
          <w:color w:val="auto"/>
          <w:kern w:val="0"/>
          <w:szCs w:val="21"/>
          <w:highlight w:val="none"/>
        </w:rPr>
        <w:t>三、获取招标文件</w:t>
      </w:r>
      <w:bookmarkEnd w:id="14"/>
      <w:bookmarkEnd w:id="15"/>
    </w:p>
    <w:p w14:paraId="575B6CAD">
      <w:pPr>
        <w:wordWrap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1.时间：</w:t>
      </w:r>
      <w:r>
        <w:rPr>
          <w:rFonts w:hint="eastAsia" w:ascii="宋体" w:hAnsi="宋体" w:eastAsia="宋体" w:cs="宋体"/>
          <w:color w:val="auto"/>
          <w:kern w:val="0"/>
          <w:szCs w:val="21"/>
          <w:highlight w:val="none"/>
          <w:lang w:val="en-US" w:eastAsia="zh-CN"/>
        </w:rPr>
        <w:t>2025</w:t>
      </w:r>
      <w:r>
        <w:rPr>
          <w:rFonts w:hint="eastAsia" w:ascii="宋体" w:hAnsi="宋体" w:eastAsia="宋体" w:cs="宋体"/>
          <w:color w:val="auto"/>
          <w:kern w:val="0"/>
          <w:szCs w:val="21"/>
          <w:highlight w:val="none"/>
          <w:lang w:val="zh-CN"/>
        </w:rPr>
        <w:t>年</w:t>
      </w:r>
      <w:r>
        <w:rPr>
          <w:rFonts w:hint="eastAsia" w:ascii="宋体" w:hAnsi="宋体" w:eastAsia="宋体" w:cs="宋体"/>
          <w:color w:val="auto"/>
          <w:kern w:val="0"/>
          <w:szCs w:val="21"/>
          <w:highlight w:val="none"/>
          <w:lang w:val="en-US" w:eastAsia="zh-CN"/>
        </w:rPr>
        <w:t>11</w:t>
      </w:r>
      <w:r>
        <w:rPr>
          <w:rFonts w:hint="eastAsia" w:ascii="宋体" w:hAnsi="宋体" w:eastAsia="宋体" w:cs="宋体"/>
          <w:color w:val="auto"/>
          <w:kern w:val="0"/>
          <w:szCs w:val="21"/>
          <w:highlight w:val="none"/>
          <w:lang w:val="zh-CN"/>
        </w:rPr>
        <w:t>月</w:t>
      </w:r>
      <w:r>
        <w:rPr>
          <w:rFonts w:hint="eastAsia" w:ascii="宋体" w:hAnsi="宋体" w:eastAsia="宋体" w:cs="宋体"/>
          <w:color w:val="auto"/>
          <w:kern w:val="0"/>
          <w:szCs w:val="21"/>
          <w:highlight w:val="none"/>
          <w:lang w:val="en-US" w:eastAsia="zh-CN"/>
        </w:rPr>
        <w:t>07</w:t>
      </w:r>
      <w:r>
        <w:rPr>
          <w:rFonts w:hint="eastAsia" w:ascii="宋体" w:hAnsi="宋体" w:eastAsia="宋体" w:cs="宋体"/>
          <w:color w:val="auto"/>
          <w:kern w:val="0"/>
          <w:szCs w:val="21"/>
          <w:highlight w:val="none"/>
          <w:lang w:val="zh-CN"/>
        </w:rPr>
        <w:t>日至</w:t>
      </w:r>
      <w:r>
        <w:rPr>
          <w:rFonts w:hint="eastAsia" w:ascii="宋体" w:hAnsi="宋体" w:eastAsia="宋体" w:cs="宋体"/>
          <w:color w:val="auto"/>
          <w:kern w:val="0"/>
          <w:szCs w:val="21"/>
          <w:highlight w:val="none"/>
          <w:lang w:val="en-US" w:eastAsia="zh-CN"/>
        </w:rPr>
        <w:t>2025</w:t>
      </w:r>
      <w:r>
        <w:rPr>
          <w:rFonts w:hint="eastAsia" w:ascii="宋体" w:hAnsi="宋体" w:eastAsia="宋体" w:cs="宋体"/>
          <w:color w:val="auto"/>
          <w:kern w:val="0"/>
          <w:szCs w:val="21"/>
          <w:highlight w:val="none"/>
          <w:lang w:val="zh-CN"/>
        </w:rPr>
        <w:t>年</w:t>
      </w:r>
      <w:r>
        <w:rPr>
          <w:rFonts w:hint="eastAsia" w:ascii="宋体" w:hAnsi="宋体" w:eastAsia="宋体" w:cs="宋体"/>
          <w:color w:val="auto"/>
          <w:kern w:val="0"/>
          <w:szCs w:val="21"/>
          <w:highlight w:val="none"/>
          <w:lang w:val="en-US" w:eastAsia="zh-CN"/>
        </w:rPr>
        <w:t>11</w:t>
      </w:r>
      <w:r>
        <w:rPr>
          <w:rFonts w:hint="eastAsia" w:ascii="宋体" w:hAnsi="宋体" w:eastAsia="宋体" w:cs="宋体"/>
          <w:color w:val="auto"/>
          <w:kern w:val="0"/>
          <w:szCs w:val="21"/>
          <w:highlight w:val="none"/>
          <w:lang w:val="zh-CN"/>
        </w:rPr>
        <w:t>月</w:t>
      </w:r>
      <w:r>
        <w:rPr>
          <w:rFonts w:hint="eastAsia" w:ascii="宋体" w:hAnsi="宋体" w:eastAsia="宋体" w:cs="宋体"/>
          <w:color w:val="auto"/>
          <w:kern w:val="0"/>
          <w:szCs w:val="21"/>
          <w:highlight w:val="none"/>
          <w:lang w:val="en-US" w:eastAsia="zh-CN"/>
        </w:rPr>
        <w:t>13</w:t>
      </w:r>
      <w:r>
        <w:rPr>
          <w:rFonts w:hint="eastAsia" w:ascii="宋体" w:hAnsi="宋体" w:eastAsia="宋体" w:cs="宋体"/>
          <w:color w:val="auto"/>
          <w:kern w:val="0"/>
          <w:szCs w:val="21"/>
          <w:highlight w:val="none"/>
          <w:lang w:val="zh-CN"/>
        </w:rPr>
        <w:t>日，每天上午00:00至12:00，下午12:00至23:59（北京时间，法定节假日除外。）</w:t>
      </w:r>
    </w:p>
    <w:p w14:paraId="2E8F0936">
      <w:pPr>
        <w:wordWrap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2.地点：河南省公共资源交易中心</w:t>
      </w:r>
      <w:r>
        <w:rPr>
          <w:rFonts w:hint="eastAsia" w:ascii="宋体" w:hAnsi="宋体" w:eastAsia="宋体" w:cs="宋体"/>
          <w:color w:val="auto"/>
          <w:kern w:val="0"/>
          <w:szCs w:val="21"/>
          <w:highlight w:val="none"/>
        </w:rPr>
        <w:t>网站</w:t>
      </w:r>
      <w:r>
        <w:rPr>
          <w:rFonts w:hint="eastAsia" w:ascii="宋体" w:hAnsi="宋体" w:eastAsia="宋体" w:cs="宋体"/>
          <w:color w:val="auto"/>
          <w:kern w:val="0"/>
          <w:szCs w:val="21"/>
          <w:highlight w:val="none"/>
          <w:lang w:val="zh-CN"/>
        </w:rPr>
        <w:t>（http://hnsggzyjy.henan.gov.cn/）</w:t>
      </w:r>
    </w:p>
    <w:p w14:paraId="128E8AAD">
      <w:pPr>
        <w:wordWrap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3.方式：凭CA密钥市场主体登录并在规定时间内按网上提示下载招标文件及资料；</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lang w:val="zh-CN"/>
        </w:rPr>
        <w:t>需要完成信息登记及CA数字证书办理，才能通过省公共资源交易平台参与交易活动，具体办理事宜请查阅河南省公共资源交易中心网站“</w:t>
      </w:r>
      <w:r>
        <w:rPr>
          <w:rFonts w:hint="eastAsia" w:ascii="宋体" w:hAnsi="宋体" w:eastAsia="宋体" w:cs="宋体"/>
          <w:color w:val="auto"/>
          <w:kern w:val="0"/>
          <w:szCs w:val="21"/>
          <w:highlight w:val="none"/>
        </w:rPr>
        <w:t>公共服务</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“办事指南”专区的《新交易平台使用手册》。</w:t>
      </w:r>
    </w:p>
    <w:p w14:paraId="3A241805">
      <w:pPr>
        <w:wordWrap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4.售价：0元</w:t>
      </w:r>
    </w:p>
    <w:p w14:paraId="5CABA010">
      <w:pPr>
        <w:widowControl/>
        <w:adjustRightInd w:val="0"/>
        <w:snapToGrid w:val="0"/>
        <w:spacing w:line="360" w:lineRule="auto"/>
        <w:jc w:val="left"/>
        <w:outlineLvl w:val="9"/>
        <w:rPr>
          <w:rFonts w:hint="eastAsia" w:ascii="宋体" w:hAnsi="宋体" w:eastAsia="宋体" w:cs="宋体"/>
          <w:color w:val="auto"/>
          <w:kern w:val="0"/>
          <w:szCs w:val="21"/>
          <w:highlight w:val="none"/>
        </w:rPr>
      </w:pPr>
      <w:bookmarkStart w:id="16" w:name="_Toc951"/>
      <w:bookmarkStart w:id="17" w:name="_Toc13571"/>
      <w:r>
        <w:rPr>
          <w:rFonts w:hint="eastAsia" w:ascii="宋体" w:hAnsi="宋体" w:eastAsia="宋体" w:cs="宋体"/>
          <w:color w:val="auto"/>
          <w:kern w:val="0"/>
          <w:szCs w:val="21"/>
          <w:highlight w:val="none"/>
        </w:rPr>
        <w:t>四、投标截止时间及地点</w:t>
      </w:r>
      <w:bookmarkEnd w:id="16"/>
      <w:bookmarkEnd w:id="17"/>
    </w:p>
    <w:p w14:paraId="3ECBA4BC">
      <w:pPr>
        <w:pStyle w:val="16"/>
        <w:tabs>
          <w:tab w:val="left" w:pos="312"/>
        </w:tabs>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1.时间：</w:t>
      </w:r>
      <w:r>
        <w:rPr>
          <w:rFonts w:hint="eastAsia" w:ascii="宋体" w:hAnsi="宋体" w:cs="宋体"/>
          <w:color w:val="auto"/>
          <w:szCs w:val="21"/>
          <w:highlight w:val="none"/>
          <w:u w:val="none"/>
          <w:lang w:val="en-US" w:eastAsia="zh-CN"/>
        </w:rPr>
        <w:t>2025</w:t>
      </w:r>
      <w:r>
        <w:rPr>
          <w:rFonts w:hint="eastAsia" w:ascii="宋体" w:hAnsi="宋体" w:eastAsia="宋体" w:cs="宋体"/>
          <w:color w:val="auto"/>
          <w:szCs w:val="21"/>
          <w:highlight w:val="none"/>
          <w:u w:val="none"/>
        </w:rPr>
        <w:t>年</w:t>
      </w:r>
      <w:r>
        <w:rPr>
          <w:rFonts w:hint="eastAsia" w:ascii="宋体" w:hAnsi="宋体" w:cs="宋体"/>
          <w:color w:val="auto"/>
          <w:kern w:val="0"/>
          <w:szCs w:val="21"/>
          <w:highlight w:val="none"/>
          <w:u w:val="none"/>
          <w:lang w:val="en-US" w:eastAsia="zh-CN"/>
        </w:rPr>
        <w:t>11</w:t>
      </w:r>
      <w:r>
        <w:rPr>
          <w:rFonts w:hint="eastAsia" w:ascii="宋体" w:hAnsi="宋体" w:eastAsia="宋体" w:cs="宋体"/>
          <w:color w:val="auto"/>
          <w:szCs w:val="21"/>
          <w:highlight w:val="none"/>
          <w:u w:val="none"/>
        </w:rPr>
        <w:t>月</w:t>
      </w:r>
      <w:r>
        <w:rPr>
          <w:rFonts w:hint="eastAsia" w:ascii="宋体" w:hAnsi="宋体" w:cs="宋体"/>
          <w:color w:val="auto"/>
          <w:kern w:val="0"/>
          <w:szCs w:val="21"/>
          <w:highlight w:val="none"/>
          <w:u w:val="none"/>
          <w:lang w:val="en-US" w:eastAsia="zh-CN"/>
        </w:rPr>
        <w:t>27</w:t>
      </w:r>
      <w:r>
        <w:rPr>
          <w:rFonts w:hint="eastAsia" w:ascii="宋体" w:hAnsi="宋体" w:eastAsia="宋体" w:cs="宋体"/>
          <w:color w:val="auto"/>
          <w:szCs w:val="21"/>
          <w:highlight w:val="none"/>
          <w:u w:val="none"/>
        </w:rPr>
        <w:t>日09时00分（北京时间）</w:t>
      </w:r>
    </w:p>
    <w:p w14:paraId="2536C30C">
      <w:pPr>
        <w:pStyle w:val="16"/>
        <w:tabs>
          <w:tab w:val="left" w:pos="31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2.地点：加密电子投标文件须在投标截止时间前上传至河南省公共资源交易中心交易系统指定位置。逾期上传的投标文件，采购人不予受理。</w:t>
      </w:r>
    </w:p>
    <w:p w14:paraId="7641C1CE">
      <w:pPr>
        <w:widowControl/>
        <w:adjustRightInd w:val="0"/>
        <w:snapToGrid w:val="0"/>
        <w:spacing w:line="360" w:lineRule="auto"/>
        <w:jc w:val="left"/>
        <w:outlineLvl w:val="9"/>
        <w:rPr>
          <w:rFonts w:hint="eastAsia" w:ascii="宋体" w:hAnsi="宋体" w:eastAsia="宋体" w:cs="宋体"/>
          <w:color w:val="auto"/>
          <w:kern w:val="0"/>
          <w:szCs w:val="21"/>
          <w:highlight w:val="none"/>
        </w:rPr>
      </w:pPr>
      <w:bookmarkStart w:id="18" w:name="_Toc1617"/>
      <w:bookmarkStart w:id="19" w:name="_Toc31386"/>
      <w:r>
        <w:rPr>
          <w:rFonts w:hint="eastAsia" w:ascii="宋体" w:hAnsi="宋体" w:eastAsia="宋体" w:cs="宋体"/>
          <w:color w:val="auto"/>
          <w:kern w:val="0"/>
          <w:szCs w:val="21"/>
          <w:highlight w:val="none"/>
        </w:rPr>
        <w:t>五、开标时间及地点</w:t>
      </w:r>
      <w:bookmarkEnd w:id="18"/>
      <w:bookmarkEnd w:id="19"/>
    </w:p>
    <w:p w14:paraId="41DAE1CA">
      <w:pPr>
        <w:widowControl/>
        <w:wordWrap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1.时间：</w:t>
      </w:r>
      <w:r>
        <w:rPr>
          <w:rFonts w:hint="eastAsia" w:ascii="宋体" w:hAnsi="宋体" w:eastAsia="宋体" w:cs="宋体"/>
          <w:color w:val="auto"/>
          <w:szCs w:val="21"/>
          <w:highlight w:val="none"/>
          <w:lang w:val="en-US" w:eastAsia="zh-CN"/>
        </w:rPr>
        <w:t>2025</w:t>
      </w:r>
      <w:r>
        <w:rPr>
          <w:rFonts w:hint="eastAsia" w:ascii="宋体" w:hAnsi="宋体" w:eastAsia="宋体" w:cs="宋体"/>
          <w:color w:val="auto"/>
          <w:szCs w:val="21"/>
          <w:highlight w:val="none"/>
        </w:rPr>
        <w:t>年</w:t>
      </w:r>
      <w:r>
        <w:rPr>
          <w:rFonts w:hint="eastAsia" w:ascii="宋体" w:hAnsi="宋体" w:eastAsia="宋体" w:cs="宋体"/>
          <w:color w:val="auto"/>
          <w:kern w:val="0"/>
          <w:szCs w:val="21"/>
          <w:highlight w:val="none"/>
          <w:lang w:val="en-US" w:eastAsia="zh-CN"/>
        </w:rPr>
        <w:t>11</w:t>
      </w:r>
      <w:r>
        <w:rPr>
          <w:rFonts w:hint="eastAsia" w:ascii="宋体" w:hAnsi="宋体" w:eastAsia="宋体" w:cs="宋体"/>
          <w:color w:val="auto"/>
          <w:szCs w:val="21"/>
          <w:highlight w:val="none"/>
        </w:rPr>
        <w:t>月</w:t>
      </w:r>
      <w:r>
        <w:rPr>
          <w:rFonts w:hint="eastAsia" w:ascii="宋体" w:hAnsi="宋体" w:eastAsia="宋体" w:cs="宋体"/>
          <w:color w:val="auto"/>
          <w:kern w:val="0"/>
          <w:szCs w:val="21"/>
          <w:highlight w:val="none"/>
          <w:lang w:val="en-US" w:eastAsia="zh-CN"/>
        </w:rPr>
        <w:t>27</w:t>
      </w:r>
      <w:r>
        <w:rPr>
          <w:rFonts w:hint="eastAsia" w:ascii="宋体" w:hAnsi="宋体" w:eastAsia="宋体" w:cs="宋体"/>
          <w:color w:val="auto"/>
          <w:szCs w:val="21"/>
          <w:highlight w:val="none"/>
        </w:rPr>
        <w:t>日</w:t>
      </w:r>
      <w:r>
        <w:rPr>
          <w:rFonts w:hint="eastAsia" w:ascii="宋体" w:hAnsi="宋体" w:eastAsia="宋体" w:cs="宋体"/>
          <w:color w:val="auto"/>
          <w:kern w:val="0"/>
          <w:szCs w:val="21"/>
          <w:highlight w:val="none"/>
        </w:rPr>
        <w:t>09时00分（北京时间）</w:t>
      </w:r>
    </w:p>
    <w:p w14:paraId="29BAF0AC">
      <w:pPr>
        <w:widowControl/>
        <w:wordWrap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2.地点：河南省公共资源交易中心</w:t>
      </w:r>
      <w:bookmarkStart w:id="387" w:name="_GoBack"/>
      <w:r>
        <w:rPr>
          <w:rFonts w:hint="eastAsia" w:ascii="宋体" w:hAnsi="宋体" w:eastAsia="宋体" w:cs="宋体"/>
          <w:color w:val="auto"/>
          <w:kern w:val="0"/>
          <w:szCs w:val="21"/>
          <w:highlight w:val="none"/>
        </w:rPr>
        <w:t>远程开标室</w:t>
      </w:r>
      <w:bookmarkEnd w:id="387"/>
      <w:r>
        <w:rPr>
          <w:rFonts w:hint="eastAsia" w:ascii="宋体" w:hAnsi="宋体" w:eastAsia="宋体" w:cs="宋体"/>
          <w:color w:val="auto"/>
          <w:kern w:val="0"/>
          <w:szCs w:val="21"/>
          <w:highlight w:val="none"/>
          <w:lang w:val="en-US" w:eastAsia="zh-CN"/>
        </w:rPr>
        <w:t>（5）-2</w:t>
      </w:r>
      <w:r>
        <w:rPr>
          <w:rFonts w:hint="eastAsia" w:ascii="宋体" w:hAnsi="宋体" w:eastAsia="宋体" w:cs="宋体"/>
          <w:color w:val="auto"/>
          <w:kern w:val="0"/>
          <w:szCs w:val="21"/>
          <w:highlight w:val="none"/>
        </w:rPr>
        <w:t>（郑州市经二路12号（经二路与纬四路向南50米路西）</w:t>
      </w:r>
    </w:p>
    <w:p w14:paraId="2CDE4A95">
      <w:pPr>
        <w:widowControl/>
        <w:wordWrap w:val="0"/>
        <w:adjustRightInd w:val="0"/>
        <w:snapToGrid w:val="0"/>
        <w:spacing w:line="360" w:lineRule="auto"/>
        <w:jc w:val="left"/>
        <w:outlineLvl w:val="9"/>
        <w:rPr>
          <w:rFonts w:hint="eastAsia" w:ascii="宋体" w:hAnsi="宋体" w:eastAsia="宋体" w:cs="宋体"/>
          <w:color w:val="auto"/>
          <w:kern w:val="0"/>
          <w:szCs w:val="21"/>
          <w:highlight w:val="none"/>
        </w:rPr>
      </w:pPr>
      <w:bookmarkStart w:id="20" w:name="_Toc14981"/>
      <w:bookmarkStart w:id="21" w:name="_Toc16226"/>
      <w:r>
        <w:rPr>
          <w:rFonts w:hint="eastAsia" w:ascii="宋体" w:hAnsi="宋体" w:eastAsia="宋体" w:cs="宋体"/>
          <w:color w:val="auto"/>
          <w:kern w:val="0"/>
          <w:szCs w:val="21"/>
          <w:highlight w:val="none"/>
        </w:rPr>
        <w:t>六、发布公告的媒介及招标公告期限</w:t>
      </w:r>
      <w:bookmarkEnd w:id="20"/>
      <w:bookmarkEnd w:id="21"/>
    </w:p>
    <w:p w14:paraId="3E53A899">
      <w:pPr>
        <w:widowControl/>
        <w:wordWrap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本次招标公告在《河南省政府采购网》、《河南省公共资源交易中心网》上发布，招标公告期限为五个工作日。</w:t>
      </w:r>
    </w:p>
    <w:p w14:paraId="68986147">
      <w:pPr>
        <w:widowControl/>
        <w:wordWrap w:val="0"/>
        <w:adjustRightInd w:val="0"/>
        <w:snapToGrid w:val="0"/>
        <w:spacing w:line="360" w:lineRule="auto"/>
        <w:jc w:val="left"/>
        <w:outlineLvl w:val="9"/>
        <w:rPr>
          <w:rFonts w:hint="eastAsia" w:ascii="宋体" w:hAnsi="宋体" w:eastAsia="宋体" w:cs="宋体"/>
          <w:color w:val="auto"/>
          <w:kern w:val="0"/>
          <w:szCs w:val="21"/>
          <w:highlight w:val="none"/>
        </w:rPr>
      </w:pPr>
      <w:bookmarkStart w:id="22" w:name="_Toc5565"/>
      <w:bookmarkStart w:id="23" w:name="_Toc22884"/>
      <w:r>
        <w:rPr>
          <w:rFonts w:hint="eastAsia" w:ascii="宋体" w:hAnsi="宋体" w:eastAsia="宋体" w:cs="宋体"/>
          <w:color w:val="auto"/>
          <w:kern w:val="0"/>
          <w:szCs w:val="21"/>
          <w:highlight w:val="none"/>
        </w:rPr>
        <w:t>七、其他补充事宜：</w:t>
      </w:r>
      <w:bookmarkEnd w:id="22"/>
      <w:bookmarkEnd w:id="23"/>
    </w:p>
    <w:p w14:paraId="42209BC1">
      <w:pPr>
        <w:widowControl/>
        <w:wordWrap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本项目需要落实的政府采购政策：</w:t>
      </w:r>
    </w:p>
    <w:p w14:paraId="6AD01AE3">
      <w:pPr>
        <w:widowControl/>
        <w:wordWrap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1.关于印发节能产品政府采购品目清单的通知（财库〔2019〕19号）、关于调整优化节能产品、环境标志产品政府采购执行机制的通知（财库〔2019〕9号）；</w:t>
      </w:r>
    </w:p>
    <w:p w14:paraId="2F751D1E">
      <w:pPr>
        <w:widowControl/>
        <w:wordWrap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2.关于印发环境标志产品政府采购品目清单的通知（财库〔2019〕18号）；</w:t>
      </w:r>
    </w:p>
    <w:p w14:paraId="5C0167FE">
      <w:pPr>
        <w:widowControl/>
        <w:wordWrap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3.政府采购促进中小企业发展管理办法 (财库〔2020〕46号）；</w:t>
      </w:r>
    </w:p>
    <w:p w14:paraId="1C0E9ED6">
      <w:pPr>
        <w:widowControl/>
        <w:wordWrap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4.执行《河南省财政厅关于进一步做好政府采购支持中小企业发展有关事项的通知》（豫财购〔2022〕5号）；</w:t>
      </w:r>
    </w:p>
    <w:p w14:paraId="14169DF0">
      <w:pPr>
        <w:widowControl/>
        <w:wordWrap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5.执行《关于进一步加大政府采购支持中小企业力度的通知》（财库〔2022〕19号）；</w:t>
      </w:r>
    </w:p>
    <w:p w14:paraId="1D890849">
      <w:pPr>
        <w:widowControl/>
        <w:wordWrap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6.《财政部、司法部关于政府采购支持监狱企业发展有关问题的通知》（财库[2014]68号）；</w:t>
      </w:r>
    </w:p>
    <w:p w14:paraId="23F0BBBC">
      <w:pPr>
        <w:widowControl/>
        <w:wordWrap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7.《三部门联合发布关于促进残疾人就业政府采购政策的通知》（财库[2017]141号）；</w:t>
      </w:r>
    </w:p>
    <w:p w14:paraId="4AB0FF11">
      <w:pPr>
        <w:pStyle w:val="1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．《财政部关于在政府采购活动中对自欧盟进口的医疗器械采取相关措施的通知》(财库〔2025〕19号)</w:t>
      </w:r>
    </w:p>
    <w:p w14:paraId="4922E0E7">
      <w:pPr>
        <w:pStyle w:val="16"/>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.中标服务费：参照河南省招标投标协会[2023]002号文件规定的“代理服务费收费标准”</w:t>
      </w:r>
      <w:r>
        <w:rPr>
          <w:rFonts w:hint="eastAsia" w:ascii="宋体" w:hAnsi="宋体" w:cs="宋体"/>
          <w:color w:val="auto"/>
          <w:kern w:val="0"/>
          <w:szCs w:val="21"/>
          <w:highlight w:val="none"/>
          <w:lang w:val="en-US" w:eastAsia="zh-CN"/>
        </w:rPr>
        <w:t>的7折</w:t>
      </w:r>
      <w:r>
        <w:rPr>
          <w:rFonts w:hint="eastAsia" w:ascii="宋体" w:hAnsi="宋体" w:eastAsia="宋体" w:cs="宋体"/>
          <w:color w:val="auto"/>
          <w:kern w:val="0"/>
          <w:szCs w:val="21"/>
          <w:highlight w:val="none"/>
        </w:rPr>
        <w:t>进行收费</w:t>
      </w:r>
      <w:r>
        <w:rPr>
          <w:rFonts w:hint="eastAsia" w:ascii="宋体" w:hAnsi="宋体" w:cs="宋体"/>
          <w:color w:val="auto"/>
          <w:kern w:val="0"/>
          <w:szCs w:val="21"/>
          <w:highlight w:val="none"/>
          <w:lang w:eastAsia="zh-CN"/>
        </w:rPr>
        <w:t>。</w:t>
      </w:r>
    </w:p>
    <w:p w14:paraId="71DCFDC0">
      <w:pPr>
        <w:widowControl/>
        <w:wordWrap w:val="0"/>
        <w:adjustRightInd w:val="0"/>
        <w:snapToGrid w:val="0"/>
        <w:spacing w:line="360" w:lineRule="auto"/>
        <w:jc w:val="left"/>
        <w:outlineLvl w:val="9"/>
        <w:rPr>
          <w:rFonts w:hint="eastAsia" w:ascii="宋体" w:hAnsi="宋体" w:eastAsia="宋体" w:cs="宋体"/>
          <w:color w:val="auto"/>
          <w:kern w:val="0"/>
          <w:szCs w:val="21"/>
          <w:highlight w:val="none"/>
        </w:rPr>
      </w:pPr>
      <w:bookmarkStart w:id="24" w:name="_Toc3078"/>
      <w:bookmarkStart w:id="25" w:name="_Toc25659"/>
      <w:r>
        <w:rPr>
          <w:rFonts w:hint="eastAsia" w:ascii="宋体" w:hAnsi="宋体" w:eastAsia="宋体" w:cs="宋体"/>
          <w:color w:val="auto"/>
          <w:kern w:val="0"/>
          <w:szCs w:val="21"/>
          <w:highlight w:val="none"/>
        </w:rPr>
        <w:t>八、凡对本次招标提出询问，请按照以下方式联系</w:t>
      </w:r>
      <w:bookmarkEnd w:id="24"/>
      <w:bookmarkEnd w:id="25"/>
    </w:p>
    <w:p w14:paraId="22777330">
      <w:pPr>
        <w:widowControl/>
        <w:wordWrap w:val="0"/>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1.采购人信息</w:t>
      </w:r>
    </w:p>
    <w:p w14:paraId="7D1C2F39">
      <w:pPr>
        <w:widowControl/>
        <w:wordWrap w:val="0"/>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名称</w:t>
      </w:r>
      <w:r>
        <w:rPr>
          <w:rFonts w:hint="eastAsia" w:ascii="宋体" w:hAnsi="宋体" w:eastAsia="宋体" w:cs="宋体"/>
          <w:color w:val="auto"/>
          <w:kern w:val="0"/>
          <w:szCs w:val="21"/>
          <w:highlight w:val="none"/>
          <w:lang w:val="zh-CN"/>
        </w:rPr>
        <w:t>：河南省人民医院</w:t>
      </w:r>
    </w:p>
    <w:p w14:paraId="548C3931">
      <w:pPr>
        <w:widowControl/>
        <w:wordWrap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地址：郑州市黄河路与经二路交叉口</w:t>
      </w:r>
    </w:p>
    <w:p w14:paraId="26D0EA49">
      <w:pPr>
        <w:widowControl/>
        <w:wordWrap w:val="0"/>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联系人：常老师</w:t>
      </w:r>
    </w:p>
    <w:p w14:paraId="68CCFF5D">
      <w:pPr>
        <w:widowControl/>
        <w:wordWrap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联系</w:t>
      </w:r>
      <w:r>
        <w:rPr>
          <w:rFonts w:hint="eastAsia" w:ascii="宋体" w:hAnsi="宋体" w:eastAsia="宋体" w:cs="宋体"/>
          <w:color w:val="auto"/>
          <w:kern w:val="0"/>
          <w:szCs w:val="21"/>
          <w:highlight w:val="none"/>
        </w:rPr>
        <w:t>方式</w:t>
      </w:r>
      <w:r>
        <w:rPr>
          <w:rFonts w:hint="eastAsia" w:ascii="宋体" w:hAnsi="宋体" w:eastAsia="宋体" w:cs="宋体"/>
          <w:color w:val="auto"/>
          <w:kern w:val="0"/>
          <w:szCs w:val="21"/>
          <w:highlight w:val="none"/>
          <w:lang w:val="zh-CN"/>
        </w:rPr>
        <w:t>：0371-65580108</w:t>
      </w:r>
    </w:p>
    <w:p w14:paraId="330BB25F">
      <w:pPr>
        <w:widowControl/>
        <w:wordWrap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2.采购代理机构信息</w:t>
      </w:r>
    </w:p>
    <w:p w14:paraId="58306FC0">
      <w:pPr>
        <w:widowControl/>
        <w:wordWrap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名称：河南精工工程管理咨询有限公司</w:t>
      </w:r>
    </w:p>
    <w:p w14:paraId="7B12A4FC">
      <w:pPr>
        <w:widowControl/>
        <w:wordWrap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址：河南自贸试验区郑州片区(郑东)商鼎路106号新时代商务中心3号楼26楼2612室</w:t>
      </w:r>
    </w:p>
    <w:p w14:paraId="000534D6">
      <w:pPr>
        <w:widowControl/>
        <w:wordWrap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联系人：翟昊飞、王茂、杨康、祝世然、石素敏</w:t>
      </w:r>
    </w:p>
    <w:p w14:paraId="0F0726DD">
      <w:pPr>
        <w:widowControl/>
        <w:wordWrap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话：18538069073、0371-58603111</w:t>
      </w:r>
    </w:p>
    <w:p w14:paraId="6946847F">
      <w:pPr>
        <w:widowControl/>
        <w:wordWrap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3.项目联系方式</w:t>
      </w:r>
    </w:p>
    <w:p w14:paraId="61EC52F6">
      <w:pPr>
        <w:widowControl/>
        <w:wordWrap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联系人：翟昊飞、王茂、杨康、祝世然、石素敏</w:t>
      </w:r>
    </w:p>
    <w:p w14:paraId="2A3D010B">
      <w:pPr>
        <w:widowControl/>
        <w:wordWrap/>
        <w:adjustRightInd w:val="0"/>
        <w:snapToGrid w:val="0"/>
        <w:spacing w:line="360" w:lineRule="auto"/>
        <w:ind w:firstLine="420" w:firstLineChars="200"/>
        <w:jc w:val="left"/>
        <w:outlineLvl w:val="9"/>
        <w:rPr>
          <w:rFonts w:hint="eastAsia" w:ascii="宋体" w:hAnsi="宋体" w:eastAsia="宋体" w:cs="宋体"/>
          <w:b w:val="0"/>
          <w:bCs w:val="0"/>
          <w:color w:val="auto"/>
          <w:kern w:val="0"/>
          <w:sz w:val="21"/>
          <w:szCs w:val="21"/>
          <w:highlight w:val="none"/>
          <w:lang w:val="en-US" w:eastAsia="zh-CN" w:bidi="ar-SA"/>
        </w:rPr>
      </w:pPr>
      <w:bookmarkStart w:id="26" w:name="_Toc9658"/>
      <w:bookmarkStart w:id="27" w:name="_Toc17233"/>
      <w:bookmarkStart w:id="28" w:name="_Toc16487"/>
      <w:r>
        <w:rPr>
          <w:rFonts w:hint="eastAsia" w:ascii="宋体" w:hAnsi="宋体" w:eastAsia="宋体" w:cs="宋体"/>
          <w:b w:val="0"/>
          <w:bCs w:val="0"/>
          <w:color w:val="auto"/>
          <w:kern w:val="0"/>
          <w:sz w:val="21"/>
          <w:szCs w:val="21"/>
          <w:highlight w:val="none"/>
          <w:lang w:val="en-US" w:eastAsia="zh-CN" w:bidi="ar-SA"/>
        </w:rPr>
        <w:t>电  话：18538069073、0371-58603111</w:t>
      </w:r>
    </w:p>
    <w:p w14:paraId="60E6DAB6">
      <w:pPr>
        <w:jc w:val="center"/>
        <w:outlineLvl w:val="0"/>
        <w:rPr>
          <w:rFonts w:hint="eastAsia" w:ascii="宋体" w:hAnsi="宋体" w:eastAsia="宋体" w:cs="宋体"/>
          <w:color w:val="auto"/>
          <w:sz w:val="32"/>
          <w:highlight w:val="none"/>
        </w:rPr>
      </w:pPr>
      <w:r>
        <w:rPr>
          <w:rFonts w:hint="eastAsia" w:ascii="宋体" w:hAnsi="宋体" w:eastAsia="宋体" w:cs="宋体"/>
          <w:b w:val="0"/>
          <w:bCs w:val="0"/>
          <w:color w:val="auto"/>
          <w:kern w:val="0"/>
          <w:sz w:val="21"/>
          <w:szCs w:val="21"/>
          <w:highlight w:val="none"/>
          <w:lang w:val="en-US" w:eastAsia="zh-CN" w:bidi="ar-SA"/>
        </w:rPr>
        <w:br w:type="page"/>
      </w:r>
      <w:bookmarkStart w:id="29" w:name="_Toc29213"/>
      <w:r>
        <w:rPr>
          <w:rStyle w:val="65"/>
          <w:rFonts w:hint="eastAsia"/>
          <w:color w:val="auto"/>
          <w:sz w:val="48"/>
          <w:szCs w:val="48"/>
          <w:highlight w:val="none"/>
          <w:lang w:val="en-US" w:eastAsia="zh-CN"/>
        </w:rPr>
        <w:t>第二章 供应商须知</w:t>
      </w:r>
      <w:bookmarkEnd w:id="26"/>
      <w:bookmarkEnd w:id="27"/>
      <w:bookmarkEnd w:id="28"/>
      <w:bookmarkEnd w:id="29"/>
    </w:p>
    <w:p w14:paraId="142EE453">
      <w:pPr>
        <w:pStyle w:val="14"/>
        <w:outlineLvl w:val="9"/>
        <w:rPr>
          <w:rFonts w:hint="eastAsia" w:ascii="宋体" w:hAnsi="宋体" w:eastAsia="宋体" w:cs="宋体"/>
          <w:color w:val="auto"/>
          <w:sz w:val="28"/>
          <w:highlight w:val="none"/>
        </w:rPr>
      </w:pPr>
      <w:bookmarkStart w:id="30" w:name="_Toc24478"/>
      <w:bookmarkStart w:id="31" w:name="_Toc9016"/>
      <w:bookmarkStart w:id="32" w:name="_Toc24263"/>
      <w:bookmarkStart w:id="33" w:name="_Toc13576"/>
      <w:bookmarkStart w:id="34" w:name="_Toc271"/>
      <w:r>
        <w:rPr>
          <w:rFonts w:hint="eastAsia" w:ascii="宋体" w:hAnsi="宋体" w:cs="宋体"/>
          <w:color w:val="auto"/>
          <w:sz w:val="28"/>
          <w:highlight w:val="none"/>
          <w:lang w:eastAsia="zh-CN"/>
        </w:rPr>
        <w:t>供应商</w:t>
      </w:r>
      <w:r>
        <w:rPr>
          <w:rFonts w:hint="eastAsia" w:ascii="宋体" w:hAnsi="宋体" w:eastAsia="宋体" w:cs="宋体"/>
          <w:color w:val="auto"/>
          <w:sz w:val="28"/>
          <w:highlight w:val="none"/>
        </w:rPr>
        <w:t>须知前附表</w:t>
      </w:r>
      <w:bookmarkEnd w:id="30"/>
      <w:bookmarkEnd w:id="31"/>
      <w:bookmarkEnd w:id="32"/>
      <w:bookmarkEnd w:id="33"/>
      <w:bookmarkEnd w:id="34"/>
    </w:p>
    <w:p w14:paraId="7B64E5A0">
      <w:pPr>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本表中加*条款为</w:t>
      </w:r>
      <w:r>
        <w:rPr>
          <w:rFonts w:hint="eastAsia" w:ascii="宋体" w:hAnsi="宋体" w:eastAsia="宋体" w:cs="宋体"/>
          <w:b/>
          <w:bCs/>
          <w:color w:val="auto"/>
          <w:szCs w:val="21"/>
          <w:highlight w:val="none"/>
          <w:lang w:eastAsia="zh-CN"/>
        </w:rPr>
        <w:t>供应商</w:t>
      </w:r>
      <w:r>
        <w:rPr>
          <w:rFonts w:hint="eastAsia" w:ascii="宋体" w:hAnsi="宋体" w:eastAsia="宋体" w:cs="宋体"/>
          <w:b/>
          <w:bCs/>
          <w:color w:val="auto"/>
          <w:szCs w:val="21"/>
          <w:highlight w:val="none"/>
        </w:rPr>
        <w:t>必须满足条款，如不满足，视为无效响应。</w:t>
      </w:r>
    </w:p>
    <w:tbl>
      <w:tblPr>
        <w:tblStyle w:val="23"/>
        <w:tblW w:w="8963" w:type="dxa"/>
        <w:tblInd w:w="90" w:type="dxa"/>
        <w:tblLayout w:type="fixed"/>
        <w:tblCellMar>
          <w:top w:w="0" w:type="dxa"/>
          <w:left w:w="108" w:type="dxa"/>
          <w:bottom w:w="0" w:type="dxa"/>
          <w:right w:w="108" w:type="dxa"/>
        </w:tblCellMar>
      </w:tblPr>
      <w:tblGrid>
        <w:gridCol w:w="1050"/>
        <w:gridCol w:w="2129"/>
        <w:gridCol w:w="5784"/>
      </w:tblGrid>
      <w:tr w14:paraId="3882A44C">
        <w:tblPrEx>
          <w:tblCellMar>
            <w:top w:w="0" w:type="dxa"/>
            <w:left w:w="108" w:type="dxa"/>
            <w:bottom w:w="0" w:type="dxa"/>
            <w:right w:w="108" w:type="dxa"/>
          </w:tblCellMar>
        </w:tblPrEx>
        <w:trPr>
          <w:trHeight w:val="567" w:hRule="atLeast"/>
        </w:trPr>
        <w:tc>
          <w:tcPr>
            <w:tcW w:w="1050" w:type="dxa"/>
            <w:tcBorders>
              <w:top w:val="single" w:color="000000" w:sz="4" w:space="0"/>
              <w:left w:val="single" w:color="000000" w:sz="4" w:space="0"/>
              <w:bottom w:val="single" w:color="000000" w:sz="4" w:space="0"/>
              <w:right w:val="single" w:color="000000" w:sz="4" w:space="0"/>
            </w:tcBorders>
            <w:vAlign w:val="center"/>
          </w:tcPr>
          <w:p w14:paraId="2278C52C">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2129" w:type="dxa"/>
            <w:tcBorders>
              <w:top w:val="single" w:color="000000" w:sz="4" w:space="0"/>
              <w:left w:val="single" w:color="000000" w:sz="4" w:space="0"/>
              <w:bottom w:val="single" w:color="000000" w:sz="4" w:space="0"/>
              <w:right w:val="single" w:color="000000" w:sz="4" w:space="0"/>
            </w:tcBorders>
            <w:vAlign w:val="center"/>
          </w:tcPr>
          <w:p w14:paraId="409F57DA">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条款名称</w:t>
            </w:r>
          </w:p>
        </w:tc>
        <w:tc>
          <w:tcPr>
            <w:tcW w:w="5784" w:type="dxa"/>
            <w:tcBorders>
              <w:top w:val="single" w:color="000000" w:sz="4" w:space="0"/>
              <w:left w:val="single" w:color="000000" w:sz="4" w:space="0"/>
              <w:bottom w:val="single" w:color="000000" w:sz="4" w:space="0"/>
              <w:right w:val="single" w:color="000000" w:sz="4" w:space="0"/>
            </w:tcBorders>
            <w:vAlign w:val="center"/>
          </w:tcPr>
          <w:p w14:paraId="16D574D9">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编列内容</w:t>
            </w:r>
          </w:p>
        </w:tc>
      </w:tr>
      <w:tr w14:paraId="2B2C4FE0">
        <w:tblPrEx>
          <w:tblCellMar>
            <w:top w:w="0" w:type="dxa"/>
            <w:left w:w="108" w:type="dxa"/>
            <w:bottom w:w="0" w:type="dxa"/>
            <w:right w:w="108" w:type="dxa"/>
          </w:tblCellMar>
        </w:tblPrEx>
        <w:trPr>
          <w:trHeight w:val="1191" w:hRule="atLeast"/>
        </w:trPr>
        <w:tc>
          <w:tcPr>
            <w:tcW w:w="1050" w:type="dxa"/>
            <w:tcBorders>
              <w:top w:val="single" w:color="000000" w:sz="4" w:space="0"/>
              <w:left w:val="single" w:color="000000" w:sz="4" w:space="0"/>
              <w:bottom w:val="single" w:color="000000" w:sz="4" w:space="0"/>
              <w:right w:val="single" w:color="000000" w:sz="4" w:space="0"/>
            </w:tcBorders>
            <w:vAlign w:val="center"/>
          </w:tcPr>
          <w:p w14:paraId="068A4657">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1.1.2</w:t>
            </w:r>
          </w:p>
        </w:tc>
        <w:tc>
          <w:tcPr>
            <w:tcW w:w="2129" w:type="dxa"/>
            <w:tcBorders>
              <w:top w:val="single" w:color="000000" w:sz="4" w:space="0"/>
              <w:left w:val="single" w:color="000000" w:sz="4" w:space="0"/>
              <w:bottom w:val="single" w:color="000000" w:sz="4" w:space="0"/>
              <w:right w:val="single" w:color="000000" w:sz="4" w:space="0"/>
            </w:tcBorders>
            <w:vAlign w:val="center"/>
          </w:tcPr>
          <w:p w14:paraId="77060B83">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w:t>
            </w:r>
          </w:p>
        </w:tc>
        <w:tc>
          <w:tcPr>
            <w:tcW w:w="5784" w:type="dxa"/>
            <w:tcBorders>
              <w:top w:val="single" w:color="000000" w:sz="4" w:space="0"/>
              <w:left w:val="single" w:color="000000" w:sz="4" w:space="0"/>
              <w:bottom w:val="single" w:color="000000" w:sz="4" w:space="0"/>
              <w:right w:val="single" w:color="000000" w:sz="4" w:space="0"/>
            </w:tcBorders>
            <w:vAlign w:val="center"/>
          </w:tcPr>
          <w:p w14:paraId="18465073">
            <w:pPr>
              <w:spacing w:line="360" w:lineRule="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名称</w:t>
            </w:r>
            <w:r>
              <w:rPr>
                <w:rFonts w:hint="eastAsia" w:ascii="宋体" w:hAnsi="宋体" w:eastAsia="宋体" w:cs="宋体"/>
                <w:color w:val="auto"/>
                <w:kern w:val="0"/>
                <w:szCs w:val="21"/>
                <w:highlight w:val="none"/>
                <w:lang w:val="zh-CN"/>
              </w:rPr>
              <w:t>：河南省人民医院</w:t>
            </w:r>
          </w:p>
          <w:p w14:paraId="4B638815">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地址：郑州市黄河路与经二路交叉口</w:t>
            </w:r>
          </w:p>
          <w:p w14:paraId="74194A1C">
            <w:pPr>
              <w:spacing w:line="360" w:lineRule="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联系人：常老师</w:t>
            </w:r>
          </w:p>
          <w:p w14:paraId="012DD334">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联系</w:t>
            </w:r>
            <w:r>
              <w:rPr>
                <w:rFonts w:hint="eastAsia" w:ascii="宋体" w:hAnsi="宋体" w:eastAsia="宋体" w:cs="宋体"/>
                <w:color w:val="auto"/>
                <w:kern w:val="0"/>
                <w:szCs w:val="21"/>
                <w:highlight w:val="none"/>
              </w:rPr>
              <w:t>方式</w:t>
            </w:r>
            <w:r>
              <w:rPr>
                <w:rFonts w:hint="eastAsia" w:ascii="宋体" w:hAnsi="宋体" w:eastAsia="宋体" w:cs="宋体"/>
                <w:color w:val="auto"/>
                <w:kern w:val="0"/>
                <w:szCs w:val="21"/>
                <w:highlight w:val="none"/>
                <w:lang w:val="zh-CN"/>
              </w:rPr>
              <w:t>：0371-65580108</w:t>
            </w:r>
          </w:p>
        </w:tc>
      </w:tr>
      <w:tr w14:paraId="5BCF6013">
        <w:tblPrEx>
          <w:tblCellMar>
            <w:top w:w="0" w:type="dxa"/>
            <w:left w:w="108" w:type="dxa"/>
            <w:bottom w:w="0" w:type="dxa"/>
            <w:right w:w="108" w:type="dxa"/>
          </w:tblCellMar>
        </w:tblPrEx>
        <w:trPr>
          <w:trHeight w:val="1576" w:hRule="atLeast"/>
        </w:trPr>
        <w:tc>
          <w:tcPr>
            <w:tcW w:w="1050" w:type="dxa"/>
            <w:tcBorders>
              <w:top w:val="single" w:color="000000" w:sz="4" w:space="0"/>
              <w:left w:val="single" w:color="000000" w:sz="4" w:space="0"/>
              <w:bottom w:val="single" w:color="000000" w:sz="4" w:space="0"/>
              <w:right w:val="single" w:color="000000" w:sz="4" w:space="0"/>
            </w:tcBorders>
            <w:vAlign w:val="center"/>
          </w:tcPr>
          <w:p w14:paraId="26EC5698">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p>
        </w:tc>
        <w:tc>
          <w:tcPr>
            <w:tcW w:w="2129" w:type="dxa"/>
            <w:tcBorders>
              <w:top w:val="single" w:color="000000" w:sz="4" w:space="0"/>
              <w:left w:val="single" w:color="000000" w:sz="4" w:space="0"/>
              <w:bottom w:val="single" w:color="000000" w:sz="4" w:space="0"/>
              <w:right w:val="single" w:color="000000" w:sz="4" w:space="0"/>
            </w:tcBorders>
            <w:vAlign w:val="center"/>
          </w:tcPr>
          <w:p w14:paraId="6AFC8E63">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采购代理机构</w:t>
            </w:r>
          </w:p>
        </w:tc>
        <w:tc>
          <w:tcPr>
            <w:tcW w:w="5784" w:type="dxa"/>
            <w:tcBorders>
              <w:top w:val="single" w:color="000000" w:sz="4" w:space="0"/>
              <w:left w:val="single" w:color="000000" w:sz="4" w:space="0"/>
              <w:bottom w:val="single" w:color="000000" w:sz="4" w:space="0"/>
              <w:right w:val="single" w:color="000000" w:sz="4" w:space="0"/>
            </w:tcBorders>
            <w:vAlign w:val="center"/>
          </w:tcPr>
          <w:p w14:paraId="19FDBD76">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名称：河南精工工程管理咨询有限公司</w:t>
            </w:r>
          </w:p>
          <w:p w14:paraId="2578FD06">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址：河南自贸试验区郑州片区(郑东)商鼎路106号新时代商务中心3号楼26楼2612室</w:t>
            </w:r>
          </w:p>
          <w:p w14:paraId="2EE3BDBD">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联系人：翟昊飞、王茂、杨康、祝世然、石素敏</w:t>
            </w:r>
          </w:p>
          <w:p w14:paraId="0D8ACC92">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话：18538069073、0371-58603111</w:t>
            </w:r>
          </w:p>
        </w:tc>
      </w:tr>
      <w:tr w14:paraId="50255B86">
        <w:tblPrEx>
          <w:tblCellMar>
            <w:top w:w="0" w:type="dxa"/>
            <w:left w:w="108" w:type="dxa"/>
            <w:bottom w:w="0" w:type="dxa"/>
            <w:right w:w="108" w:type="dxa"/>
          </w:tblCellMar>
        </w:tblPrEx>
        <w:trPr>
          <w:trHeight w:val="849" w:hRule="atLeast"/>
        </w:trPr>
        <w:tc>
          <w:tcPr>
            <w:tcW w:w="1050" w:type="dxa"/>
            <w:tcBorders>
              <w:top w:val="single" w:color="000000" w:sz="4" w:space="0"/>
              <w:left w:val="single" w:color="000000" w:sz="4" w:space="0"/>
              <w:bottom w:val="single" w:color="000000" w:sz="4" w:space="0"/>
              <w:right w:val="single" w:color="000000" w:sz="4" w:space="0"/>
            </w:tcBorders>
            <w:vAlign w:val="center"/>
          </w:tcPr>
          <w:p w14:paraId="187E898D">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w:t>
            </w:r>
          </w:p>
        </w:tc>
        <w:tc>
          <w:tcPr>
            <w:tcW w:w="2129" w:type="dxa"/>
            <w:tcBorders>
              <w:top w:val="single" w:color="000000" w:sz="4" w:space="0"/>
              <w:left w:val="single" w:color="000000" w:sz="4" w:space="0"/>
              <w:bottom w:val="single" w:color="000000" w:sz="4" w:space="0"/>
              <w:right w:val="single" w:color="000000" w:sz="4" w:space="0"/>
            </w:tcBorders>
            <w:vAlign w:val="center"/>
          </w:tcPr>
          <w:p w14:paraId="0A50B6FF">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5784" w:type="dxa"/>
            <w:tcBorders>
              <w:top w:val="single" w:color="000000" w:sz="4" w:space="0"/>
              <w:left w:val="single" w:color="000000" w:sz="4" w:space="0"/>
              <w:bottom w:val="single" w:color="000000" w:sz="4" w:space="0"/>
              <w:right w:val="single" w:color="000000" w:sz="4" w:space="0"/>
            </w:tcBorders>
            <w:vAlign w:val="center"/>
          </w:tcPr>
          <w:p w14:paraId="584235C0">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河南省人民医院</w:t>
            </w:r>
            <w:r>
              <w:rPr>
                <w:rFonts w:hint="eastAsia" w:ascii="宋体" w:hAnsi="宋体" w:eastAsia="宋体" w:cs="宋体"/>
                <w:color w:val="auto"/>
                <w:kern w:val="0"/>
                <w:szCs w:val="21"/>
                <w:highlight w:val="none"/>
                <w:lang w:eastAsia="zh-CN"/>
              </w:rPr>
              <w:t>工会</w:t>
            </w: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eastAsia="zh-CN"/>
              </w:rPr>
              <w:t>会员</w:t>
            </w:r>
            <w:r>
              <w:rPr>
                <w:rFonts w:hint="eastAsia" w:ascii="宋体" w:hAnsi="宋体" w:eastAsia="宋体" w:cs="宋体"/>
                <w:color w:val="auto"/>
                <w:kern w:val="0"/>
                <w:szCs w:val="21"/>
                <w:highlight w:val="none"/>
              </w:rPr>
              <w:t>生日慰问品采购项目</w:t>
            </w:r>
          </w:p>
        </w:tc>
      </w:tr>
      <w:tr w14:paraId="5021DFF2">
        <w:tblPrEx>
          <w:tblCellMar>
            <w:top w:w="0" w:type="dxa"/>
            <w:left w:w="108" w:type="dxa"/>
            <w:bottom w:w="0" w:type="dxa"/>
            <w:right w:w="108" w:type="dxa"/>
          </w:tblCellMar>
        </w:tblPrEx>
        <w:trPr>
          <w:trHeight w:val="567" w:hRule="atLeast"/>
        </w:trPr>
        <w:tc>
          <w:tcPr>
            <w:tcW w:w="1050" w:type="dxa"/>
            <w:tcBorders>
              <w:top w:val="single" w:color="000000" w:sz="4" w:space="0"/>
              <w:left w:val="single" w:color="000000" w:sz="4" w:space="0"/>
              <w:bottom w:val="single" w:color="000000" w:sz="4" w:space="0"/>
              <w:right w:val="single" w:color="000000" w:sz="4" w:space="0"/>
            </w:tcBorders>
            <w:vAlign w:val="center"/>
          </w:tcPr>
          <w:p w14:paraId="68E1EDB6">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w:t>
            </w:r>
          </w:p>
        </w:tc>
        <w:tc>
          <w:tcPr>
            <w:tcW w:w="2129" w:type="dxa"/>
            <w:tcBorders>
              <w:top w:val="single" w:color="000000" w:sz="4" w:space="0"/>
              <w:left w:val="single" w:color="000000" w:sz="4" w:space="0"/>
              <w:bottom w:val="single" w:color="000000" w:sz="4" w:space="0"/>
              <w:right w:val="single" w:color="000000" w:sz="4" w:space="0"/>
            </w:tcBorders>
            <w:vAlign w:val="center"/>
          </w:tcPr>
          <w:p w14:paraId="22D57BF6">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highlight w:val="none"/>
              </w:rPr>
              <w:t>*</w:t>
            </w:r>
            <w:r>
              <w:rPr>
                <w:rFonts w:hint="eastAsia" w:ascii="宋体" w:hAnsi="宋体" w:eastAsia="宋体" w:cs="宋体"/>
                <w:color w:val="auto"/>
                <w:kern w:val="0"/>
                <w:szCs w:val="21"/>
                <w:highlight w:val="none"/>
              </w:rPr>
              <w:t>项目预算金额</w:t>
            </w:r>
          </w:p>
        </w:tc>
        <w:tc>
          <w:tcPr>
            <w:tcW w:w="5784" w:type="dxa"/>
            <w:tcBorders>
              <w:top w:val="single" w:color="000000" w:sz="4" w:space="0"/>
              <w:left w:val="single" w:color="000000" w:sz="4" w:space="0"/>
              <w:bottom w:val="single" w:color="000000" w:sz="4" w:space="0"/>
              <w:right w:val="single" w:color="000000" w:sz="4" w:space="0"/>
            </w:tcBorders>
            <w:vAlign w:val="center"/>
          </w:tcPr>
          <w:p w14:paraId="4449333E">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516</w:t>
            </w:r>
            <w:r>
              <w:rPr>
                <w:rFonts w:hint="eastAsia" w:ascii="宋体" w:hAnsi="宋体" w:eastAsia="宋体" w:cs="宋体"/>
                <w:color w:val="auto"/>
                <w:kern w:val="0"/>
                <w:szCs w:val="21"/>
                <w:highlight w:val="none"/>
              </w:rPr>
              <w:t>0000.00元</w:t>
            </w:r>
          </w:p>
        </w:tc>
      </w:tr>
      <w:tr w14:paraId="6D252ADE">
        <w:tblPrEx>
          <w:tblCellMar>
            <w:top w:w="0" w:type="dxa"/>
            <w:left w:w="108" w:type="dxa"/>
            <w:bottom w:w="0" w:type="dxa"/>
            <w:right w:w="108" w:type="dxa"/>
          </w:tblCellMar>
        </w:tblPrEx>
        <w:trPr>
          <w:trHeight w:val="567" w:hRule="atLeast"/>
        </w:trPr>
        <w:tc>
          <w:tcPr>
            <w:tcW w:w="1050" w:type="dxa"/>
            <w:tcBorders>
              <w:top w:val="single" w:color="000000" w:sz="4" w:space="0"/>
              <w:left w:val="single" w:color="000000" w:sz="4" w:space="0"/>
              <w:bottom w:val="single" w:color="000000" w:sz="4" w:space="0"/>
              <w:right w:val="single" w:color="000000" w:sz="4" w:space="0"/>
            </w:tcBorders>
            <w:vAlign w:val="center"/>
          </w:tcPr>
          <w:p w14:paraId="05FB3A48">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w:t>
            </w:r>
          </w:p>
        </w:tc>
        <w:tc>
          <w:tcPr>
            <w:tcW w:w="2129" w:type="dxa"/>
            <w:tcBorders>
              <w:top w:val="single" w:color="000000" w:sz="4" w:space="0"/>
              <w:left w:val="single" w:color="000000" w:sz="4" w:space="0"/>
              <w:bottom w:val="single" w:color="000000" w:sz="4" w:space="0"/>
              <w:right w:val="single" w:color="000000" w:sz="4" w:space="0"/>
            </w:tcBorders>
            <w:vAlign w:val="center"/>
          </w:tcPr>
          <w:p w14:paraId="044E365A">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资金来源和落实情况</w:t>
            </w:r>
          </w:p>
        </w:tc>
        <w:tc>
          <w:tcPr>
            <w:tcW w:w="5784" w:type="dxa"/>
            <w:tcBorders>
              <w:top w:val="single" w:color="000000" w:sz="4" w:space="0"/>
              <w:left w:val="single" w:color="000000" w:sz="4" w:space="0"/>
              <w:bottom w:val="single" w:color="000000" w:sz="4" w:space="0"/>
              <w:right w:val="single" w:color="000000" w:sz="4" w:space="0"/>
            </w:tcBorders>
            <w:vAlign w:val="center"/>
          </w:tcPr>
          <w:p w14:paraId="1D0DE23D">
            <w:pPr>
              <w:spacing w:line="360" w:lineRule="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自筹资金，已落实</w:t>
            </w:r>
            <w:r>
              <w:rPr>
                <w:rFonts w:hint="eastAsia" w:ascii="宋体" w:hAnsi="宋体" w:eastAsia="宋体" w:cs="宋体"/>
                <w:color w:val="auto"/>
                <w:kern w:val="0"/>
                <w:szCs w:val="21"/>
                <w:highlight w:val="none"/>
                <w:lang w:eastAsia="zh-CN"/>
              </w:rPr>
              <w:t>。</w:t>
            </w:r>
          </w:p>
        </w:tc>
      </w:tr>
      <w:tr w14:paraId="76FD39C0">
        <w:tblPrEx>
          <w:tblCellMar>
            <w:top w:w="0" w:type="dxa"/>
            <w:left w:w="108" w:type="dxa"/>
            <w:bottom w:w="0" w:type="dxa"/>
            <w:right w:w="108" w:type="dxa"/>
          </w:tblCellMar>
        </w:tblPrEx>
        <w:trPr>
          <w:trHeight w:val="704" w:hRule="atLeast"/>
        </w:trPr>
        <w:tc>
          <w:tcPr>
            <w:tcW w:w="1050" w:type="dxa"/>
            <w:tcBorders>
              <w:top w:val="single" w:color="000000" w:sz="4" w:space="0"/>
              <w:left w:val="single" w:color="000000" w:sz="4" w:space="0"/>
              <w:bottom w:val="single" w:color="000000" w:sz="4" w:space="0"/>
              <w:right w:val="single" w:color="000000" w:sz="4" w:space="0"/>
            </w:tcBorders>
            <w:vAlign w:val="center"/>
          </w:tcPr>
          <w:p w14:paraId="2DB6AC9C">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w:t>
            </w:r>
          </w:p>
        </w:tc>
        <w:tc>
          <w:tcPr>
            <w:tcW w:w="2129" w:type="dxa"/>
            <w:tcBorders>
              <w:top w:val="single" w:color="000000" w:sz="4" w:space="0"/>
              <w:left w:val="single" w:color="000000" w:sz="4" w:space="0"/>
              <w:bottom w:val="single" w:color="000000" w:sz="4" w:space="0"/>
              <w:right w:val="single" w:color="000000" w:sz="4" w:space="0"/>
            </w:tcBorders>
            <w:vAlign w:val="center"/>
          </w:tcPr>
          <w:p w14:paraId="2A588D82">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highlight w:val="none"/>
              </w:rPr>
              <w:t>*</w:t>
            </w:r>
            <w:r>
              <w:rPr>
                <w:rFonts w:hint="eastAsia" w:ascii="宋体" w:hAnsi="宋体" w:eastAsia="宋体" w:cs="宋体"/>
                <w:color w:val="auto"/>
                <w:kern w:val="0"/>
                <w:szCs w:val="21"/>
                <w:highlight w:val="none"/>
              </w:rPr>
              <w:t>采购范围</w:t>
            </w:r>
          </w:p>
        </w:tc>
        <w:tc>
          <w:tcPr>
            <w:tcW w:w="5784" w:type="dxa"/>
            <w:tcBorders>
              <w:top w:val="single" w:color="000000" w:sz="4" w:space="0"/>
              <w:left w:val="single" w:color="000000" w:sz="4" w:space="0"/>
              <w:bottom w:val="single" w:color="000000" w:sz="4" w:space="0"/>
              <w:right w:val="single" w:color="000000" w:sz="4" w:space="0"/>
            </w:tcBorders>
            <w:vAlign w:val="center"/>
          </w:tcPr>
          <w:p w14:paraId="0414B640">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生日慰问品及其供货、运输配送、保险、质保、售后及相关伴随的服务。</w:t>
            </w:r>
          </w:p>
        </w:tc>
      </w:tr>
      <w:tr w14:paraId="47035E65">
        <w:tblPrEx>
          <w:tblCellMar>
            <w:top w:w="0" w:type="dxa"/>
            <w:left w:w="108" w:type="dxa"/>
            <w:bottom w:w="0" w:type="dxa"/>
            <w:right w:w="108" w:type="dxa"/>
          </w:tblCellMar>
        </w:tblPrEx>
        <w:trPr>
          <w:trHeight w:val="662" w:hRule="atLeast"/>
        </w:trPr>
        <w:tc>
          <w:tcPr>
            <w:tcW w:w="1050" w:type="dxa"/>
            <w:tcBorders>
              <w:top w:val="single" w:color="000000" w:sz="4" w:space="0"/>
              <w:left w:val="single" w:color="000000" w:sz="4" w:space="0"/>
              <w:bottom w:val="single" w:color="000000" w:sz="4" w:space="0"/>
              <w:right w:val="single" w:color="000000" w:sz="4" w:space="0"/>
            </w:tcBorders>
            <w:vAlign w:val="center"/>
          </w:tcPr>
          <w:p w14:paraId="724F7F3B">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w:t>
            </w:r>
          </w:p>
        </w:tc>
        <w:tc>
          <w:tcPr>
            <w:tcW w:w="2129" w:type="dxa"/>
            <w:tcBorders>
              <w:top w:val="single" w:color="000000" w:sz="4" w:space="0"/>
              <w:left w:val="single" w:color="000000" w:sz="4" w:space="0"/>
              <w:bottom w:val="single" w:color="000000" w:sz="4" w:space="0"/>
              <w:right w:val="single" w:color="000000" w:sz="4" w:space="0"/>
            </w:tcBorders>
            <w:vAlign w:val="center"/>
          </w:tcPr>
          <w:p w14:paraId="526A3ACB">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highlight w:val="none"/>
              </w:rPr>
              <w:t>*</w:t>
            </w:r>
            <w:r>
              <w:rPr>
                <w:rFonts w:hint="eastAsia" w:ascii="宋体" w:hAnsi="宋体" w:eastAsia="宋体" w:cs="宋体"/>
                <w:color w:val="auto"/>
                <w:kern w:val="0"/>
                <w:szCs w:val="21"/>
                <w:highlight w:val="none"/>
              </w:rPr>
              <w:t>供提货要求</w:t>
            </w:r>
          </w:p>
        </w:tc>
        <w:tc>
          <w:tcPr>
            <w:tcW w:w="5784" w:type="dxa"/>
            <w:tcBorders>
              <w:top w:val="single" w:color="000000" w:sz="4" w:space="0"/>
              <w:left w:val="single" w:color="000000" w:sz="4" w:space="0"/>
              <w:bottom w:val="single" w:color="000000" w:sz="4" w:space="0"/>
              <w:right w:val="single" w:color="000000" w:sz="4" w:space="0"/>
            </w:tcBorders>
            <w:vAlign w:val="center"/>
          </w:tcPr>
          <w:p w14:paraId="679D95BD">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按采购人要求供货（具体要求详见招标文件第五章）</w:t>
            </w:r>
          </w:p>
        </w:tc>
      </w:tr>
      <w:tr w14:paraId="661E2C4D">
        <w:tblPrEx>
          <w:tblCellMar>
            <w:top w:w="0" w:type="dxa"/>
            <w:left w:w="108" w:type="dxa"/>
            <w:bottom w:w="0" w:type="dxa"/>
            <w:right w:w="108" w:type="dxa"/>
          </w:tblCellMar>
        </w:tblPrEx>
        <w:trPr>
          <w:trHeight w:val="240" w:hRule="atLeast"/>
        </w:trPr>
        <w:tc>
          <w:tcPr>
            <w:tcW w:w="1050" w:type="dxa"/>
            <w:tcBorders>
              <w:top w:val="single" w:color="000000" w:sz="4" w:space="0"/>
              <w:left w:val="single" w:color="000000" w:sz="4" w:space="0"/>
              <w:bottom w:val="single" w:color="000000" w:sz="4" w:space="0"/>
              <w:right w:val="single" w:color="000000" w:sz="4" w:space="0"/>
            </w:tcBorders>
            <w:vAlign w:val="center"/>
          </w:tcPr>
          <w:p w14:paraId="1B94D242">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1.3.3</w:t>
            </w:r>
          </w:p>
        </w:tc>
        <w:tc>
          <w:tcPr>
            <w:tcW w:w="2129" w:type="dxa"/>
            <w:tcBorders>
              <w:top w:val="single" w:color="000000" w:sz="4" w:space="0"/>
              <w:left w:val="single" w:color="000000" w:sz="4" w:space="0"/>
              <w:bottom w:val="single" w:color="000000" w:sz="4" w:space="0"/>
              <w:right w:val="single" w:color="000000" w:sz="4" w:space="0"/>
            </w:tcBorders>
            <w:vAlign w:val="center"/>
          </w:tcPr>
          <w:p w14:paraId="08867012">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*服务期限</w:t>
            </w:r>
          </w:p>
        </w:tc>
        <w:tc>
          <w:tcPr>
            <w:tcW w:w="5784" w:type="dxa"/>
            <w:tcBorders>
              <w:top w:val="single" w:color="000000" w:sz="4" w:space="0"/>
              <w:left w:val="single" w:color="000000" w:sz="4" w:space="0"/>
              <w:bottom w:val="single" w:color="000000" w:sz="4" w:space="0"/>
              <w:right w:val="single" w:color="000000" w:sz="4" w:space="0"/>
            </w:tcBorders>
            <w:vAlign w:val="center"/>
          </w:tcPr>
          <w:p w14:paraId="640501F0">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lang w:eastAsia="zh-CN"/>
              </w:rPr>
              <w:t>两年，即</w:t>
            </w:r>
            <w:r>
              <w:rPr>
                <w:rFonts w:hint="eastAsia" w:ascii="宋体" w:hAnsi="宋体" w:eastAsia="宋体" w:cs="宋体"/>
                <w:color w:val="auto"/>
                <w:highlight w:val="none"/>
                <w:lang w:val="en-US" w:eastAsia="zh-CN"/>
              </w:rPr>
              <w:t>2026年1月1日--2027年12月31日。</w:t>
            </w:r>
          </w:p>
        </w:tc>
      </w:tr>
      <w:tr w14:paraId="35619F42">
        <w:tblPrEx>
          <w:tblCellMar>
            <w:top w:w="0" w:type="dxa"/>
            <w:left w:w="108" w:type="dxa"/>
            <w:bottom w:w="0" w:type="dxa"/>
            <w:right w:w="108" w:type="dxa"/>
          </w:tblCellMar>
        </w:tblPrEx>
        <w:trPr>
          <w:trHeight w:val="567" w:hRule="atLeast"/>
        </w:trPr>
        <w:tc>
          <w:tcPr>
            <w:tcW w:w="1050" w:type="dxa"/>
            <w:tcBorders>
              <w:top w:val="single" w:color="000000" w:sz="4" w:space="0"/>
              <w:left w:val="single" w:color="000000" w:sz="4" w:space="0"/>
              <w:bottom w:val="single" w:color="000000" w:sz="4" w:space="0"/>
              <w:right w:val="single" w:color="000000" w:sz="4" w:space="0"/>
            </w:tcBorders>
            <w:vAlign w:val="center"/>
          </w:tcPr>
          <w:p w14:paraId="1ABF2F81">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1.3.4</w:t>
            </w:r>
          </w:p>
        </w:tc>
        <w:tc>
          <w:tcPr>
            <w:tcW w:w="2129" w:type="dxa"/>
            <w:tcBorders>
              <w:top w:val="single" w:color="000000" w:sz="4" w:space="0"/>
              <w:left w:val="single" w:color="000000" w:sz="4" w:space="0"/>
              <w:bottom w:val="single" w:color="000000" w:sz="4" w:space="0"/>
              <w:right w:val="single" w:color="000000" w:sz="4" w:space="0"/>
            </w:tcBorders>
            <w:vAlign w:val="center"/>
          </w:tcPr>
          <w:p w14:paraId="14CD96F4">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highlight w:val="none"/>
              </w:rPr>
              <w:t>*</w:t>
            </w:r>
            <w:r>
              <w:rPr>
                <w:rFonts w:hint="eastAsia" w:ascii="宋体" w:hAnsi="宋体" w:eastAsia="宋体" w:cs="宋体"/>
                <w:color w:val="auto"/>
                <w:kern w:val="0"/>
                <w:szCs w:val="21"/>
                <w:highlight w:val="none"/>
              </w:rPr>
              <w:t>交货地点</w:t>
            </w:r>
          </w:p>
        </w:tc>
        <w:tc>
          <w:tcPr>
            <w:tcW w:w="5784" w:type="dxa"/>
            <w:tcBorders>
              <w:top w:val="single" w:color="000000" w:sz="4" w:space="0"/>
              <w:left w:val="single" w:color="000000" w:sz="4" w:space="0"/>
              <w:bottom w:val="single" w:color="000000" w:sz="4" w:space="0"/>
              <w:right w:val="single" w:color="000000" w:sz="4" w:space="0"/>
            </w:tcBorders>
            <w:vAlign w:val="center"/>
          </w:tcPr>
          <w:p w14:paraId="40400BF4">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采购人指定地点</w:t>
            </w:r>
          </w:p>
        </w:tc>
      </w:tr>
      <w:tr w14:paraId="082831C3">
        <w:tblPrEx>
          <w:tblCellMar>
            <w:top w:w="0" w:type="dxa"/>
            <w:left w:w="108" w:type="dxa"/>
            <w:bottom w:w="0" w:type="dxa"/>
            <w:right w:w="108" w:type="dxa"/>
          </w:tblCellMar>
        </w:tblPrEx>
        <w:trPr>
          <w:trHeight w:val="1145" w:hRule="atLeast"/>
        </w:trPr>
        <w:tc>
          <w:tcPr>
            <w:tcW w:w="1050" w:type="dxa"/>
            <w:tcBorders>
              <w:top w:val="single" w:color="000000" w:sz="4" w:space="0"/>
              <w:left w:val="single" w:color="000000" w:sz="4" w:space="0"/>
              <w:bottom w:val="single" w:color="000000" w:sz="4" w:space="0"/>
              <w:right w:val="single" w:color="000000" w:sz="4" w:space="0"/>
            </w:tcBorders>
            <w:vAlign w:val="center"/>
          </w:tcPr>
          <w:p w14:paraId="4776E905">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1.3.5</w:t>
            </w:r>
          </w:p>
        </w:tc>
        <w:tc>
          <w:tcPr>
            <w:tcW w:w="2129" w:type="dxa"/>
            <w:tcBorders>
              <w:top w:val="single" w:color="000000" w:sz="4" w:space="0"/>
              <w:left w:val="single" w:color="000000" w:sz="4" w:space="0"/>
              <w:bottom w:val="single" w:color="000000" w:sz="4" w:space="0"/>
              <w:right w:val="single" w:color="000000" w:sz="4" w:space="0"/>
            </w:tcBorders>
            <w:vAlign w:val="center"/>
          </w:tcPr>
          <w:p w14:paraId="3A875150">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highlight w:val="none"/>
              </w:rPr>
              <w:t>*</w:t>
            </w:r>
            <w:r>
              <w:rPr>
                <w:rFonts w:hint="eastAsia" w:ascii="宋体" w:hAnsi="宋体" w:eastAsia="宋体" w:cs="宋体"/>
                <w:color w:val="auto"/>
                <w:kern w:val="0"/>
                <w:szCs w:val="21"/>
                <w:highlight w:val="none"/>
              </w:rPr>
              <w:t>质量标准</w:t>
            </w:r>
          </w:p>
        </w:tc>
        <w:tc>
          <w:tcPr>
            <w:tcW w:w="5784" w:type="dxa"/>
            <w:tcBorders>
              <w:top w:val="single" w:color="000000" w:sz="4" w:space="0"/>
              <w:left w:val="single" w:color="000000" w:sz="4" w:space="0"/>
              <w:bottom w:val="single" w:color="000000" w:sz="4" w:space="0"/>
              <w:right w:val="single" w:color="000000" w:sz="4" w:space="0"/>
            </w:tcBorders>
            <w:vAlign w:val="center"/>
          </w:tcPr>
          <w:p w14:paraId="1D179C8F">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所供产品须符合《中华人民共和国食品安全法》、《中华人民共和国产品质量法》及其他相关规定，且符合国家和行业相应标准、规格及包装要求。</w:t>
            </w:r>
          </w:p>
        </w:tc>
      </w:tr>
      <w:tr w14:paraId="68A3C742">
        <w:tblPrEx>
          <w:tblCellMar>
            <w:top w:w="0" w:type="dxa"/>
            <w:left w:w="108" w:type="dxa"/>
            <w:bottom w:w="0" w:type="dxa"/>
            <w:right w:w="108" w:type="dxa"/>
          </w:tblCellMar>
        </w:tblPrEx>
        <w:trPr>
          <w:trHeight w:val="550" w:hRule="atLeast"/>
        </w:trPr>
        <w:tc>
          <w:tcPr>
            <w:tcW w:w="1050" w:type="dxa"/>
            <w:tcBorders>
              <w:top w:val="single" w:color="000000" w:sz="4" w:space="0"/>
              <w:left w:val="single" w:color="000000" w:sz="4" w:space="0"/>
              <w:bottom w:val="single" w:color="000000" w:sz="4" w:space="0"/>
              <w:right w:val="single" w:color="000000" w:sz="4" w:space="0"/>
            </w:tcBorders>
            <w:vAlign w:val="center"/>
          </w:tcPr>
          <w:p w14:paraId="061372E9">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1.3.6</w:t>
            </w:r>
          </w:p>
        </w:tc>
        <w:tc>
          <w:tcPr>
            <w:tcW w:w="2129" w:type="dxa"/>
            <w:tcBorders>
              <w:top w:val="single" w:color="000000" w:sz="4" w:space="0"/>
              <w:left w:val="single" w:color="000000" w:sz="4" w:space="0"/>
              <w:bottom w:val="single" w:color="000000" w:sz="4" w:space="0"/>
              <w:right w:val="single" w:color="000000" w:sz="4" w:space="0"/>
            </w:tcBorders>
            <w:vAlign w:val="center"/>
          </w:tcPr>
          <w:p w14:paraId="40D4F029">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highlight w:val="none"/>
              </w:rPr>
              <w:t>*</w:t>
            </w:r>
            <w:r>
              <w:rPr>
                <w:rFonts w:hint="eastAsia" w:ascii="宋体" w:hAnsi="宋体" w:eastAsia="宋体" w:cs="宋体"/>
                <w:color w:val="auto"/>
                <w:kern w:val="0"/>
                <w:szCs w:val="21"/>
                <w:highlight w:val="none"/>
              </w:rPr>
              <w:t>合同履行期限</w:t>
            </w:r>
          </w:p>
        </w:tc>
        <w:tc>
          <w:tcPr>
            <w:tcW w:w="5784" w:type="dxa"/>
            <w:tcBorders>
              <w:top w:val="single" w:color="000000" w:sz="4" w:space="0"/>
              <w:left w:val="single" w:color="000000" w:sz="4" w:space="0"/>
              <w:bottom w:val="single" w:color="000000" w:sz="4" w:space="0"/>
              <w:right w:val="single" w:color="000000" w:sz="4" w:space="0"/>
            </w:tcBorders>
            <w:vAlign w:val="center"/>
          </w:tcPr>
          <w:p w14:paraId="416B61DE">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同服务期限</w:t>
            </w:r>
          </w:p>
        </w:tc>
      </w:tr>
      <w:tr w14:paraId="024E95AF">
        <w:tblPrEx>
          <w:tblCellMar>
            <w:top w:w="0" w:type="dxa"/>
            <w:left w:w="108" w:type="dxa"/>
            <w:bottom w:w="0" w:type="dxa"/>
            <w:right w:w="108" w:type="dxa"/>
          </w:tblCellMar>
        </w:tblPrEx>
        <w:trPr>
          <w:trHeight w:val="225" w:hRule="atLeast"/>
        </w:trPr>
        <w:tc>
          <w:tcPr>
            <w:tcW w:w="1050" w:type="dxa"/>
            <w:tcBorders>
              <w:top w:val="single" w:color="000000" w:sz="4" w:space="0"/>
              <w:left w:val="single" w:color="000000" w:sz="4" w:space="0"/>
              <w:bottom w:val="single" w:color="000000" w:sz="4" w:space="0"/>
              <w:right w:val="single" w:color="000000" w:sz="4" w:space="0"/>
            </w:tcBorders>
            <w:vAlign w:val="center"/>
          </w:tcPr>
          <w:p w14:paraId="51EEF750">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w:t>
            </w:r>
          </w:p>
        </w:tc>
        <w:tc>
          <w:tcPr>
            <w:tcW w:w="2129" w:type="dxa"/>
            <w:tcBorders>
              <w:top w:val="single" w:color="000000" w:sz="4" w:space="0"/>
              <w:left w:val="single" w:color="000000" w:sz="4" w:space="0"/>
              <w:bottom w:val="single" w:color="000000" w:sz="4" w:space="0"/>
              <w:right w:val="single" w:color="000000" w:sz="4" w:space="0"/>
            </w:tcBorders>
            <w:vAlign w:val="center"/>
          </w:tcPr>
          <w:p w14:paraId="5D782C5E">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w:t>
            </w:r>
          </w:p>
        </w:tc>
        <w:tc>
          <w:tcPr>
            <w:tcW w:w="5784" w:type="dxa"/>
            <w:tcBorders>
              <w:top w:val="single" w:color="000000" w:sz="4" w:space="0"/>
              <w:left w:val="single" w:color="000000" w:sz="4" w:space="0"/>
              <w:bottom w:val="single" w:color="000000" w:sz="4" w:space="0"/>
              <w:right w:val="single" w:color="000000" w:sz="4" w:space="0"/>
            </w:tcBorders>
            <w:vAlign w:val="center"/>
          </w:tcPr>
          <w:p w14:paraId="00B12DBD">
            <w:pPr>
              <w:widowControl/>
              <w:adjustRightInd w:val="0"/>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1、满足《中华人民共和国政府采购法》第二十二条规定；</w:t>
            </w:r>
          </w:p>
          <w:p w14:paraId="1EBBAB1F">
            <w:pPr>
              <w:widowControl/>
              <w:adjustRightInd w:val="0"/>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2、落实政府采购政策需满足的资格要求：无</w:t>
            </w:r>
          </w:p>
          <w:p w14:paraId="6AF49935">
            <w:pPr>
              <w:widowControl/>
              <w:adjustRightInd w:val="0"/>
              <w:snapToGrid w:val="0"/>
              <w:spacing w:line="360" w:lineRule="auto"/>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3、本项目的特定资格要求：</w:t>
            </w:r>
          </w:p>
          <w:p w14:paraId="225B3CF0">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3.1 具有独立承担民事责任的能力：供应商提供法人或者其他组织的营业执照等证明文件或自然人的身份证明。</w:t>
            </w:r>
          </w:p>
          <w:p w14:paraId="1C4B435E">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3.2 具有良好的商业信誉和健全的财务会计制度：供应商提供2024年度经审计的财务审计报告或其基本户开户银行出具的资信证明。</w:t>
            </w:r>
          </w:p>
          <w:p w14:paraId="5496A3E8">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3.3 具有履行合同所必需的设备和专业技术能力：供应商出具证明材料或加盖公章的承诺书。</w:t>
            </w:r>
          </w:p>
          <w:p w14:paraId="56C5CD08">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3.4 有依法缴纳税收和社会保障资金的良好记录：供应商提供</w:t>
            </w:r>
            <w:r>
              <w:rPr>
                <w:rFonts w:hint="eastAsia" w:ascii="宋体" w:hAnsi="宋体" w:eastAsia="宋体" w:cs="宋体"/>
                <w:color w:val="auto"/>
                <w:kern w:val="0"/>
                <w:szCs w:val="21"/>
                <w:highlight w:val="none"/>
                <w:lang w:val="en-US" w:eastAsia="zh-CN"/>
              </w:rPr>
              <w:t>近半年</w:t>
            </w:r>
            <w:r>
              <w:rPr>
                <w:rFonts w:hint="eastAsia" w:ascii="宋体" w:hAnsi="宋体" w:eastAsia="宋体" w:cs="宋体"/>
                <w:color w:val="auto"/>
                <w:kern w:val="0"/>
                <w:szCs w:val="21"/>
                <w:highlight w:val="none"/>
                <w:lang w:val="zh-CN"/>
              </w:rPr>
              <w:t>以来任意一个月的供应商缴纳税收证明材料和供应商缴纳社会保障资金证明材料（依法免税或不需要缴纳社会保障资金的供应商，应提供相关证明文件证明其依法免税或不需要缴纳社会保障金）。</w:t>
            </w:r>
          </w:p>
          <w:p w14:paraId="66AD2A16">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3.5 参加政府采购活动前三年内在经营活动中没有重大违法记录的书面声明：供应商提供加盖公章的无重大违法记录的书面声明（格式自拟）。</w:t>
            </w:r>
          </w:p>
          <w:p w14:paraId="6F79B26E">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3.6信用要求：根据《关于在政府采购活动中查询及使用信用记录有关问题的通知》（财库〔2016〕125号）和《河南省财政厅关于转发财政部关于在政府采购活动中查询及使用信用记录有关问题的通知的通知》（豫财购〔2016〕15号）的规定，对列入失信被执行人、重大税收违法失信主体名单、政府采购严重违法失信行为记录名单的供应商，拒绝参与本项目政府采购活动（查询渠道：“中国执行信息公开网”网站：查询失信被执行人；“信用中国”网站：查询重大税收违法失信主体名单；“中国政府采购网”网站：查询政府采购严重违法失信行为记录名单）。注：采购代理机构在开标当天将对所有参与本项目投标的供应商的信用情况（失信被执行人名单、重大税收违法失信主体名单、政府采购严重违法失信行为记录名单）进行查询、打印留存。若在开标当天查询到供应商有相关负面信息的，则该供应商为无效供应商。</w:t>
            </w:r>
          </w:p>
          <w:p w14:paraId="7AC5C712">
            <w:pPr>
              <w:widowControl/>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3.7单位负责人为同一人或者存在直接控股、管理关系的不同供应商，不得参加同一合同项下的政府采购活动。</w:t>
            </w:r>
          </w:p>
          <w:p w14:paraId="50243CFF">
            <w:pPr>
              <w:widowControl/>
              <w:adjustRightInd w:val="0"/>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4.符合法律法规规定的其他条件。</w:t>
            </w:r>
          </w:p>
        </w:tc>
      </w:tr>
      <w:tr w14:paraId="0B5CF3CA">
        <w:tblPrEx>
          <w:tblCellMar>
            <w:top w:w="0" w:type="dxa"/>
            <w:left w:w="108" w:type="dxa"/>
            <w:bottom w:w="0" w:type="dxa"/>
            <w:right w:w="108" w:type="dxa"/>
          </w:tblCellMar>
        </w:tblPrEx>
        <w:trPr>
          <w:trHeight w:val="567" w:hRule="atLeast"/>
        </w:trPr>
        <w:tc>
          <w:tcPr>
            <w:tcW w:w="1050" w:type="dxa"/>
            <w:tcBorders>
              <w:top w:val="single" w:color="000000" w:sz="4" w:space="0"/>
              <w:left w:val="single" w:color="000000" w:sz="4" w:space="0"/>
              <w:bottom w:val="single" w:color="000000" w:sz="4" w:space="0"/>
              <w:right w:val="single" w:color="000000" w:sz="4" w:space="0"/>
            </w:tcBorders>
            <w:vAlign w:val="center"/>
          </w:tcPr>
          <w:p w14:paraId="7E211175">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1.4.2</w:t>
            </w:r>
          </w:p>
        </w:tc>
        <w:tc>
          <w:tcPr>
            <w:tcW w:w="2129" w:type="dxa"/>
            <w:tcBorders>
              <w:top w:val="single" w:color="000000" w:sz="4" w:space="0"/>
              <w:left w:val="single" w:color="000000" w:sz="4" w:space="0"/>
              <w:bottom w:val="single" w:color="000000" w:sz="4" w:space="0"/>
              <w:right w:val="single" w:color="000000" w:sz="4" w:space="0"/>
            </w:tcBorders>
            <w:vAlign w:val="center"/>
          </w:tcPr>
          <w:p w14:paraId="0943D76C">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是否接受联合体投标</w:t>
            </w:r>
          </w:p>
        </w:tc>
        <w:tc>
          <w:tcPr>
            <w:tcW w:w="5784" w:type="dxa"/>
            <w:tcBorders>
              <w:top w:val="single" w:color="000000" w:sz="4" w:space="0"/>
              <w:left w:val="single" w:color="000000" w:sz="4" w:space="0"/>
              <w:bottom w:val="single" w:color="000000" w:sz="4" w:space="0"/>
              <w:right w:val="single" w:color="000000" w:sz="4" w:space="0"/>
            </w:tcBorders>
            <w:vAlign w:val="center"/>
          </w:tcPr>
          <w:p w14:paraId="52791213">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不接受</w:t>
            </w:r>
          </w:p>
        </w:tc>
      </w:tr>
      <w:tr w14:paraId="28F19F4E">
        <w:tblPrEx>
          <w:tblCellMar>
            <w:top w:w="0" w:type="dxa"/>
            <w:left w:w="108" w:type="dxa"/>
            <w:bottom w:w="0" w:type="dxa"/>
            <w:right w:w="108" w:type="dxa"/>
          </w:tblCellMar>
        </w:tblPrEx>
        <w:trPr>
          <w:trHeight w:val="567" w:hRule="atLeast"/>
        </w:trPr>
        <w:tc>
          <w:tcPr>
            <w:tcW w:w="1050" w:type="dxa"/>
            <w:tcBorders>
              <w:top w:val="single" w:color="000000" w:sz="4" w:space="0"/>
              <w:left w:val="single" w:color="000000" w:sz="4" w:space="0"/>
              <w:bottom w:val="single" w:color="000000" w:sz="4" w:space="0"/>
              <w:right w:val="single" w:color="000000" w:sz="4" w:space="0"/>
            </w:tcBorders>
            <w:vAlign w:val="center"/>
          </w:tcPr>
          <w:p w14:paraId="5866A9E5">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w:t>
            </w:r>
          </w:p>
        </w:tc>
        <w:tc>
          <w:tcPr>
            <w:tcW w:w="2129" w:type="dxa"/>
            <w:tcBorders>
              <w:top w:val="single" w:color="000000" w:sz="4" w:space="0"/>
              <w:left w:val="single" w:color="000000" w:sz="4" w:space="0"/>
              <w:bottom w:val="single" w:color="000000" w:sz="4" w:space="0"/>
              <w:right w:val="single" w:color="000000" w:sz="4" w:space="0"/>
            </w:tcBorders>
            <w:vAlign w:val="center"/>
          </w:tcPr>
          <w:p w14:paraId="73E2937E">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w:t>
            </w:r>
          </w:p>
        </w:tc>
        <w:tc>
          <w:tcPr>
            <w:tcW w:w="5784" w:type="dxa"/>
            <w:tcBorders>
              <w:top w:val="single" w:color="000000" w:sz="4" w:space="0"/>
              <w:left w:val="single" w:color="000000" w:sz="4" w:space="0"/>
              <w:bottom w:val="single" w:color="000000" w:sz="4" w:space="0"/>
              <w:right w:val="single" w:color="000000" w:sz="4" w:space="0"/>
            </w:tcBorders>
            <w:vAlign w:val="center"/>
          </w:tcPr>
          <w:p w14:paraId="68F1B26E">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踏勘现场：</w:t>
            </w:r>
          </w:p>
          <w:p w14:paraId="25E64DB2">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☑不组织</w:t>
            </w:r>
          </w:p>
          <w:p w14:paraId="6CEBDE04">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□组织，踏勘时间： / </w:t>
            </w:r>
          </w:p>
          <w:p w14:paraId="3D457DAC">
            <w:pPr>
              <w:spacing w:line="360" w:lineRule="auto"/>
              <w:ind w:firstLine="840" w:firstLineChars="4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踏勘集中地点： /</w:t>
            </w:r>
          </w:p>
        </w:tc>
      </w:tr>
      <w:tr w14:paraId="202E4036">
        <w:tblPrEx>
          <w:tblCellMar>
            <w:top w:w="0" w:type="dxa"/>
            <w:left w:w="108" w:type="dxa"/>
            <w:bottom w:w="0" w:type="dxa"/>
            <w:right w:w="108" w:type="dxa"/>
          </w:tblCellMar>
        </w:tblPrEx>
        <w:trPr>
          <w:trHeight w:val="697" w:hRule="atLeast"/>
        </w:trPr>
        <w:tc>
          <w:tcPr>
            <w:tcW w:w="1050" w:type="dxa"/>
            <w:tcBorders>
              <w:top w:val="single" w:color="000000" w:sz="4" w:space="0"/>
              <w:left w:val="single" w:color="000000" w:sz="4" w:space="0"/>
              <w:bottom w:val="single" w:color="000000" w:sz="4" w:space="0"/>
              <w:right w:val="single" w:color="000000" w:sz="4" w:space="0"/>
            </w:tcBorders>
            <w:vAlign w:val="center"/>
          </w:tcPr>
          <w:p w14:paraId="46134829">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1.10</w:t>
            </w:r>
          </w:p>
        </w:tc>
        <w:tc>
          <w:tcPr>
            <w:tcW w:w="2129" w:type="dxa"/>
            <w:tcBorders>
              <w:top w:val="single" w:color="000000" w:sz="4" w:space="0"/>
              <w:left w:val="single" w:color="000000" w:sz="4" w:space="0"/>
              <w:bottom w:val="single" w:color="000000" w:sz="4" w:space="0"/>
              <w:right w:val="single" w:color="000000" w:sz="4" w:space="0"/>
            </w:tcBorders>
            <w:vAlign w:val="center"/>
          </w:tcPr>
          <w:p w14:paraId="6FB71F4E">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分包</w:t>
            </w:r>
          </w:p>
        </w:tc>
        <w:tc>
          <w:tcPr>
            <w:tcW w:w="5784" w:type="dxa"/>
            <w:tcBorders>
              <w:top w:val="single" w:color="000000" w:sz="4" w:space="0"/>
              <w:left w:val="single" w:color="000000" w:sz="4" w:space="0"/>
              <w:bottom w:val="single" w:color="000000" w:sz="4" w:space="0"/>
              <w:right w:val="single" w:color="000000" w:sz="4" w:space="0"/>
            </w:tcBorders>
            <w:vAlign w:val="center"/>
          </w:tcPr>
          <w:p w14:paraId="5C522B1C">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不允许</w:t>
            </w:r>
          </w:p>
        </w:tc>
      </w:tr>
      <w:tr w14:paraId="7EB9E315">
        <w:tblPrEx>
          <w:tblCellMar>
            <w:top w:w="0" w:type="dxa"/>
            <w:left w:w="108" w:type="dxa"/>
            <w:bottom w:w="0" w:type="dxa"/>
            <w:right w:w="108" w:type="dxa"/>
          </w:tblCellMar>
        </w:tblPrEx>
        <w:trPr>
          <w:trHeight w:val="695" w:hRule="atLeast"/>
        </w:trPr>
        <w:tc>
          <w:tcPr>
            <w:tcW w:w="1050" w:type="dxa"/>
            <w:tcBorders>
              <w:top w:val="single" w:color="000000" w:sz="4" w:space="0"/>
              <w:left w:val="single" w:color="000000" w:sz="4" w:space="0"/>
              <w:bottom w:val="single" w:color="000000" w:sz="4" w:space="0"/>
              <w:right w:val="single" w:color="000000" w:sz="4" w:space="0"/>
            </w:tcBorders>
            <w:vAlign w:val="center"/>
          </w:tcPr>
          <w:p w14:paraId="57EBD75D">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1.11.1</w:t>
            </w:r>
          </w:p>
        </w:tc>
        <w:tc>
          <w:tcPr>
            <w:tcW w:w="2129" w:type="dxa"/>
            <w:tcBorders>
              <w:top w:val="single" w:color="000000" w:sz="4" w:space="0"/>
              <w:left w:val="single" w:color="000000" w:sz="4" w:space="0"/>
              <w:bottom w:val="single" w:color="000000" w:sz="4" w:space="0"/>
              <w:right w:val="single" w:color="000000" w:sz="4" w:space="0"/>
            </w:tcBorders>
            <w:vAlign w:val="center"/>
          </w:tcPr>
          <w:p w14:paraId="7840AB68">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实质性要求和条件</w:t>
            </w:r>
          </w:p>
        </w:tc>
        <w:tc>
          <w:tcPr>
            <w:tcW w:w="5784" w:type="dxa"/>
            <w:tcBorders>
              <w:top w:val="single" w:color="000000" w:sz="4" w:space="0"/>
              <w:left w:val="single" w:color="000000" w:sz="4" w:space="0"/>
              <w:bottom w:val="single" w:color="000000" w:sz="4" w:space="0"/>
              <w:right w:val="single" w:color="000000" w:sz="4" w:space="0"/>
            </w:tcBorders>
            <w:vAlign w:val="center"/>
          </w:tcPr>
          <w:p w14:paraId="7B592C56">
            <w:pPr>
              <w:spacing w:line="360" w:lineRule="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见招标文件第三章资格审查表、形式评审表和符合性评审表</w:t>
            </w:r>
            <w:r>
              <w:rPr>
                <w:rFonts w:hint="eastAsia" w:ascii="宋体" w:hAnsi="宋体" w:eastAsia="宋体" w:cs="宋体"/>
                <w:color w:val="auto"/>
                <w:kern w:val="0"/>
                <w:szCs w:val="21"/>
                <w:highlight w:val="none"/>
                <w:lang w:eastAsia="zh-CN"/>
              </w:rPr>
              <w:t>。</w:t>
            </w:r>
          </w:p>
        </w:tc>
      </w:tr>
      <w:tr w14:paraId="5B567A53">
        <w:tblPrEx>
          <w:tblCellMar>
            <w:top w:w="0" w:type="dxa"/>
            <w:left w:w="108" w:type="dxa"/>
            <w:bottom w:w="0" w:type="dxa"/>
            <w:right w:w="108" w:type="dxa"/>
          </w:tblCellMar>
        </w:tblPrEx>
        <w:trPr>
          <w:trHeight w:val="1315" w:hRule="atLeast"/>
        </w:trPr>
        <w:tc>
          <w:tcPr>
            <w:tcW w:w="1050" w:type="dxa"/>
            <w:tcBorders>
              <w:top w:val="single" w:color="000000" w:sz="4" w:space="0"/>
              <w:left w:val="single" w:color="000000" w:sz="4" w:space="0"/>
              <w:bottom w:val="single" w:color="000000" w:sz="4" w:space="0"/>
              <w:right w:val="single" w:color="000000" w:sz="4" w:space="0"/>
            </w:tcBorders>
            <w:vAlign w:val="center"/>
          </w:tcPr>
          <w:p w14:paraId="4D3FCEC8">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2.2.1</w:t>
            </w:r>
          </w:p>
        </w:tc>
        <w:tc>
          <w:tcPr>
            <w:tcW w:w="2129" w:type="dxa"/>
            <w:tcBorders>
              <w:top w:val="single" w:color="000000" w:sz="4" w:space="0"/>
              <w:left w:val="single" w:color="000000" w:sz="4" w:space="0"/>
              <w:bottom w:val="single" w:color="000000" w:sz="4" w:space="0"/>
              <w:right w:val="single" w:color="000000" w:sz="4" w:space="0"/>
            </w:tcBorders>
            <w:vAlign w:val="center"/>
          </w:tcPr>
          <w:p w14:paraId="1D25B5E8">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要求澄清或修改招标文件</w:t>
            </w:r>
          </w:p>
        </w:tc>
        <w:tc>
          <w:tcPr>
            <w:tcW w:w="5784" w:type="dxa"/>
            <w:tcBorders>
              <w:top w:val="single" w:color="000000" w:sz="4" w:space="0"/>
              <w:left w:val="single" w:color="000000" w:sz="4" w:space="0"/>
              <w:bottom w:val="single" w:color="000000" w:sz="4" w:space="0"/>
              <w:right w:val="single" w:color="000000" w:sz="4" w:space="0"/>
            </w:tcBorders>
            <w:vAlign w:val="center"/>
          </w:tcPr>
          <w:p w14:paraId="5A40FDD4">
            <w:pPr>
              <w:spacing w:line="360" w:lineRule="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时间：收到招标文件之日或者招标文件公告期限届满之日起七个工作日内</w:t>
            </w:r>
            <w:r>
              <w:rPr>
                <w:rFonts w:hint="eastAsia" w:ascii="宋体" w:hAnsi="宋体" w:eastAsia="宋体" w:cs="宋体"/>
                <w:color w:val="auto"/>
                <w:kern w:val="0"/>
                <w:szCs w:val="21"/>
                <w:highlight w:val="none"/>
                <w:lang w:eastAsia="zh-CN"/>
              </w:rPr>
              <w:t>。</w:t>
            </w:r>
          </w:p>
          <w:p w14:paraId="3C94B5C9">
            <w:pPr>
              <w:spacing w:line="360" w:lineRule="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形式：在河南省公共资源交易平台上提出</w:t>
            </w:r>
            <w:r>
              <w:rPr>
                <w:rFonts w:hint="eastAsia" w:ascii="宋体" w:hAnsi="宋体" w:eastAsia="宋体" w:cs="宋体"/>
                <w:color w:val="auto"/>
                <w:kern w:val="0"/>
                <w:szCs w:val="21"/>
                <w:highlight w:val="none"/>
                <w:lang w:eastAsia="zh-CN"/>
              </w:rPr>
              <w:t>。</w:t>
            </w:r>
          </w:p>
        </w:tc>
      </w:tr>
      <w:tr w14:paraId="47F37DD4">
        <w:tblPrEx>
          <w:tblCellMar>
            <w:top w:w="0" w:type="dxa"/>
            <w:left w:w="108" w:type="dxa"/>
            <w:bottom w:w="0" w:type="dxa"/>
            <w:right w:w="108" w:type="dxa"/>
          </w:tblCellMar>
        </w:tblPrEx>
        <w:trPr>
          <w:trHeight w:val="1047" w:hRule="atLeast"/>
        </w:trPr>
        <w:tc>
          <w:tcPr>
            <w:tcW w:w="1050" w:type="dxa"/>
            <w:tcBorders>
              <w:top w:val="single" w:color="000000" w:sz="4" w:space="0"/>
              <w:left w:val="single" w:color="000000" w:sz="4" w:space="0"/>
              <w:bottom w:val="single" w:color="000000" w:sz="4" w:space="0"/>
              <w:right w:val="single" w:color="000000" w:sz="4" w:space="0"/>
            </w:tcBorders>
            <w:vAlign w:val="center"/>
          </w:tcPr>
          <w:p w14:paraId="7DBC56A0">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2.2.4</w:t>
            </w:r>
          </w:p>
        </w:tc>
        <w:tc>
          <w:tcPr>
            <w:tcW w:w="2129" w:type="dxa"/>
            <w:tcBorders>
              <w:top w:val="single" w:color="000000" w:sz="4" w:space="0"/>
              <w:left w:val="single" w:color="000000" w:sz="4" w:space="0"/>
              <w:bottom w:val="single" w:color="000000" w:sz="4" w:space="0"/>
              <w:right w:val="single" w:color="000000" w:sz="4" w:space="0"/>
            </w:tcBorders>
            <w:vAlign w:val="center"/>
          </w:tcPr>
          <w:p w14:paraId="4BA7C878">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招标文件澄清或修改发出的形式</w:t>
            </w:r>
          </w:p>
        </w:tc>
        <w:tc>
          <w:tcPr>
            <w:tcW w:w="5784" w:type="dxa"/>
            <w:tcBorders>
              <w:top w:val="single" w:color="000000" w:sz="4" w:space="0"/>
              <w:left w:val="single" w:color="000000" w:sz="4" w:space="0"/>
              <w:bottom w:val="single" w:color="000000" w:sz="4" w:space="0"/>
              <w:right w:val="single" w:color="000000" w:sz="4" w:space="0"/>
            </w:tcBorders>
            <w:vAlign w:val="center"/>
          </w:tcPr>
          <w:p w14:paraId="1EE533E1">
            <w:pPr>
              <w:spacing w:line="360" w:lineRule="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形式：在河南省公共资源交易平台上发出</w:t>
            </w:r>
            <w:r>
              <w:rPr>
                <w:rFonts w:hint="eastAsia" w:ascii="宋体" w:hAnsi="宋体" w:eastAsia="宋体" w:cs="宋体"/>
                <w:color w:val="auto"/>
                <w:kern w:val="0"/>
                <w:szCs w:val="21"/>
                <w:highlight w:val="none"/>
                <w:lang w:eastAsia="zh-CN"/>
              </w:rPr>
              <w:t>。</w:t>
            </w:r>
          </w:p>
        </w:tc>
      </w:tr>
      <w:tr w14:paraId="42A3891C">
        <w:tblPrEx>
          <w:tblCellMar>
            <w:top w:w="0" w:type="dxa"/>
            <w:left w:w="108" w:type="dxa"/>
            <w:bottom w:w="0" w:type="dxa"/>
            <w:right w:w="108" w:type="dxa"/>
          </w:tblCellMar>
        </w:tblPrEx>
        <w:trPr>
          <w:trHeight w:val="8012" w:hRule="exact"/>
        </w:trPr>
        <w:tc>
          <w:tcPr>
            <w:tcW w:w="1050" w:type="dxa"/>
            <w:tcBorders>
              <w:top w:val="single" w:color="000000" w:sz="4" w:space="0"/>
              <w:left w:val="single" w:color="000000" w:sz="4" w:space="0"/>
              <w:bottom w:val="single" w:color="000000" w:sz="4" w:space="0"/>
              <w:right w:val="single" w:color="000000" w:sz="4" w:space="0"/>
            </w:tcBorders>
            <w:vAlign w:val="center"/>
          </w:tcPr>
          <w:p w14:paraId="66101D2A">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3.2.4</w:t>
            </w:r>
          </w:p>
        </w:tc>
        <w:tc>
          <w:tcPr>
            <w:tcW w:w="2129" w:type="dxa"/>
            <w:tcBorders>
              <w:top w:val="single" w:color="000000" w:sz="4" w:space="0"/>
              <w:left w:val="single" w:color="000000" w:sz="4" w:space="0"/>
              <w:bottom w:val="single" w:color="000000" w:sz="4" w:space="0"/>
              <w:right w:val="single" w:color="000000" w:sz="4" w:space="0"/>
            </w:tcBorders>
            <w:vAlign w:val="center"/>
          </w:tcPr>
          <w:p w14:paraId="7D3E32F2">
            <w:pPr>
              <w:pStyle w:val="22"/>
              <w:spacing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kern w:val="0"/>
                <w:szCs w:val="21"/>
                <w:highlight w:val="none"/>
              </w:rPr>
              <w:t>投标报价</w:t>
            </w:r>
          </w:p>
        </w:tc>
        <w:tc>
          <w:tcPr>
            <w:tcW w:w="5784" w:type="dxa"/>
            <w:tcBorders>
              <w:top w:val="single" w:color="000000" w:sz="4" w:space="0"/>
              <w:left w:val="single" w:color="000000" w:sz="4" w:space="0"/>
              <w:bottom w:val="single" w:color="000000" w:sz="4" w:space="0"/>
              <w:right w:val="single" w:color="000000" w:sz="4" w:space="0"/>
            </w:tcBorders>
            <w:vAlign w:val="center"/>
          </w:tcPr>
          <w:p w14:paraId="485DA66A">
            <w:pPr>
              <w:pStyle w:val="22"/>
              <w:spacing w:line="360"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1.投标报价：折扣</w:t>
            </w:r>
          </w:p>
          <w:p w14:paraId="716DF78D">
            <w:pPr>
              <w:pStyle w:val="22"/>
              <w:spacing w:line="360" w:lineRule="auto"/>
              <w:ind w:left="0" w:leftChars="0" w:firstLine="0" w:firstLine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2.报价说明：</w:t>
            </w:r>
          </w:p>
          <w:p w14:paraId="2849DE71">
            <w:pPr>
              <w:pStyle w:val="2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应报出每份慰问品领取券面值的折扣（%）。</w:t>
            </w:r>
          </w:p>
          <w:p w14:paraId="522EF982">
            <w:pPr>
              <w:pStyle w:val="2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折扣（%）C=A/B ；A=慰问品结算价：300元/份（固定价格），B=领取券面值。（例如：</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的投标折扣是60%，每名工会会员得到的慰问品</w:t>
            </w:r>
            <w:r>
              <w:rPr>
                <w:rFonts w:hint="eastAsia" w:ascii="宋体" w:hAnsi="宋体" w:cs="宋体"/>
                <w:color w:val="auto"/>
                <w:kern w:val="0"/>
                <w:szCs w:val="21"/>
                <w:highlight w:val="none"/>
                <w:lang w:eastAsia="zh-CN"/>
              </w:rPr>
              <w:t>领取</w:t>
            </w:r>
            <w:r>
              <w:rPr>
                <w:rFonts w:hint="eastAsia" w:ascii="宋体" w:hAnsi="宋体" w:eastAsia="宋体" w:cs="宋体"/>
                <w:color w:val="auto"/>
                <w:kern w:val="0"/>
                <w:szCs w:val="21"/>
                <w:highlight w:val="none"/>
              </w:rPr>
              <w:t>券面值为500元/份，此项仅为填写示例，仅供参考。）</w:t>
            </w:r>
          </w:p>
          <w:p w14:paraId="2CA95488">
            <w:pPr>
              <w:pStyle w:val="2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lang w:eastAsia="zh-CN"/>
              </w:rPr>
              <w:t>）供应商报价</w:t>
            </w:r>
            <w:r>
              <w:rPr>
                <w:rFonts w:hint="eastAsia" w:ascii="宋体" w:hAnsi="宋体" w:cs="宋体"/>
                <w:color w:val="auto"/>
                <w:kern w:val="0"/>
                <w:szCs w:val="21"/>
                <w:highlight w:val="none"/>
                <w:lang w:val="en-US" w:eastAsia="zh-CN"/>
              </w:rPr>
              <w:t>折扣不得高于100%，生日</w:t>
            </w:r>
            <w:r>
              <w:rPr>
                <w:rFonts w:hint="eastAsia" w:ascii="宋体" w:hAnsi="宋体" w:eastAsia="宋体" w:cs="宋体"/>
                <w:color w:val="auto"/>
                <w:kern w:val="0"/>
                <w:szCs w:val="21"/>
                <w:highlight w:val="none"/>
              </w:rPr>
              <w:t>慰问品领取券面值</w:t>
            </w:r>
            <w:r>
              <w:rPr>
                <w:rFonts w:hint="eastAsia" w:ascii="宋体" w:hAnsi="宋体" w:cs="宋体"/>
                <w:color w:val="auto"/>
                <w:kern w:val="0"/>
                <w:szCs w:val="21"/>
                <w:highlight w:val="none"/>
                <w:lang w:eastAsia="zh-CN"/>
              </w:rPr>
              <w:t>不得低于采购标准(每份</w:t>
            </w:r>
            <w:r>
              <w:rPr>
                <w:rFonts w:hint="eastAsia" w:ascii="宋体" w:hAnsi="宋体" w:cs="宋体"/>
                <w:color w:val="auto"/>
                <w:kern w:val="0"/>
                <w:szCs w:val="21"/>
                <w:highlight w:val="none"/>
                <w:lang w:val="en-US" w:eastAsia="zh-CN"/>
              </w:rPr>
              <w:t>300</w:t>
            </w:r>
            <w:r>
              <w:rPr>
                <w:rFonts w:hint="eastAsia" w:ascii="宋体" w:hAnsi="宋体" w:cs="宋体"/>
                <w:color w:val="auto"/>
                <w:kern w:val="0"/>
                <w:szCs w:val="21"/>
                <w:highlight w:val="none"/>
                <w:lang w:eastAsia="zh-CN"/>
              </w:rPr>
              <w:t>元)。(采购标准详见第五章采购需求)</w:t>
            </w:r>
          </w:p>
          <w:p w14:paraId="1F212989">
            <w:pPr>
              <w:pStyle w:val="2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）该折扣为综合折扣，供应商应综合考虑包含生日蛋糕在内的其他食品及其物料购置、材料、设计、制作、配送、保险、伴随服务、销售税、其他税以及合同包含的所有风险、责任及不可预见的一切费用。如</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在中标或履行合同过程中出现任何遗漏性内容需产生额外费用，均由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自行承担，采购人不再支付任何其他费用。</w:t>
            </w:r>
          </w:p>
          <w:p w14:paraId="07239DC3">
            <w:pPr>
              <w:pStyle w:val="2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）本次投标只允许有一个报价，有选择的报价不予接受。</w:t>
            </w:r>
          </w:p>
          <w:p w14:paraId="06C5789F">
            <w:pPr>
              <w:pStyle w:val="22"/>
              <w:spacing w:line="360" w:lineRule="auto"/>
              <w:ind w:left="0" w:leftChars="0" w:firstLine="0" w:firstLineChars="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报价折扣</w:t>
            </w:r>
            <w:r>
              <w:rPr>
                <w:rFonts w:hint="eastAsia" w:ascii="宋体" w:hAnsi="宋体" w:eastAsia="宋体" w:cs="宋体"/>
                <w:b/>
                <w:bCs/>
                <w:color w:val="auto"/>
                <w:kern w:val="0"/>
                <w:szCs w:val="21"/>
                <w:highlight w:val="none"/>
                <w:lang w:eastAsia="zh-CN"/>
              </w:rPr>
              <w:t>取整数，小数点后为零。</w:t>
            </w:r>
          </w:p>
        </w:tc>
      </w:tr>
      <w:tr w14:paraId="626D18F7">
        <w:tblPrEx>
          <w:tblCellMar>
            <w:top w:w="0" w:type="dxa"/>
            <w:left w:w="108" w:type="dxa"/>
            <w:bottom w:w="0" w:type="dxa"/>
            <w:right w:w="108" w:type="dxa"/>
          </w:tblCellMar>
        </w:tblPrEx>
        <w:trPr>
          <w:trHeight w:val="2151" w:hRule="atLeast"/>
        </w:trPr>
        <w:tc>
          <w:tcPr>
            <w:tcW w:w="1050" w:type="dxa"/>
            <w:tcBorders>
              <w:top w:val="single" w:color="000000" w:sz="4" w:space="0"/>
              <w:left w:val="single" w:color="000000" w:sz="4" w:space="0"/>
              <w:bottom w:val="single" w:color="000000" w:sz="4" w:space="0"/>
              <w:right w:val="single" w:color="000000" w:sz="4" w:space="0"/>
            </w:tcBorders>
            <w:vAlign w:val="center"/>
          </w:tcPr>
          <w:p w14:paraId="097B1DE1">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3.2.6</w:t>
            </w:r>
          </w:p>
        </w:tc>
        <w:tc>
          <w:tcPr>
            <w:tcW w:w="2129" w:type="dxa"/>
            <w:tcBorders>
              <w:top w:val="single" w:color="000000" w:sz="4" w:space="0"/>
              <w:left w:val="single" w:color="000000" w:sz="4" w:space="0"/>
              <w:bottom w:val="single" w:color="000000" w:sz="4" w:space="0"/>
              <w:right w:val="single" w:color="000000" w:sz="4" w:space="0"/>
            </w:tcBorders>
            <w:vAlign w:val="center"/>
          </w:tcPr>
          <w:p w14:paraId="5465774A">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投标报价的其他要求</w:t>
            </w:r>
          </w:p>
        </w:tc>
        <w:tc>
          <w:tcPr>
            <w:tcW w:w="5784" w:type="dxa"/>
            <w:tcBorders>
              <w:top w:val="single" w:color="000000" w:sz="4" w:space="0"/>
              <w:left w:val="single" w:color="000000" w:sz="4" w:space="0"/>
              <w:bottom w:val="single" w:color="000000" w:sz="4" w:space="0"/>
              <w:right w:val="single" w:color="000000" w:sz="4" w:space="0"/>
            </w:tcBorders>
            <w:vAlign w:val="center"/>
          </w:tcPr>
          <w:p w14:paraId="79EACD68">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highlight w:val="none"/>
              </w:rPr>
              <w:t>评标委员会认为</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的报价明显低于其他通过符合性审查</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不能证明其报价合理性的，评标委员会应当将其作为无效投标处理。</w:t>
            </w:r>
          </w:p>
        </w:tc>
      </w:tr>
      <w:tr w14:paraId="04A24550">
        <w:tblPrEx>
          <w:tblCellMar>
            <w:top w:w="0" w:type="dxa"/>
            <w:left w:w="108" w:type="dxa"/>
            <w:bottom w:w="0" w:type="dxa"/>
            <w:right w:w="108" w:type="dxa"/>
          </w:tblCellMar>
        </w:tblPrEx>
        <w:trPr>
          <w:trHeight w:val="589" w:hRule="exact"/>
        </w:trPr>
        <w:tc>
          <w:tcPr>
            <w:tcW w:w="1050" w:type="dxa"/>
            <w:tcBorders>
              <w:top w:val="single" w:color="000000" w:sz="4" w:space="0"/>
              <w:left w:val="single" w:color="000000" w:sz="4" w:space="0"/>
              <w:bottom w:val="single" w:color="000000" w:sz="4" w:space="0"/>
              <w:right w:val="single" w:color="000000" w:sz="4" w:space="0"/>
            </w:tcBorders>
            <w:vAlign w:val="center"/>
          </w:tcPr>
          <w:p w14:paraId="413E2A11">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w:t>
            </w:r>
          </w:p>
        </w:tc>
        <w:tc>
          <w:tcPr>
            <w:tcW w:w="2129" w:type="dxa"/>
            <w:tcBorders>
              <w:top w:val="single" w:color="000000" w:sz="4" w:space="0"/>
              <w:left w:val="single" w:color="000000" w:sz="4" w:space="0"/>
              <w:bottom w:val="single" w:color="000000" w:sz="4" w:space="0"/>
              <w:right w:val="single" w:color="000000" w:sz="4" w:space="0"/>
            </w:tcBorders>
            <w:vAlign w:val="center"/>
          </w:tcPr>
          <w:p w14:paraId="228C31B9">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highlight w:val="none"/>
              </w:rPr>
              <w:t>*</w:t>
            </w:r>
            <w:r>
              <w:rPr>
                <w:rFonts w:hint="eastAsia" w:ascii="宋体" w:hAnsi="宋体" w:eastAsia="宋体" w:cs="宋体"/>
                <w:color w:val="auto"/>
                <w:kern w:val="0"/>
                <w:szCs w:val="21"/>
                <w:highlight w:val="none"/>
              </w:rPr>
              <w:t>投标有效期</w:t>
            </w:r>
          </w:p>
        </w:tc>
        <w:tc>
          <w:tcPr>
            <w:tcW w:w="5784" w:type="dxa"/>
            <w:tcBorders>
              <w:top w:val="single" w:color="000000" w:sz="4" w:space="0"/>
              <w:left w:val="single" w:color="000000" w:sz="4" w:space="0"/>
              <w:bottom w:val="single" w:color="000000" w:sz="4" w:space="0"/>
              <w:right w:val="single" w:color="000000" w:sz="4" w:space="0"/>
            </w:tcBorders>
            <w:vAlign w:val="center"/>
          </w:tcPr>
          <w:p w14:paraId="7A071E7E">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自投标截止之日起90日历天</w:t>
            </w:r>
          </w:p>
        </w:tc>
      </w:tr>
      <w:tr w14:paraId="640BFADD">
        <w:tblPrEx>
          <w:tblCellMar>
            <w:top w:w="0" w:type="dxa"/>
            <w:left w:w="108" w:type="dxa"/>
            <w:bottom w:w="0" w:type="dxa"/>
            <w:right w:w="108" w:type="dxa"/>
          </w:tblCellMar>
        </w:tblPrEx>
        <w:trPr>
          <w:trHeight w:val="1927" w:hRule="atLeast"/>
        </w:trPr>
        <w:tc>
          <w:tcPr>
            <w:tcW w:w="1050" w:type="dxa"/>
            <w:tcBorders>
              <w:top w:val="single" w:color="000000" w:sz="4" w:space="0"/>
              <w:left w:val="single" w:color="000000" w:sz="4" w:space="0"/>
              <w:bottom w:val="single" w:color="000000" w:sz="4" w:space="0"/>
              <w:right w:val="single" w:color="000000" w:sz="4" w:space="0"/>
            </w:tcBorders>
            <w:vAlign w:val="center"/>
          </w:tcPr>
          <w:p w14:paraId="7281CFEF">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3.4.1</w:t>
            </w:r>
          </w:p>
        </w:tc>
        <w:tc>
          <w:tcPr>
            <w:tcW w:w="2129" w:type="dxa"/>
            <w:tcBorders>
              <w:top w:val="single" w:color="000000" w:sz="4" w:space="0"/>
              <w:left w:val="single" w:color="000000" w:sz="4" w:space="0"/>
              <w:bottom w:val="single" w:color="000000" w:sz="4" w:space="0"/>
              <w:right w:val="single" w:color="000000" w:sz="4" w:space="0"/>
            </w:tcBorders>
            <w:vAlign w:val="center"/>
          </w:tcPr>
          <w:p w14:paraId="12319787">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highlight w:val="none"/>
              </w:rPr>
              <w:t>*</w:t>
            </w:r>
            <w:r>
              <w:rPr>
                <w:rFonts w:hint="eastAsia" w:ascii="宋体" w:hAnsi="宋体" w:eastAsia="宋体" w:cs="宋体"/>
                <w:color w:val="auto"/>
                <w:kern w:val="0"/>
                <w:szCs w:val="21"/>
                <w:highlight w:val="none"/>
              </w:rPr>
              <w:t>投标保证金</w:t>
            </w:r>
          </w:p>
        </w:tc>
        <w:tc>
          <w:tcPr>
            <w:tcW w:w="5784" w:type="dxa"/>
            <w:tcBorders>
              <w:top w:val="single" w:color="000000" w:sz="4" w:space="0"/>
              <w:left w:val="single" w:color="000000" w:sz="4" w:space="0"/>
              <w:bottom w:val="single" w:color="000000" w:sz="4" w:space="0"/>
              <w:right w:val="single" w:color="000000" w:sz="4" w:space="0"/>
            </w:tcBorders>
            <w:vAlign w:val="center"/>
          </w:tcPr>
          <w:p w14:paraId="69AF1050">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highlight w:val="none"/>
              </w:rPr>
              <w:t>不要求，根据《河南省财政厅关于优化政府采购营商环境有关问题的通知》豫财购（2019）4号要求，本项目不再收取投标保证金，需提供投标承诺函，具体格式详见第六章投标文件格式，未按招标文件规定提交投标承诺函的均视为无效投标。</w:t>
            </w:r>
          </w:p>
        </w:tc>
      </w:tr>
      <w:tr w14:paraId="1EC95328">
        <w:tblPrEx>
          <w:tblCellMar>
            <w:top w:w="0" w:type="dxa"/>
            <w:left w:w="108" w:type="dxa"/>
            <w:bottom w:w="0" w:type="dxa"/>
            <w:right w:w="108" w:type="dxa"/>
          </w:tblCellMar>
        </w:tblPrEx>
        <w:trPr>
          <w:trHeight w:val="757" w:hRule="exact"/>
        </w:trPr>
        <w:tc>
          <w:tcPr>
            <w:tcW w:w="1050" w:type="dxa"/>
            <w:tcBorders>
              <w:top w:val="single" w:color="000000" w:sz="4" w:space="0"/>
              <w:left w:val="single" w:color="000000" w:sz="4" w:space="0"/>
              <w:bottom w:val="single" w:color="000000" w:sz="4" w:space="0"/>
              <w:right w:val="single" w:color="000000" w:sz="4" w:space="0"/>
            </w:tcBorders>
            <w:vAlign w:val="center"/>
          </w:tcPr>
          <w:p w14:paraId="20B9D068">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w:t>
            </w:r>
          </w:p>
        </w:tc>
        <w:tc>
          <w:tcPr>
            <w:tcW w:w="2129" w:type="dxa"/>
            <w:tcBorders>
              <w:top w:val="single" w:color="000000" w:sz="4" w:space="0"/>
              <w:left w:val="single" w:color="000000" w:sz="4" w:space="0"/>
              <w:bottom w:val="single" w:color="000000" w:sz="4" w:space="0"/>
              <w:right w:val="single" w:color="000000" w:sz="4" w:space="0"/>
            </w:tcBorders>
            <w:vAlign w:val="center"/>
          </w:tcPr>
          <w:p w14:paraId="123625C0">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资格审查资料的特殊要求</w:t>
            </w:r>
          </w:p>
        </w:tc>
        <w:tc>
          <w:tcPr>
            <w:tcW w:w="5784" w:type="dxa"/>
            <w:tcBorders>
              <w:top w:val="single" w:color="000000" w:sz="4" w:space="0"/>
              <w:left w:val="single" w:color="000000" w:sz="4" w:space="0"/>
              <w:bottom w:val="single" w:color="000000" w:sz="4" w:space="0"/>
              <w:right w:val="single" w:color="000000" w:sz="4" w:space="0"/>
            </w:tcBorders>
            <w:vAlign w:val="center"/>
          </w:tcPr>
          <w:p w14:paraId="0F178D8F">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无</w:t>
            </w:r>
          </w:p>
        </w:tc>
      </w:tr>
      <w:tr w14:paraId="35223155">
        <w:tblPrEx>
          <w:tblCellMar>
            <w:top w:w="0" w:type="dxa"/>
            <w:left w:w="108" w:type="dxa"/>
            <w:bottom w:w="0" w:type="dxa"/>
            <w:right w:w="108" w:type="dxa"/>
          </w:tblCellMar>
        </w:tblPrEx>
        <w:trPr>
          <w:trHeight w:val="724" w:hRule="exact"/>
        </w:trPr>
        <w:tc>
          <w:tcPr>
            <w:tcW w:w="1050" w:type="dxa"/>
            <w:tcBorders>
              <w:top w:val="single" w:color="000000" w:sz="4" w:space="0"/>
              <w:left w:val="single" w:color="000000" w:sz="4" w:space="0"/>
              <w:bottom w:val="single" w:color="000000" w:sz="4" w:space="0"/>
              <w:right w:val="single" w:color="000000" w:sz="4" w:space="0"/>
            </w:tcBorders>
            <w:vAlign w:val="center"/>
          </w:tcPr>
          <w:p w14:paraId="0C105686">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w:t>
            </w:r>
          </w:p>
        </w:tc>
        <w:tc>
          <w:tcPr>
            <w:tcW w:w="2129" w:type="dxa"/>
            <w:tcBorders>
              <w:top w:val="single" w:color="000000" w:sz="4" w:space="0"/>
              <w:left w:val="single" w:color="000000" w:sz="4" w:space="0"/>
              <w:bottom w:val="single" w:color="000000" w:sz="4" w:space="0"/>
              <w:right w:val="single" w:color="000000" w:sz="4" w:space="0"/>
            </w:tcBorders>
            <w:vAlign w:val="center"/>
          </w:tcPr>
          <w:p w14:paraId="02BEA3FC">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是否允许递交备选投标方案</w:t>
            </w:r>
          </w:p>
        </w:tc>
        <w:tc>
          <w:tcPr>
            <w:tcW w:w="5784" w:type="dxa"/>
            <w:tcBorders>
              <w:top w:val="single" w:color="000000" w:sz="4" w:space="0"/>
              <w:left w:val="single" w:color="000000" w:sz="4" w:space="0"/>
              <w:bottom w:val="single" w:color="000000" w:sz="4" w:space="0"/>
              <w:right w:val="single" w:color="000000" w:sz="4" w:space="0"/>
            </w:tcBorders>
            <w:vAlign w:val="center"/>
          </w:tcPr>
          <w:p w14:paraId="751AB017">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不允许</w:t>
            </w:r>
          </w:p>
        </w:tc>
      </w:tr>
      <w:tr w14:paraId="3FFBB891">
        <w:tblPrEx>
          <w:tblCellMar>
            <w:top w:w="0" w:type="dxa"/>
            <w:left w:w="108" w:type="dxa"/>
            <w:bottom w:w="0" w:type="dxa"/>
            <w:right w:w="108" w:type="dxa"/>
          </w:tblCellMar>
        </w:tblPrEx>
        <w:trPr>
          <w:trHeight w:val="976" w:hRule="exact"/>
        </w:trPr>
        <w:tc>
          <w:tcPr>
            <w:tcW w:w="1050" w:type="dxa"/>
            <w:tcBorders>
              <w:top w:val="single" w:color="000000" w:sz="4" w:space="0"/>
              <w:left w:val="single" w:color="000000" w:sz="4" w:space="0"/>
              <w:bottom w:val="single" w:color="000000" w:sz="4" w:space="0"/>
              <w:right w:val="single" w:color="000000" w:sz="4" w:space="0"/>
            </w:tcBorders>
            <w:vAlign w:val="center"/>
          </w:tcPr>
          <w:p w14:paraId="402C117B">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3.7.3（1）</w:t>
            </w:r>
          </w:p>
        </w:tc>
        <w:tc>
          <w:tcPr>
            <w:tcW w:w="2129" w:type="dxa"/>
            <w:tcBorders>
              <w:top w:val="single" w:color="000000" w:sz="4" w:space="0"/>
              <w:left w:val="single" w:color="000000" w:sz="4" w:space="0"/>
              <w:bottom w:val="single" w:color="000000" w:sz="4" w:space="0"/>
              <w:right w:val="single" w:color="000000" w:sz="4" w:space="0"/>
            </w:tcBorders>
            <w:vAlign w:val="center"/>
          </w:tcPr>
          <w:p w14:paraId="4811B9A9">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投标文件所附证书证件要求</w:t>
            </w:r>
          </w:p>
        </w:tc>
        <w:tc>
          <w:tcPr>
            <w:tcW w:w="5784" w:type="dxa"/>
            <w:tcBorders>
              <w:top w:val="single" w:color="000000" w:sz="4" w:space="0"/>
              <w:left w:val="single" w:color="000000" w:sz="4" w:space="0"/>
              <w:bottom w:val="single" w:color="000000" w:sz="4" w:space="0"/>
              <w:right w:val="single" w:color="000000" w:sz="4" w:space="0"/>
            </w:tcBorders>
            <w:vAlign w:val="center"/>
          </w:tcPr>
          <w:p w14:paraId="4AB7F371">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复印件或扫描件</w:t>
            </w:r>
          </w:p>
        </w:tc>
      </w:tr>
      <w:tr w14:paraId="47EAD959">
        <w:tblPrEx>
          <w:tblCellMar>
            <w:top w:w="0" w:type="dxa"/>
            <w:left w:w="108" w:type="dxa"/>
            <w:bottom w:w="0" w:type="dxa"/>
            <w:right w:w="108" w:type="dxa"/>
          </w:tblCellMar>
        </w:tblPrEx>
        <w:trPr>
          <w:trHeight w:val="2132" w:hRule="atLeast"/>
        </w:trPr>
        <w:tc>
          <w:tcPr>
            <w:tcW w:w="1050" w:type="dxa"/>
            <w:tcBorders>
              <w:top w:val="single" w:color="000000" w:sz="4" w:space="0"/>
              <w:left w:val="single" w:color="000000" w:sz="4" w:space="0"/>
              <w:bottom w:val="single" w:color="000000" w:sz="4" w:space="0"/>
              <w:right w:val="single" w:color="000000" w:sz="4" w:space="0"/>
            </w:tcBorders>
            <w:vAlign w:val="center"/>
          </w:tcPr>
          <w:p w14:paraId="196910A6">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3.7.3（2）</w:t>
            </w:r>
          </w:p>
        </w:tc>
        <w:tc>
          <w:tcPr>
            <w:tcW w:w="2129" w:type="dxa"/>
            <w:tcBorders>
              <w:top w:val="single" w:color="000000" w:sz="4" w:space="0"/>
              <w:left w:val="single" w:color="000000" w:sz="4" w:space="0"/>
              <w:bottom w:val="single" w:color="000000" w:sz="4" w:space="0"/>
              <w:right w:val="single" w:color="000000" w:sz="4" w:space="0"/>
            </w:tcBorders>
            <w:vAlign w:val="center"/>
          </w:tcPr>
          <w:p w14:paraId="18992B4B">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投标文件签字或盖章要求</w:t>
            </w:r>
          </w:p>
        </w:tc>
        <w:tc>
          <w:tcPr>
            <w:tcW w:w="5784" w:type="dxa"/>
            <w:tcBorders>
              <w:top w:val="single" w:color="000000" w:sz="4" w:space="0"/>
              <w:left w:val="single" w:color="000000" w:sz="4" w:space="0"/>
              <w:bottom w:val="single" w:color="000000" w:sz="4" w:space="0"/>
              <w:right w:val="single" w:color="000000" w:sz="4" w:space="0"/>
            </w:tcBorders>
            <w:vAlign w:val="center"/>
          </w:tcPr>
          <w:p w14:paraId="573BB091">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1、所有要求</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加盖公章的地方都应用</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单位的CA 印章。</w:t>
            </w:r>
          </w:p>
          <w:p w14:paraId="37C26829">
            <w:pPr>
              <w:spacing w:line="360" w:lineRule="auto"/>
              <w:rPr>
                <w:rFonts w:hint="eastAsia" w:ascii="宋体" w:hAnsi="宋体" w:eastAsia="宋体" w:cs="宋体"/>
                <w:bCs/>
                <w:color w:val="auto"/>
                <w:highlight w:val="none"/>
              </w:rPr>
            </w:pPr>
            <w:r>
              <w:rPr>
                <w:rFonts w:hint="eastAsia" w:ascii="宋体" w:hAnsi="宋体" w:eastAsia="宋体" w:cs="宋体"/>
                <w:color w:val="auto"/>
                <w:highlight w:val="none"/>
              </w:rPr>
              <w:t>2、所有要求法定代表人签字或委托代理人签字的地方都应用法定代表人或委托代理人的CA 印章，若委托代理人没有CA印章，则投标文件需上传有手写签名的扫描件。</w:t>
            </w:r>
          </w:p>
        </w:tc>
      </w:tr>
      <w:tr w14:paraId="4CFFC63E">
        <w:tblPrEx>
          <w:tblCellMar>
            <w:top w:w="0" w:type="dxa"/>
            <w:left w:w="108" w:type="dxa"/>
            <w:bottom w:w="0" w:type="dxa"/>
            <w:right w:w="108" w:type="dxa"/>
          </w:tblCellMar>
        </w:tblPrEx>
        <w:trPr>
          <w:trHeight w:val="2566" w:hRule="atLeast"/>
        </w:trPr>
        <w:tc>
          <w:tcPr>
            <w:tcW w:w="1050" w:type="dxa"/>
            <w:tcBorders>
              <w:top w:val="single" w:color="000000" w:sz="4" w:space="0"/>
              <w:left w:val="single" w:color="000000" w:sz="4" w:space="0"/>
              <w:bottom w:val="single" w:color="000000" w:sz="4" w:space="0"/>
              <w:right w:val="single" w:color="000000" w:sz="4" w:space="0"/>
            </w:tcBorders>
            <w:vAlign w:val="center"/>
          </w:tcPr>
          <w:p w14:paraId="3A56A9F3">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w:t>
            </w:r>
          </w:p>
        </w:tc>
        <w:tc>
          <w:tcPr>
            <w:tcW w:w="2129" w:type="dxa"/>
            <w:tcBorders>
              <w:top w:val="single" w:color="000000" w:sz="4" w:space="0"/>
              <w:left w:val="single" w:color="000000" w:sz="4" w:space="0"/>
              <w:bottom w:val="single" w:color="000000" w:sz="4" w:space="0"/>
              <w:right w:val="single" w:color="000000" w:sz="4" w:space="0"/>
            </w:tcBorders>
            <w:vAlign w:val="center"/>
          </w:tcPr>
          <w:p w14:paraId="6D27A20D">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投标文件递交</w:t>
            </w:r>
          </w:p>
        </w:tc>
        <w:tc>
          <w:tcPr>
            <w:tcW w:w="5784" w:type="dxa"/>
            <w:tcBorders>
              <w:top w:val="single" w:color="000000" w:sz="4" w:space="0"/>
              <w:left w:val="single" w:color="000000" w:sz="4" w:space="0"/>
              <w:bottom w:val="single" w:color="000000" w:sz="4" w:space="0"/>
              <w:right w:val="single" w:color="000000" w:sz="4" w:space="0"/>
            </w:tcBorders>
            <w:vAlign w:val="center"/>
          </w:tcPr>
          <w:p w14:paraId="085A94B9">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应在投标截止时间前上传加密的电子投标文件（*.hntf）到会员系统的指定位置。上传时必须得到电脑“上传成功”的确认回复。请</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在上传时认真检查上传投标文件是否完整、正确。</w:t>
            </w:r>
          </w:p>
          <w:p w14:paraId="16064E6E">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因交易中心投标系统问题无法上传电子投标文件时，请在工作时间与河南省公共资源交易中心联系。</w:t>
            </w:r>
          </w:p>
        </w:tc>
      </w:tr>
      <w:tr w14:paraId="7B599F4C">
        <w:tblPrEx>
          <w:tblCellMar>
            <w:top w:w="0" w:type="dxa"/>
            <w:left w:w="108" w:type="dxa"/>
            <w:bottom w:w="0" w:type="dxa"/>
            <w:right w:w="108" w:type="dxa"/>
          </w:tblCellMar>
        </w:tblPrEx>
        <w:trPr>
          <w:trHeight w:val="643" w:hRule="exact"/>
        </w:trPr>
        <w:tc>
          <w:tcPr>
            <w:tcW w:w="1050" w:type="dxa"/>
            <w:tcBorders>
              <w:top w:val="single" w:color="000000" w:sz="4" w:space="0"/>
              <w:left w:val="single" w:color="000000" w:sz="4" w:space="0"/>
              <w:bottom w:val="single" w:color="000000" w:sz="4" w:space="0"/>
              <w:right w:val="single" w:color="000000" w:sz="4" w:space="0"/>
            </w:tcBorders>
            <w:vAlign w:val="center"/>
          </w:tcPr>
          <w:p w14:paraId="5E742CEB">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4.2.1</w:t>
            </w:r>
          </w:p>
        </w:tc>
        <w:tc>
          <w:tcPr>
            <w:tcW w:w="2129" w:type="dxa"/>
            <w:tcBorders>
              <w:top w:val="single" w:color="000000" w:sz="4" w:space="0"/>
              <w:left w:val="single" w:color="000000" w:sz="4" w:space="0"/>
              <w:bottom w:val="single" w:color="000000" w:sz="4" w:space="0"/>
              <w:right w:val="single" w:color="000000" w:sz="4" w:space="0"/>
            </w:tcBorders>
            <w:vAlign w:val="center"/>
          </w:tcPr>
          <w:p w14:paraId="014A8508">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highlight w:val="none"/>
              </w:rPr>
              <w:t>*</w:t>
            </w:r>
            <w:r>
              <w:rPr>
                <w:rFonts w:hint="eastAsia" w:ascii="宋体" w:hAnsi="宋体" w:eastAsia="宋体" w:cs="宋体"/>
                <w:color w:val="auto"/>
                <w:kern w:val="0"/>
                <w:szCs w:val="21"/>
                <w:highlight w:val="none"/>
              </w:rPr>
              <w:t>投标截止时间</w:t>
            </w:r>
          </w:p>
        </w:tc>
        <w:tc>
          <w:tcPr>
            <w:tcW w:w="5784" w:type="dxa"/>
            <w:tcBorders>
              <w:top w:val="single" w:color="000000" w:sz="4" w:space="0"/>
              <w:left w:val="single" w:color="000000" w:sz="4" w:space="0"/>
              <w:bottom w:val="single" w:color="000000" w:sz="4" w:space="0"/>
              <w:right w:val="single" w:color="000000" w:sz="4" w:space="0"/>
            </w:tcBorders>
            <w:vAlign w:val="center"/>
          </w:tcPr>
          <w:p w14:paraId="6F361D32">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11</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lang w:val="en-US" w:eastAsia="zh-CN"/>
              </w:rPr>
              <w:t>27</w:t>
            </w:r>
            <w:r>
              <w:rPr>
                <w:rFonts w:hint="eastAsia" w:ascii="宋体" w:hAnsi="宋体" w:eastAsia="宋体" w:cs="宋体"/>
                <w:color w:val="auto"/>
                <w:kern w:val="0"/>
                <w:szCs w:val="21"/>
                <w:highlight w:val="none"/>
              </w:rPr>
              <w:t>日9时00分</w:t>
            </w:r>
          </w:p>
        </w:tc>
      </w:tr>
      <w:tr w14:paraId="0B0FE040">
        <w:tblPrEx>
          <w:tblCellMar>
            <w:top w:w="0" w:type="dxa"/>
            <w:left w:w="108" w:type="dxa"/>
            <w:bottom w:w="0" w:type="dxa"/>
            <w:right w:w="108" w:type="dxa"/>
          </w:tblCellMar>
        </w:tblPrEx>
        <w:trPr>
          <w:trHeight w:val="2313" w:hRule="exact"/>
        </w:trPr>
        <w:tc>
          <w:tcPr>
            <w:tcW w:w="1050" w:type="dxa"/>
            <w:tcBorders>
              <w:top w:val="single" w:color="000000" w:sz="4" w:space="0"/>
              <w:left w:val="single" w:color="000000" w:sz="4" w:space="0"/>
              <w:bottom w:val="single" w:color="000000" w:sz="4" w:space="0"/>
              <w:right w:val="single" w:color="000000" w:sz="4" w:space="0"/>
            </w:tcBorders>
            <w:vAlign w:val="center"/>
          </w:tcPr>
          <w:p w14:paraId="265314AD">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5.1</w:t>
            </w:r>
          </w:p>
        </w:tc>
        <w:tc>
          <w:tcPr>
            <w:tcW w:w="2129" w:type="dxa"/>
            <w:tcBorders>
              <w:top w:val="single" w:color="000000" w:sz="4" w:space="0"/>
              <w:left w:val="single" w:color="000000" w:sz="4" w:space="0"/>
              <w:bottom w:val="single" w:color="000000" w:sz="4" w:space="0"/>
              <w:right w:val="single" w:color="000000" w:sz="4" w:space="0"/>
            </w:tcBorders>
            <w:vAlign w:val="center"/>
          </w:tcPr>
          <w:p w14:paraId="694A1EFB">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highlight w:val="none"/>
              </w:rPr>
              <w:t>*</w:t>
            </w:r>
            <w:r>
              <w:rPr>
                <w:rFonts w:hint="eastAsia" w:ascii="宋体" w:hAnsi="宋体" w:eastAsia="宋体" w:cs="宋体"/>
                <w:color w:val="auto"/>
                <w:kern w:val="0"/>
                <w:szCs w:val="21"/>
                <w:highlight w:val="none"/>
              </w:rPr>
              <w:t>开标时间和地点</w:t>
            </w:r>
          </w:p>
        </w:tc>
        <w:tc>
          <w:tcPr>
            <w:tcW w:w="5784" w:type="dxa"/>
            <w:tcBorders>
              <w:top w:val="single" w:color="000000" w:sz="4" w:space="0"/>
              <w:left w:val="single" w:color="000000" w:sz="4" w:space="0"/>
              <w:bottom w:val="single" w:color="000000" w:sz="4" w:space="0"/>
              <w:right w:val="single" w:color="000000" w:sz="4" w:space="0"/>
            </w:tcBorders>
            <w:vAlign w:val="center"/>
          </w:tcPr>
          <w:p w14:paraId="3E6AB013">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开标时间：</w:t>
            </w: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11</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lang w:val="en-US" w:eastAsia="zh-CN"/>
              </w:rPr>
              <w:t>27</w:t>
            </w:r>
            <w:r>
              <w:rPr>
                <w:rFonts w:hint="eastAsia" w:ascii="宋体" w:hAnsi="宋体" w:eastAsia="宋体" w:cs="宋体"/>
                <w:color w:val="auto"/>
                <w:kern w:val="0"/>
                <w:szCs w:val="21"/>
                <w:highlight w:val="none"/>
              </w:rPr>
              <w:t>日</w:t>
            </w:r>
            <w:r>
              <w:rPr>
                <w:rFonts w:hint="eastAsia" w:ascii="宋体" w:hAnsi="宋体" w:eastAsia="宋体" w:cs="宋体"/>
                <w:color w:val="auto"/>
                <w:highlight w:val="none"/>
              </w:rPr>
              <w:t>9时00分</w:t>
            </w:r>
          </w:p>
          <w:p w14:paraId="0828A2D5">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highlight w:val="none"/>
              </w:rPr>
              <w:t>开标地点：本项目采用“远程不见面”开标方式，</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无需到河南省公共资源交易中心现场参加开标会议，无需到达现场提交原件资料。</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应在投标截止时间前，登录远程开标大厅，在线准时参加开标活动并进行文件解密等。</w:t>
            </w:r>
          </w:p>
        </w:tc>
      </w:tr>
      <w:tr w14:paraId="7FFB881A">
        <w:tblPrEx>
          <w:tblCellMar>
            <w:top w:w="0" w:type="dxa"/>
            <w:left w:w="108" w:type="dxa"/>
            <w:bottom w:w="0" w:type="dxa"/>
            <w:right w:w="108" w:type="dxa"/>
          </w:tblCellMar>
        </w:tblPrEx>
        <w:trPr>
          <w:trHeight w:val="2172" w:hRule="exact"/>
        </w:trPr>
        <w:tc>
          <w:tcPr>
            <w:tcW w:w="1050" w:type="dxa"/>
            <w:tcBorders>
              <w:top w:val="single" w:color="000000" w:sz="4" w:space="0"/>
              <w:left w:val="single" w:color="000000" w:sz="4" w:space="0"/>
              <w:bottom w:val="single" w:color="000000" w:sz="4" w:space="0"/>
              <w:right w:val="single" w:color="000000" w:sz="4" w:space="0"/>
            </w:tcBorders>
            <w:vAlign w:val="center"/>
          </w:tcPr>
          <w:p w14:paraId="56CD5528">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6.1.1</w:t>
            </w:r>
          </w:p>
        </w:tc>
        <w:tc>
          <w:tcPr>
            <w:tcW w:w="2129" w:type="dxa"/>
            <w:tcBorders>
              <w:top w:val="single" w:color="000000" w:sz="4" w:space="0"/>
              <w:left w:val="single" w:color="000000" w:sz="4" w:space="0"/>
              <w:bottom w:val="single" w:color="000000" w:sz="4" w:space="0"/>
              <w:right w:val="single" w:color="000000" w:sz="4" w:space="0"/>
            </w:tcBorders>
            <w:vAlign w:val="center"/>
          </w:tcPr>
          <w:p w14:paraId="0BCBEFFF">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评标委员会的组建</w:t>
            </w:r>
          </w:p>
        </w:tc>
        <w:tc>
          <w:tcPr>
            <w:tcW w:w="5784" w:type="dxa"/>
            <w:tcBorders>
              <w:top w:val="single" w:color="000000" w:sz="4" w:space="0"/>
              <w:left w:val="single" w:color="000000" w:sz="4" w:space="0"/>
              <w:bottom w:val="single" w:color="000000" w:sz="4" w:space="0"/>
              <w:right w:val="single" w:color="000000" w:sz="4" w:space="0"/>
            </w:tcBorders>
            <w:vAlign w:val="center"/>
          </w:tcPr>
          <w:p w14:paraId="0CA67587">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评标委员会构成：</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xml:space="preserve">人或以上单数，其中采购人代表和相关经济、技术专家组成；其中技术、经济等方面的专家不得少于成员总数的三分之二。 </w:t>
            </w:r>
          </w:p>
          <w:p w14:paraId="2CF9001F">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highlight w:val="none"/>
              </w:rPr>
              <w:t>经济，技术专家确定方式：从省级以上财政部门设立的政府采购评审专家库中，通过随机方式抽取。</w:t>
            </w:r>
          </w:p>
        </w:tc>
      </w:tr>
      <w:tr w14:paraId="6A8B96B3">
        <w:tblPrEx>
          <w:tblCellMar>
            <w:top w:w="0" w:type="dxa"/>
            <w:left w:w="108" w:type="dxa"/>
            <w:bottom w:w="0" w:type="dxa"/>
            <w:right w:w="108" w:type="dxa"/>
          </w:tblCellMar>
        </w:tblPrEx>
        <w:trPr>
          <w:trHeight w:val="706" w:hRule="exact"/>
        </w:trPr>
        <w:tc>
          <w:tcPr>
            <w:tcW w:w="1050" w:type="dxa"/>
            <w:tcBorders>
              <w:top w:val="single" w:color="000000" w:sz="4" w:space="0"/>
              <w:left w:val="single" w:color="000000" w:sz="4" w:space="0"/>
              <w:bottom w:val="single" w:color="000000" w:sz="4" w:space="0"/>
              <w:right w:val="single" w:color="000000" w:sz="4" w:space="0"/>
            </w:tcBorders>
            <w:vAlign w:val="center"/>
          </w:tcPr>
          <w:p w14:paraId="6909F196">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6.3.6</w:t>
            </w:r>
          </w:p>
        </w:tc>
        <w:tc>
          <w:tcPr>
            <w:tcW w:w="2129" w:type="dxa"/>
            <w:tcBorders>
              <w:top w:val="single" w:color="000000" w:sz="4" w:space="0"/>
              <w:left w:val="single" w:color="000000" w:sz="4" w:space="0"/>
              <w:bottom w:val="single" w:color="000000" w:sz="4" w:space="0"/>
              <w:right w:val="single" w:color="000000" w:sz="4" w:space="0"/>
            </w:tcBorders>
            <w:vAlign w:val="center"/>
          </w:tcPr>
          <w:p w14:paraId="1D670F05">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评标委员会推荐中标候选人数量</w:t>
            </w:r>
          </w:p>
        </w:tc>
        <w:tc>
          <w:tcPr>
            <w:tcW w:w="5784" w:type="dxa"/>
            <w:tcBorders>
              <w:top w:val="single" w:color="000000" w:sz="4" w:space="0"/>
              <w:left w:val="single" w:color="000000" w:sz="4" w:space="0"/>
              <w:bottom w:val="single" w:color="000000" w:sz="4" w:space="0"/>
              <w:right w:val="single" w:color="000000" w:sz="4" w:space="0"/>
            </w:tcBorders>
            <w:vAlign w:val="center"/>
          </w:tcPr>
          <w:p w14:paraId="3D3BA369">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3名</w:t>
            </w:r>
          </w:p>
        </w:tc>
      </w:tr>
      <w:tr w14:paraId="5BE1BE04">
        <w:tblPrEx>
          <w:tblCellMar>
            <w:top w:w="0" w:type="dxa"/>
            <w:left w:w="108" w:type="dxa"/>
            <w:bottom w:w="0" w:type="dxa"/>
            <w:right w:w="108" w:type="dxa"/>
          </w:tblCellMar>
        </w:tblPrEx>
        <w:trPr>
          <w:trHeight w:val="1403" w:hRule="exact"/>
        </w:trPr>
        <w:tc>
          <w:tcPr>
            <w:tcW w:w="1050" w:type="dxa"/>
            <w:tcBorders>
              <w:top w:val="single" w:color="000000" w:sz="4" w:space="0"/>
              <w:left w:val="single" w:color="000000" w:sz="4" w:space="0"/>
              <w:bottom w:val="single" w:color="000000" w:sz="4" w:space="0"/>
              <w:right w:val="single" w:color="000000" w:sz="4" w:space="0"/>
            </w:tcBorders>
            <w:vAlign w:val="center"/>
          </w:tcPr>
          <w:p w14:paraId="2969935A">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w:t>
            </w:r>
          </w:p>
        </w:tc>
        <w:tc>
          <w:tcPr>
            <w:tcW w:w="2129" w:type="dxa"/>
            <w:tcBorders>
              <w:top w:val="single" w:color="000000" w:sz="4" w:space="0"/>
              <w:left w:val="single" w:color="000000" w:sz="4" w:space="0"/>
              <w:bottom w:val="single" w:color="000000" w:sz="4" w:space="0"/>
              <w:right w:val="single" w:color="000000" w:sz="4" w:space="0"/>
            </w:tcBorders>
            <w:vAlign w:val="center"/>
          </w:tcPr>
          <w:p w14:paraId="575701FC">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中标公告媒介及期限</w:t>
            </w:r>
          </w:p>
        </w:tc>
        <w:tc>
          <w:tcPr>
            <w:tcW w:w="5784" w:type="dxa"/>
            <w:tcBorders>
              <w:top w:val="single" w:color="000000" w:sz="4" w:space="0"/>
              <w:left w:val="single" w:color="000000" w:sz="4" w:space="0"/>
              <w:bottom w:val="single" w:color="000000" w:sz="4" w:space="0"/>
              <w:right w:val="single" w:color="000000" w:sz="4" w:space="0"/>
            </w:tcBorders>
            <w:vAlign w:val="center"/>
          </w:tcPr>
          <w:p w14:paraId="706AFA7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公告媒介：</w:t>
            </w:r>
            <w:r>
              <w:rPr>
                <w:rFonts w:hint="eastAsia" w:ascii="宋体" w:hAnsi="宋体" w:eastAsia="宋体" w:cs="宋体"/>
                <w:color w:val="auto"/>
                <w:szCs w:val="21"/>
                <w:highlight w:val="none"/>
              </w:rPr>
              <w:t>《河南省政府采购网》、《河南省公共资源交易中心网》</w:t>
            </w:r>
          </w:p>
          <w:p w14:paraId="27DDEA61">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highlight w:val="none"/>
              </w:rPr>
              <w:t>公告期限：1个工作日</w:t>
            </w:r>
          </w:p>
        </w:tc>
      </w:tr>
      <w:tr w14:paraId="75A9203F">
        <w:tblPrEx>
          <w:tblCellMar>
            <w:top w:w="0" w:type="dxa"/>
            <w:left w:w="108" w:type="dxa"/>
            <w:bottom w:w="0" w:type="dxa"/>
            <w:right w:w="108" w:type="dxa"/>
          </w:tblCellMar>
        </w:tblPrEx>
        <w:trPr>
          <w:trHeight w:val="739" w:hRule="atLeast"/>
        </w:trPr>
        <w:tc>
          <w:tcPr>
            <w:tcW w:w="1050" w:type="dxa"/>
            <w:tcBorders>
              <w:top w:val="single" w:color="000000" w:sz="4" w:space="0"/>
              <w:left w:val="single" w:color="000000" w:sz="4" w:space="0"/>
              <w:bottom w:val="single" w:color="000000" w:sz="4" w:space="0"/>
              <w:right w:val="single" w:color="000000" w:sz="4" w:space="0"/>
            </w:tcBorders>
            <w:vAlign w:val="center"/>
          </w:tcPr>
          <w:p w14:paraId="1883F377">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7.2.3</w:t>
            </w:r>
          </w:p>
        </w:tc>
        <w:tc>
          <w:tcPr>
            <w:tcW w:w="2129" w:type="dxa"/>
            <w:tcBorders>
              <w:top w:val="single" w:color="000000" w:sz="4" w:space="0"/>
              <w:left w:val="single" w:color="000000" w:sz="4" w:space="0"/>
              <w:bottom w:val="single" w:color="000000" w:sz="4" w:space="0"/>
              <w:right w:val="single" w:color="000000" w:sz="4" w:space="0"/>
            </w:tcBorders>
            <w:vAlign w:val="center"/>
          </w:tcPr>
          <w:p w14:paraId="2D1FBAE1">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针对同一采购程序环节的质疑次数</w:t>
            </w:r>
          </w:p>
        </w:tc>
        <w:tc>
          <w:tcPr>
            <w:tcW w:w="5784" w:type="dxa"/>
            <w:tcBorders>
              <w:top w:val="single" w:color="000000" w:sz="4" w:space="0"/>
              <w:left w:val="single" w:color="000000" w:sz="4" w:space="0"/>
              <w:bottom w:val="single" w:color="000000" w:sz="4" w:space="0"/>
              <w:right w:val="single" w:color="000000" w:sz="4" w:space="0"/>
            </w:tcBorders>
            <w:vAlign w:val="center"/>
          </w:tcPr>
          <w:p w14:paraId="5CCDBD76">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一次性提出</w:t>
            </w:r>
          </w:p>
        </w:tc>
      </w:tr>
      <w:tr w14:paraId="6D513D69">
        <w:tblPrEx>
          <w:tblCellMar>
            <w:top w:w="0" w:type="dxa"/>
            <w:left w:w="108" w:type="dxa"/>
            <w:bottom w:w="0" w:type="dxa"/>
            <w:right w:w="108" w:type="dxa"/>
          </w:tblCellMar>
        </w:tblPrEx>
        <w:trPr>
          <w:trHeight w:val="4241" w:hRule="atLeast"/>
        </w:trPr>
        <w:tc>
          <w:tcPr>
            <w:tcW w:w="1050" w:type="dxa"/>
            <w:tcBorders>
              <w:top w:val="single" w:color="000000" w:sz="4" w:space="0"/>
              <w:left w:val="single" w:color="000000" w:sz="4" w:space="0"/>
              <w:bottom w:val="single" w:color="000000" w:sz="4" w:space="0"/>
              <w:right w:val="single" w:color="000000" w:sz="4" w:space="0"/>
            </w:tcBorders>
            <w:vAlign w:val="center"/>
          </w:tcPr>
          <w:p w14:paraId="7B023B38">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7.2.5</w:t>
            </w:r>
          </w:p>
        </w:tc>
        <w:tc>
          <w:tcPr>
            <w:tcW w:w="2129" w:type="dxa"/>
            <w:tcBorders>
              <w:top w:val="single" w:color="000000" w:sz="4" w:space="0"/>
              <w:left w:val="single" w:color="000000" w:sz="4" w:space="0"/>
              <w:bottom w:val="single" w:color="000000" w:sz="4" w:space="0"/>
              <w:right w:val="single" w:color="000000" w:sz="4" w:space="0"/>
            </w:tcBorders>
            <w:vAlign w:val="center"/>
          </w:tcPr>
          <w:p w14:paraId="6F8D8E41">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质疑函接收部门、联系电话和通讯地址</w:t>
            </w:r>
          </w:p>
        </w:tc>
        <w:tc>
          <w:tcPr>
            <w:tcW w:w="5784" w:type="dxa"/>
            <w:tcBorders>
              <w:top w:val="single" w:color="000000" w:sz="4" w:space="0"/>
              <w:left w:val="single" w:color="000000" w:sz="4" w:space="0"/>
              <w:bottom w:val="single" w:color="000000" w:sz="4" w:space="0"/>
              <w:right w:val="single" w:color="000000" w:sz="4" w:space="0"/>
            </w:tcBorders>
            <w:vAlign w:val="center"/>
          </w:tcPr>
          <w:p w14:paraId="460C52C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认为采购文件、采购过程和成交结果使自己的权益受到损害的， 可以在知道或者应知其权益受到损害之日起七个工作日内，按照政府采购质疑和投诉办法（中华人民共和国财政部令94号）以书面形式向采购人或采购代理机构提出质疑（邮寄件、传真件不予受理），逾期不再接收。</w:t>
            </w:r>
          </w:p>
          <w:p w14:paraId="0090937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接收质疑函联系部门：</w:t>
            </w:r>
          </w:p>
          <w:p w14:paraId="397CC2E9">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名称：河南精工工程管理咨询有限公司</w:t>
            </w:r>
          </w:p>
          <w:p w14:paraId="7437D74F">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址：河南自贸试验区郑州片区(郑东)商鼎路106号新时代商务中心3号楼26楼2612室</w:t>
            </w:r>
          </w:p>
          <w:p w14:paraId="0676BAC9">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联系人：翟昊飞、王茂、杨康、祝世然、石素敏</w:t>
            </w:r>
          </w:p>
          <w:p w14:paraId="76C44820">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话：18538069073、0371-58603111</w:t>
            </w:r>
          </w:p>
        </w:tc>
      </w:tr>
      <w:tr w14:paraId="0D8DC494">
        <w:tblPrEx>
          <w:tblCellMar>
            <w:top w:w="0" w:type="dxa"/>
            <w:left w:w="108" w:type="dxa"/>
            <w:bottom w:w="0" w:type="dxa"/>
            <w:right w:w="108" w:type="dxa"/>
          </w:tblCellMar>
        </w:tblPrEx>
        <w:trPr>
          <w:trHeight w:val="2999" w:hRule="atLeast"/>
        </w:trPr>
        <w:tc>
          <w:tcPr>
            <w:tcW w:w="1050" w:type="dxa"/>
            <w:tcBorders>
              <w:top w:val="single" w:color="000000" w:sz="4" w:space="0"/>
              <w:left w:val="single" w:color="000000" w:sz="4" w:space="0"/>
              <w:bottom w:val="single" w:color="000000" w:sz="4" w:space="0"/>
              <w:right w:val="single" w:color="000000" w:sz="4" w:space="0"/>
            </w:tcBorders>
            <w:vAlign w:val="center"/>
          </w:tcPr>
          <w:p w14:paraId="32CA9A92">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7.5.1</w:t>
            </w:r>
          </w:p>
        </w:tc>
        <w:tc>
          <w:tcPr>
            <w:tcW w:w="2129" w:type="dxa"/>
            <w:tcBorders>
              <w:top w:val="single" w:color="000000" w:sz="4" w:space="0"/>
              <w:left w:val="single" w:color="000000" w:sz="4" w:space="0"/>
              <w:bottom w:val="single" w:color="000000" w:sz="4" w:space="0"/>
              <w:right w:val="single" w:color="000000" w:sz="4" w:space="0"/>
            </w:tcBorders>
            <w:vAlign w:val="center"/>
          </w:tcPr>
          <w:p w14:paraId="3C050302">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highlight w:val="none"/>
              </w:rPr>
              <w:t>*</w:t>
            </w:r>
            <w:r>
              <w:rPr>
                <w:rFonts w:hint="eastAsia" w:ascii="宋体" w:hAnsi="宋体" w:eastAsia="宋体" w:cs="宋体"/>
                <w:color w:val="auto"/>
                <w:kern w:val="0"/>
                <w:szCs w:val="21"/>
                <w:highlight w:val="none"/>
              </w:rPr>
              <w:t>履约保证金</w:t>
            </w:r>
          </w:p>
        </w:tc>
        <w:tc>
          <w:tcPr>
            <w:tcW w:w="5784" w:type="dxa"/>
            <w:tcBorders>
              <w:top w:val="single" w:color="000000" w:sz="4" w:space="0"/>
              <w:left w:val="single" w:color="000000" w:sz="4" w:space="0"/>
              <w:bottom w:val="single" w:color="000000" w:sz="4" w:space="0"/>
              <w:right w:val="single" w:color="000000" w:sz="4" w:space="0"/>
            </w:tcBorders>
            <w:vAlign w:val="center"/>
          </w:tcPr>
          <w:p w14:paraId="185178F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1、中标人在中标通知书发出后向采购人提交履约保证金，履约保证金的金额为合同总价的2%；</w:t>
            </w:r>
          </w:p>
          <w:p w14:paraId="428C578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2、履约保证金缴纳的形式：银行转账或以银行出具保函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见索即付</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形式；</w:t>
            </w:r>
          </w:p>
          <w:p w14:paraId="480ACF29">
            <w:p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3、履约保证金于服务期满后，依据投标文件，所承诺的优惠条件、售后服务计划等执行到位后，按规定程序办理支付手续，一次性付清。</w:t>
            </w:r>
          </w:p>
        </w:tc>
      </w:tr>
      <w:tr w14:paraId="5A46B348">
        <w:tblPrEx>
          <w:tblCellMar>
            <w:top w:w="0" w:type="dxa"/>
            <w:left w:w="108" w:type="dxa"/>
            <w:bottom w:w="0" w:type="dxa"/>
            <w:right w:w="108" w:type="dxa"/>
          </w:tblCellMar>
        </w:tblPrEx>
        <w:trPr>
          <w:trHeight w:val="546" w:hRule="exact"/>
        </w:trPr>
        <w:tc>
          <w:tcPr>
            <w:tcW w:w="1050" w:type="dxa"/>
            <w:tcBorders>
              <w:top w:val="single" w:color="000000" w:sz="4" w:space="0"/>
              <w:left w:val="single" w:color="000000" w:sz="4" w:space="0"/>
              <w:bottom w:val="single" w:color="000000" w:sz="4" w:space="0"/>
              <w:right w:val="single" w:color="000000" w:sz="4" w:space="0"/>
            </w:tcBorders>
            <w:vAlign w:val="center"/>
          </w:tcPr>
          <w:p w14:paraId="5A680438">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7913" w:type="dxa"/>
            <w:gridSpan w:val="2"/>
            <w:tcBorders>
              <w:top w:val="single" w:color="000000" w:sz="4" w:space="0"/>
              <w:left w:val="single" w:color="000000" w:sz="4" w:space="0"/>
              <w:bottom w:val="single" w:color="000000" w:sz="4" w:space="0"/>
              <w:right w:val="single" w:color="000000" w:sz="4" w:space="0"/>
            </w:tcBorders>
            <w:vAlign w:val="center"/>
          </w:tcPr>
          <w:p w14:paraId="0EC34474">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需要补充的其他内容</w:t>
            </w:r>
          </w:p>
        </w:tc>
      </w:tr>
      <w:tr w14:paraId="035CB747">
        <w:tblPrEx>
          <w:tblCellMar>
            <w:top w:w="0" w:type="dxa"/>
            <w:left w:w="108" w:type="dxa"/>
            <w:bottom w:w="0" w:type="dxa"/>
            <w:right w:w="108" w:type="dxa"/>
          </w:tblCellMar>
        </w:tblPrEx>
        <w:trPr>
          <w:trHeight w:val="1167" w:hRule="atLeast"/>
        </w:trPr>
        <w:tc>
          <w:tcPr>
            <w:tcW w:w="1050" w:type="dxa"/>
            <w:tcBorders>
              <w:top w:val="single" w:color="000000" w:sz="4" w:space="0"/>
              <w:left w:val="single" w:color="000000" w:sz="4" w:space="0"/>
              <w:bottom w:val="single" w:color="000000" w:sz="4" w:space="0"/>
              <w:right w:val="single" w:color="000000" w:sz="4" w:space="0"/>
            </w:tcBorders>
            <w:vAlign w:val="center"/>
          </w:tcPr>
          <w:p w14:paraId="37F02364">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p>
        </w:tc>
        <w:tc>
          <w:tcPr>
            <w:tcW w:w="7913" w:type="dxa"/>
            <w:gridSpan w:val="2"/>
            <w:tcBorders>
              <w:top w:val="single" w:color="000000" w:sz="4" w:space="0"/>
              <w:left w:val="single" w:color="000000" w:sz="4" w:space="0"/>
              <w:bottom w:val="single" w:color="000000" w:sz="4" w:space="0"/>
              <w:right w:val="single" w:color="000000" w:sz="4" w:space="0"/>
            </w:tcBorders>
            <w:vAlign w:val="center"/>
          </w:tcPr>
          <w:p w14:paraId="35F37391">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政府采购相关政策信息</w:t>
            </w:r>
          </w:p>
          <w:p w14:paraId="419440C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A、为贯彻落实《财政部工业和信息化部关于印发《政府采购促进中小企业发展管理办法》的通知》（财库〔2020〕46号）、财库[2022]19号财政部关于进一步加大政府采购支持中小企业力度的通知，本项目鼓励中小企业参与，制造商若是中小企业，应提交信息完整的《中小企业声明函》。若不能提供，则视为非中小微型企业，价格不予扣除；（声明函格式详见第六章）。</w:t>
            </w:r>
          </w:p>
          <w:p w14:paraId="002FA119">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B.中小企业划型标准以《工业和信息化部国家统计局国家发展和改革委财政部关于印发中小企业划型标准规定的通知》（工信部联企业〔2011〕300号）为依据。其中企业的营业收入、资产总额判定依据为最近一年度的财务审计报告，企业从业人员总数判定依据为缴纳统筹人员总数。</w:t>
            </w:r>
          </w:p>
          <w:p w14:paraId="0225EFB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C.根据《财政部、司法部关于政府采购支持监狱企业发展有关问题的通知》（财库〔2014〕68号）规定，本项目支持监狱企业参与政府采购活动。监狱企业参加本项目投标时，须提供由省级以上监狱管理局、戒毒管理局（含新疆生产建设兵团）出具的属于监狱企业的证明文件，视同小型、微型企业，享受评审中价格扣除等政府采购促进中小企业发展的政府采购政策。</w:t>
            </w:r>
          </w:p>
          <w:p w14:paraId="33085637">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D.根据《财政部、民政部、中国残疾人联合会关于促进残疾人就业政府</w:t>
            </w:r>
          </w:p>
          <w:p w14:paraId="0F87E93B">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采购政策的通知》（财库〔2017〕141号）规定，本项目支持残疾人福利性单位参与政府采购活动。在政府采购活动中，残疾人福利性单位视同小型、微型企业，享受预留份额、评审中价格扣除等促进中小企业发展的政府采购政策。</w:t>
            </w:r>
          </w:p>
          <w:p w14:paraId="187445F3">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E.根据《关于印发节能产品政府采购品目清单的通知》财库〔2019〕19号文件的要求，本次采购有在通知附件：节能产品政府采购品目清单中标记“★”强制采购产品的，需提供《市场监管总局关于发布参与实施政府采购节能产品、环境标志产品认证机构名录的公告》2019年第16号文件中指定的认证机构出具的节能产品认证证书。</w:t>
            </w:r>
          </w:p>
          <w:p w14:paraId="33AA45BC">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F.为落实河南省财政厅关于印发深入推进政府采购合同融资工作实施方案的通知（豫财办﹝2020﹞33号），中标供应商可以持政府采购合同向融资机构申请贷款，具体详见附件。</w:t>
            </w:r>
          </w:p>
          <w:p w14:paraId="344D13C2">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G.招标文件的最终解释权归采购人，其它未尽事宜，按国家有关法律、法规执行。</w:t>
            </w:r>
          </w:p>
        </w:tc>
      </w:tr>
      <w:tr w14:paraId="27F35712">
        <w:tblPrEx>
          <w:tblCellMar>
            <w:top w:w="0" w:type="dxa"/>
            <w:left w:w="108" w:type="dxa"/>
            <w:bottom w:w="0" w:type="dxa"/>
            <w:right w:w="108" w:type="dxa"/>
          </w:tblCellMar>
        </w:tblPrEx>
        <w:trPr>
          <w:trHeight w:val="520" w:hRule="atLeast"/>
        </w:trPr>
        <w:tc>
          <w:tcPr>
            <w:tcW w:w="1050" w:type="dxa"/>
            <w:tcBorders>
              <w:top w:val="single" w:color="000000" w:sz="4" w:space="0"/>
              <w:left w:val="single" w:color="000000" w:sz="4" w:space="0"/>
              <w:bottom w:val="single" w:color="000000" w:sz="4" w:space="0"/>
              <w:right w:val="single" w:color="000000" w:sz="4" w:space="0"/>
            </w:tcBorders>
            <w:vAlign w:val="center"/>
          </w:tcPr>
          <w:p w14:paraId="52B37B6D">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p>
        </w:tc>
        <w:tc>
          <w:tcPr>
            <w:tcW w:w="7913" w:type="dxa"/>
            <w:gridSpan w:val="2"/>
            <w:tcBorders>
              <w:top w:val="single" w:color="000000" w:sz="4" w:space="0"/>
              <w:left w:val="single" w:color="000000" w:sz="4" w:space="0"/>
              <w:bottom w:val="single" w:color="000000" w:sz="4" w:space="0"/>
              <w:right w:val="single" w:color="000000" w:sz="4" w:space="0"/>
            </w:tcBorders>
            <w:vAlign w:val="center"/>
          </w:tcPr>
          <w:p w14:paraId="19159E98">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A.中标人享受中小企业扶持政策的，采购人、采购代理机构将随成交结果公开中标人的《中小企业声明函》，接受社会监督。</w:t>
            </w:r>
          </w:p>
          <w:p w14:paraId="6859D652">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B.中标人享受扶持政策的，小微企业不得将合同分包给大中型企业，中型企业不得将合同分包给大型企业。</w:t>
            </w:r>
          </w:p>
          <w:p w14:paraId="06A4826F">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C.本项目的采购标的属于《工业和信息化部国家统计局国家发展和改革委财政部关于印发中小企业划型标准规定的通知》（工信部联企业〔2011〕300号）中的零售业。</w:t>
            </w:r>
          </w:p>
          <w:p w14:paraId="22011135">
            <w:pPr>
              <w:spacing w:line="360" w:lineRule="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D.本项目属性：服务</w:t>
            </w:r>
          </w:p>
        </w:tc>
      </w:tr>
      <w:tr w14:paraId="5CA847F3">
        <w:tblPrEx>
          <w:tblCellMar>
            <w:top w:w="0" w:type="dxa"/>
            <w:left w:w="108" w:type="dxa"/>
            <w:bottom w:w="0" w:type="dxa"/>
            <w:right w:w="108" w:type="dxa"/>
          </w:tblCellMar>
        </w:tblPrEx>
        <w:trPr>
          <w:trHeight w:val="632" w:hRule="atLeast"/>
        </w:trPr>
        <w:tc>
          <w:tcPr>
            <w:tcW w:w="1050" w:type="dxa"/>
            <w:tcBorders>
              <w:top w:val="single" w:color="000000" w:sz="4" w:space="0"/>
              <w:left w:val="single" w:color="000000" w:sz="4" w:space="0"/>
              <w:bottom w:val="single" w:color="000000" w:sz="4" w:space="0"/>
              <w:right w:val="single" w:color="000000" w:sz="4" w:space="0"/>
            </w:tcBorders>
            <w:vAlign w:val="center"/>
          </w:tcPr>
          <w:p w14:paraId="0A3D059B">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10.3</w:t>
            </w:r>
          </w:p>
        </w:tc>
        <w:tc>
          <w:tcPr>
            <w:tcW w:w="7913" w:type="dxa"/>
            <w:gridSpan w:val="2"/>
            <w:tcBorders>
              <w:top w:val="single" w:color="000000" w:sz="4" w:space="0"/>
              <w:left w:val="single" w:color="000000" w:sz="4" w:space="0"/>
              <w:bottom w:val="single" w:color="000000" w:sz="4" w:space="0"/>
              <w:right w:val="single" w:color="000000" w:sz="4" w:space="0"/>
            </w:tcBorders>
            <w:vAlign w:val="center"/>
          </w:tcPr>
          <w:p w14:paraId="1355275A">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shd w:val="clear" w:color="auto" w:fill="FFFFFF"/>
                <w:lang w:bidi="ar"/>
              </w:rPr>
              <w:t>是否接受进口产品：否。</w:t>
            </w:r>
          </w:p>
        </w:tc>
      </w:tr>
      <w:tr w14:paraId="416C93A4">
        <w:tblPrEx>
          <w:tblCellMar>
            <w:top w:w="0" w:type="dxa"/>
            <w:left w:w="108" w:type="dxa"/>
            <w:bottom w:w="0" w:type="dxa"/>
            <w:right w:w="108" w:type="dxa"/>
          </w:tblCellMar>
        </w:tblPrEx>
        <w:trPr>
          <w:trHeight w:val="642" w:hRule="atLeast"/>
        </w:trPr>
        <w:tc>
          <w:tcPr>
            <w:tcW w:w="1050" w:type="dxa"/>
            <w:tcBorders>
              <w:top w:val="single" w:color="000000" w:sz="4" w:space="0"/>
              <w:left w:val="single" w:color="000000" w:sz="4" w:space="0"/>
              <w:bottom w:val="single" w:color="000000" w:sz="4" w:space="0"/>
              <w:right w:val="single" w:color="000000" w:sz="4" w:space="0"/>
            </w:tcBorders>
            <w:vAlign w:val="center"/>
          </w:tcPr>
          <w:p w14:paraId="793B55B4">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10.4</w:t>
            </w:r>
          </w:p>
        </w:tc>
        <w:tc>
          <w:tcPr>
            <w:tcW w:w="7913" w:type="dxa"/>
            <w:gridSpan w:val="2"/>
            <w:tcBorders>
              <w:top w:val="single" w:color="000000" w:sz="4" w:space="0"/>
              <w:left w:val="single" w:color="000000" w:sz="4" w:space="0"/>
              <w:bottom w:val="single" w:color="000000" w:sz="4" w:space="0"/>
              <w:right w:val="single" w:color="000000" w:sz="4" w:space="0"/>
            </w:tcBorders>
            <w:vAlign w:val="center"/>
          </w:tcPr>
          <w:p w14:paraId="1E2140F0">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是否为专门面向中小企业采购：否</w:t>
            </w:r>
          </w:p>
        </w:tc>
      </w:tr>
      <w:tr w14:paraId="0FAC6034">
        <w:tblPrEx>
          <w:tblCellMar>
            <w:top w:w="0" w:type="dxa"/>
            <w:left w:w="108" w:type="dxa"/>
            <w:bottom w:w="0" w:type="dxa"/>
            <w:right w:w="108" w:type="dxa"/>
          </w:tblCellMar>
        </w:tblPrEx>
        <w:trPr>
          <w:trHeight w:val="1847" w:hRule="atLeast"/>
        </w:trPr>
        <w:tc>
          <w:tcPr>
            <w:tcW w:w="1050" w:type="dxa"/>
            <w:tcBorders>
              <w:top w:val="single" w:color="000000" w:sz="4" w:space="0"/>
              <w:left w:val="single" w:color="000000" w:sz="4" w:space="0"/>
              <w:bottom w:val="single" w:color="000000" w:sz="4" w:space="0"/>
              <w:right w:val="single" w:color="000000" w:sz="4" w:space="0"/>
            </w:tcBorders>
            <w:vAlign w:val="center"/>
          </w:tcPr>
          <w:p w14:paraId="2DEDFC05">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10.5</w:t>
            </w:r>
          </w:p>
        </w:tc>
        <w:tc>
          <w:tcPr>
            <w:tcW w:w="7913" w:type="dxa"/>
            <w:gridSpan w:val="2"/>
            <w:tcBorders>
              <w:top w:val="single" w:color="000000" w:sz="4" w:space="0"/>
              <w:left w:val="single" w:color="000000" w:sz="4" w:space="0"/>
              <w:bottom w:val="single" w:color="000000" w:sz="4" w:space="0"/>
              <w:right w:val="single" w:color="000000" w:sz="4" w:space="0"/>
            </w:tcBorders>
            <w:vAlign w:val="center"/>
          </w:tcPr>
          <w:p w14:paraId="54567CC3">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*付款方式：采用先提货后结算的形式按月支付。</w:t>
            </w:r>
            <w:r>
              <w:rPr>
                <w:rFonts w:hint="eastAsia" w:ascii="宋体" w:hAnsi="宋体" w:eastAsia="宋体" w:cs="宋体"/>
                <w:color w:val="auto"/>
                <w:highlight w:val="none"/>
                <w:lang w:val="en-US" w:eastAsia="zh-CN"/>
              </w:rPr>
              <w:t>采购人根据供应商每月回收的领取券总额，按照中标折扣进行据实结算。</w:t>
            </w:r>
          </w:p>
          <w:p w14:paraId="544E934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结算公式：实际结算金额=收回</w:t>
            </w:r>
            <w:r>
              <w:rPr>
                <w:rFonts w:hint="eastAsia" w:ascii="宋体" w:hAnsi="宋体" w:eastAsia="宋体" w:cs="宋体"/>
                <w:color w:val="auto"/>
                <w:highlight w:val="none"/>
                <w:lang w:eastAsia="zh-CN"/>
              </w:rPr>
              <w:t>领取</w:t>
            </w:r>
            <w:r>
              <w:rPr>
                <w:rFonts w:hint="eastAsia" w:ascii="宋体" w:hAnsi="宋体" w:eastAsia="宋体" w:cs="宋体"/>
                <w:color w:val="auto"/>
                <w:highlight w:val="none"/>
              </w:rPr>
              <w:t>券面值总额×中标折扣</w:t>
            </w:r>
          </w:p>
          <w:p w14:paraId="574E4829">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例如：本月收回</w:t>
            </w:r>
            <w:r>
              <w:rPr>
                <w:rFonts w:hint="eastAsia" w:ascii="宋体" w:hAnsi="宋体" w:eastAsia="宋体" w:cs="宋体"/>
                <w:color w:val="auto"/>
                <w:highlight w:val="none"/>
                <w:lang w:eastAsia="zh-CN"/>
              </w:rPr>
              <w:t>领取</w:t>
            </w:r>
            <w:r>
              <w:rPr>
                <w:rFonts w:hint="eastAsia" w:ascii="宋体" w:hAnsi="宋体" w:eastAsia="宋体" w:cs="宋体"/>
                <w:color w:val="auto"/>
                <w:highlight w:val="none"/>
              </w:rPr>
              <w:t>券面值总额217800元，中标折扣为</w:t>
            </w:r>
            <w:r>
              <w:rPr>
                <w:rFonts w:hint="eastAsia" w:ascii="宋体" w:hAnsi="宋体" w:eastAsia="宋体" w:cs="宋体"/>
                <w:color w:val="auto"/>
                <w:highlight w:val="none"/>
                <w:lang w:val="en-US" w:eastAsia="zh-CN"/>
              </w:rPr>
              <w:t>60</w:t>
            </w:r>
            <w:r>
              <w:rPr>
                <w:rFonts w:hint="eastAsia" w:ascii="宋体" w:hAnsi="宋体" w:eastAsia="宋体" w:cs="宋体"/>
                <w:color w:val="auto"/>
                <w:highlight w:val="none"/>
              </w:rPr>
              <w:t>%</w:t>
            </w:r>
          </w:p>
          <w:p w14:paraId="41F5CFB3">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实际结算金额</w:t>
            </w:r>
            <w:r>
              <w:rPr>
                <w:rFonts w:hint="eastAsia" w:ascii="宋体" w:hAnsi="宋体" w:eastAsia="宋体" w:cs="宋体"/>
                <w:color w:val="auto"/>
                <w:highlight w:val="none"/>
                <w:lang w:eastAsia="zh-CN"/>
              </w:rPr>
              <w:t>为</w:t>
            </w:r>
            <w:r>
              <w:rPr>
                <w:rFonts w:hint="eastAsia" w:ascii="宋体" w:hAnsi="宋体" w:eastAsia="宋体" w:cs="宋体"/>
                <w:color w:val="auto"/>
                <w:highlight w:val="none"/>
              </w:rPr>
              <w:t>217800×</w:t>
            </w:r>
            <w:r>
              <w:rPr>
                <w:rFonts w:hint="eastAsia" w:ascii="宋体" w:hAnsi="宋体" w:eastAsia="宋体" w:cs="宋体"/>
                <w:color w:val="auto"/>
                <w:highlight w:val="none"/>
                <w:lang w:val="en-US" w:eastAsia="zh-CN"/>
              </w:rPr>
              <w:t>60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130680（</w:t>
            </w:r>
            <w:r>
              <w:rPr>
                <w:rFonts w:hint="eastAsia" w:ascii="宋体" w:hAnsi="宋体" w:eastAsia="宋体" w:cs="宋体"/>
                <w:color w:val="auto"/>
                <w:highlight w:val="none"/>
              </w:rPr>
              <w:t>元</w:t>
            </w:r>
            <w:r>
              <w:rPr>
                <w:rFonts w:hint="eastAsia" w:ascii="宋体" w:hAnsi="宋体" w:eastAsia="宋体" w:cs="宋体"/>
                <w:color w:val="auto"/>
                <w:highlight w:val="none"/>
                <w:lang w:val="en-US" w:eastAsia="zh-CN"/>
              </w:rPr>
              <w:t>）</w:t>
            </w:r>
          </w:p>
        </w:tc>
      </w:tr>
      <w:tr w14:paraId="2F1F0D6B">
        <w:tblPrEx>
          <w:tblCellMar>
            <w:top w:w="0" w:type="dxa"/>
            <w:left w:w="108" w:type="dxa"/>
            <w:bottom w:w="0" w:type="dxa"/>
            <w:right w:w="108" w:type="dxa"/>
          </w:tblCellMar>
        </w:tblPrEx>
        <w:trPr>
          <w:trHeight w:val="3139" w:hRule="atLeast"/>
        </w:trPr>
        <w:tc>
          <w:tcPr>
            <w:tcW w:w="1050" w:type="dxa"/>
            <w:tcBorders>
              <w:top w:val="single" w:color="000000" w:sz="4" w:space="0"/>
              <w:left w:val="single" w:color="000000" w:sz="4" w:space="0"/>
              <w:bottom w:val="single" w:color="000000" w:sz="4" w:space="0"/>
              <w:right w:val="single" w:color="000000" w:sz="4" w:space="0"/>
            </w:tcBorders>
            <w:vAlign w:val="center"/>
          </w:tcPr>
          <w:p w14:paraId="5FAC5FB3">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10.6</w:t>
            </w:r>
          </w:p>
        </w:tc>
        <w:tc>
          <w:tcPr>
            <w:tcW w:w="7913" w:type="dxa"/>
            <w:gridSpan w:val="2"/>
            <w:tcBorders>
              <w:top w:val="single" w:color="000000" w:sz="4" w:space="0"/>
              <w:left w:val="single" w:color="000000" w:sz="4" w:space="0"/>
              <w:bottom w:val="single" w:color="000000" w:sz="4" w:space="0"/>
              <w:right w:val="single" w:color="000000" w:sz="4" w:space="0"/>
            </w:tcBorders>
            <w:vAlign w:val="center"/>
          </w:tcPr>
          <w:p w14:paraId="7FFFF37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知识产权：供应商须保证采购人在中华人民共和国境内使用投标货物、资料、技术、服务或其任何一部分时，享有不受限制的无偿使用权，不会产生因第三方提出侵犯其专利权、商标权或其他知识产权而引起的法律或经济纠纷。如供应商不拥有相应的知识产权，则在投标总价中必须包括合法获取该知识产权的一切相关费用，如因此导致采购人损失的，供应商须承担全部赔偿责任。</w:t>
            </w:r>
          </w:p>
          <w:p w14:paraId="55C660B8">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供应商如欲在项目实施过程中采用自有知识成果，须在投标文件中声明，并提供相关知识产权证明文件。</w:t>
            </w:r>
          </w:p>
        </w:tc>
      </w:tr>
      <w:tr w14:paraId="4388691C">
        <w:tblPrEx>
          <w:tblCellMar>
            <w:top w:w="0" w:type="dxa"/>
            <w:left w:w="108" w:type="dxa"/>
            <w:bottom w:w="0" w:type="dxa"/>
            <w:right w:w="108" w:type="dxa"/>
          </w:tblCellMar>
        </w:tblPrEx>
        <w:trPr>
          <w:trHeight w:val="4313" w:hRule="atLeast"/>
        </w:trPr>
        <w:tc>
          <w:tcPr>
            <w:tcW w:w="1050" w:type="dxa"/>
            <w:tcBorders>
              <w:top w:val="single" w:color="000000" w:sz="4" w:space="0"/>
              <w:left w:val="single" w:color="000000" w:sz="4" w:space="0"/>
              <w:bottom w:val="single" w:color="000000" w:sz="4" w:space="0"/>
              <w:right w:val="single" w:color="000000" w:sz="4" w:space="0"/>
            </w:tcBorders>
            <w:vAlign w:val="center"/>
          </w:tcPr>
          <w:p w14:paraId="4E5B9954">
            <w:pPr>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10.</w:t>
            </w:r>
            <w:r>
              <w:rPr>
                <w:rFonts w:hint="eastAsia" w:ascii="宋体" w:hAnsi="宋体" w:eastAsia="宋体" w:cs="宋体"/>
                <w:color w:val="auto"/>
                <w:kern w:val="0"/>
                <w:szCs w:val="21"/>
                <w:highlight w:val="none"/>
                <w:lang w:val="en-US" w:eastAsia="zh-CN"/>
              </w:rPr>
              <w:t>7</w:t>
            </w:r>
          </w:p>
        </w:tc>
        <w:tc>
          <w:tcPr>
            <w:tcW w:w="7913" w:type="dxa"/>
            <w:gridSpan w:val="2"/>
            <w:tcBorders>
              <w:top w:val="single" w:color="000000" w:sz="4" w:space="0"/>
              <w:left w:val="single" w:color="000000" w:sz="4" w:space="0"/>
              <w:bottom w:val="single" w:color="000000" w:sz="4" w:space="0"/>
              <w:right w:val="single" w:color="000000" w:sz="4" w:space="0"/>
            </w:tcBorders>
            <w:vAlign w:val="center"/>
          </w:tcPr>
          <w:p w14:paraId="2361F98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*代理服务费：</w:t>
            </w:r>
          </w:p>
          <w:p w14:paraId="2D30962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1、参照河南省招标投标协会[2023]002号文件规定的“代理服务费收费标准”进行收费：</w:t>
            </w:r>
          </w:p>
          <w:p w14:paraId="791DD26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代理项目中标金额100万元以下的，承诺按照上述标准收取；</w:t>
            </w:r>
          </w:p>
          <w:p w14:paraId="31F9BAF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代理项目中标金额100万元（含）-400万元（不含）的，承诺按照上述标准给予8折优惠；</w:t>
            </w:r>
          </w:p>
          <w:p w14:paraId="61496353">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代理项目中标金额400万元（含）-1000万元（不含）的，承诺按照上述标准给予7折优惠；</w:t>
            </w:r>
          </w:p>
          <w:p w14:paraId="43DE724B">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代理项目中标金额1000万元（含）以上的，承诺按照上述标准给予6折优惠收取。</w:t>
            </w:r>
          </w:p>
          <w:p w14:paraId="3C27D558">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2、招标代理服务费的缴纳方式：按招标文件的要求以银行转账或现金的形式一次性向采购代理机构缴纳招标代理服务费。</w:t>
            </w:r>
          </w:p>
          <w:p w14:paraId="286277A7">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收款单位名称：河南精工工程管理咨询有限公司      </w:t>
            </w:r>
          </w:p>
          <w:p w14:paraId="2CB1F506">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账号：00709011800000841</w:t>
            </w:r>
          </w:p>
          <w:p w14:paraId="04D537B7">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开户行：河南农村商业银行股份有限公司郑州经开支行    </w:t>
            </w:r>
          </w:p>
          <w:p w14:paraId="56C9FFB3">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行号：402491007093</w:t>
            </w:r>
          </w:p>
        </w:tc>
      </w:tr>
      <w:tr w14:paraId="6FEC45AB">
        <w:tblPrEx>
          <w:tblCellMar>
            <w:top w:w="0" w:type="dxa"/>
            <w:left w:w="108" w:type="dxa"/>
            <w:bottom w:w="0" w:type="dxa"/>
            <w:right w:w="108" w:type="dxa"/>
          </w:tblCellMar>
        </w:tblPrEx>
        <w:trPr>
          <w:trHeight w:val="5005" w:hRule="atLeast"/>
        </w:trPr>
        <w:tc>
          <w:tcPr>
            <w:tcW w:w="1050" w:type="dxa"/>
            <w:tcBorders>
              <w:top w:val="single" w:color="000000" w:sz="4" w:space="0"/>
              <w:left w:val="single" w:color="000000" w:sz="4" w:space="0"/>
              <w:bottom w:val="single" w:color="000000" w:sz="4" w:space="0"/>
              <w:right w:val="single" w:color="000000" w:sz="4" w:space="0"/>
            </w:tcBorders>
            <w:vAlign w:val="center"/>
          </w:tcPr>
          <w:p w14:paraId="020C4865">
            <w:pPr>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10.</w:t>
            </w:r>
            <w:r>
              <w:rPr>
                <w:rFonts w:hint="eastAsia" w:ascii="宋体" w:hAnsi="宋体" w:eastAsia="宋体" w:cs="宋体"/>
                <w:color w:val="auto"/>
                <w:kern w:val="0"/>
                <w:szCs w:val="21"/>
                <w:highlight w:val="none"/>
                <w:lang w:val="en-US" w:eastAsia="zh-CN"/>
              </w:rPr>
              <w:t>8</w:t>
            </w:r>
          </w:p>
        </w:tc>
        <w:tc>
          <w:tcPr>
            <w:tcW w:w="7913" w:type="dxa"/>
            <w:gridSpan w:val="2"/>
            <w:tcBorders>
              <w:top w:val="single" w:color="000000" w:sz="4" w:space="0"/>
              <w:left w:val="single" w:color="000000" w:sz="4" w:space="0"/>
              <w:bottom w:val="single" w:color="000000" w:sz="4" w:space="0"/>
              <w:right w:val="single" w:color="000000" w:sz="4" w:space="0"/>
            </w:tcBorders>
            <w:vAlign w:val="center"/>
          </w:tcPr>
          <w:p w14:paraId="1C09865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*参与同一个标段(包)的供应商存在下列情形之一的，其投标(响应)文件无效：</w:t>
            </w:r>
          </w:p>
          <w:p w14:paraId="42C9984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1、不同供应商的电子投标(响应)文件上传计算机的网卡MAC地址、CPU序列号和硬盘序列号等硬件信息相同的；</w:t>
            </w:r>
          </w:p>
          <w:p w14:paraId="03D3BE63">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2、不同供应商的投标(响应)文件由同一电子设备编制、打印加密或者上传；</w:t>
            </w:r>
          </w:p>
          <w:p w14:paraId="39C9B6AB">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3、不同供应商的投标(响应)文件由同一电子设备打印、复印；</w:t>
            </w:r>
          </w:p>
          <w:p w14:paraId="75AE1BB7">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4、不同供应商的投标(响应)文件由同一人送达或者分发，或者不同供应商联系人为同一人或不同联系人的联系电话一致的；</w:t>
            </w:r>
          </w:p>
          <w:p w14:paraId="5B35BBB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5、不同供应商的投标(响应)文件的内容存在两处以上细节错误一致；</w:t>
            </w:r>
          </w:p>
          <w:p w14:paraId="7CD7156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6、不同供应商的法定代表人、委托代理人、项目经理、项目负责人等由同一个单位缴纳社会保险或者领取报酬的；</w:t>
            </w:r>
          </w:p>
          <w:p w14:paraId="578A6DB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7、不同供应商投标(响应)文件中法定代表人或者负责人签字出自同一人之手；</w:t>
            </w:r>
          </w:p>
          <w:p w14:paraId="44E5D5F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8、其它涉嫌串通的情形。</w:t>
            </w:r>
          </w:p>
        </w:tc>
      </w:tr>
      <w:tr w14:paraId="685B68C3">
        <w:tblPrEx>
          <w:tblCellMar>
            <w:top w:w="0" w:type="dxa"/>
            <w:left w:w="108" w:type="dxa"/>
            <w:bottom w:w="0" w:type="dxa"/>
            <w:right w:w="108" w:type="dxa"/>
          </w:tblCellMar>
        </w:tblPrEx>
        <w:trPr>
          <w:trHeight w:val="7110" w:hRule="atLeast"/>
        </w:trPr>
        <w:tc>
          <w:tcPr>
            <w:tcW w:w="1050" w:type="dxa"/>
            <w:tcBorders>
              <w:top w:val="single" w:color="000000" w:sz="4" w:space="0"/>
              <w:left w:val="single" w:color="000000" w:sz="4" w:space="0"/>
              <w:bottom w:val="single" w:color="000000" w:sz="4" w:space="0"/>
              <w:right w:val="single" w:color="000000" w:sz="4" w:space="0"/>
            </w:tcBorders>
            <w:vAlign w:val="center"/>
          </w:tcPr>
          <w:p w14:paraId="46907829">
            <w:pPr>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10.</w:t>
            </w:r>
            <w:r>
              <w:rPr>
                <w:rFonts w:hint="eastAsia" w:ascii="宋体" w:hAnsi="宋体" w:eastAsia="宋体" w:cs="宋体"/>
                <w:color w:val="auto"/>
                <w:kern w:val="0"/>
                <w:szCs w:val="21"/>
                <w:highlight w:val="none"/>
                <w:lang w:val="en-US" w:eastAsia="zh-CN"/>
              </w:rPr>
              <w:t>9</w:t>
            </w:r>
          </w:p>
        </w:tc>
        <w:tc>
          <w:tcPr>
            <w:tcW w:w="7913" w:type="dxa"/>
            <w:gridSpan w:val="2"/>
            <w:tcBorders>
              <w:top w:val="single" w:color="000000" w:sz="4" w:space="0"/>
              <w:left w:val="single" w:color="000000" w:sz="4" w:space="0"/>
              <w:bottom w:val="single" w:color="000000" w:sz="4" w:space="0"/>
              <w:right w:val="single" w:color="000000" w:sz="4" w:space="0"/>
            </w:tcBorders>
            <w:vAlign w:val="center"/>
          </w:tcPr>
          <w:p w14:paraId="69241D2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特别提醒：</w:t>
            </w:r>
          </w:p>
          <w:p w14:paraId="7137BFBB">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1、采购人和采购代理机构对已发出的招标文件进行的澄清、更正或更改，澄清、更正或更改的内容将作为招标文件组成部分。采购代理机构将通过网站“变更公告”和系统内部“答疑文件”告知</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，对于各项目中已经成功报名并下载招标文件的项目</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，系统将通过第三方短信群发方式提醒</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进行查询。各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须重新下载最新的招标文件及答疑文件，以此编制投标文件。</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注册时所留手机联系方式要保持畅通，因联系方式变更而未及时更新系统内联系方式的，将会造成收不到短信。此短信仅系友情提示，并具有任何约束性和必要性，采购人和采购代理机构不承担</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未收到短信而引起的一切后果和法律责任。</w:t>
            </w:r>
          </w:p>
          <w:p w14:paraId="3F9C23A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2、因河南省公共资源交易中心平台在开标前具有保密性，</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在投标文件递交截止时间前须自行查看项目进展、变更通知、澄清及回复，因</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未及时查看而造成的后果自负。</w:t>
            </w:r>
          </w:p>
          <w:p w14:paraId="4FCAC0B2">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highlight w:val="none"/>
              </w:rPr>
              <w:t>3、本项目采用“远程不见面”开标方式，远程开标大厅网址为http://hnsggzyjy.henan.gov.cn/BidOpening/bidopeninghallaction/hall/login</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无需到河南省公共资源交易中心现场参加开标会议，无需到达现场提交原件资料。</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应当在投标截止时间前，登录远程开标大厅，在线准时参加开标活动并进行投标文件解密等。</w:t>
            </w:r>
          </w:p>
        </w:tc>
      </w:tr>
      <w:tr w14:paraId="21F28734">
        <w:tblPrEx>
          <w:tblCellMar>
            <w:top w:w="0" w:type="dxa"/>
            <w:left w:w="108" w:type="dxa"/>
            <w:bottom w:w="0" w:type="dxa"/>
            <w:right w:w="108" w:type="dxa"/>
          </w:tblCellMar>
        </w:tblPrEx>
        <w:trPr>
          <w:trHeight w:val="5674" w:hRule="atLeast"/>
        </w:trPr>
        <w:tc>
          <w:tcPr>
            <w:tcW w:w="1050" w:type="dxa"/>
            <w:tcBorders>
              <w:top w:val="single" w:color="000000" w:sz="4" w:space="0"/>
              <w:left w:val="single" w:color="000000" w:sz="4" w:space="0"/>
              <w:bottom w:val="single" w:color="000000" w:sz="4" w:space="0"/>
              <w:right w:val="single" w:color="000000" w:sz="4" w:space="0"/>
            </w:tcBorders>
            <w:vAlign w:val="center"/>
          </w:tcPr>
          <w:p w14:paraId="33EF57C4">
            <w:pPr>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10.</w:t>
            </w:r>
            <w:r>
              <w:rPr>
                <w:rFonts w:hint="eastAsia" w:ascii="宋体" w:hAnsi="宋体" w:eastAsia="宋体" w:cs="宋体"/>
                <w:color w:val="auto"/>
                <w:kern w:val="0"/>
                <w:szCs w:val="21"/>
                <w:highlight w:val="none"/>
                <w:lang w:val="en-US" w:eastAsia="zh-CN"/>
              </w:rPr>
              <w:t>10</w:t>
            </w:r>
          </w:p>
        </w:tc>
        <w:tc>
          <w:tcPr>
            <w:tcW w:w="7913" w:type="dxa"/>
            <w:gridSpan w:val="2"/>
            <w:tcBorders>
              <w:top w:val="single" w:color="000000" w:sz="4" w:space="0"/>
              <w:left w:val="single" w:color="000000" w:sz="4" w:space="0"/>
              <w:bottom w:val="single" w:color="000000" w:sz="4" w:space="0"/>
              <w:right w:val="single" w:color="000000" w:sz="4" w:space="0"/>
            </w:tcBorders>
            <w:vAlign w:val="center"/>
          </w:tcPr>
          <w:p w14:paraId="33D2003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样品要求：</w:t>
            </w:r>
          </w:p>
          <w:p w14:paraId="5F71887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1、样品递交要求：</w:t>
            </w:r>
          </w:p>
          <w:p w14:paraId="6F49123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1.1样品名称及数量：6寸蛋糕样品1个；面包样品不少于五款；</w:t>
            </w:r>
          </w:p>
          <w:p w14:paraId="2A242189">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1.2口味：</w:t>
            </w:r>
            <w:r>
              <w:rPr>
                <w:rFonts w:hint="eastAsia" w:ascii="宋体" w:hAnsi="宋体" w:eastAsia="宋体" w:cs="宋体"/>
                <w:color w:val="auto"/>
                <w:highlight w:val="none"/>
                <w:lang w:val="en-US" w:eastAsia="zh-CN"/>
              </w:rPr>
              <w:t>蛋糕</w:t>
            </w:r>
            <w:r>
              <w:rPr>
                <w:rFonts w:hint="eastAsia" w:ascii="宋体" w:hAnsi="宋体" w:eastAsia="宋体" w:cs="宋体"/>
                <w:color w:val="auto"/>
                <w:highlight w:val="none"/>
              </w:rPr>
              <w:t>甜</w:t>
            </w:r>
            <w:r>
              <w:rPr>
                <w:rFonts w:hint="eastAsia" w:ascii="宋体" w:hAnsi="宋体" w:eastAsia="宋体" w:cs="宋体"/>
                <w:color w:val="auto"/>
                <w:highlight w:val="none"/>
                <w:lang w:val="en-US" w:eastAsia="zh-CN"/>
              </w:rPr>
              <w:t>味</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面包咸甜皆可；</w:t>
            </w:r>
          </w:p>
          <w:p w14:paraId="77CCEC89">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1.3蛋糕主材要求：100%动物奶油，若使用添加剂，添加剂应为天然食用添加剂；</w:t>
            </w:r>
          </w:p>
          <w:p w14:paraId="5BEC53F2">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1.4生产日期：投标截止前</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小时内；</w:t>
            </w:r>
          </w:p>
          <w:p w14:paraId="19CB2751">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1.5每个样品均需以标签形式标明供应商名称（标签注明：项目名称、</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单位名称、样品名称及数量、提交时间），开标前（投标截止时间前）递交至河南省公共资源交易中心样品展示区，以便办理样品存放手续；蛋糕应冷藏提交。逾期递交的视为未递交样品。</w:t>
            </w:r>
          </w:p>
          <w:p w14:paraId="73C5FE0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2、投标文件中须附所提供样品的成份分析表。</w:t>
            </w:r>
          </w:p>
          <w:p w14:paraId="1006AE5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3、样品的评审方法以及评审标准：详见评标办法。</w:t>
            </w:r>
          </w:p>
          <w:p w14:paraId="669AAAB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4、因本次采购内容为食品类，样品可能接受破坏性检验。</w:t>
            </w:r>
          </w:p>
        </w:tc>
      </w:tr>
      <w:tr w14:paraId="4C30F0E8">
        <w:tblPrEx>
          <w:tblCellMar>
            <w:top w:w="0" w:type="dxa"/>
            <w:left w:w="108" w:type="dxa"/>
            <w:bottom w:w="0" w:type="dxa"/>
            <w:right w:w="108" w:type="dxa"/>
          </w:tblCellMar>
        </w:tblPrEx>
        <w:trPr>
          <w:trHeight w:val="949" w:hRule="atLeast"/>
        </w:trPr>
        <w:tc>
          <w:tcPr>
            <w:tcW w:w="8963" w:type="dxa"/>
            <w:gridSpan w:val="3"/>
            <w:tcBorders>
              <w:top w:val="single" w:color="000000" w:sz="4" w:space="0"/>
              <w:left w:val="single" w:color="000000" w:sz="4" w:space="0"/>
              <w:bottom w:val="single" w:color="000000" w:sz="4" w:space="0"/>
              <w:right w:val="single" w:color="000000" w:sz="4" w:space="0"/>
            </w:tcBorders>
            <w:vAlign w:val="center"/>
          </w:tcPr>
          <w:p w14:paraId="0D113E95">
            <w:pPr>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特别说明：本项目采购人为河南省人民医院，但合同甲方为河南省人民医院工会，并由河南省人民医院工会进行结算。</w:t>
            </w:r>
          </w:p>
        </w:tc>
      </w:tr>
    </w:tbl>
    <w:p w14:paraId="644932FB">
      <w:pPr>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p>
    <w:p w14:paraId="115135F1">
      <w:pPr>
        <w:pStyle w:val="14"/>
        <w:outlineLvl w:val="9"/>
        <w:rPr>
          <w:rFonts w:hint="eastAsia" w:ascii="宋体" w:hAnsi="宋体" w:eastAsia="宋体" w:cs="宋体"/>
          <w:color w:val="auto"/>
          <w:sz w:val="28"/>
          <w:highlight w:val="none"/>
        </w:rPr>
      </w:pPr>
      <w:bookmarkStart w:id="35" w:name="_Toc29439"/>
      <w:bookmarkStart w:id="36" w:name="_Toc18164"/>
      <w:bookmarkStart w:id="37" w:name="_Toc22230"/>
      <w:bookmarkStart w:id="38" w:name="_Toc2390"/>
      <w:bookmarkStart w:id="39" w:name="_Toc18610"/>
      <w:bookmarkStart w:id="40" w:name="_Toc1585"/>
      <w:bookmarkStart w:id="41" w:name="_Toc8013"/>
      <w:r>
        <w:rPr>
          <w:rFonts w:hint="eastAsia" w:ascii="宋体" w:hAnsi="宋体" w:cs="宋体"/>
          <w:color w:val="auto"/>
          <w:sz w:val="28"/>
          <w:highlight w:val="none"/>
          <w:lang w:eastAsia="zh-CN"/>
        </w:rPr>
        <w:t>供应商</w:t>
      </w:r>
      <w:r>
        <w:rPr>
          <w:rFonts w:hint="eastAsia" w:ascii="宋体" w:hAnsi="宋体" w:eastAsia="宋体" w:cs="宋体"/>
          <w:color w:val="auto"/>
          <w:sz w:val="28"/>
          <w:highlight w:val="none"/>
        </w:rPr>
        <w:t>须知</w:t>
      </w:r>
      <w:bookmarkEnd w:id="35"/>
      <w:bookmarkEnd w:id="36"/>
      <w:bookmarkEnd w:id="37"/>
      <w:bookmarkEnd w:id="38"/>
      <w:bookmarkEnd w:id="39"/>
      <w:bookmarkEnd w:id="40"/>
      <w:bookmarkEnd w:id="41"/>
    </w:p>
    <w:p w14:paraId="04182A51">
      <w:pPr>
        <w:pStyle w:val="3"/>
        <w:spacing w:before="0" w:after="0" w:line="360" w:lineRule="auto"/>
        <w:outlineLvl w:val="0"/>
        <w:rPr>
          <w:rFonts w:hint="eastAsia" w:ascii="宋体" w:hAnsi="宋体" w:eastAsia="宋体" w:cs="宋体"/>
          <w:color w:val="auto"/>
          <w:sz w:val="28"/>
          <w:highlight w:val="none"/>
        </w:rPr>
      </w:pPr>
      <w:bookmarkStart w:id="42" w:name="_Toc27101"/>
      <w:bookmarkStart w:id="43" w:name="_Toc22062"/>
      <w:bookmarkStart w:id="44" w:name="_Toc11349"/>
      <w:bookmarkStart w:id="45" w:name="_Toc27091"/>
      <w:bookmarkStart w:id="46" w:name="_Toc10618"/>
      <w:bookmarkStart w:id="47" w:name="_Toc28997"/>
      <w:bookmarkStart w:id="48" w:name="_Toc16037"/>
      <w:r>
        <w:rPr>
          <w:rFonts w:hint="eastAsia" w:ascii="宋体" w:hAnsi="宋体" w:eastAsia="宋体" w:cs="宋体"/>
          <w:color w:val="auto"/>
          <w:sz w:val="28"/>
          <w:highlight w:val="none"/>
        </w:rPr>
        <w:t>1.  总则</w:t>
      </w:r>
      <w:bookmarkEnd w:id="42"/>
      <w:bookmarkEnd w:id="43"/>
      <w:bookmarkEnd w:id="44"/>
      <w:bookmarkEnd w:id="45"/>
      <w:bookmarkEnd w:id="46"/>
      <w:bookmarkEnd w:id="47"/>
      <w:bookmarkEnd w:id="48"/>
    </w:p>
    <w:p w14:paraId="1C72AD97">
      <w:pPr>
        <w:pStyle w:val="4"/>
        <w:spacing w:before="0" w:after="0"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1.1 招标项目概况</w:t>
      </w:r>
    </w:p>
    <w:p w14:paraId="2AD305BA">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1.1.1 根据《中华人民共和国政府采购法》、《中华人民共和国政府采购法实施条例》等有关法律、法规和规章的规定，本招标项目已具备招标条件，现进行公开招标。</w:t>
      </w:r>
    </w:p>
    <w:p w14:paraId="17CC2BB3">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1.1.2 采购人：见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w:t>
      </w:r>
    </w:p>
    <w:p w14:paraId="6E2466A0">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1.1.3 采购代理机构：见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w:t>
      </w:r>
    </w:p>
    <w:p w14:paraId="273197CB">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1.1.4 项目名称：见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w:t>
      </w:r>
    </w:p>
    <w:p w14:paraId="3319BFAB">
      <w:pPr>
        <w:pStyle w:val="4"/>
        <w:spacing w:before="0" w:after="0"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1.2 招标项目的预算金额和落实情况</w:t>
      </w:r>
    </w:p>
    <w:p w14:paraId="41C77D9A">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1.2.1项目预算金额：见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w:t>
      </w:r>
    </w:p>
    <w:p w14:paraId="36BBFAB0">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1.2.2 资金来源和落实情况：见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w:t>
      </w:r>
    </w:p>
    <w:p w14:paraId="37D809D2">
      <w:pPr>
        <w:pStyle w:val="4"/>
        <w:spacing w:before="0" w:after="0"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1.3 采购范围、</w:t>
      </w:r>
      <w:r>
        <w:rPr>
          <w:rFonts w:hint="eastAsia" w:ascii="宋体" w:hAnsi="宋体" w:eastAsia="宋体" w:cs="宋体"/>
          <w:color w:val="auto"/>
          <w:kern w:val="0"/>
          <w:sz w:val="21"/>
          <w:szCs w:val="21"/>
          <w:highlight w:val="none"/>
        </w:rPr>
        <w:t>供提货要求</w:t>
      </w:r>
      <w:r>
        <w:rPr>
          <w:rFonts w:hint="eastAsia" w:ascii="宋体" w:hAnsi="宋体" w:eastAsia="宋体" w:cs="宋体"/>
          <w:color w:val="auto"/>
          <w:sz w:val="21"/>
          <w:highlight w:val="none"/>
        </w:rPr>
        <w:t>、服务期限、交货地点、质量标准、合同履行期限</w:t>
      </w:r>
    </w:p>
    <w:p w14:paraId="194A4B1E">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1.3.1 采购范围：见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w:t>
      </w:r>
    </w:p>
    <w:p w14:paraId="3F3767BC">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 xml:space="preserve">1.3.2 </w:t>
      </w:r>
      <w:r>
        <w:rPr>
          <w:rFonts w:hint="eastAsia" w:ascii="宋体" w:hAnsi="宋体" w:eastAsia="宋体" w:cs="宋体"/>
          <w:color w:val="auto"/>
          <w:kern w:val="0"/>
          <w:szCs w:val="21"/>
          <w:highlight w:val="none"/>
        </w:rPr>
        <w:t>供提货要求</w:t>
      </w:r>
      <w:r>
        <w:rPr>
          <w:rFonts w:hint="eastAsia" w:ascii="宋体" w:hAnsi="宋体" w:eastAsia="宋体" w:cs="宋体"/>
          <w:color w:val="auto"/>
          <w:highlight w:val="none"/>
        </w:rPr>
        <w:t>：见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w:t>
      </w:r>
    </w:p>
    <w:p w14:paraId="101DA0CC">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1.3.3 服务期限：见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w:t>
      </w:r>
    </w:p>
    <w:p w14:paraId="2D0DF782">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1.3.4 交货地点：见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w:t>
      </w:r>
    </w:p>
    <w:p w14:paraId="246EC91D">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1.3.5 质量标准：见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w:t>
      </w:r>
    </w:p>
    <w:p w14:paraId="05D63E2B">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1.3.6合同履行期限：见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w:t>
      </w:r>
    </w:p>
    <w:p w14:paraId="58315C2F">
      <w:pPr>
        <w:pStyle w:val="4"/>
        <w:spacing w:before="0" w:after="0"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1.4 </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资格要求</w:t>
      </w:r>
    </w:p>
    <w:p w14:paraId="105E9DF2">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 xml:space="preserve">1.4.1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应具备的资格要求见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须知前附表：需要提交的相关证明材料见本章初步评审表的规定。</w:t>
      </w:r>
    </w:p>
    <w:p w14:paraId="133BF4E2">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1.4.2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须知前附表规定接受联合体投标的，联合体除应符合本章第 1.4.1 项和</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须知前附表的要求外，还应遵守以下规定：</w:t>
      </w:r>
    </w:p>
    <w:p w14:paraId="0A428E0E">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（1）联合体各方应按招标文件提供的格式签订联合体协议书，明确联合体牵头人和各方权利义务，并承诺就中标项目向采购人承担连带责任；</w:t>
      </w:r>
    </w:p>
    <w:p w14:paraId="5857A886">
      <w:pPr>
        <w:spacing w:line="360" w:lineRule="auto"/>
        <w:ind w:firstLine="424" w:firstLineChars="202"/>
        <w:rPr>
          <w:rFonts w:hint="eastAsia" w:ascii="宋体" w:hAnsi="宋体" w:eastAsia="宋体" w:cs="宋体"/>
          <w:color w:val="auto"/>
          <w:highlight w:val="none"/>
          <w:lang w:eastAsia="zh-CN"/>
        </w:rPr>
      </w:pPr>
      <w:r>
        <w:rPr>
          <w:rFonts w:hint="eastAsia" w:ascii="宋体" w:hAnsi="宋体" w:eastAsia="宋体" w:cs="宋体"/>
          <w:color w:val="auto"/>
          <w:highlight w:val="none"/>
        </w:rPr>
        <w:t>（2）联合体中有同类资质的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按照联合体分工承担相同工作的，应当按照资质等级较低的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确定资质等级</w:t>
      </w:r>
      <w:r>
        <w:rPr>
          <w:rFonts w:hint="eastAsia" w:ascii="宋体" w:hAnsi="宋体" w:eastAsia="宋体" w:cs="宋体"/>
          <w:color w:val="auto"/>
          <w:highlight w:val="none"/>
          <w:lang w:eastAsia="zh-CN"/>
        </w:rPr>
        <w:t>；</w:t>
      </w:r>
    </w:p>
    <w:p w14:paraId="0132D5A9">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（3）联合体各方不得再单独参加或者与其他</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另外组成联合体参加同一合同项下的政府采购活动。</w:t>
      </w:r>
    </w:p>
    <w:p w14:paraId="742CDCB1">
      <w:pPr>
        <w:pStyle w:val="4"/>
        <w:spacing w:before="0" w:after="0"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1.5 费用承担</w:t>
      </w:r>
    </w:p>
    <w:p w14:paraId="3FF71B7D">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准备和参加投标活动发生的费用自理。</w:t>
      </w:r>
    </w:p>
    <w:p w14:paraId="6B025617">
      <w:pPr>
        <w:pStyle w:val="4"/>
        <w:spacing w:before="0" w:after="0"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1.6 保密</w:t>
      </w:r>
    </w:p>
    <w:p w14:paraId="2A8B478E">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参与招标投标活动的各方应对招标文件和投标文件中的商业和技术等秘密保密，否则应承担相应的法律责任。</w:t>
      </w:r>
    </w:p>
    <w:p w14:paraId="7934567B">
      <w:pPr>
        <w:pStyle w:val="4"/>
        <w:spacing w:before="0" w:after="0"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1.7 语言文字</w:t>
      </w:r>
    </w:p>
    <w:p w14:paraId="6F85E2D5">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招标投标文件使用的语言文字为中文。专用术语使用外文的，应附有中文注释。</w:t>
      </w:r>
    </w:p>
    <w:p w14:paraId="207D3534">
      <w:pPr>
        <w:pStyle w:val="4"/>
        <w:spacing w:before="0" w:after="0"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1.8 计量单位</w:t>
      </w:r>
    </w:p>
    <w:p w14:paraId="587A2D53">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所有计量均采用中华人民共和国法定计量单位。</w:t>
      </w:r>
    </w:p>
    <w:p w14:paraId="62C528A2">
      <w:pPr>
        <w:pStyle w:val="4"/>
        <w:spacing w:before="0" w:after="0"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1.9 现场踏勘</w:t>
      </w:r>
    </w:p>
    <w:p w14:paraId="4E86F131">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须知前附表规定潜在</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现场踏勘的，采购人或者采购代理机构人按“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须知前附表”规定的时间、地点组织</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踏勘项目现场。</w:t>
      </w:r>
    </w:p>
    <w:p w14:paraId="42FF0540">
      <w:pPr>
        <w:pStyle w:val="4"/>
        <w:spacing w:before="0" w:after="0"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1.10 分包</w:t>
      </w:r>
    </w:p>
    <w:p w14:paraId="78AA64D0">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根据招标文件的规定和采购项目的实际情况，拟在中标后将中标项目的非主体、非关键性工作分包的，应当在投标文件中载明分包承担主体，分包承担主体应当具备相应资质条件且不得再次分包及对分包项目承担责任。</w:t>
      </w:r>
    </w:p>
    <w:p w14:paraId="4C8CBCAD">
      <w:pPr>
        <w:pStyle w:val="4"/>
        <w:spacing w:before="0" w:after="0"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1.11 响应和偏差</w:t>
      </w:r>
    </w:p>
    <w:p w14:paraId="08B98A0C">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1.11.1 投标文件应当对招标文件的实质性要求和条件做出满足性或更有利于采购人的响应，否则，</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的投标将被否决。实质性要求和条件见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w:t>
      </w:r>
    </w:p>
    <w:p w14:paraId="0E8CE378">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 xml:space="preserve">1.11.2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应根据招标文件的要求提供商务、技术等内容以对招标文件作出响应。</w:t>
      </w:r>
    </w:p>
    <w:p w14:paraId="0DCB242A">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1.11.3 投标文件中应针对招标文件采购需求提供技术支持资料。技术支持资料以制造商公开发布的印刷资料，或检测机构出具的检测报告或其他形式为准。</w:t>
      </w:r>
    </w:p>
    <w:p w14:paraId="70839B0C">
      <w:pPr>
        <w:pStyle w:val="3"/>
        <w:spacing w:before="0" w:after="0" w:line="360" w:lineRule="auto"/>
        <w:outlineLvl w:val="0"/>
        <w:rPr>
          <w:rFonts w:hint="eastAsia" w:ascii="宋体" w:hAnsi="宋体" w:eastAsia="宋体" w:cs="宋体"/>
          <w:color w:val="auto"/>
          <w:sz w:val="24"/>
          <w:highlight w:val="none"/>
        </w:rPr>
      </w:pPr>
      <w:bookmarkStart w:id="49" w:name="_Toc6435"/>
      <w:bookmarkStart w:id="50" w:name="_Toc22034"/>
      <w:bookmarkStart w:id="51" w:name="_Toc29379"/>
      <w:bookmarkStart w:id="52" w:name="_Toc27988"/>
      <w:bookmarkStart w:id="53" w:name="_Toc24143"/>
      <w:bookmarkStart w:id="54" w:name="_Toc2261"/>
      <w:bookmarkStart w:id="55" w:name="_Toc21255"/>
      <w:r>
        <w:rPr>
          <w:rFonts w:hint="eastAsia" w:ascii="宋体" w:hAnsi="宋体" w:eastAsia="宋体" w:cs="宋体"/>
          <w:color w:val="auto"/>
          <w:sz w:val="24"/>
          <w:highlight w:val="none"/>
        </w:rPr>
        <w:t>2.  招标文件</w:t>
      </w:r>
      <w:bookmarkEnd w:id="49"/>
      <w:bookmarkEnd w:id="50"/>
      <w:bookmarkEnd w:id="51"/>
      <w:bookmarkEnd w:id="52"/>
      <w:bookmarkEnd w:id="53"/>
      <w:bookmarkEnd w:id="54"/>
      <w:bookmarkEnd w:id="55"/>
    </w:p>
    <w:p w14:paraId="436A1DEB">
      <w:pPr>
        <w:pStyle w:val="4"/>
        <w:spacing w:before="0" w:after="0"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2.1 招标文件的组成</w:t>
      </w:r>
    </w:p>
    <w:p w14:paraId="749B509D">
      <w:pPr>
        <w:tabs>
          <w:tab w:val="left" w:pos="266"/>
        </w:tabs>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本招标文件包括：</w:t>
      </w:r>
    </w:p>
    <w:p w14:paraId="654FEB1F">
      <w:pPr>
        <w:tabs>
          <w:tab w:val="left" w:pos="266"/>
        </w:tabs>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（1）招标公告；</w:t>
      </w:r>
    </w:p>
    <w:p w14:paraId="4E3943F5">
      <w:pPr>
        <w:tabs>
          <w:tab w:val="left" w:pos="266"/>
        </w:tabs>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w:t>
      </w:r>
    </w:p>
    <w:p w14:paraId="64467C0D">
      <w:pPr>
        <w:tabs>
          <w:tab w:val="left" w:pos="266"/>
        </w:tabs>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（3）评标方法和标准；</w:t>
      </w:r>
    </w:p>
    <w:p w14:paraId="7FA54FDF">
      <w:pPr>
        <w:tabs>
          <w:tab w:val="left" w:pos="266"/>
        </w:tabs>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（4）合同；</w:t>
      </w:r>
    </w:p>
    <w:p w14:paraId="01B0D2E7">
      <w:pPr>
        <w:tabs>
          <w:tab w:val="left" w:pos="266"/>
        </w:tabs>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（5）采购需求；</w:t>
      </w:r>
    </w:p>
    <w:p w14:paraId="2F48BB97">
      <w:pPr>
        <w:tabs>
          <w:tab w:val="left" w:pos="266"/>
        </w:tabs>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（6）投标文件格式；</w:t>
      </w:r>
    </w:p>
    <w:p w14:paraId="387E06D8">
      <w:pPr>
        <w:tabs>
          <w:tab w:val="left" w:pos="266"/>
        </w:tabs>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根据本章第 2.2 款和第 2.3 款对招标文件所做的澄清、修改，构成招标文件的组成部分。</w:t>
      </w:r>
    </w:p>
    <w:p w14:paraId="075D43FF">
      <w:pPr>
        <w:pStyle w:val="4"/>
        <w:spacing w:before="0" w:after="0"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2.2 招标文件的澄清或者修改</w:t>
      </w:r>
    </w:p>
    <w:p w14:paraId="6F7ECF14">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2.2.1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应仔细阅读和检查招标文件的全部内容。如有疑问，应当在收到招标文件之日或者招标文件公告期限届满之日起七个工作日内，在河南省公共资源交易中心平台上提出。采购人和采购代理机构对潜在</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在规定期限内提交的疑问予以答复。在规定的时间内未提出疑问的，将被视为完全理解并接受招标文件的全部内容。</w:t>
      </w:r>
    </w:p>
    <w:p w14:paraId="19F3891E">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2.2.2除非采购人认为确有必要答复，否则，采购人有权拒绝回复</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在本章第2.2.1项规定的时间后的任何澄清要求。</w:t>
      </w:r>
    </w:p>
    <w:p w14:paraId="25645978">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2.2.3采购人或者采购代理机构可以对已发出的招标文件进行必要的澄清或者修改，但不得改变采购标的和资格条件。澄清或者修改的内容为招标文件的组成部分。澄清或者修改的内容可能影响投标文件编制的，采购人或者采购代理机构在投标截止时间至少15日前，通知所有获取招标文件的潜在</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；不足15日的，顺延提交投标文件的截止时间。</w:t>
      </w:r>
    </w:p>
    <w:p w14:paraId="6575D726">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2.2.4招标文件的澄清或者修改将通过交易平台系统内部“答疑文件”告知</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，发布给所有下载招标文件的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，并在原公告发布媒体上发布澄清公告，但不指明澄清问题的来源。对于项目中已经下载招标文件的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，系统将通过第三方短信群发方式提醒</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进行查询。各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须重新下载最新的答疑文件，以此编制投标文件。</w:t>
      </w:r>
    </w:p>
    <w:p w14:paraId="18B67DEA">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2.2.5</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市场主体信息登记时所留手机联系方式要保持畅通，因联系方式变更而未及时更新系统内联系方式的，将会造成收不到短信。此短信仅系友情提示，并不具有任何约束性和必要性，采购人和采购代理机构不承担</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未收到短信而引起的一切后果和法律责任。</w:t>
      </w:r>
    </w:p>
    <w:p w14:paraId="64354A24">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2.2.6因交易中心平台在开标前具有保密性，</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在投标截止时间前须自行查看项目进展、变更通知、澄清及回复，因</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未及时查看而造成的后果自行承担。</w:t>
      </w:r>
    </w:p>
    <w:p w14:paraId="6AF5B51A">
      <w:pPr>
        <w:pStyle w:val="3"/>
        <w:spacing w:before="0" w:after="0" w:line="360" w:lineRule="auto"/>
        <w:outlineLvl w:val="0"/>
        <w:rPr>
          <w:rFonts w:hint="eastAsia" w:ascii="宋体" w:hAnsi="宋体" w:eastAsia="宋体" w:cs="宋体"/>
          <w:color w:val="auto"/>
          <w:sz w:val="24"/>
          <w:highlight w:val="none"/>
        </w:rPr>
      </w:pPr>
      <w:bookmarkStart w:id="56" w:name="_Toc5560"/>
      <w:bookmarkStart w:id="57" w:name="_Toc9037"/>
      <w:bookmarkStart w:id="58" w:name="_Toc14179"/>
      <w:bookmarkStart w:id="59" w:name="_Toc11855"/>
      <w:bookmarkStart w:id="60" w:name="_Toc25954"/>
      <w:bookmarkStart w:id="61" w:name="_Toc22048"/>
      <w:bookmarkStart w:id="62" w:name="_Toc21907"/>
      <w:r>
        <w:rPr>
          <w:rFonts w:hint="eastAsia" w:ascii="宋体" w:hAnsi="宋体" w:eastAsia="宋体" w:cs="宋体"/>
          <w:color w:val="auto"/>
          <w:sz w:val="24"/>
          <w:highlight w:val="none"/>
        </w:rPr>
        <w:t>3.  投标文件</w:t>
      </w:r>
      <w:bookmarkEnd w:id="56"/>
      <w:bookmarkEnd w:id="57"/>
      <w:bookmarkEnd w:id="58"/>
      <w:bookmarkEnd w:id="59"/>
      <w:bookmarkEnd w:id="60"/>
      <w:bookmarkEnd w:id="61"/>
      <w:bookmarkEnd w:id="62"/>
    </w:p>
    <w:p w14:paraId="7E308A99">
      <w:pPr>
        <w:pStyle w:val="4"/>
        <w:spacing w:before="0" w:after="0"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投标文件的组成</w:t>
      </w:r>
    </w:p>
    <w:p w14:paraId="18FDB201">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3.1.1 投标文件应包括下列内容：</w:t>
      </w:r>
    </w:p>
    <w:p w14:paraId="6305381E">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（1）资格审查证明材料；</w:t>
      </w:r>
    </w:p>
    <w:p w14:paraId="31E7036C">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（2）商务、技术文件；</w:t>
      </w:r>
    </w:p>
    <w:p w14:paraId="58952DD8">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在评标过程中作出的符合法律法规和招标文件规定的澄清确认，构成投标文件的组成部分。</w:t>
      </w:r>
    </w:p>
    <w:p w14:paraId="03B42F85">
      <w:pPr>
        <w:pStyle w:val="4"/>
        <w:spacing w:before="0" w:after="0"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3.2 投标报价</w:t>
      </w:r>
    </w:p>
    <w:p w14:paraId="138802F9">
      <w:pPr>
        <w:spacing w:line="360" w:lineRule="auto"/>
        <w:ind w:firstLine="424" w:firstLineChars="202"/>
        <w:rPr>
          <w:rFonts w:hint="default" w:ascii="宋体" w:hAnsi="宋体" w:eastAsia="宋体" w:cs="宋体"/>
          <w:color w:val="auto"/>
          <w:highlight w:val="none"/>
          <w:lang w:val="en-US" w:eastAsia="zh-CN"/>
        </w:rPr>
      </w:pPr>
      <w:r>
        <w:rPr>
          <w:rFonts w:hint="eastAsia" w:ascii="宋体" w:hAnsi="宋体" w:eastAsia="宋体" w:cs="宋体"/>
          <w:color w:val="auto"/>
          <w:highlight w:val="none"/>
        </w:rPr>
        <w:t>3.2.1本项目</w:t>
      </w:r>
      <w:r>
        <w:rPr>
          <w:rFonts w:hint="eastAsia" w:ascii="宋体" w:hAnsi="宋体" w:eastAsia="宋体" w:cs="宋体"/>
          <w:color w:val="auto"/>
          <w:highlight w:val="none"/>
          <w:lang w:val="en-US" w:eastAsia="zh-CN"/>
        </w:rPr>
        <w:t>按照</w:t>
      </w:r>
      <w:r>
        <w:rPr>
          <w:rFonts w:hint="eastAsia" w:ascii="宋体" w:hAnsi="宋体" w:eastAsia="宋体" w:cs="宋体"/>
          <w:color w:val="auto"/>
          <w:kern w:val="0"/>
          <w:szCs w:val="21"/>
          <w:highlight w:val="none"/>
        </w:rPr>
        <w:t>慰问品领取券的折扣</w:t>
      </w:r>
      <w:r>
        <w:rPr>
          <w:rFonts w:hint="eastAsia" w:ascii="宋体" w:hAnsi="宋体" w:eastAsia="宋体" w:cs="宋体"/>
          <w:color w:val="auto"/>
          <w:kern w:val="0"/>
          <w:szCs w:val="21"/>
          <w:highlight w:val="none"/>
          <w:lang w:val="en-US" w:eastAsia="zh-CN"/>
        </w:rPr>
        <w:t>进行报价，供应商报价折扣不得高于100%，生日慰问品领取券面值不得低于采购标准(每份300元)</w:t>
      </w:r>
      <w:r>
        <w:rPr>
          <w:rFonts w:hint="eastAsia" w:ascii="宋体" w:hAnsi="宋体" w:eastAsia="宋体" w:cs="宋体"/>
          <w:color w:val="auto"/>
          <w:highlight w:val="none"/>
          <w:lang w:val="en-US" w:eastAsia="zh-CN"/>
        </w:rPr>
        <w:t>。</w:t>
      </w:r>
    </w:p>
    <w:p w14:paraId="28030A75">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3.2.2该折扣为综合折扣，供应商应综合考虑包含生日蛋糕在内的其他食品及其物料购置、材料、设计、制作、配送、保险、伴随服务、销售税、其他税以及合同包含的所有风险、责任及不可预见的一切费用。如</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在中标或履行合同过程中出现任何遗漏性内容需产生额外费用，均由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自行承担，采购人不再支付任何其他费用</w:t>
      </w:r>
      <w:r>
        <w:rPr>
          <w:rFonts w:hint="eastAsia" w:ascii="宋体" w:hAnsi="宋体" w:eastAsia="宋体" w:cs="宋体"/>
          <w:color w:val="auto"/>
          <w:kern w:val="0"/>
          <w:szCs w:val="21"/>
          <w:highlight w:val="none"/>
        </w:rPr>
        <w:t>。</w:t>
      </w:r>
    </w:p>
    <w:p w14:paraId="59F79E2F">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 xml:space="preserve">3.2.3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应充分了解该项目的总体情况以及影响投标报价的其他要素。</w:t>
      </w:r>
    </w:p>
    <w:p w14:paraId="739C8FAC">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3.2.4</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应按照招标文件提供的投标报价表格式填写投标报价。</w:t>
      </w:r>
    </w:p>
    <w:p w14:paraId="6595E89C">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 xml:space="preserve">3.2.5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得以任何理由在开标后对投标报价予以修改，报价在投标有效期内是固定的，不因任何原因而改变。任何包含价格调整要求和条件的投标，将被视为非实质性响应投标而予以拒绝。最低投标报价并不意味着一定中标。</w:t>
      </w:r>
    </w:p>
    <w:p w14:paraId="39F9D5AB">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3.2.6投标报价的其他要求见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w:t>
      </w:r>
    </w:p>
    <w:p w14:paraId="4339C52B">
      <w:pPr>
        <w:pStyle w:val="4"/>
        <w:spacing w:before="0" w:after="0"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3.3 投标有效期</w:t>
      </w:r>
    </w:p>
    <w:p w14:paraId="4BFA9494">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3.3.1 投标有效期要求见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w:t>
      </w:r>
    </w:p>
    <w:p w14:paraId="1AEB96C3">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3.3.2投标有效期从提交投标文件的截止之日起算。投标文件中承诺的投标有效期应当不少于招标文件中载明的投标有效期。投标有效期内</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撤销投标文件的，投标文件无效。</w:t>
      </w:r>
    </w:p>
    <w:p w14:paraId="43FC9D08">
      <w:pPr>
        <w:pStyle w:val="4"/>
        <w:spacing w:before="0" w:after="0"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3.4 投标保证金</w:t>
      </w:r>
    </w:p>
    <w:p w14:paraId="26E9DF7D">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3.4.1根据《河南省财政厅关于优化政府采购营商环境有关问题的通知》（豫财购[2019]4 号）文件之规定，本项目不再要求</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提交投标保证金。</w:t>
      </w:r>
    </w:p>
    <w:p w14:paraId="04D5EA37">
      <w:pPr>
        <w:pStyle w:val="4"/>
        <w:spacing w:before="0" w:after="0"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3.5 资格审查资料</w:t>
      </w:r>
    </w:p>
    <w:p w14:paraId="37EED161">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3.5.1除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须知前附表另有规定外，</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应按规定提供资格审查资料，以证明其满足本章第1.4.1款要求。</w:t>
      </w:r>
    </w:p>
    <w:p w14:paraId="153DD7B4">
      <w:pPr>
        <w:pStyle w:val="4"/>
        <w:spacing w:before="0" w:after="0"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3.6 备选投标方案</w:t>
      </w:r>
    </w:p>
    <w:p w14:paraId="7E06B269">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须知前附表规定允许外，</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不得递交备选投标方案，否则其投标将被否决。</w:t>
      </w:r>
    </w:p>
    <w:p w14:paraId="6C3493F5">
      <w:pPr>
        <w:pStyle w:val="4"/>
        <w:spacing w:before="0" w:after="0"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3.7 投标文件的编制</w:t>
      </w:r>
    </w:p>
    <w:p w14:paraId="79D8961E">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highlight w:val="none"/>
        </w:rPr>
        <w:t>3.7.1 投标文件应按第六章“投标文件格式”</w:t>
      </w:r>
      <w:r>
        <w:rPr>
          <w:rFonts w:hint="eastAsia" w:ascii="宋体" w:hAnsi="宋体" w:eastAsia="宋体" w:cs="宋体"/>
          <w:color w:val="auto"/>
          <w:szCs w:val="21"/>
          <w:highlight w:val="none"/>
        </w:rPr>
        <w:t>使用河南省公共资源交易系统投标文件制作专用工具软件编制。</w:t>
      </w:r>
    </w:p>
    <w:p w14:paraId="6F142DAC">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3.7.2 投标文件应当对招标文件有关供提货要求、投标有效期等实质性内容作出响应。投标文件在满足招标文件实质性要求的基础上，可以提出比招标文件要求更有利于采购人的承诺。</w:t>
      </w:r>
    </w:p>
    <w:p w14:paraId="3F8C0E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3.7.3投标文件全部采用电子文档，除</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须知前附表另有规定外，投标文件所附证书证件均为原件扫描件，并采用单位和个人数字证书，按招标文件要求在相应位置加盖电子印章。由</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的法定代表人签字或加盖电子印章的，应附法定代表人身份证明，由代理人签字或加盖电子印章的，应附由法定代表人签署的授权委托书。签字或盖章的具体要求见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14751C77">
      <w:pPr>
        <w:pStyle w:val="3"/>
        <w:spacing w:before="0" w:after="0" w:line="360" w:lineRule="auto"/>
        <w:outlineLvl w:val="0"/>
        <w:rPr>
          <w:rFonts w:hint="eastAsia" w:ascii="宋体" w:hAnsi="宋体" w:eastAsia="宋体" w:cs="宋体"/>
          <w:color w:val="auto"/>
          <w:sz w:val="24"/>
          <w:highlight w:val="none"/>
        </w:rPr>
      </w:pPr>
      <w:bookmarkStart w:id="63" w:name="_Toc5631"/>
      <w:bookmarkStart w:id="64" w:name="_Toc31194"/>
      <w:bookmarkStart w:id="65" w:name="_Toc31666"/>
      <w:bookmarkStart w:id="66" w:name="_Toc28184"/>
      <w:bookmarkStart w:id="67" w:name="_Toc18910"/>
      <w:bookmarkStart w:id="68" w:name="_Toc28413"/>
      <w:bookmarkStart w:id="69" w:name="_Toc9985"/>
      <w:r>
        <w:rPr>
          <w:rFonts w:hint="eastAsia" w:ascii="宋体" w:hAnsi="宋体" w:eastAsia="宋体" w:cs="宋体"/>
          <w:color w:val="auto"/>
          <w:sz w:val="24"/>
          <w:highlight w:val="none"/>
        </w:rPr>
        <w:t>4.  投标</w:t>
      </w:r>
      <w:bookmarkEnd w:id="63"/>
      <w:bookmarkEnd w:id="64"/>
      <w:bookmarkEnd w:id="65"/>
      <w:bookmarkEnd w:id="66"/>
      <w:bookmarkEnd w:id="67"/>
      <w:bookmarkEnd w:id="68"/>
      <w:bookmarkEnd w:id="69"/>
    </w:p>
    <w:p w14:paraId="4F13474D">
      <w:pPr>
        <w:pStyle w:val="3"/>
        <w:spacing w:before="0" w:after="0" w:line="360" w:lineRule="auto"/>
        <w:outlineLvl w:val="9"/>
        <w:rPr>
          <w:rFonts w:hint="eastAsia" w:ascii="宋体" w:hAnsi="宋体" w:eastAsia="宋体" w:cs="宋体"/>
          <w:color w:val="auto"/>
          <w:sz w:val="24"/>
          <w:highlight w:val="none"/>
        </w:rPr>
      </w:pPr>
      <w:bookmarkStart w:id="70" w:name="_Toc14814"/>
      <w:bookmarkStart w:id="71" w:name="_Toc21818"/>
      <w:bookmarkStart w:id="72" w:name="_Toc15427"/>
      <w:bookmarkStart w:id="73" w:name="_Toc11476"/>
      <w:bookmarkStart w:id="74" w:name="_Toc6303"/>
      <w:bookmarkStart w:id="75" w:name="_Toc23665"/>
      <w:r>
        <w:rPr>
          <w:rFonts w:hint="eastAsia" w:ascii="宋体" w:hAnsi="宋体" w:eastAsia="宋体" w:cs="宋体"/>
          <w:color w:val="auto"/>
          <w:sz w:val="24"/>
          <w:highlight w:val="none"/>
        </w:rPr>
        <w:t>4.1 投标文件的</w:t>
      </w:r>
      <w:bookmarkEnd w:id="70"/>
      <w:r>
        <w:rPr>
          <w:rFonts w:hint="eastAsia" w:ascii="宋体" w:hAnsi="宋体" w:eastAsia="宋体" w:cs="宋体"/>
          <w:color w:val="auto"/>
          <w:sz w:val="24"/>
          <w:highlight w:val="none"/>
        </w:rPr>
        <w:t>加密</w:t>
      </w:r>
      <w:bookmarkEnd w:id="71"/>
      <w:bookmarkEnd w:id="72"/>
      <w:bookmarkEnd w:id="73"/>
      <w:bookmarkEnd w:id="74"/>
      <w:bookmarkEnd w:id="75"/>
    </w:p>
    <w:p w14:paraId="2F0F42A4">
      <w:pPr>
        <w:spacing w:line="360" w:lineRule="auto"/>
        <w:ind w:firstLine="420"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4.1.1 网上上传的电子投标文件应使用数字证书认证并加密。</w:t>
      </w:r>
    </w:p>
    <w:p w14:paraId="6F6C7F7E">
      <w:pPr>
        <w:keepNext/>
        <w:keepLines/>
        <w:spacing w:line="360" w:lineRule="auto"/>
        <w:outlineLvl w:val="9"/>
        <w:rPr>
          <w:rFonts w:hint="eastAsia" w:ascii="宋体" w:hAnsi="宋体" w:eastAsia="宋体" w:cs="宋体"/>
          <w:b/>
          <w:color w:val="auto"/>
          <w:szCs w:val="21"/>
          <w:highlight w:val="none"/>
        </w:rPr>
      </w:pPr>
      <w:bookmarkStart w:id="76" w:name="_Toc22547"/>
      <w:r>
        <w:rPr>
          <w:rFonts w:hint="eastAsia" w:ascii="宋体" w:hAnsi="宋体" w:eastAsia="宋体" w:cs="宋体"/>
          <w:b/>
          <w:color w:val="auto"/>
          <w:szCs w:val="21"/>
          <w:highlight w:val="none"/>
        </w:rPr>
        <w:t>4.2 投标文件的递交</w:t>
      </w:r>
      <w:bookmarkEnd w:id="76"/>
    </w:p>
    <w:p w14:paraId="33A338AC">
      <w:pPr>
        <w:spacing w:line="360" w:lineRule="auto"/>
        <w:ind w:firstLine="420" w:firstLineChars="200"/>
        <w:rPr>
          <w:rFonts w:hint="eastAsia" w:ascii="宋体" w:hAnsi="宋体" w:eastAsia="宋体" w:cs="宋体"/>
          <w:b/>
          <w:bCs/>
          <w:color w:val="auto"/>
          <w:szCs w:val="16"/>
          <w:highlight w:val="none"/>
        </w:rPr>
      </w:pPr>
      <w:r>
        <w:rPr>
          <w:rFonts w:hint="eastAsia" w:ascii="宋体" w:hAnsi="宋体" w:eastAsia="宋体" w:cs="宋体"/>
          <w:color w:val="auto"/>
          <w:szCs w:val="16"/>
          <w:highlight w:val="none"/>
        </w:rPr>
        <w:t xml:space="preserve">4.2.1 </w:t>
      </w:r>
      <w:r>
        <w:rPr>
          <w:rFonts w:hint="eastAsia" w:ascii="宋体" w:hAnsi="宋体" w:eastAsia="宋体" w:cs="宋体"/>
          <w:bCs/>
          <w:color w:val="auto"/>
          <w:szCs w:val="16"/>
          <w:highlight w:val="none"/>
          <w:lang w:eastAsia="zh-CN"/>
        </w:rPr>
        <w:t>供应商</w:t>
      </w:r>
      <w:r>
        <w:rPr>
          <w:rFonts w:hint="eastAsia" w:ascii="宋体" w:hAnsi="宋体" w:eastAsia="宋体" w:cs="宋体"/>
          <w:bCs/>
          <w:color w:val="auto"/>
          <w:szCs w:val="16"/>
          <w:highlight w:val="none"/>
        </w:rPr>
        <w:t>应在第二章《</w:t>
      </w:r>
      <w:r>
        <w:rPr>
          <w:rFonts w:hint="eastAsia" w:ascii="宋体" w:hAnsi="宋体" w:eastAsia="宋体" w:cs="宋体"/>
          <w:bCs/>
          <w:color w:val="auto"/>
          <w:szCs w:val="16"/>
          <w:highlight w:val="none"/>
          <w:lang w:eastAsia="zh-CN"/>
        </w:rPr>
        <w:t>供应商</w:t>
      </w:r>
      <w:r>
        <w:rPr>
          <w:rFonts w:hint="eastAsia" w:ascii="宋体" w:hAnsi="宋体" w:eastAsia="宋体" w:cs="宋体"/>
          <w:bCs/>
          <w:color w:val="auto"/>
          <w:szCs w:val="16"/>
          <w:highlight w:val="none"/>
        </w:rPr>
        <w:t>须知前附表》中第4.2.1 项规定的投标截止时间前上传加密的电子投标文件（*.hntf）到会员系统的指定位置。上传时必须得到电脑“上传成功”的确认。请</w:t>
      </w:r>
      <w:r>
        <w:rPr>
          <w:rFonts w:hint="eastAsia" w:ascii="宋体" w:hAnsi="宋体" w:eastAsia="宋体" w:cs="宋体"/>
          <w:bCs/>
          <w:color w:val="auto"/>
          <w:szCs w:val="16"/>
          <w:highlight w:val="none"/>
          <w:lang w:eastAsia="zh-CN"/>
        </w:rPr>
        <w:t>供应商</w:t>
      </w:r>
      <w:r>
        <w:rPr>
          <w:rFonts w:hint="eastAsia" w:ascii="宋体" w:hAnsi="宋体" w:eastAsia="宋体" w:cs="宋体"/>
          <w:bCs/>
          <w:color w:val="auto"/>
          <w:szCs w:val="16"/>
          <w:highlight w:val="none"/>
        </w:rPr>
        <w:t>在上传时认真检查上传投标文件是否完整、正确。</w:t>
      </w:r>
      <w:r>
        <w:rPr>
          <w:rFonts w:hint="eastAsia" w:ascii="宋体" w:hAnsi="宋体" w:eastAsia="宋体" w:cs="宋体"/>
          <w:bCs/>
          <w:color w:val="auto"/>
          <w:szCs w:val="16"/>
          <w:highlight w:val="none"/>
          <w:lang w:eastAsia="zh-CN"/>
        </w:rPr>
        <w:t>供应商</w:t>
      </w:r>
      <w:r>
        <w:rPr>
          <w:rFonts w:hint="eastAsia" w:ascii="宋体" w:hAnsi="宋体" w:eastAsia="宋体" w:cs="宋体"/>
          <w:bCs/>
          <w:color w:val="auto"/>
          <w:szCs w:val="16"/>
          <w:highlight w:val="none"/>
        </w:rPr>
        <w:t>因交易中心投标系统问题无法上传电子投标文件时，请在工作时间与河南省公共资源交易中心联系。</w:t>
      </w:r>
    </w:p>
    <w:p w14:paraId="23CDEED6">
      <w:pPr>
        <w:spacing w:line="360" w:lineRule="auto"/>
        <w:ind w:firstLine="420"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4.2.2除</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须知前附表另有规定外，</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所递交的投标文件不予退还。</w:t>
      </w:r>
    </w:p>
    <w:p w14:paraId="3436C6A8">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4.3 投标文件的修改与撤回</w:t>
      </w:r>
    </w:p>
    <w:p w14:paraId="2A1E7C2D">
      <w:pPr>
        <w:spacing w:line="360" w:lineRule="auto"/>
        <w:ind w:firstLine="420"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4.3.1 在第二章《</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须知前附表》中第</w:t>
      </w:r>
      <w:r>
        <w:rPr>
          <w:rFonts w:hint="eastAsia" w:ascii="宋体" w:hAnsi="宋体" w:eastAsia="宋体" w:cs="宋体"/>
          <w:bCs/>
          <w:color w:val="auto"/>
          <w:szCs w:val="16"/>
          <w:highlight w:val="none"/>
        </w:rPr>
        <w:t xml:space="preserve">4.2.1 </w:t>
      </w:r>
      <w:r>
        <w:rPr>
          <w:rFonts w:hint="eastAsia" w:ascii="宋体" w:hAnsi="宋体" w:eastAsia="宋体" w:cs="宋体"/>
          <w:color w:val="auto"/>
          <w:szCs w:val="16"/>
          <w:highlight w:val="none"/>
        </w:rPr>
        <w:t>项规定的投标截止时间前，</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可以多次修改或撤回已递交的投标文件，最终投标文件以投标截止时间前完成上传至河南省公共资源交易中心交易系统最后一份投标文件为准。</w:t>
      </w:r>
    </w:p>
    <w:p w14:paraId="1D080F4F">
      <w:pPr>
        <w:spacing w:line="360" w:lineRule="auto"/>
        <w:ind w:firstLine="420" w:firstLineChars="200"/>
        <w:rPr>
          <w:rFonts w:hint="eastAsia" w:ascii="宋体" w:hAnsi="宋体" w:eastAsia="宋体" w:cs="宋体"/>
          <w:color w:val="auto"/>
          <w:sz w:val="24"/>
          <w:szCs w:val="20"/>
          <w:highlight w:val="none"/>
        </w:rPr>
      </w:pPr>
      <w:r>
        <w:rPr>
          <w:rFonts w:hint="eastAsia" w:ascii="宋体" w:hAnsi="宋体" w:eastAsia="宋体" w:cs="宋体"/>
          <w:color w:val="auto"/>
          <w:szCs w:val="16"/>
          <w:highlight w:val="none"/>
        </w:rPr>
        <w:t>4.3.2修改的投标文件应按照本章第3条、第4条规定进行编制和递交。</w:t>
      </w:r>
    </w:p>
    <w:p w14:paraId="09146823">
      <w:pPr>
        <w:pStyle w:val="3"/>
        <w:spacing w:before="0" w:after="0" w:line="360" w:lineRule="auto"/>
        <w:outlineLvl w:val="0"/>
        <w:rPr>
          <w:rFonts w:hint="eastAsia" w:ascii="宋体" w:hAnsi="宋体" w:eastAsia="宋体" w:cs="宋体"/>
          <w:color w:val="auto"/>
          <w:sz w:val="24"/>
          <w:highlight w:val="none"/>
        </w:rPr>
      </w:pPr>
      <w:bookmarkStart w:id="77" w:name="_Toc3657"/>
      <w:bookmarkStart w:id="78" w:name="_Toc6617"/>
      <w:bookmarkStart w:id="79" w:name="_Toc3442"/>
      <w:bookmarkStart w:id="80" w:name="_Toc20886"/>
      <w:bookmarkStart w:id="81" w:name="_Toc24947"/>
      <w:bookmarkStart w:id="82" w:name="_Toc12091"/>
      <w:bookmarkStart w:id="83" w:name="_Toc8897"/>
      <w:r>
        <w:rPr>
          <w:rFonts w:hint="eastAsia" w:ascii="宋体" w:hAnsi="宋体" w:eastAsia="宋体" w:cs="宋体"/>
          <w:color w:val="auto"/>
          <w:sz w:val="24"/>
          <w:highlight w:val="none"/>
        </w:rPr>
        <w:t>5.  开标</w:t>
      </w:r>
      <w:bookmarkEnd w:id="77"/>
      <w:bookmarkEnd w:id="78"/>
      <w:bookmarkEnd w:id="79"/>
      <w:bookmarkEnd w:id="80"/>
      <w:bookmarkEnd w:id="81"/>
      <w:bookmarkEnd w:id="82"/>
      <w:bookmarkEnd w:id="83"/>
    </w:p>
    <w:p w14:paraId="7372C931">
      <w:pPr>
        <w:keepNext/>
        <w:keepLines/>
        <w:spacing w:line="360" w:lineRule="auto"/>
        <w:outlineLvl w:val="9"/>
        <w:rPr>
          <w:rFonts w:hint="eastAsia" w:ascii="宋体" w:hAnsi="宋体" w:eastAsia="宋体" w:cs="宋体"/>
          <w:b/>
          <w:color w:val="auto"/>
          <w:szCs w:val="21"/>
          <w:highlight w:val="none"/>
        </w:rPr>
      </w:pPr>
      <w:bookmarkStart w:id="84" w:name="_Toc22203"/>
      <w:r>
        <w:rPr>
          <w:rFonts w:hint="eastAsia" w:ascii="宋体" w:hAnsi="宋体" w:eastAsia="宋体" w:cs="宋体"/>
          <w:b/>
          <w:color w:val="auto"/>
          <w:szCs w:val="21"/>
          <w:highlight w:val="none"/>
        </w:rPr>
        <w:t>5.1 开标时间和地点</w:t>
      </w:r>
      <w:bookmarkEnd w:id="84"/>
    </w:p>
    <w:p w14:paraId="1FC7E567">
      <w:pPr>
        <w:spacing w:line="360" w:lineRule="auto"/>
        <w:ind w:firstLine="420" w:firstLineChars="200"/>
        <w:rPr>
          <w:rFonts w:hint="eastAsia" w:ascii="宋体" w:hAnsi="宋体" w:eastAsia="宋体" w:cs="宋体"/>
          <w:color w:val="auto"/>
          <w:szCs w:val="16"/>
          <w:highlight w:val="none"/>
        </w:rPr>
      </w:pPr>
      <w:bookmarkStart w:id="85" w:name="_Toc19999"/>
      <w:r>
        <w:rPr>
          <w:rFonts w:hint="eastAsia" w:ascii="宋体" w:hAnsi="宋体" w:eastAsia="宋体" w:cs="宋体"/>
          <w:color w:val="auto"/>
          <w:szCs w:val="16"/>
          <w:highlight w:val="none"/>
        </w:rPr>
        <w:t>5.1.1 采购人在第二章《</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须知前附表》中第 5.1 项规定的开标时间和</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须知前附表规定的地点通过远程开标大厅进行公开开标。</w:t>
      </w:r>
      <w:r>
        <w:rPr>
          <w:rFonts w:hint="eastAsia" w:ascii="宋体" w:hAnsi="宋体" w:eastAsia="宋体" w:cs="宋体"/>
          <w:color w:val="auto"/>
          <w:szCs w:val="16"/>
          <w:highlight w:val="none"/>
          <w:lang w:eastAsia="zh-CN"/>
        </w:rPr>
        <w:t>供应商</w:t>
      </w:r>
      <w:r>
        <w:rPr>
          <w:rFonts w:hint="eastAsia" w:ascii="宋体" w:hAnsi="宋体" w:eastAsia="宋体" w:cs="宋体"/>
          <w:color w:val="auto"/>
          <w:szCs w:val="16"/>
          <w:highlight w:val="none"/>
        </w:rPr>
        <w:t>不需要到开标现场，只需根据要求进行远程解密。</w:t>
      </w:r>
      <w:r>
        <w:rPr>
          <w:rFonts w:hint="eastAsia" w:ascii="宋体" w:hAnsi="宋体" w:eastAsia="宋体" w:cs="宋体"/>
          <w:color w:val="auto"/>
          <w:kern w:val="0"/>
          <w:szCs w:val="21"/>
          <w:highlight w:val="none"/>
        </w:rPr>
        <w:t>河南省公共资源交易中心现采用“远程不见面”开标方式，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须提前进入远程开标大厅进行开标操作和投标文件的解密。具体操作流程及程序，请</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查阅河南省公共资源交易平台“办事指南”专区的《河南省公共资源交易平台不见面服务系统使用指南》。</w:t>
      </w:r>
    </w:p>
    <w:p w14:paraId="327035C8">
      <w:pPr>
        <w:spacing w:line="360" w:lineRule="auto"/>
        <w:ind w:firstLine="420" w:firstLineChars="200"/>
        <w:rPr>
          <w:rFonts w:hint="eastAsia" w:ascii="宋体" w:hAnsi="宋体" w:eastAsia="宋体" w:cs="宋体"/>
          <w:color w:val="auto"/>
          <w:szCs w:val="16"/>
          <w:highlight w:val="none"/>
        </w:rPr>
      </w:pPr>
      <w:r>
        <w:rPr>
          <w:rFonts w:hint="eastAsia" w:ascii="宋体" w:hAnsi="宋体" w:eastAsia="宋体" w:cs="宋体"/>
          <w:color w:val="auto"/>
          <w:szCs w:val="16"/>
          <w:highlight w:val="none"/>
        </w:rPr>
        <w:t xml:space="preserve">5.1.2 </w:t>
      </w:r>
      <w:r>
        <w:rPr>
          <w:rFonts w:hint="eastAsia" w:ascii="宋体" w:hAnsi="宋体" w:eastAsia="宋体" w:cs="宋体"/>
          <w:color w:val="auto"/>
          <w:highlight w:val="none"/>
        </w:rPr>
        <w:t>所有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的法定代表人（单位负责人）或其委托代理人应当准时参加开标</w:t>
      </w:r>
      <w:r>
        <w:rPr>
          <w:rFonts w:hint="eastAsia" w:ascii="宋体" w:hAnsi="宋体" w:eastAsia="宋体" w:cs="宋体"/>
          <w:color w:val="auto"/>
          <w:szCs w:val="16"/>
          <w:highlight w:val="none"/>
        </w:rPr>
        <w:t>。</w:t>
      </w:r>
    </w:p>
    <w:p w14:paraId="19A4B1A3">
      <w:pPr>
        <w:keepNext/>
        <w:keepLines/>
        <w:spacing w:line="360" w:lineRule="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5.2 开标程序</w:t>
      </w:r>
      <w:bookmarkEnd w:id="85"/>
    </w:p>
    <w:p w14:paraId="3C826DA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（1）公布</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单位；</w:t>
      </w:r>
    </w:p>
    <w:p w14:paraId="5A78356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远程解密投标文件；</w:t>
      </w:r>
    </w:p>
    <w:p w14:paraId="77C7DC5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（3）投标文件导入；</w:t>
      </w:r>
    </w:p>
    <w:p w14:paraId="3D8B3A3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（4）电子唱标；</w:t>
      </w:r>
    </w:p>
    <w:p w14:paraId="67FF819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（5）异议与回复；</w:t>
      </w:r>
    </w:p>
    <w:p w14:paraId="329C44E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（6）开标结束。</w:t>
      </w:r>
    </w:p>
    <w:p w14:paraId="492C80CB">
      <w:pPr>
        <w:keepNext/>
        <w:keepLines/>
        <w:spacing w:line="360" w:lineRule="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5.3 开标时出现下列情况的，采购人将拒绝其投标</w:t>
      </w:r>
    </w:p>
    <w:p w14:paraId="5F06DF8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（1）经检查数字证书无效的投标文件；</w:t>
      </w:r>
    </w:p>
    <w:p w14:paraId="34326533">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（2）加密的电子投标文件逾期上传的，或加密的电子投标文件从投标截止时间开始30分钟内未解密的，其投标文件不予接收。</w:t>
      </w:r>
    </w:p>
    <w:p w14:paraId="33B9E8FE">
      <w:pPr>
        <w:keepNext/>
        <w:keepLines/>
        <w:spacing w:line="360" w:lineRule="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5.4 开标异议</w:t>
      </w:r>
    </w:p>
    <w:p w14:paraId="7FFFCD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对开标有异议的，在交易中心系统规定质疑时间内将异议签章提交后推送至招标代理机构页面，异议回复完成之后方可结束开标程序。异议及回复内容会保存至评标报告打印中的扫描件“其他”类别中。</w:t>
      </w:r>
    </w:p>
    <w:p w14:paraId="3638F651">
      <w:pPr>
        <w:pStyle w:val="4"/>
        <w:spacing w:before="0" w:after="0" w:line="360" w:lineRule="auto"/>
        <w:outlineLvl w:val="9"/>
        <w:rPr>
          <w:rFonts w:hint="eastAsia" w:ascii="宋体" w:hAnsi="宋体" w:eastAsia="宋体" w:cs="宋体"/>
          <w:b w:val="0"/>
          <w:bCs w:val="0"/>
          <w:color w:val="auto"/>
          <w:sz w:val="21"/>
          <w:highlight w:val="none"/>
        </w:rPr>
      </w:pPr>
      <w:r>
        <w:rPr>
          <w:rFonts w:hint="eastAsia" w:ascii="宋体" w:hAnsi="宋体" w:eastAsia="宋体" w:cs="宋体"/>
          <w:bCs w:val="0"/>
          <w:color w:val="auto"/>
          <w:sz w:val="21"/>
          <w:szCs w:val="21"/>
          <w:highlight w:val="none"/>
        </w:rPr>
        <w:t>5.5 资格审查</w:t>
      </w:r>
    </w:p>
    <w:p w14:paraId="7449895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5.5.1开标结束后，采购代理机构将依法对</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 xml:space="preserve">的资格进行审查。 </w:t>
      </w:r>
    </w:p>
    <w:p w14:paraId="73FFFCB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5.5.2资格审查内容及标准</w:t>
      </w:r>
    </w:p>
    <w:p w14:paraId="2461B2F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（1）资格性检查指依据法律法规和招标文件的规定，对投标文件中的资格证明材料进行审查，以确定</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是否具备投标资格</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 </w:t>
      </w:r>
    </w:p>
    <w:p w14:paraId="55C5137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须在投标文件中按招标文件要求提供资格证明材料，</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 xml:space="preserve">若没有提供资格证明材料或资格证明材料不全的，其投标将被拒绝，不能进入评标。 </w:t>
      </w:r>
    </w:p>
    <w:p w14:paraId="36369B54">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5.5.3采购代理机构对</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的资格进行审查后，将资格审查结果提交给评标委员会，未通过资格审查的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，不进入评标程序。合格</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不足3名的，不得评标。</w:t>
      </w:r>
    </w:p>
    <w:p w14:paraId="4FC24CD8">
      <w:pPr>
        <w:pStyle w:val="3"/>
        <w:spacing w:before="0" w:after="0" w:line="360" w:lineRule="auto"/>
        <w:outlineLvl w:val="0"/>
        <w:rPr>
          <w:rFonts w:hint="eastAsia" w:ascii="宋体" w:hAnsi="宋体" w:eastAsia="宋体" w:cs="宋体"/>
          <w:color w:val="auto"/>
          <w:sz w:val="24"/>
          <w:szCs w:val="24"/>
          <w:highlight w:val="none"/>
        </w:rPr>
      </w:pPr>
      <w:bookmarkStart w:id="86" w:name="_Toc8507"/>
      <w:bookmarkStart w:id="87" w:name="_Toc9687"/>
      <w:bookmarkStart w:id="88" w:name="_Toc32186"/>
      <w:bookmarkStart w:id="89" w:name="_Toc6121"/>
      <w:bookmarkStart w:id="90" w:name="_Toc3725"/>
      <w:bookmarkStart w:id="91" w:name="_Toc23126"/>
      <w:bookmarkStart w:id="92" w:name="_Toc5867"/>
      <w:r>
        <w:rPr>
          <w:rFonts w:hint="eastAsia" w:ascii="宋体" w:hAnsi="宋体" w:eastAsia="宋体" w:cs="宋体"/>
          <w:color w:val="auto"/>
          <w:sz w:val="24"/>
          <w:szCs w:val="24"/>
          <w:highlight w:val="none"/>
        </w:rPr>
        <w:t>6.  评标</w:t>
      </w:r>
      <w:bookmarkEnd w:id="86"/>
      <w:bookmarkEnd w:id="87"/>
      <w:bookmarkEnd w:id="88"/>
      <w:bookmarkEnd w:id="89"/>
      <w:bookmarkEnd w:id="90"/>
      <w:bookmarkEnd w:id="91"/>
      <w:bookmarkEnd w:id="92"/>
    </w:p>
    <w:p w14:paraId="64D49D74">
      <w:pPr>
        <w:pStyle w:val="4"/>
        <w:spacing w:before="0" w:after="0"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6.1 评标委员会</w:t>
      </w:r>
    </w:p>
    <w:p w14:paraId="495F04FA">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6.1.1 评标由采购人依法组建的评标委员会负责。评标委员会由采购人，以及有关技术、经济等方面的专家组成。评标委员会成员人数以及技术、经济等方面专家的确定方式见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w:t>
      </w:r>
    </w:p>
    <w:p w14:paraId="5F938639">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6.1.2 评标委员会成员有下列情形之一的，应当回避：</w:t>
      </w:r>
    </w:p>
    <w:p w14:paraId="2128AF70">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（1）参加采购活动前三年内，与供应商存在劳动关系，或者担任过供应商的董事、监事，或者是供应商的控股股东或实际控制人；</w:t>
      </w:r>
    </w:p>
    <w:p w14:paraId="28DF9FDB">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（2）与供应商的法定代表人或者负责人有夫妻、直系血亲、三代以内旁系血亲或者近姻亲关系；</w:t>
      </w:r>
    </w:p>
    <w:p w14:paraId="00F2FF69">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（3）项目主管部门或者行政监督部门的人员；</w:t>
      </w:r>
    </w:p>
    <w:p w14:paraId="157A7094">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（4）曾因在招标、评标以及其他与招标投标有关活动中从事违法行为而受过行政处罚或刑事处罚的。评标委员会成员有前款规定情形之一的，应当主动提出回避；</w:t>
      </w:r>
    </w:p>
    <w:p w14:paraId="2A3BD5ED">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（5）与供应商有其他可能影响政府采购活动公平、公正进行的关系。</w:t>
      </w:r>
    </w:p>
    <w:p w14:paraId="490F149C">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6.1.3 评标过程中，评标委员会成员有回避事由、擅离职守或者因健康等原因不能继续评标的，采购人有权更换。被更换的评标委员会成员作出的评审结论无效，由更换后的评标委员会成员重新进行评审。</w:t>
      </w:r>
    </w:p>
    <w:p w14:paraId="3EC8AACB">
      <w:pPr>
        <w:pStyle w:val="4"/>
        <w:spacing w:before="0" w:after="0"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6.2 评标原则</w:t>
      </w:r>
    </w:p>
    <w:p w14:paraId="382075AE">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评标活动遵循公平、公正、科学和择优的原则。</w:t>
      </w:r>
    </w:p>
    <w:p w14:paraId="630FD18C">
      <w:pPr>
        <w:pStyle w:val="4"/>
        <w:spacing w:before="0" w:after="0"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6.3 评标</w:t>
      </w:r>
    </w:p>
    <w:p w14:paraId="2FB38D25">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6.3.1 评标方法</w:t>
      </w:r>
    </w:p>
    <w:p w14:paraId="5008F578">
      <w:pPr>
        <w:spacing w:line="360" w:lineRule="auto"/>
        <w:ind w:firstLine="424" w:firstLineChars="202"/>
        <w:rPr>
          <w:rFonts w:hint="eastAsia" w:ascii="宋体" w:hAnsi="宋体" w:eastAsia="宋体" w:cs="宋体"/>
          <w:b/>
          <w:color w:val="auto"/>
          <w:highlight w:val="none"/>
        </w:rPr>
      </w:pPr>
      <w:r>
        <w:rPr>
          <w:rFonts w:hint="eastAsia" w:ascii="宋体" w:hAnsi="宋体" w:eastAsia="宋体" w:cs="宋体"/>
          <w:color w:val="auto"/>
          <w:szCs w:val="21"/>
          <w:highlight w:val="none"/>
        </w:rPr>
        <w:t>综合评分法，详见第三章。</w:t>
      </w:r>
    </w:p>
    <w:p w14:paraId="1632C81E">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6.3.2 形式评审和符合性评审</w:t>
      </w:r>
    </w:p>
    <w:p w14:paraId="2657F149">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评标委员会应当对</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的投标文件进行形式评审和符合性评审，以确定其是否满足招标文件的实质性要求。</w:t>
      </w:r>
    </w:p>
    <w:p w14:paraId="309B5B36">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6.3.3投标文件的澄清</w:t>
      </w:r>
    </w:p>
    <w:p w14:paraId="11EBCDDD">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在评标期间，评标委员会将以书面形式要求</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对其投标文件中含义不明确、对同类问题表述不一致或者有明显文字和计算错误的内容，以及评标委员会认为</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的报价明显低于其他通过符合性审查</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的报价，有可能影响履约的情况做必要的澄清、说明或补正。</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的澄清、说明或补正应在评标委员会规定的时间内以书面方式进行，并不得超出投标文件范围或者改变投标文件的实质性内容。</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的澄清、说明或补正将作为投标文件的一部分。</w:t>
      </w:r>
    </w:p>
    <w:p w14:paraId="4D2204A8">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6.3.4一个分包（标段）内包含多种产品的，采购人或采购代理机构将在投标须知前附表中载明核心产品。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提供的核心产品中若有一个核心产品的品牌相同，相关</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将被认定为属于提供相同品牌产品。</w:t>
      </w:r>
    </w:p>
    <w:p w14:paraId="451C130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提供相同品牌产品且通过初步评审的不同</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，按一家</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计算，评审后得分最高的同品牌</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获得中标</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推荐资格；评审得分相同的，由采购人或者采购人委托评标委员会按照招标文件中评标办法规定的方式确定一个</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获得中标</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推荐资格；未规定的采取随机抽取方式确定，其他同品牌</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不作为中标候选人。</w:t>
      </w:r>
    </w:p>
    <w:p w14:paraId="077AF383">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6.3.5</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所投产品如被列入财政部与国家主管部门颁发的节能产品或环境标志产品品目清单，应提供处于有效期之内认证证书等相关证明，在评标时予以优先采购。</w:t>
      </w:r>
    </w:p>
    <w:p w14:paraId="7556A335">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如采购人所采购产品为政府强制采购的产品，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所投产品应属于品目清单的强制采购部分。</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应提供有效期内的认证证书，否则其投标将被认定为无效投标。</w:t>
      </w:r>
    </w:p>
    <w:p w14:paraId="3AA3540A">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6.3.6 评标完成后，评标委员会应当向采购人提交书面评标报告和中标候选人名单。评标委员会推荐中标候选人数量见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w:t>
      </w:r>
    </w:p>
    <w:p w14:paraId="0DF7AC86">
      <w:pPr>
        <w:pStyle w:val="4"/>
        <w:spacing w:before="0" w:after="0"/>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6.4 投标无效</w:t>
      </w:r>
    </w:p>
    <w:p w14:paraId="5E64551F">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如发现下列情况之一的，其投标将被认定为投标无效：</w:t>
      </w:r>
    </w:p>
    <w:p w14:paraId="3CF91A93">
      <w:pPr>
        <w:numPr>
          <w:ilvl w:val="0"/>
          <w:numId w:val="1"/>
        </w:num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投标文件未按照招标文件规定要求签署、盖章的；</w:t>
      </w:r>
    </w:p>
    <w:p w14:paraId="7D25971F">
      <w:pPr>
        <w:numPr>
          <w:ilvl w:val="0"/>
          <w:numId w:val="1"/>
        </w:num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不具备招标文件中规定的资格要求的；</w:t>
      </w:r>
    </w:p>
    <w:p w14:paraId="101CB8C1">
      <w:pPr>
        <w:numPr>
          <w:ilvl w:val="0"/>
          <w:numId w:val="1"/>
        </w:numPr>
        <w:spacing w:line="360" w:lineRule="auto"/>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不符合招标文件投标报价要求且报价不唯一的</w:t>
      </w:r>
      <w:r>
        <w:rPr>
          <w:rFonts w:hint="eastAsia" w:ascii="宋体" w:hAnsi="宋体" w:eastAsia="宋体" w:cs="宋体"/>
          <w:color w:val="auto"/>
          <w:highlight w:val="none"/>
        </w:rPr>
        <w:t>；</w:t>
      </w:r>
    </w:p>
    <w:p w14:paraId="0D4271F3">
      <w:pPr>
        <w:numPr>
          <w:ilvl w:val="0"/>
          <w:numId w:val="1"/>
        </w:num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投标文件含有采购人不能接受的附加条件的；</w:t>
      </w:r>
    </w:p>
    <w:p w14:paraId="67F771FF">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（5）属于串通投标，或者依法被视为串通投标；</w:t>
      </w:r>
    </w:p>
    <w:p w14:paraId="1FBA90D9">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（6）评标委员会认为</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的报价明显低于其他通过符合性审查</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的报价，有可能影响履约的，且</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未按照规定证明其报价合理性的；</w:t>
      </w:r>
    </w:p>
    <w:p w14:paraId="47E92B30">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（7）不同</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的投标文件制作机器码一致视为串通投标行为；</w:t>
      </w:r>
    </w:p>
    <w:p w14:paraId="0DF06E3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（8）法律、法规和招标文件规定的其他无效情形。</w:t>
      </w:r>
    </w:p>
    <w:p w14:paraId="2FB3B0FF">
      <w:pPr>
        <w:pStyle w:val="3"/>
        <w:spacing w:before="0" w:after="0" w:line="360" w:lineRule="auto"/>
        <w:outlineLvl w:val="0"/>
        <w:rPr>
          <w:rFonts w:hint="eastAsia" w:ascii="宋体" w:hAnsi="宋体" w:eastAsia="宋体" w:cs="宋体"/>
          <w:color w:val="auto"/>
          <w:sz w:val="24"/>
          <w:highlight w:val="none"/>
        </w:rPr>
      </w:pPr>
      <w:bookmarkStart w:id="93" w:name="_Toc24579"/>
      <w:bookmarkStart w:id="94" w:name="_Toc23615"/>
      <w:bookmarkStart w:id="95" w:name="_Toc12514"/>
      <w:bookmarkStart w:id="96" w:name="_Toc17256"/>
      <w:bookmarkStart w:id="97" w:name="_Toc17191"/>
      <w:bookmarkStart w:id="98" w:name="_Toc13550"/>
      <w:bookmarkStart w:id="99" w:name="_Toc7066"/>
      <w:r>
        <w:rPr>
          <w:rFonts w:hint="eastAsia" w:ascii="宋体" w:hAnsi="宋体" w:eastAsia="宋体" w:cs="宋体"/>
          <w:color w:val="auto"/>
          <w:sz w:val="24"/>
          <w:highlight w:val="none"/>
        </w:rPr>
        <w:t>7.  合同授予</w:t>
      </w:r>
      <w:bookmarkEnd w:id="93"/>
      <w:bookmarkEnd w:id="94"/>
      <w:bookmarkEnd w:id="95"/>
      <w:bookmarkEnd w:id="96"/>
      <w:bookmarkEnd w:id="97"/>
      <w:bookmarkEnd w:id="98"/>
      <w:bookmarkEnd w:id="99"/>
    </w:p>
    <w:p w14:paraId="0530462F">
      <w:pPr>
        <w:pStyle w:val="4"/>
        <w:spacing w:before="0" w:after="0"/>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7.1 中标公告</w:t>
      </w:r>
    </w:p>
    <w:p w14:paraId="4C9A5733">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 xml:space="preserve">7.1.1采购人应当自收到评标报告之日起 5 个工作日内，在评标报告确定的中标候选人名单中，选定第一中标候选人为中标人；中标候选人并列的，由采购人按照招标文件规定的方式确定中标人；招标文件未规定的，采取随机抽取的方式确定。采购人在收到评标报告 5 个工作日内未按评标报告推荐的中标候选人顺序确定中标人，又不能说明合法理由的，视同按评标报告推荐的顺序确定排名第一的中标候选人为中标人。 </w:t>
      </w:r>
    </w:p>
    <w:p w14:paraId="4E605FF4">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7.1.2采购代理机构自中标人确定之日起2个工作日内，在《河南省政府采购网》、《河南省公共资源交易中心网》公告中标结果，招标文件随中标结果同时公告。中标公告期限为1个工作日。</w:t>
      </w:r>
    </w:p>
    <w:p w14:paraId="46A2725E">
      <w:pPr>
        <w:pStyle w:val="4"/>
        <w:spacing w:before="0" w:after="0"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7.2 质疑与投诉</w:t>
      </w:r>
    </w:p>
    <w:p w14:paraId="7E8EF030">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7.2.1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认为招标文件、采购过程和中标、成交结果使自己的权益受到损害的，可以在知道或者应知其权益受到损害之日起七个工作日内，以书面形式向采购代理机构提出质疑。</w:t>
      </w:r>
    </w:p>
    <w:p w14:paraId="301EE19F">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7.2.2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应知其权益受到损害之日，是指：</w:t>
      </w:r>
    </w:p>
    <w:p w14:paraId="43259491">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（1）对可以质疑的招标文件提出质疑的，为收到招标文件之日或者招标文件公告期限届满之日；</w:t>
      </w:r>
    </w:p>
    <w:p w14:paraId="05AF48F1">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14:paraId="0D7682FC">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（3）对中标或者中标结果提出质疑的，为中标或者中标结果公告期限届满之日。</w:t>
      </w:r>
    </w:p>
    <w:p w14:paraId="22A596D7">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7.2.3质疑</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按照财政部制定的《政府采购质疑函范本》格式（可从财政部官方网站下载）及《政府采购质疑和投诉办法》的要求，在本章7.2.1、7.2.2款要求时间内以书面形式提出质疑，针对同一采购程序环节的质疑次数应符合投标须知前附表的规定。</w:t>
      </w:r>
    </w:p>
    <w:p w14:paraId="445A9C69">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7.2.4 超出法定质疑期提交的质疑将被拒绝。重复或分次提出的、内容或形式不符合《政府采购质疑和投诉办法》的，质疑</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将依法承担不利后果。</w:t>
      </w:r>
    </w:p>
    <w:p w14:paraId="2CD2426B">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7.2.5质疑函接收部门、联系电话和通讯地址，见投标须知前附表。</w:t>
      </w:r>
    </w:p>
    <w:p w14:paraId="31EF4130">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7.2.6采购人或采购代理机构在收到</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的书面质疑后七个工作日内作出答复，并以书面形式通知质疑</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和其他有关</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，答复内容不涉及商业秘密。</w:t>
      </w:r>
    </w:p>
    <w:p w14:paraId="7FBCD70C">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7.2.7质疑供应商对采购人、采购代理机构的答复不满意，或者采购人、采购代理机构未在规定时间内作出答复的，可以在答复期满后15个工作日内向上级主管部门提起投诉。</w:t>
      </w:r>
    </w:p>
    <w:p w14:paraId="2146D87C">
      <w:pPr>
        <w:pStyle w:val="4"/>
        <w:spacing w:before="0" w:after="0"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7.3 中标通知书</w:t>
      </w:r>
    </w:p>
    <w:p w14:paraId="6D44DCCD">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中标通知书发出后，采购人不得违法改变中标结果，中标人无正当理由不得放弃中标。</w:t>
      </w:r>
    </w:p>
    <w:p w14:paraId="405F9AC5">
      <w:pPr>
        <w:pStyle w:val="4"/>
        <w:spacing w:before="0" w:after="0"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7.4 签订合同</w:t>
      </w:r>
    </w:p>
    <w:p w14:paraId="3CFE9B4D">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7.4.1 采购人和中标人应当在中标通知书发出之日起 15 日内，根据招标文件和中标人的投标文件订立书面合同。</w:t>
      </w:r>
    </w:p>
    <w:p w14:paraId="380E0ADB">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7.4.2中标人无正当理由拒签合同、在签订合同时向采购人提出附加条件，或者不按照招标文件要求提交履约保证金的，采购人有权取消其中标资格，中标</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须按投标保证承诺书内容向采购人和采购代理机构支付赔偿；采购人可以按照评标报告推荐的中标候选人排序，确定排名下一位的中标候选人为中标</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，也可以重新开展采购活动。当出现法规规定的中标无效或中标结果无效情形时，采购人可与排名下一位的中标候选人另行签订合同，或依法重新开展采购活动。</w:t>
      </w:r>
    </w:p>
    <w:p w14:paraId="54607A12">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7.4.3采购人不得向中标人提出任何不合理的要求作为签订合同的条件。</w:t>
      </w:r>
    </w:p>
    <w:p w14:paraId="7C2A0FB8">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7.4.4 联合体中标的，联合体各方应当共同与采购人签订合同，就中标项目向采购人承担连带责任。</w:t>
      </w:r>
    </w:p>
    <w:p w14:paraId="24D48FD7">
      <w:pPr>
        <w:pStyle w:val="4"/>
        <w:spacing w:before="0" w:after="0"/>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7.5 履约保证金</w:t>
      </w:r>
    </w:p>
    <w:p w14:paraId="378726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7.5.1履约保证金要求见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w:t>
      </w:r>
    </w:p>
    <w:p w14:paraId="4ED839A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7.5.2如果中标人没有按照上述履约保证金的规定执行，将被视为放弃中标资格，中标人须按投标保证承诺书的承诺向采购人和采购代理机构支付赔偿。在此情况下，采购人可确定下一候选人为中标人，也可以重新开展采购活动。</w:t>
      </w:r>
    </w:p>
    <w:p w14:paraId="70245C7B">
      <w:pPr>
        <w:pStyle w:val="4"/>
        <w:spacing w:before="0" w:after="0"/>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7.6 预付款</w:t>
      </w:r>
    </w:p>
    <w:p w14:paraId="4D72A758">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7.6.1本项目无预付款。</w:t>
      </w:r>
    </w:p>
    <w:p w14:paraId="7EC6A136">
      <w:pPr>
        <w:pStyle w:val="3"/>
        <w:spacing w:before="0" w:after="0" w:line="360" w:lineRule="auto"/>
        <w:outlineLvl w:val="0"/>
        <w:rPr>
          <w:rFonts w:hint="eastAsia" w:ascii="宋体" w:hAnsi="宋体" w:eastAsia="宋体" w:cs="宋体"/>
          <w:color w:val="auto"/>
          <w:sz w:val="24"/>
          <w:highlight w:val="none"/>
        </w:rPr>
      </w:pPr>
      <w:bookmarkStart w:id="100" w:name="_Toc6287"/>
      <w:bookmarkStart w:id="101" w:name="_Toc16827"/>
      <w:bookmarkStart w:id="102" w:name="_Toc28481"/>
      <w:bookmarkStart w:id="103" w:name="_Toc14225"/>
      <w:bookmarkStart w:id="104" w:name="_Toc21721"/>
      <w:bookmarkStart w:id="105" w:name="_Toc25932"/>
      <w:bookmarkStart w:id="106" w:name="_Toc10012"/>
      <w:r>
        <w:rPr>
          <w:rFonts w:hint="eastAsia" w:ascii="宋体" w:hAnsi="宋体" w:eastAsia="宋体" w:cs="宋体"/>
          <w:color w:val="auto"/>
          <w:sz w:val="24"/>
          <w:highlight w:val="none"/>
        </w:rPr>
        <w:t>8.  纪律和监督</w:t>
      </w:r>
      <w:bookmarkEnd w:id="100"/>
      <w:bookmarkEnd w:id="101"/>
      <w:bookmarkEnd w:id="102"/>
      <w:bookmarkEnd w:id="103"/>
      <w:bookmarkEnd w:id="104"/>
      <w:bookmarkEnd w:id="105"/>
      <w:bookmarkEnd w:id="106"/>
    </w:p>
    <w:p w14:paraId="02CB3233">
      <w:pPr>
        <w:pStyle w:val="4"/>
        <w:spacing w:before="0" w:after="0"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8.1 对采购人的纪律要求</w:t>
      </w:r>
    </w:p>
    <w:p w14:paraId="632CEC10">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采购人不得泄露招标投标活动中应当保密的情况和资料，不得与</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串通损害国家利益、社会公共利益或者他人合法权益。</w:t>
      </w:r>
    </w:p>
    <w:p w14:paraId="62701FBE">
      <w:pPr>
        <w:pStyle w:val="4"/>
        <w:spacing w:before="0" w:after="0"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8.2 对</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的纪律要求</w:t>
      </w:r>
    </w:p>
    <w:p w14:paraId="541DE6A3">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不得相互串通投标或者与采购人串通投标，不得向采购人或者评标委员会成员行贿谋取中标，不得以他人名义投标或者以其他方式弄虚作假骗取中标；</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不得以任何方式干扰、影响评标工作。</w:t>
      </w:r>
    </w:p>
    <w:p w14:paraId="4412B2D6">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8.2.1 有下列情形之一的，属于</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相互串通投标：</w:t>
      </w:r>
    </w:p>
    <w:p w14:paraId="1FF8658C">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（一）</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之间协商投标报价等投标文件的实质性内容；</w:t>
      </w:r>
    </w:p>
    <w:p w14:paraId="4C25039C">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（二）</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之间约定中标人；</w:t>
      </w:r>
    </w:p>
    <w:p w14:paraId="1B1218B9">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之间约定部分</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放弃投标或者中标；</w:t>
      </w:r>
    </w:p>
    <w:p w14:paraId="5EAD84F2">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（四）属于同一集团、协会、商会等组织成员的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按照该组织要求协同投标；</w:t>
      </w:r>
    </w:p>
    <w:p w14:paraId="478AEDD3">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（五）</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之间为谋取中标或者排斥特定</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而采取的其他联合行动。</w:t>
      </w:r>
    </w:p>
    <w:p w14:paraId="522806ED">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8.2.2 有下列情形之一的，视为</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相互串通投标：</w:t>
      </w:r>
    </w:p>
    <w:p w14:paraId="2CBF8C8E">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（一）不同</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的投标文件由同一单位或者个人编制；</w:t>
      </w:r>
    </w:p>
    <w:p w14:paraId="62ECBF0C">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（二）不同</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委托同一单位或者个人办理投标事宜；</w:t>
      </w:r>
    </w:p>
    <w:p w14:paraId="205DE2D7">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（三）不同</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的投标文件载明的项目管理成员为同一人；</w:t>
      </w:r>
    </w:p>
    <w:p w14:paraId="72CB49A7">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（四）不同</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的投标文件异常一致或者投标报价呈规律性差异；</w:t>
      </w:r>
    </w:p>
    <w:p w14:paraId="3AFDCEE9">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（五）不同</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的投标文件制作机器码一致视为串通投标行为；</w:t>
      </w:r>
    </w:p>
    <w:p w14:paraId="13ABDFA4">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8.2.3 有下列情形的，属于以他人名义投标：</w:t>
      </w:r>
    </w:p>
    <w:p w14:paraId="41AC154F">
      <w:pPr>
        <w:spacing w:line="360" w:lineRule="auto"/>
        <w:ind w:firstLine="1052" w:firstLineChars="501"/>
        <w:rPr>
          <w:rFonts w:hint="eastAsia" w:ascii="宋体" w:hAnsi="宋体" w:eastAsia="宋体" w:cs="宋体"/>
          <w:color w:val="auto"/>
          <w:highlight w:val="none"/>
        </w:rPr>
      </w:pPr>
      <w:r>
        <w:rPr>
          <w:rFonts w:hint="eastAsia" w:ascii="宋体" w:hAnsi="宋体" w:eastAsia="宋体" w:cs="宋体"/>
          <w:color w:val="auto"/>
          <w:highlight w:val="none"/>
        </w:rPr>
        <w:t>使用通过受让或者租借等方式获取的资格、资质证书投标的。</w:t>
      </w:r>
    </w:p>
    <w:p w14:paraId="34800247">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8.2.4 有下列情形之一的，属于以其他方式弄虚作假的行为：</w:t>
      </w:r>
    </w:p>
    <w:p w14:paraId="2E698A27">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（一）使用伪造、变造的许可证件；</w:t>
      </w:r>
    </w:p>
    <w:p w14:paraId="2A735774">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（二）提供虚假的财务状况或者业绩；</w:t>
      </w:r>
    </w:p>
    <w:p w14:paraId="2D7A6B86">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（三）提供虚假的项目负责人或者主要技术人员简历、劳动关系证明；</w:t>
      </w:r>
    </w:p>
    <w:p w14:paraId="4412F609">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（四）提供虚假的信用状况；</w:t>
      </w:r>
    </w:p>
    <w:p w14:paraId="654AE7CC">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（五）其他弄虚作假的行为。</w:t>
      </w:r>
    </w:p>
    <w:p w14:paraId="3726DF92">
      <w:pPr>
        <w:pStyle w:val="4"/>
        <w:spacing w:before="0" w:after="0"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8.3 对评标委员会成员的纪律要求</w:t>
      </w:r>
    </w:p>
    <w:p w14:paraId="708207D7">
      <w:pPr>
        <w:spacing w:line="360" w:lineRule="auto"/>
        <w:ind w:firstLine="424" w:firstLineChars="202"/>
        <w:rPr>
          <w:rFonts w:hint="eastAsia" w:ascii="宋体" w:hAnsi="宋体" w:eastAsia="宋体" w:cs="宋体"/>
          <w:bCs/>
          <w:color w:val="auto"/>
          <w:highlight w:val="none"/>
        </w:rPr>
      </w:pPr>
      <w:r>
        <w:rPr>
          <w:rFonts w:hint="eastAsia" w:ascii="宋体" w:hAnsi="宋体" w:eastAsia="宋体" w:cs="宋体"/>
          <w:color w:val="auto"/>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w:t>
      </w:r>
      <w:r>
        <w:rPr>
          <w:rFonts w:hint="eastAsia" w:ascii="宋体" w:hAnsi="宋体" w:eastAsia="宋体" w:cs="宋体"/>
          <w:bCs/>
          <w:color w:val="auto"/>
          <w:highlight w:val="none"/>
        </w:rPr>
        <w:t>不得使用第三章“评标方法和标准”没有规定的评审因素和标准进行评标。</w:t>
      </w:r>
    </w:p>
    <w:p w14:paraId="6148C3E9">
      <w:pPr>
        <w:pStyle w:val="4"/>
        <w:spacing w:before="0" w:after="0" w:line="360" w:lineRule="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8.4 对与评标活动有关的工作人员的纪律要求</w:t>
      </w:r>
    </w:p>
    <w:p w14:paraId="235197A3">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5C19F621">
      <w:pPr>
        <w:pStyle w:val="3"/>
        <w:spacing w:before="0" w:after="0" w:line="360" w:lineRule="auto"/>
        <w:outlineLvl w:val="0"/>
        <w:rPr>
          <w:rFonts w:hint="eastAsia" w:ascii="宋体" w:hAnsi="宋体" w:eastAsia="宋体" w:cs="宋体"/>
          <w:color w:val="auto"/>
          <w:sz w:val="24"/>
          <w:highlight w:val="none"/>
        </w:rPr>
      </w:pPr>
      <w:bookmarkStart w:id="107" w:name="_Toc27933"/>
      <w:bookmarkStart w:id="108" w:name="_Toc3422"/>
      <w:bookmarkStart w:id="109" w:name="_Toc17596"/>
      <w:bookmarkStart w:id="110" w:name="_Toc11338"/>
      <w:bookmarkStart w:id="111" w:name="_Toc5828"/>
      <w:bookmarkStart w:id="112" w:name="_Toc32490"/>
      <w:bookmarkStart w:id="113" w:name="_Toc6383"/>
      <w:r>
        <w:rPr>
          <w:rFonts w:hint="eastAsia" w:ascii="宋体" w:hAnsi="宋体" w:eastAsia="宋体" w:cs="宋体"/>
          <w:color w:val="auto"/>
          <w:sz w:val="24"/>
          <w:highlight w:val="none"/>
        </w:rPr>
        <w:t>9.  是否采用电子招标投标</w:t>
      </w:r>
      <w:bookmarkEnd w:id="107"/>
      <w:bookmarkEnd w:id="108"/>
      <w:bookmarkEnd w:id="109"/>
      <w:bookmarkEnd w:id="110"/>
      <w:bookmarkEnd w:id="111"/>
      <w:bookmarkEnd w:id="112"/>
      <w:bookmarkEnd w:id="113"/>
    </w:p>
    <w:p w14:paraId="6AAD91CB">
      <w:pPr>
        <w:spacing w:line="36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是。本项目采用电子招标投标方式</w:t>
      </w:r>
    </w:p>
    <w:p w14:paraId="461D7776">
      <w:pPr>
        <w:pStyle w:val="3"/>
        <w:spacing w:before="0" w:after="0" w:line="360" w:lineRule="auto"/>
        <w:outlineLvl w:val="0"/>
        <w:rPr>
          <w:rFonts w:hint="eastAsia" w:ascii="宋体" w:hAnsi="宋体" w:eastAsia="宋体" w:cs="宋体"/>
          <w:color w:val="auto"/>
          <w:sz w:val="24"/>
          <w:highlight w:val="none"/>
        </w:rPr>
      </w:pPr>
      <w:bookmarkStart w:id="114" w:name="_Toc30158"/>
      <w:bookmarkStart w:id="115" w:name="_Toc16311"/>
      <w:bookmarkStart w:id="116" w:name="_Toc9236"/>
      <w:bookmarkStart w:id="117" w:name="_Toc29129"/>
      <w:bookmarkStart w:id="118" w:name="_Toc17720"/>
      <w:bookmarkStart w:id="119" w:name="_Toc21848"/>
      <w:bookmarkStart w:id="120" w:name="_Toc15908"/>
      <w:r>
        <w:rPr>
          <w:rFonts w:hint="eastAsia" w:ascii="宋体" w:hAnsi="宋体" w:eastAsia="宋体" w:cs="宋体"/>
          <w:color w:val="auto"/>
          <w:sz w:val="24"/>
          <w:highlight w:val="none"/>
        </w:rPr>
        <w:t>10.  需要补充的其他内容</w:t>
      </w:r>
      <w:bookmarkEnd w:id="114"/>
      <w:bookmarkEnd w:id="115"/>
      <w:bookmarkEnd w:id="116"/>
      <w:bookmarkEnd w:id="117"/>
      <w:bookmarkEnd w:id="118"/>
      <w:bookmarkEnd w:id="119"/>
      <w:bookmarkEnd w:id="120"/>
    </w:p>
    <w:p w14:paraId="324CFFD3">
      <w:pPr>
        <w:spacing w:line="360" w:lineRule="auto"/>
        <w:ind w:firstLine="424" w:firstLineChars="202"/>
        <w:rPr>
          <w:rFonts w:hint="eastAsia" w:ascii="宋体" w:hAnsi="宋体" w:eastAsia="宋体" w:cs="宋体"/>
          <w:b/>
          <w:bCs/>
          <w:color w:val="auto"/>
          <w:sz w:val="24"/>
          <w:highlight w:val="none"/>
        </w:rPr>
        <w:sectPr>
          <w:headerReference r:id="rId7" w:type="default"/>
          <w:footerReference r:id="rId8" w:type="default"/>
          <w:pgSz w:w="11910" w:h="16840"/>
          <w:pgMar w:top="1520" w:right="1380" w:bottom="1380" w:left="1580" w:header="1135" w:footer="841" w:gutter="0"/>
          <w:cols w:space="720" w:num="1"/>
        </w:sectPr>
      </w:pPr>
      <w:r>
        <w:rPr>
          <w:rFonts w:hint="eastAsia" w:ascii="宋体" w:hAnsi="宋体" w:eastAsia="宋体" w:cs="宋体"/>
          <w:color w:val="auto"/>
          <w:highlight w:val="none"/>
        </w:rPr>
        <w:t>需要补充的其他内容：见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w:t>
      </w:r>
      <w:bookmarkStart w:id="121" w:name="_Toc8078"/>
      <w:bookmarkStart w:id="122" w:name="_Toc3666"/>
      <w:bookmarkStart w:id="123" w:name="_Toc2582305"/>
      <w:bookmarkStart w:id="124" w:name="_Toc21748"/>
      <w:bookmarkStart w:id="125" w:name="_Toc16186"/>
      <w:bookmarkStart w:id="126" w:name="_Toc73529422"/>
      <w:bookmarkStart w:id="127" w:name="_Toc532473491"/>
      <w:bookmarkStart w:id="128" w:name="_Toc15638308"/>
      <w:bookmarkStart w:id="129" w:name="_Toc515647799"/>
    </w:p>
    <w:p w14:paraId="2BC963B9">
      <w:pPr>
        <w:widowControl/>
        <w:spacing w:line="360" w:lineRule="auto"/>
        <w:jc w:val="center"/>
        <w:outlineLvl w:val="9"/>
        <w:rPr>
          <w:rFonts w:hint="eastAsia" w:ascii="宋体" w:hAnsi="宋体" w:eastAsia="宋体" w:cs="宋体"/>
          <w:b/>
          <w:bCs/>
          <w:color w:val="auto"/>
          <w:highlight w:val="none"/>
        </w:rPr>
      </w:pPr>
      <w:bookmarkStart w:id="130" w:name="_Toc2175"/>
      <w:r>
        <w:rPr>
          <w:rFonts w:hint="eastAsia" w:ascii="宋体" w:hAnsi="宋体" w:eastAsia="宋体" w:cs="宋体"/>
          <w:b/>
          <w:bCs/>
          <w:color w:val="auto"/>
          <w:sz w:val="24"/>
          <w:highlight w:val="none"/>
        </w:rPr>
        <w:t>附件：河南省政府采购合同融资政策告知函</w:t>
      </w:r>
      <w:bookmarkEnd w:id="121"/>
      <w:bookmarkEnd w:id="122"/>
      <w:bookmarkEnd w:id="130"/>
    </w:p>
    <w:p w14:paraId="61E8CDC3">
      <w:pPr>
        <w:jc w:val="center"/>
        <w:rPr>
          <w:rFonts w:hint="eastAsia" w:ascii="宋体" w:hAnsi="宋体" w:eastAsia="宋体" w:cs="宋体"/>
          <w:b/>
          <w:bCs/>
          <w:color w:val="auto"/>
          <w:sz w:val="24"/>
          <w:szCs w:val="24"/>
          <w:highlight w:val="none"/>
        </w:rPr>
      </w:pPr>
      <w:bookmarkStart w:id="131" w:name="_Toc7567"/>
      <w:bookmarkStart w:id="132" w:name="_Toc19399"/>
    </w:p>
    <w:p w14:paraId="44176B1B">
      <w:pPr>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河南省政府采购合同融资政策告知函</w:t>
      </w:r>
      <w:bookmarkEnd w:id="131"/>
      <w:bookmarkEnd w:id="132"/>
    </w:p>
    <w:p w14:paraId="3F8B1529">
      <w:pPr>
        <w:spacing w:line="600" w:lineRule="exact"/>
        <w:jc w:val="left"/>
        <w:rPr>
          <w:rFonts w:hint="eastAsia" w:ascii="宋体" w:hAnsi="宋体" w:eastAsia="宋体" w:cs="宋体"/>
          <w:color w:val="auto"/>
          <w:sz w:val="24"/>
          <w:highlight w:val="none"/>
        </w:rPr>
      </w:pPr>
    </w:p>
    <w:p w14:paraId="351CBF76">
      <w:pPr>
        <w:spacing w:line="6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p>
    <w:p w14:paraId="7FAA3A18">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欢迎贵公司参与河南省政府采购活动！</w:t>
      </w:r>
    </w:p>
    <w:p w14:paraId="25CB02F6">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政府采购合同融资是河南省财政厅支持中小微企业发展，针对参与政府采购活动的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3B9F1522">
      <w:pPr>
        <w:spacing w:line="6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贷款渠道和提供贷款的金融机构，可在河南省政府采购网“河南省政府采购合同融资平台”查询联系。</w:t>
      </w:r>
    </w:p>
    <w:p w14:paraId="7ECEB8CA">
      <w:pPr>
        <w:rPr>
          <w:rFonts w:hint="eastAsia" w:ascii="宋体" w:hAnsi="宋体" w:eastAsia="宋体" w:cs="宋体"/>
          <w:color w:val="auto"/>
          <w:sz w:val="24"/>
          <w:highlight w:val="none"/>
        </w:rPr>
      </w:pPr>
      <w:r>
        <w:rPr>
          <w:rFonts w:hint="eastAsia" w:ascii="宋体" w:hAnsi="宋体" w:eastAsia="宋体" w:cs="宋体"/>
          <w:color w:val="auto"/>
          <w:highlight w:val="none"/>
        </w:rPr>
        <w:br w:type="page"/>
      </w:r>
    </w:p>
    <w:bookmarkEnd w:id="123"/>
    <w:bookmarkEnd w:id="124"/>
    <w:bookmarkEnd w:id="125"/>
    <w:bookmarkEnd w:id="126"/>
    <w:bookmarkEnd w:id="127"/>
    <w:bookmarkEnd w:id="128"/>
    <w:bookmarkEnd w:id="129"/>
    <w:p w14:paraId="1086A090">
      <w:pPr>
        <w:pStyle w:val="2"/>
        <w:spacing w:before="0" w:after="0" w:line="360" w:lineRule="auto"/>
        <w:jc w:val="center"/>
        <w:rPr>
          <w:rFonts w:hint="eastAsia" w:ascii="宋体" w:hAnsi="宋体" w:eastAsia="宋体" w:cs="宋体"/>
          <w:color w:val="auto"/>
          <w:sz w:val="32"/>
          <w:highlight w:val="none"/>
        </w:rPr>
      </w:pPr>
      <w:bookmarkStart w:id="133" w:name="_Toc13799"/>
      <w:bookmarkStart w:id="134" w:name="_Toc31656"/>
      <w:bookmarkStart w:id="135" w:name="_Toc4249"/>
      <w:bookmarkStart w:id="136" w:name="_Toc2494"/>
      <w:r>
        <w:rPr>
          <w:rFonts w:hint="eastAsia" w:ascii="宋体" w:hAnsi="宋体" w:eastAsia="宋体" w:cs="宋体"/>
          <w:color w:val="auto"/>
          <w:sz w:val="32"/>
          <w:highlight w:val="none"/>
        </w:rPr>
        <w:t>第三章 评标方法和标准</w:t>
      </w:r>
      <w:bookmarkEnd w:id="133"/>
      <w:bookmarkEnd w:id="134"/>
      <w:bookmarkEnd w:id="135"/>
      <w:bookmarkEnd w:id="136"/>
    </w:p>
    <w:p w14:paraId="426DD4D7">
      <w:pPr>
        <w:pStyle w:val="14"/>
        <w:outlineLvl w:val="9"/>
        <w:rPr>
          <w:rFonts w:hint="eastAsia" w:ascii="宋体" w:hAnsi="宋体" w:eastAsia="宋体" w:cs="宋体"/>
          <w:color w:val="auto"/>
          <w:highlight w:val="none"/>
        </w:rPr>
      </w:pPr>
      <w:bookmarkStart w:id="137" w:name="_Toc11676"/>
      <w:bookmarkStart w:id="138" w:name="_Toc24464"/>
      <w:bookmarkStart w:id="139" w:name="_Toc27783"/>
      <w:bookmarkStart w:id="140" w:name="_Toc27145"/>
      <w:bookmarkStart w:id="141" w:name="_Toc16543"/>
      <w:bookmarkStart w:id="142" w:name="_Toc13052730"/>
      <w:bookmarkStart w:id="143" w:name="_Toc26445303"/>
      <w:bookmarkStart w:id="144" w:name="_Toc11072948"/>
      <w:bookmarkStart w:id="145" w:name="_Toc13068789"/>
      <w:bookmarkStart w:id="146" w:name="_Toc13053543"/>
      <w:bookmarkStart w:id="147" w:name="_Toc14946168"/>
      <w:r>
        <w:rPr>
          <w:rFonts w:hint="eastAsia" w:ascii="宋体" w:hAnsi="宋体" w:eastAsia="宋体" w:cs="宋体"/>
          <w:color w:val="auto"/>
          <w:sz w:val="28"/>
          <w:szCs w:val="28"/>
          <w:highlight w:val="none"/>
        </w:rPr>
        <w:t>评标方法前附表</w:t>
      </w:r>
      <w:bookmarkEnd w:id="137"/>
      <w:bookmarkEnd w:id="138"/>
      <w:bookmarkEnd w:id="139"/>
      <w:bookmarkEnd w:id="140"/>
      <w:bookmarkEnd w:id="141"/>
    </w:p>
    <w:p w14:paraId="3A4963C1">
      <w:pPr>
        <w:pStyle w:val="42"/>
        <w:spacing w:line="360" w:lineRule="auto"/>
        <w:jc w:val="center"/>
        <w:outlineLvl w:val="0"/>
        <w:rPr>
          <w:rFonts w:hint="eastAsia" w:ascii="宋体" w:hAnsi="宋体" w:eastAsia="宋体" w:cs="宋体"/>
          <w:color w:val="auto"/>
          <w:sz w:val="28"/>
          <w:szCs w:val="28"/>
          <w:highlight w:val="none"/>
        </w:rPr>
      </w:pPr>
      <w:bookmarkStart w:id="148" w:name="_Toc21030"/>
      <w:bookmarkStart w:id="149" w:name="_Toc11146"/>
      <w:bookmarkStart w:id="150" w:name="_Toc2629"/>
      <w:bookmarkStart w:id="151" w:name="_Toc25615"/>
      <w:bookmarkStart w:id="152" w:name="_Toc31827"/>
      <w:bookmarkStart w:id="153" w:name="_Toc23342"/>
      <w:bookmarkStart w:id="154" w:name="_Toc18712"/>
      <w:r>
        <w:rPr>
          <w:rFonts w:hint="eastAsia" w:ascii="宋体" w:hAnsi="宋体" w:eastAsia="宋体" w:cs="宋体"/>
          <w:color w:val="auto"/>
          <w:sz w:val="28"/>
          <w:szCs w:val="28"/>
          <w:highlight w:val="none"/>
        </w:rPr>
        <w:t>（一）资格审查表</w:t>
      </w:r>
      <w:bookmarkEnd w:id="148"/>
      <w:bookmarkEnd w:id="149"/>
      <w:bookmarkEnd w:id="150"/>
      <w:bookmarkEnd w:id="151"/>
      <w:bookmarkEnd w:id="152"/>
      <w:bookmarkEnd w:id="153"/>
      <w:bookmarkEnd w:id="154"/>
    </w:p>
    <w:tbl>
      <w:tblPr>
        <w:tblStyle w:val="23"/>
        <w:tblW w:w="92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45" w:type="dxa"/>
          <w:left w:w="96" w:type="dxa"/>
          <w:bottom w:w="45" w:type="dxa"/>
          <w:right w:w="96" w:type="dxa"/>
        </w:tblCellMar>
      </w:tblPr>
      <w:tblGrid>
        <w:gridCol w:w="749"/>
        <w:gridCol w:w="1711"/>
        <w:gridCol w:w="6819"/>
      </w:tblGrid>
      <w:tr w14:paraId="41617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434" w:hRule="atLeast"/>
          <w:tblHeader/>
          <w:jc w:val="center"/>
        </w:trPr>
        <w:tc>
          <w:tcPr>
            <w:tcW w:w="749" w:type="dxa"/>
            <w:tcBorders>
              <w:tl2br w:val="nil"/>
              <w:tr2bl w:val="nil"/>
            </w:tcBorders>
            <w:vAlign w:val="center"/>
          </w:tcPr>
          <w:p w14:paraId="292B99F8">
            <w:pPr>
              <w:snapToGrid w:val="0"/>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lang w:eastAsia="zh-CN"/>
              </w:rPr>
              <w:t>序号</w:t>
            </w:r>
          </w:p>
        </w:tc>
        <w:tc>
          <w:tcPr>
            <w:tcW w:w="1711" w:type="dxa"/>
            <w:tcBorders>
              <w:tl2br w:val="nil"/>
              <w:tr2bl w:val="nil"/>
            </w:tcBorders>
            <w:vAlign w:val="center"/>
          </w:tcPr>
          <w:p w14:paraId="0E00178E">
            <w:pPr>
              <w:snapToGrid w:val="0"/>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lang w:eastAsia="zh-CN"/>
              </w:rPr>
              <w:t>评审因素</w:t>
            </w:r>
          </w:p>
        </w:tc>
        <w:tc>
          <w:tcPr>
            <w:tcW w:w="6819" w:type="dxa"/>
            <w:tcBorders>
              <w:tl2br w:val="nil"/>
              <w:tr2bl w:val="nil"/>
            </w:tcBorders>
            <w:vAlign w:val="center"/>
          </w:tcPr>
          <w:p w14:paraId="1C265870">
            <w:pPr>
              <w:snapToGrid w:val="0"/>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lang w:eastAsia="zh-CN"/>
              </w:rPr>
              <w:t>评审标准</w:t>
            </w:r>
          </w:p>
        </w:tc>
      </w:tr>
      <w:tr w14:paraId="019C3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577" w:hRule="atLeast"/>
          <w:jc w:val="center"/>
        </w:trPr>
        <w:tc>
          <w:tcPr>
            <w:tcW w:w="749" w:type="dxa"/>
            <w:tcBorders>
              <w:tl2br w:val="nil"/>
              <w:tr2bl w:val="nil"/>
            </w:tcBorders>
            <w:vAlign w:val="center"/>
          </w:tcPr>
          <w:p w14:paraId="2B2D2BB7">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711" w:type="dxa"/>
            <w:tcBorders>
              <w:tl2br w:val="nil"/>
              <w:tr2bl w:val="nil"/>
            </w:tcBorders>
            <w:vAlign w:val="center"/>
          </w:tcPr>
          <w:p w14:paraId="4059A154">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具有独立承担民事责任的能力</w:t>
            </w:r>
          </w:p>
        </w:tc>
        <w:tc>
          <w:tcPr>
            <w:tcW w:w="6819" w:type="dxa"/>
            <w:tcBorders>
              <w:tl2br w:val="nil"/>
              <w:tr2bl w:val="nil"/>
            </w:tcBorders>
            <w:vAlign w:val="center"/>
          </w:tcPr>
          <w:p w14:paraId="46893BDE">
            <w:pPr>
              <w:snapToGri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提供法人或者其他组织的营业执照等证明文件或自然人的身份证明。</w:t>
            </w:r>
          </w:p>
        </w:tc>
      </w:tr>
      <w:tr w14:paraId="139D5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434" w:hRule="atLeast"/>
          <w:jc w:val="center"/>
        </w:trPr>
        <w:tc>
          <w:tcPr>
            <w:tcW w:w="749" w:type="dxa"/>
            <w:tcBorders>
              <w:tl2br w:val="nil"/>
              <w:tr2bl w:val="nil"/>
            </w:tcBorders>
            <w:vAlign w:val="center"/>
          </w:tcPr>
          <w:p w14:paraId="10F112D1">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711" w:type="dxa"/>
            <w:tcBorders>
              <w:tl2br w:val="nil"/>
              <w:tr2bl w:val="nil"/>
            </w:tcBorders>
            <w:vAlign w:val="center"/>
          </w:tcPr>
          <w:p w14:paraId="47E54CDE">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资质证书</w:t>
            </w:r>
          </w:p>
        </w:tc>
        <w:tc>
          <w:tcPr>
            <w:tcW w:w="6819" w:type="dxa"/>
            <w:tcBorders>
              <w:tl2br w:val="nil"/>
              <w:tr2bl w:val="nil"/>
            </w:tcBorders>
            <w:vAlign w:val="center"/>
          </w:tcPr>
          <w:p w14:paraId="3D2C1A33">
            <w:pPr>
              <w:snapToGrid w:val="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shd w:val="clear" w:color="auto" w:fill="FFFFFF"/>
              </w:rPr>
              <w:t>具有有效的食品生产许可证或食品经营许可证</w:t>
            </w:r>
            <w:r>
              <w:rPr>
                <w:rFonts w:hint="eastAsia" w:ascii="宋体" w:hAnsi="宋体" w:eastAsia="宋体" w:cs="宋体"/>
                <w:color w:val="auto"/>
                <w:kern w:val="0"/>
                <w:szCs w:val="21"/>
                <w:highlight w:val="none"/>
                <w:shd w:val="clear" w:color="auto" w:fill="FFFFFF"/>
                <w:lang w:eastAsia="zh-CN"/>
              </w:rPr>
              <w:t>。</w:t>
            </w:r>
          </w:p>
        </w:tc>
      </w:tr>
      <w:tr w14:paraId="62185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720" w:hRule="atLeast"/>
          <w:jc w:val="center"/>
        </w:trPr>
        <w:tc>
          <w:tcPr>
            <w:tcW w:w="749" w:type="dxa"/>
            <w:tcBorders>
              <w:tl2br w:val="nil"/>
              <w:tr2bl w:val="nil"/>
            </w:tcBorders>
            <w:vAlign w:val="center"/>
          </w:tcPr>
          <w:p w14:paraId="4ED66747">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711" w:type="dxa"/>
            <w:tcBorders>
              <w:tl2br w:val="nil"/>
              <w:tr2bl w:val="nil"/>
            </w:tcBorders>
            <w:vAlign w:val="center"/>
          </w:tcPr>
          <w:p w14:paraId="2C7F9F26">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具有良好的商业信誉和健全的财务会计制度</w:t>
            </w:r>
          </w:p>
        </w:tc>
        <w:tc>
          <w:tcPr>
            <w:tcW w:w="6819" w:type="dxa"/>
            <w:tcBorders>
              <w:tl2br w:val="nil"/>
              <w:tr2bl w:val="nil"/>
            </w:tcBorders>
            <w:vAlign w:val="center"/>
          </w:tcPr>
          <w:p w14:paraId="21F8500B">
            <w:pPr>
              <w:snapToGri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提供2024年度经审计的财务审计报告或其基本户开户银行出具的资信证明。</w:t>
            </w:r>
          </w:p>
        </w:tc>
      </w:tr>
      <w:tr w14:paraId="2136B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720" w:hRule="atLeast"/>
          <w:jc w:val="center"/>
        </w:trPr>
        <w:tc>
          <w:tcPr>
            <w:tcW w:w="749" w:type="dxa"/>
            <w:tcBorders>
              <w:tl2br w:val="nil"/>
              <w:tr2bl w:val="nil"/>
            </w:tcBorders>
            <w:vAlign w:val="center"/>
          </w:tcPr>
          <w:p w14:paraId="1608EB47">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711" w:type="dxa"/>
            <w:tcBorders>
              <w:tl2br w:val="nil"/>
              <w:tr2bl w:val="nil"/>
            </w:tcBorders>
            <w:vAlign w:val="center"/>
          </w:tcPr>
          <w:p w14:paraId="2977B804">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具有履行合同所必需的设备和专业技术能力</w:t>
            </w:r>
          </w:p>
        </w:tc>
        <w:tc>
          <w:tcPr>
            <w:tcW w:w="6819" w:type="dxa"/>
            <w:tcBorders>
              <w:tl2br w:val="nil"/>
              <w:tr2bl w:val="nil"/>
            </w:tcBorders>
            <w:vAlign w:val="center"/>
          </w:tcPr>
          <w:p w14:paraId="73AFA76E">
            <w:pPr>
              <w:snapToGri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出具证明材料或加盖公章的承诺书</w:t>
            </w:r>
            <w:r>
              <w:rPr>
                <w:rFonts w:hint="eastAsia" w:ascii="宋体" w:hAnsi="宋体" w:eastAsia="宋体" w:cs="宋体"/>
                <w:color w:val="auto"/>
                <w:kern w:val="0"/>
                <w:szCs w:val="21"/>
                <w:highlight w:val="none"/>
                <w:lang w:eastAsia="zh-CN"/>
              </w:rPr>
              <w:t>(格式参考第六章投标文件格式)</w:t>
            </w:r>
            <w:r>
              <w:rPr>
                <w:rFonts w:hint="eastAsia" w:ascii="宋体" w:hAnsi="宋体" w:eastAsia="宋体" w:cs="宋体"/>
                <w:color w:val="auto"/>
                <w:kern w:val="0"/>
                <w:szCs w:val="21"/>
                <w:highlight w:val="none"/>
              </w:rPr>
              <w:t>。</w:t>
            </w:r>
          </w:p>
        </w:tc>
      </w:tr>
      <w:tr w14:paraId="7E11F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877" w:hRule="atLeast"/>
          <w:jc w:val="center"/>
        </w:trPr>
        <w:tc>
          <w:tcPr>
            <w:tcW w:w="749" w:type="dxa"/>
            <w:tcBorders>
              <w:tl2br w:val="nil"/>
              <w:tr2bl w:val="nil"/>
            </w:tcBorders>
            <w:vAlign w:val="center"/>
          </w:tcPr>
          <w:p w14:paraId="5D313273">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711" w:type="dxa"/>
            <w:tcBorders>
              <w:tl2br w:val="nil"/>
              <w:tr2bl w:val="nil"/>
            </w:tcBorders>
            <w:vAlign w:val="center"/>
          </w:tcPr>
          <w:p w14:paraId="7725A4D0">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有依法缴纳税收和社会保障资金的良好记录</w:t>
            </w:r>
          </w:p>
        </w:tc>
        <w:tc>
          <w:tcPr>
            <w:tcW w:w="6819" w:type="dxa"/>
            <w:tcBorders>
              <w:tl2br w:val="nil"/>
              <w:tr2bl w:val="nil"/>
            </w:tcBorders>
            <w:vAlign w:val="center"/>
          </w:tcPr>
          <w:p w14:paraId="7B3B16FB">
            <w:pPr>
              <w:snapToGrid w:val="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zh-CN" w:eastAsia="zh-CN"/>
              </w:rPr>
              <w:t>供应商提供</w:t>
            </w:r>
            <w:r>
              <w:rPr>
                <w:rFonts w:hint="eastAsia" w:ascii="宋体" w:hAnsi="宋体" w:eastAsia="宋体" w:cs="宋体"/>
                <w:color w:val="auto"/>
                <w:kern w:val="0"/>
                <w:szCs w:val="21"/>
                <w:highlight w:val="none"/>
                <w:lang w:val="en-US" w:eastAsia="zh-CN"/>
              </w:rPr>
              <w:t>近半年</w:t>
            </w:r>
            <w:r>
              <w:rPr>
                <w:rFonts w:hint="eastAsia" w:ascii="宋体" w:hAnsi="宋体" w:eastAsia="宋体" w:cs="宋体"/>
                <w:color w:val="auto"/>
                <w:kern w:val="0"/>
                <w:szCs w:val="21"/>
                <w:highlight w:val="none"/>
                <w:lang w:val="zh-CN" w:eastAsia="zh-CN"/>
              </w:rPr>
              <w:t>以来任意一个月的供应商缴纳税收证明材料和供应商缴纳社会保障资金证明材料（依法免税或不需要缴纳社会保障资金的供应商，应提供相关证明文件证明其依法免税或不需要缴纳社会保障金）。</w:t>
            </w:r>
          </w:p>
        </w:tc>
      </w:tr>
      <w:tr w14:paraId="74378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877" w:hRule="atLeast"/>
          <w:jc w:val="center"/>
        </w:trPr>
        <w:tc>
          <w:tcPr>
            <w:tcW w:w="749" w:type="dxa"/>
            <w:tcBorders>
              <w:tl2br w:val="nil"/>
              <w:tr2bl w:val="nil"/>
            </w:tcBorders>
            <w:vAlign w:val="center"/>
          </w:tcPr>
          <w:p w14:paraId="6CF658D9">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711" w:type="dxa"/>
            <w:tcBorders>
              <w:tl2br w:val="nil"/>
              <w:tr2bl w:val="nil"/>
            </w:tcBorders>
            <w:vAlign w:val="center"/>
          </w:tcPr>
          <w:p w14:paraId="29EC2767">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参加政府采购活动前三年内，在经营活动中没有重大违法记录</w:t>
            </w:r>
          </w:p>
        </w:tc>
        <w:tc>
          <w:tcPr>
            <w:tcW w:w="6819" w:type="dxa"/>
            <w:tcBorders>
              <w:tl2br w:val="nil"/>
              <w:tr2bl w:val="nil"/>
            </w:tcBorders>
            <w:vAlign w:val="center"/>
          </w:tcPr>
          <w:p w14:paraId="0BBECF34">
            <w:pPr>
              <w:snapToGrid w:val="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lang w:eastAsia="zh-CN"/>
              </w:rPr>
              <w:t>提供加盖公章的无重大违法记录的书面声明(格式参考第六章投标文件格式)。</w:t>
            </w:r>
          </w:p>
        </w:tc>
      </w:tr>
      <w:tr w14:paraId="51E98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1378" w:hRule="atLeast"/>
          <w:jc w:val="center"/>
        </w:trPr>
        <w:tc>
          <w:tcPr>
            <w:tcW w:w="749" w:type="dxa"/>
            <w:tcBorders>
              <w:tl2br w:val="nil"/>
              <w:tr2bl w:val="nil"/>
            </w:tcBorders>
            <w:vAlign w:val="center"/>
          </w:tcPr>
          <w:p w14:paraId="5CAED7B9">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711" w:type="dxa"/>
            <w:tcBorders>
              <w:tl2br w:val="nil"/>
              <w:tr2bl w:val="nil"/>
            </w:tcBorders>
            <w:vAlign w:val="center"/>
          </w:tcPr>
          <w:p w14:paraId="5DD7A71E">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信用记录</w:t>
            </w:r>
          </w:p>
        </w:tc>
        <w:tc>
          <w:tcPr>
            <w:tcW w:w="6819" w:type="dxa"/>
            <w:tcBorders>
              <w:tl2br w:val="nil"/>
              <w:tr2bl w:val="nil"/>
            </w:tcBorders>
            <w:vAlign w:val="center"/>
          </w:tcPr>
          <w:p w14:paraId="4966D040">
            <w:pPr>
              <w:snapToGrid w:val="0"/>
              <w:spacing w:line="360" w:lineRule="auto"/>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zh-CN" w:eastAsia="zh-CN"/>
              </w:rPr>
              <w:t>根据《关于在政府采购活动中查询及使用信用记录有关问题的通知》（财库〔2016〕125号）和《河南省财政厅关于转发财政部关于在政府采购活动中查询及使用信用记录有关问题的通知的通知》（豫财购〔2016〕15号）的规定，对列入失信被执行人、重大税收违法失信主体名单、政府采购严重违法失信行为记录名单的供应商，拒绝参与本项目政府采购活动（查询渠道：“中国执行信息公开网”网站：查询失信被执行人；“信用中国”网站：查询重大税收违法失信主体名单；“中国政府采购网”网站：查询政府采购严重违法失信行为记录名单）。注：采购代理机构在开标当天将对所有参与本项目投标的供应商的信用情况（失信被执行人名单、重大税收违法失信主体名单、政府采购严重违法失信行为记录名单）进行查询、打印留存。若在开标当天查询到供应商有相关负面信息的，则该供应商为无效供应商。</w:t>
            </w:r>
          </w:p>
        </w:tc>
      </w:tr>
      <w:tr w14:paraId="48723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606" w:hRule="atLeast"/>
          <w:jc w:val="center"/>
        </w:trPr>
        <w:tc>
          <w:tcPr>
            <w:tcW w:w="749" w:type="dxa"/>
            <w:tcBorders>
              <w:tl2br w:val="nil"/>
              <w:tr2bl w:val="nil"/>
            </w:tcBorders>
            <w:vAlign w:val="center"/>
          </w:tcPr>
          <w:p w14:paraId="5FFBF79C">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711" w:type="dxa"/>
            <w:tcBorders>
              <w:tl2br w:val="nil"/>
              <w:tr2bl w:val="nil"/>
            </w:tcBorders>
            <w:vAlign w:val="center"/>
          </w:tcPr>
          <w:p w14:paraId="7401DBE6">
            <w:pPr>
              <w:snapToGrid w:val="0"/>
              <w:jc w:val="center"/>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无关联关系声明</w:t>
            </w:r>
          </w:p>
        </w:tc>
        <w:tc>
          <w:tcPr>
            <w:tcW w:w="6819" w:type="dxa"/>
            <w:tcBorders>
              <w:tl2br w:val="nil"/>
              <w:tr2bl w:val="nil"/>
            </w:tcBorders>
            <w:vAlign w:val="center"/>
          </w:tcPr>
          <w:p w14:paraId="4169360C">
            <w:pPr>
              <w:snapToGri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单位负责人为同一人或者存在控股关系、参股关系、管理关系的不同单位，不得参加同一标段投标或未划分标段的同一招标项目投标。提供无关联声明函(格式参考第六章投标文件格式)。</w:t>
            </w:r>
          </w:p>
        </w:tc>
      </w:tr>
    </w:tbl>
    <w:p w14:paraId="04E0E827">
      <w:pPr>
        <w:widowControl/>
        <w:jc w:val="left"/>
        <w:rPr>
          <w:rFonts w:hint="eastAsia" w:ascii="宋体" w:hAnsi="宋体" w:eastAsia="宋体" w:cs="宋体"/>
          <w:color w:val="auto"/>
          <w:sz w:val="24"/>
          <w:szCs w:val="24"/>
          <w:highlight w:val="none"/>
        </w:rPr>
      </w:pPr>
    </w:p>
    <w:p w14:paraId="27EAB6F4">
      <w:pPr>
        <w:pStyle w:val="42"/>
        <w:spacing w:line="360" w:lineRule="auto"/>
        <w:jc w:val="both"/>
        <w:outlineLvl w:val="9"/>
        <w:rPr>
          <w:rFonts w:hint="eastAsia" w:ascii="宋体" w:hAnsi="宋体" w:eastAsia="宋体" w:cs="宋体"/>
          <w:color w:val="auto"/>
          <w:sz w:val="28"/>
          <w:szCs w:val="28"/>
          <w:highlight w:val="none"/>
        </w:rPr>
        <w:sectPr>
          <w:pgSz w:w="11910" w:h="16840"/>
          <w:pgMar w:top="1520" w:right="1380" w:bottom="1380" w:left="1580" w:header="1135" w:footer="841" w:gutter="0"/>
          <w:cols w:space="720" w:num="1"/>
        </w:sectPr>
      </w:pPr>
      <w:bookmarkStart w:id="155" w:name="_Toc88160778"/>
      <w:bookmarkStart w:id="156" w:name="_Toc28806"/>
      <w:bookmarkStart w:id="157" w:name="_Toc7482"/>
      <w:bookmarkStart w:id="158" w:name="_Toc73835926"/>
      <w:bookmarkStart w:id="159" w:name="_Toc88160723"/>
      <w:bookmarkStart w:id="160" w:name="_Toc22130"/>
      <w:bookmarkStart w:id="161" w:name="_Toc1060"/>
      <w:bookmarkStart w:id="162" w:name="_Toc100151539"/>
      <w:bookmarkStart w:id="163" w:name="_Toc88161143"/>
      <w:bookmarkStart w:id="164" w:name="_Toc12940"/>
      <w:bookmarkStart w:id="165" w:name="_Toc3557"/>
    </w:p>
    <w:p w14:paraId="48DC2D81">
      <w:pPr>
        <w:pStyle w:val="42"/>
        <w:spacing w:before="120" w:beforeLines="50" w:line="360" w:lineRule="auto"/>
        <w:jc w:val="center"/>
        <w:outlineLvl w:val="0"/>
        <w:rPr>
          <w:rFonts w:hint="eastAsia" w:ascii="宋体" w:hAnsi="宋体" w:eastAsia="宋体" w:cs="宋体"/>
          <w:color w:val="auto"/>
          <w:sz w:val="28"/>
          <w:szCs w:val="28"/>
          <w:highlight w:val="none"/>
        </w:rPr>
      </w:pPr>
      <w:bookmarkStart w:id="166" w:name="_Toc1346"/>
      <w:bookmarkStart w:id="167" w:name="_Toc28486"/>
      <w:bookmarkStart w:id="168" w:name="_Toc10401"/>
      <w:bookmarkStart w:id="169" w:name="_Toc1473"/>
      <w:bookmarkStart w:id="170" w:name="_Toc27154"/>
      <w:bookmarkStart w:id="171" w:name="_Toc14597"/>
      <w:bookmarkStart w:id="172" w:name="_Toc14600"/>
      <w:r>
        <w:rPr>
          <w:rFonts w:hint="eastAsia" w:ascii="宋体" w:hAnsi="宋体" w:eastAsia="宋体" w:cs="宋体"/>
          <w:color w:val="auto"/>
          <w:sz w:val="28"/>
          <w:szCs w:val="28"/>
          <w:highlight w:val="none"/>
        </w:rPr>
        <w:t>（二）</w:t>
      </w:r>
      <w:bookmarkEnd w:id="155"/>
      <w:bookmarkEnd w:id="156"/>
      <w:bookmarkEnd w:id="157"/>
      <w:bookmarkEnd w:id="158"/>
      <w:bookmarkEnd w:id="159"/>
      <w:bookmarkEnd w:id="160"/>
      <w:bookmarkEnd w:id="161"/>
      <w:bookmarkEnd w:id="162"/>
      <w:bookmarkEnd w:id="163"/>
      <w:bookmarkEnd w:id="164"/>
      <w:r>
        <w:rPr>
          <w:rFonts w:hint="eastAsia" w:ascii="宋体" w:hAnsi="宋体" w:eastAsia="宋体" w:cs="宋体"/>
          <w:color w:val="auto"/>
          <w:sz w:val="28"/>
          <w:szCs w:val="28"/>
          <w:highlight w:val="none"/>
        </w:rPr>
        <w:t>形式评审表</w:t>
      </w:r>
      <w:bookmarkEnd w:id="165"/>
      <w:bookmarkEnd w:id="166"/>
      <w:bookmarkEnd w:id="167"/>
      <w:bookmarkEnd w:id="168"/>
      <w:bookmarkEnd w:id="169"/>
      <w:bookmarkEnd w:id="170"/>
      <w:bookmarkEnd w:id="171"/>
      <w:bookmarkEnd w:id="172"/>
    </w:p>
    <w:tbl>
      <w:tblPr>
        <w:tblStyle w:val="23"/>
        <w:tblW w:w="8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0" w:type="dxa"/>
          <w:left w:w="128" w:type="dxa"/>
          <w:bottom w:w="80" w:type="dxa"/>
          <w:right w:w="128" w:type="dxa"/>
        </w:tblCellMar>
      </w:tblPr>
      <w:tblGrid>
        <w:gridCol w:w="1012"/>
        <w:gridCol w:w="1946"/>
        <w:gridCol w:w="6005"/>
      </w:tblGrid>
      <w:tr w14:paraId="3321B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blHeader/>
          <w:jc w:val="center"/>
        </w:trPr>
        <w:tc>
          <w:tcPr>
            <w:tcW w:w="1012" w:type="dxa"/>
            <w:tcBorders>
              <w:tl2br w:val="nil"/>
              <w:tr2bl w:val="nil"/>
            </w:tcBorders>
            <w:vAlign w:val="center"/>
          </w:tcPr>
          <w:p w14:paraId="24342E56">
            <w:pPr>
              <w:snapToGrid w:val="0"/>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lang w:eastAsia="zh-CN"/>
              </w:rPr>
              <w:t>序号</w:t>
            </w:r>
          </w:p>
        </w:tc>
        <w:tc>
          <w:tcPr>
            <w:tcW w:w="1946" w:type="dxa"/>
            <w:tcBorders>
              <w:tl2br w:val="nil"/>
              <w:tr2bl w:val="nil"/>
            </w:tcBorders>
            <w:vAlign w:val="center"/>
          </w:tcPr>
          <w:p w14:paraId="22817EE2">
            <w:pPr>
              <w:snapToGrid w:val="0"/>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lang w:eastAsia="zh-CN"/>
              </w:rPr>
              <w:t>评审因素</w:t>
            </w:r>
          </w:p>
        </w:tc>
        <w:tc>
          <w:tcPr>
            <w:tcW w:w="6005" w:type="dxa"/>
            <w:tcBorders>
              <w:tl2br w:val="nil"/>
              <w:tr2bl w:val="nil"/>
            </w:tcBorders>
            <w:vAlign w:val="center"/>
          </w:tcPr>
          <w:p w14:paraId="2539EC00">
            <w:pPr>
              <w:snapToGrid w:val="0"/>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lang w:eastAsia="zh-CN"/>
              </w:rPr>
              <w:t>评审标准</w:t>
            </w:r>
          </w:p>
        </w:tc>
      </w:tr>
      <w:tr w14:paraId="78403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jc w:val="center"/>
        </w:trPr>
        <w:tc>
          <w:tcPr>
            <w:tcW w:w="1012" w:type="dxa"/>
            <w:tcBorders>
              <w:tl2br w:val="nil"/>
              <w:tr2bl w:val="nil"/>
            </w:tcBorders>
            <w:vAlign w:val="center"/>
          </w:tcPr>
          <w:p w14:paraId="464F91B8">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946" w:type="dxa"/>
            <w:tcBorders>
              <w:tl2br w:val="nil"/>
              <w:tr2bl w:val="nil"/>
            </w:tcBorders>
            <w:vAlign w:val="center"/>
          </w:tcPr>
          <w:p w14:paraId="21A37D64">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6005" w:type="dxa"/>
            <w:tcBorders>
              <w:tl2br w:val="nil"/>
              <w:tr2bl w:val="nil"/>
            </w:tcBorders>
            <w:vAlign w:val="center"/>
          </w:tcPr>
          <w:p w14:paraId="17EBC9BB">
            <w:pPr>
              <w:snapToGrid w:val="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与法人或者其他组织的营业执照等证明文件或自然人的身份证明一致</w:t>
            </w:r>
          </w:p>
        </w:tc>
      </w:tr>
      <w:tr w14:paraId="2E0A3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502" w:hRule="atLeast"/>
          <w:jc w:val="center"/>
        </w:trPr>
        <w:tc>
          <w:tcPr>
            <w:tcW w:w="1012" w:type="dxa"/>
            <w:tcBorders>
              <w:tl2br w:val="nil"/>
              <w:tr2bl w:val="nil"/>
            </w:tcBorders>
            <w:vAlign w:val="center"/>
          </w:tcPr>
          <w:p w14:paraId="3D697F74">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946" w:type="dxa"/>
            <w:tcBorders>
              <w:tl2br w:val="nil"/>
              <w:tr2bl w:val="nil"/>
            </w:tcBorders>
            <w:vAlign w:val="center"/>
          </w:tcPr>
          <w:p w14:paraId="5B0D54CD">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签字盖章</w:t>
            </w:r>
          </w:p>
        </w:tc>
        <w:tc>
          <w:tcPr>
            <w:tcW w:w="6005" w:type="dxa"/>
            <w:tcBorders>
              <w:tl2br w:val="nil"/>
              <w:tr2bl w:val="nil"/>
            </w:tcBorders>
            <w:vAlign w:val="center"/>
          </w:tcPr>
          <w:p w14:paraId="696E06AD">
            <w:pPr>
              <w:snapToGrid w:val="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符合招标文件</w:t>
            </w:r>
            <w:r>
              <w:rPr>
                <w:rFonts w:hint="eastAsia" w:ascii="宋体" w:hAnsi="宋体" w:eastAsia="宋体" w:cs="宋体"/>
                <w:color w:val="auto"/>
                <w:kern w:val="0"/>
                <w:szCs w:val="21"/>
                <w:highlight w:val="none"/>
                <w:lang w:val="en-US" w:eastAsia="zh-CN"/>
              </w:rPr>
              <w:t>第六章投标文件格式要求</w:t>
            </w:r>
          </w:p>
        </w:tc>
      </w:tr>
    </w:tbl>
    <w:p w14:paraId="15CAF781">
      <w:pPr>
        <w:pStyle w:val="42"/>
        <w:spacing w:before="120" w:beforeLines="50" w:line="360" w:lineRule="auto"/>
        <w:jc w:val="center"/>
        <w:outlineLvl w:val="0"/>
        <w:rPr>
          <w:rFonts w:hint="eastAsia" w:ascii="宋体" w:hAnsi="宋体" w:eastAsia="宋体" w:cs="宋体"/>
          <w:color w:val="auto"/>
          <w:sz w:val="28"/>
          <w:szCs w:val="28"/>
          <w:highlight w:val="none"/>
        </w:rPr>
      </w:pPr>
      <w:bookmarkStart w:id="173" w:name="_Toc59"/>
      <w:bookmarkStart w:id="174" w:name="_Toc10643"/>
      <w:bookmarkStart w:id="175" w:name="_Toc18934"/>
      <w:bookmarkStart w:id="176" w:name="_Toc4618"/>
      <w:bookmarkStart w:id="177" w:name="_Toc22810"/>
      <w:bookmarkStart w:id="178" w:name="_Toc2592"/>
      <w:bookmarkStart w:id="179" w:name="_Toc30280"/>
      <w:bookmarkStart w:id="180" w:name="_Toc24292"/>
      <w:r>
        <w:rPr>
          <w:rFonts w:hint="eastAsia" w:ascii="宋体" w:hAnsi="宋体" w:eastAsia="宋体" w:cs="宋体"/>
          <w:color w:val="auto"/>
          <w:sz w:val="28"/>
          <w:szCs w:val="28"/>
          <w:highlight w:val="none"/>
        </w:rPr>
        <w:t>（三）符合性评审表</w:t>
      </w:r>
      <w:bookmarkEnd w:id="173"/>
      <w:bookmarkEnd w:id="174"/>
      <w:bookmarkEnd w:id="175"/>
      <w:bookmarkEnd w:id="176"/>
      <w:bookmarkEnd w:id="177"/>
      <w:bookmarkEnd w:id="178"/>
      <w:bookmarkEnd w:id="179"/>
      <w:bookmarkEnd w:id="180"/>
    </w:p>
    <w:tbl>
      <w:tblPr>
        <w:tblStyle w:val="23"/>
        <w:tblW w:w="8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45" w:type="dxa"/>
          <w:left w:w="96" w:type="dxa"/>
          <w:bottom w:w="45" w:type="dxa"/>
          <w:right w:w="96" w:type="dxa"/>
        </w:tblCellMar>
      </w:tblPr>
      <w:tblGrid>
        <w:gridCol w:w="743"/>
        <w:gridCol w:w="2505"/>
        <w:gridCol w:w="5715"/>
      </w:tblGrid>
      <w:tr w14:paraId="422F5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tblHeader/>
          <w:jc w:val="center"/>
        </w:trPr>
        <w:tc>
          <w:tcPr>
            <w:tcW w:w="743" w:type="dxa"/>
            <w:tcBorders>
              <w:tl2br w:val="nil"/>
              <w:tr2bl w:val="nil"/>
            </w:tcBorders>
            <w:vAlign w:val="center"/>
          </w:tcPr>
          <w:p w14:paraId="67F99C5F">
            <w:pPr>
              <w:snapToGrid w:val="0"/>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lang w:eastAsia="zh-CN"/>
              </w:rPr>
              <w:t>序号</w:t>
            </w:r>
          </w:p>
        </w:tc>
        <w:tc>
          <w:tcPr>
            <w:tcW w:w="2505" w:type="dxa"/>
            <w:tcBorders>
              <w:tl2br w:val="nil"/>
              <w:tr2bl w:val="nil"/>
            </w:tcBorders>
            <w:vAlign w:val="center"/>
          </w:tcPr>
          <w:p w14:paraId="24038FFA">
            <w:pPr>
              <w:snapToGrid w:val="0"/>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lang w:eastAsia="zh-CN"/>
              </w:rPr>
              <w:t>评审因素</w:t>
            </w:r>
          </w:p>
        </w:tc>
        <w:tc>
          <w:tcPr>
            <w:tcW w:w="5715" w:type="dxa"/>
            <w:tcBorders>
              <w:tl2br w:val="nil"/>
              <w:tr2bl w:val="nil"/>
            </w:tcBorders>
            <w:vAlign w:val="center"/>
          </w:tcPr>
          <w:p w14:paraId="271E33E6">
            <w:pPr>
              <w:snapToGrid w:val="0"/>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lang w:eastAsia="zh-CN"/>
              </w:rPr>
              <w:t>评审标准</w:t>
            </w:r>
          </w:p>
        </w:tc>
      </w:tr>
      <w:tr w14:paraId="3493D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43" w:type="dxa"/>
            <w:tcBorders>
              <w:tl2br w:val="nil"/>
              <w:tr2bl w:val="nil"/>
            </w:tcBorders>
            <w:vAlign w:val="center"/>
          </w:tcPr>
          <w:p w14:paraId="19CB4308">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505" w:type="dxa"/>
            <w:tcBorders>
              <w:tl2br w:val="nil"/>
              <w:tr2bl w:val="nil"/>
            </w:tcBorders>
            <w:vAlign w:val="center"/>
          </w:tcPr>
          <w:p w14:paraId="48280332">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标书雷同性分析</w:t>
            </w:r>
          </w:p>
        </w:tc>
        <w:tc>
          <w:tcPr>
            <w:tcW w:w="5715" w:type="dxa"/>
            <w:tcBorders>
              <w:tl2br w:val="nil"/>
              <w:tr2bl w:val="nil"/>
            </w:tcBorders>
            <w:vAlign w:val="center"/>
          </w:tcPr>
          <w:p w14:paraId="3ABF26C6">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投标文件制作机器码不能一致</w:t>
            </w:r>
          </w:p>
        </w:tc>
      </w:tr>
      <w:tr w14:paraId="570BD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43" w:type="dxa"/>
            <w:tcBorders>
              <w:tl2br w:val="nil"/>
              <w:tr2bl w:val="nil"/>
            </w:tcBorders>
            <w:vAlign w:val="center"/>
          </w:tcPr>
          <w:p w14:paraId="636CF54E">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2505" w:type="dxa"/>
            <w:tcBorders>
              <w:tl2br w:val="nil"/>
              <w:tr2bl w:val="nil"/>
            </w:tcBorders>
            <w:vAlign w:val="center"/>
          </w:tcPr>
          <w:p w14:paraId="3AE36284">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投标范围</w:t>
            </w:r>
          </w:p>
        </w:tc>
        <w:tc>
          <w:tcPr>
            <w:tcW w:w="5715" w:type="dxa"/>
            <w:tcBorders>
              <w:tl2br w:val="nil"/>
              <w:tr2bl w:val="nil"/>
            </w:tcBorders>
            <w:vAlign w:val="center"/>
          </w:tcPr>
          <w:p w14:paraId="102B30B9">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符合第二章“</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须知前附表”第1.3.1项规定</w:t>
            </w:r>
          </w:p>
        </w:tc>
      </w:tr>
      <w:tr w14:paraId="4F0E5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43" w:type="dxa"/>
            <w:tcBorders>
              <w:tl2br w:val="nil"/>
              <w:tr2bl w:val="nil"/>
            </w:tcBorders>
            <w:vAlign w:val="center"/>
          </w:tcPr>
          <w:p w14:paraId="2349CF07">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2505" w:type="dxa"/>
            <w:tcBorders>
              <w:tl2br w:val="nil"/>
              <w:tr2bl w:val="nil"/>
            </w:tcBorders>
            <w:vAlign w:val="center"/>
          </w:tcPr>
          <w:p w14:paraId="4AC05A48">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供提货要求</w:t>
            </w:r>
          </w:p>
        </w:tc>
        <w:tc>
          <w:tcPr>
            <w:tcW w:w="5715" w:type="dxa"/>
            <w:tcBorders>
              <w:tl2br w:val="nil"/>
              <w:tr2bl w:val="nil"/>
            </w:tcBorders>
            <w:vAlign w:val="center"/>
          </w:tcPr>
          <w:p w14:paraId="24D58CCB">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符合第二章“</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须知前附表”第1.3.2项规定</w:t>
            </w:r>
          </w:p>
        </w:tc>
      </w:tr>
      <w:tr w14:paraId="6493C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43" w:type="dxa"/>
            <w:tcBorders>
              <w:tl2br w:val="nil"/>
              <w:tr2bl w:val="nil"/>
            </w:tcBorders>
            <w:vAlign w:val="center"/>
          </w:tcPr>
          <w:p w14:paraId="3455E476">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2505" w:type="dxa"/>
            <w:tcBorders>
              <w:tl2br w:val="nil"/>
              <w:tr2bl w:val="nil"/>
            </w:tcBorders>
            <w:vAlign w:val="center"/>
          </w:tcPr>
          <w:p w14:paraId="790395E9">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服务期限</w:t>
            </w:r>
          </w:p>
        </w:tc>
        <w:tc>
          <w:tcPr>
            <w:tcW w:w="5715" w:type="dxa"/>
            <w:tcBorders>
              <w:tl2br w:val="nil"/>
              <w:tr2bl w:val="nil"/>
            </w:tcBorders>
            <w:vAlign w:val="center"/>
          </w:tcPr>
          <w:p w14:paraId="35356DFE">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须知前附表”第1.3.3项规定</w:t>
            </w:r>
          </w:p>
        </w:tc>
      </w:tr>
      <w:tr w14:paraId="751EB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43" w:type="dxa"/>
            <w:tcBorders>
              <w:tl2br w:val="nil"/>
              <w:tr2bl w:val="nil"/>
            </w:tcBorders>
            <w:vAlign w:val="center"/>
          </w:tcPr>
          <w:p w14:paraId="6513EBB6">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2505" w:type="dxa"/>
            <w:tcBorders>
              <w:tl2br w:val="nil"/>
              <w:tr2bl w:val="nil"/>
            </w:tcBorders>
            <w:vAlign w:val="center"/>
          </w:tcPr>
          <w:p w14:paraId="67E4FFA6">
            <w:pPr>
              <w:snapToGri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交货地点</w:t>
            </w:r>
          </w:p>
        </w:tc>
        <w:tc>
          <w:tcPr>
            <w:tcW w:w="5715" w:type="dxa"/>
            <w:tcBorders>
              <w:tl2br w:val="nil"/>
              <w:tr2bl w:val="nil"/>
            </w:tcBorders>
            <w:vAlign w:val="center"/>
          </w:tcPr>
          <w:p w14:paraId="679037BC">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须知前附表”第1.3.4项规定</w:t>
            </w:r>
          </w:p>
        </w:tc>
      </w:tr>
      <w:tr w14:paraId="2BD54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43" w:type="dxa"/>
            <w:tcBorders>
              <w:tl2br w:val="nil"/>
              <w:tr2bl w:val="nil"/>
            </w:tcBorders>
            <w:vAlign w:val="center"/>
          </w:tcPr>
          <w:p w14:paraId="3FF9BED2">
            <w:pPr>
              <w:snapToGrid w:val="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6</w:t>
            </w:r>
          </w:p>
        </w:tc>
        <w:tc>
          <w:tcPr>
            <w:tcW w:w="2505" w:type="dxa"/>
            <w:tcBorders>
              <w:tl2br w:val="nil"/>
              <w:tr2bl w:val="nil"/>
            </w:tcBorders>
            <w:vAlign w:val="center"/>
          </w:tcPr>
          <w:p w14:paraId="7062198E">
            <w:pPr>
              <w:snapToGri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质量标准</w:t>
            </w:r>
          </w:p>
        </w:tc>
        <w:tc>
          <w:tcPr>
            <w:tcW w:w="5715" w:type="dxa"/>
            <w:tcBorders>
              <w:tl2br w:val="nil"/>
              <w:tr2bl w:val="nil"/>
            </w:tcBorders>
            <w:vAlign w:val="center"/>
          </w:tcPr>
          <w:p w14:paraId="6CF3BECE">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须知前附表”第1.3.5项规定</w:t>
            </w:r>
          </w:p>
        </w:tc>
      </w:tr>
      <w:tr w14:paraId="34E39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43" w:type="dxa"/>
            <w:tcBorders>
              <w:tl2br w:val="nil"/>
              <w:tr2bl w:val="nil"/>
            </w:tcBorders>
            <w:vAlign w:val="center"/>
          </w:tcPr>
          <w:p w14:paraId="7AB39477">
            <w:pPr>
              <w:snapToGrid w:val="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7</w:t>
            </w:r>
          </w:p>
        </w:tc>
        <w:tc>
          <w:tcPr>
            <w:tcW w:w="2505" w:type="dxa"/>
            <w:tcBorders>
              <w:tl2br w:val="nil"/>
              <w:tr2bl w:val="nil"/>
            </w:tcBorders>
            <w:vAlign w:val="center"/>
          </w:tcPr>
          <w:p w14:paraId="3CDFE79A">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投标有效期</w:t>
            </w:r>
          </w:p>
        </w:tc>
        <w:tc>
          <w:tcPr>
            <w:tcW w:w="5715" w:type="dxa"/>
            <w:tcBorders>
              <w:tl2br w:val="nil"/>
              <w:tr2bl w:val="nil"/>
            </w:tcBorders>
            <w:vAlign w:val="center"/>
          </w:tcPr>
          <w:p w14:paraId="5B50C6F5">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符合第二章“</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须知前附表”第3.3.1项规定</w:t>
            </w:r>
          </w:p>
        </w:tc>
      </w:tr>
      <w:tr w14:paraId="1CC61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43" w:type="dxa"/>
            <w:tcBorders>
              <w:tl2br w:val="nil"/>
              <w:tr2bl w:val="nil"/>
            </w:tcBorders>
            <w:vAlign w:val="center"/>
          </w:tcPr>
          <w:p w14:paraId="0ABEF292">
            <w:pPr>
              <w:snapToGrid w:val="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8</w:t>
            </w:r>
          </w:p>
        </w:tc>
        <w:tc>
          <w:tcPr>
            <w:tcW w:w="2505" w:type="dxa"/>
            <w:tcBorders>
              <w:tl2br w:val="nil"/>
              <w:tr2bl w:val="nil"/>
            </w:tcBorders>
            <w:vAlign w:val="center"/>
          </w:tcPr>
          <w:p w14:paraId="63841B36">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合同履行期限</w:t>
            </w:r>
          </w:p>
        </w:tc>
        <w:tc>
          <w:tcPr>
            <w:tcW w:w="5715" w:type="dxa"/>
            <w:tcBorders>
              <w:tl2br w:val="nil"/>
              <w:tr2bl w:val="nil"/>
            </w:tcBorders>
            <w:vAlign w:val="center"/>
          </w:tcPr>
          <w:p w14:paraId="60516E73">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符合招标文件要求</w:t>
            </w:r>
          </w:p>
        </w:tc>
      </w:tr>
      <w:tr w14:paraId="57584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43" w:type="dxa"/>
            <w:tcBorders>
              <w:tl2br w:val="nil"/>
              <w:tr2bl w:val="nil"/>
            </w:tcBorders>
            <w:vAlign w:val="center"/>
          </w:tcPr>
          <w:p w14:paraId="3FF93FFD">
            <w:pPr>
              <w:snapToGrid w:val="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9</w:t>
            </w:r>
          </w:p>
        </w:tc>
        <w:tc>
          <w:tcPr>
            <w:tcW w:w="2505" w:type="dxa"/>
            <w:tcBorders>
              <w:tl2br w:val="nil"/>
              <w:tr2bl w:val="nil"/>
            </w:tcBorders>
            <w:vAlign w:val="center"/>
          </w:tcPr>
          <w:p w14:paraId="6B9F155F">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w:t>
            </w:r>
          </w:p>
        </w:tc>
        <w:tc>
          <w:tcPr>
            <w:tcW w:w="5715" w:type="dxa"/>
            <w:tcBorders>
              <w:tl2br w:val="nil"/>
              <w:tr2bl w:val="nil"/>
            </w:tcBorders>
            <w:vAlign w:val="center"/>
          </w:tcPr>
          <w:p w14:paraId="2129903C">
            <w:pPr>
              <w:snapToGrid w:val="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符合招标文件投标报价要求且只有一个有效报价</w:t>
            </w:r>
          </w:p>
        </w:tc>
      </w:tr>
      <w:tr w14:paraId="102A2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43" w:type="dxa"/>
            <w:tcBorders>
              <w:tl2br w:val="nil"/>
              <w:tr2bl w:val="nil"/>
            </w:tcBorders>
            <w:vAlign w:val="center"/>
          </w:tcPr>
          <w:p w14:paraId="5BA8EC08">
            <w:pPr>
              <w:snapToGrid w:val="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0</w:t>
            </w:r>
          </w:p>
        </w:tc>
        <w:tc>
          <w:tcPr>
            <w:tcW w:w="2505" w:type="dxa"/>
            <w:tcBorders>
              <w:tl2br w:val="nil"/>
              <w:tr2bl w:val="nil"/>
            </w:tcBorders>
            <w:vAlign w:val="center"/>
          </w:tcPr>
          <w:p w14:paraId="4F944526">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投标保证金</w:t>
            </w:r>
          </w:p>
        </w:tc>
        <w:tc>
          <w:tcPr>
            <w:tcW w:w="5715" w:type="dxa"/>
            <w:tcBorders>
              <w:tl2br w:val="nil"/>
              <w:tr2bl w:val="nil"/>
            </w:tcBorders>
            <w:vAlign w:val="center"/>
          </w:tcPr>
          <w:p w14:paraId="519DE1C6">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符合第二章“</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须知前附表”第3.4.1项规定</w:t>
            </w:r>
          </w:p>
        </w:tc>
      </w:tr>
      <w:tr w14:paraId="74F5A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jc w:val="center"/>
        </w:trPr>
        <w:tc>
          <w:tcPr>
            <w:tcW w:w="743" w:type="dxa"/>
            <w:tcBorders>
              <w:tl2br w:val="nil"/>
              <w:tr2bl w:val="nil"/>
            </w:tcBorders>
            <w:vAlign w:val="center"/>
          </w:tcPr>
          <w:p w14:paraId="48079EB4">
            <w:pPr>
              <w:snapToGrid w:val="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1</w:t>
            </w:r>
          </w:p>
        </w:tc>
        <w:tc>
          <w:tcPr>
            <w:tcW w:w="2505" w:type="dxa"/>
            <w:tcBorders>
              <w:tl2br w:val="nil"/>
              <w:tr2bl w:val="nil"/>
            </w:tcBorders>
            <w:vAlign w:val="center"/>
          </w:tcPr>
          <w:p w14:paraId="5A77DCD8">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不能接受的其他条件</w:t>
            </w:r>
          </w:p>
        </w:tc>
        <w:tc>
          <w:tcPr>
            <w:tcW w:w="5715" w:type="dxa"/>
            <w:tcBorders>
              <w:tl2br w:val="nil"/>
              <w:tr2bl w:val="nil"/>
            </w:tcBorders>
            <w:vAlign w:val="center"/>
          </w:tcPr>
          <w:p w14:paraId="00CF595D">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投标文件未含有采购人不能接受的其他条件的</w:t>
            </w:r>
          </w:p>
        </w:tc>
      </w:tr>
    </w:tbl>
    <w:p w14:paraId="71F6C8A4">
      <w:pPr>
        <w:pStyle w:val="42"/>
        <w:numPr>
          <w:ilvl w:val="0"/>
          <w:numId w:val="2"/>
        </w:numPr>
        <w:spacing w:before="120" w:beforeLines="50" w:line="360" w:lineRule="auto"/>
        <w:jc w:val="center"/>
        <w:outlineLvl w:val="0"/>
        <w:rPr>
          <w:rFonts w:hint="eastAsia" w:ascii="宋体" w:hAnsi="宋体" w:eastAsia="宋体" w:cs="宋体"/>
          <w:color w:val="auto"/>
          <w:sz w:val="28"/>
          <w:szCs w:val="28"/>
          <w:highlight w:val="none"/>
          <w:lang w:eastAsia="zh-CN"/>
        </w:rPr>
      </w:pPr>
      <w:bookmarkStart w:id="181" w:name="_Toc22550"/>
      <w:bookmarkStart w:id="182" w:name="_Toc27089"/>
      <w:bookmarkStart w:id="183" w:name="_Toc5956"/>
      <w:bookmarkStart w:id="184" w:name="_Toc16135"/>
      <w:r>
        <w:rPr>
          <w:rFonts w:hint="eastAsia" w:ascii="宋体" w:hAnsi="宋体" w:eastAsia="宋体" w:cs="宋体"/>
          <w:color w:val="auto"/>
          <w:sz w:val="28"/>
          <w:szCs w:val="28"/>
          <w:highlight w:val="none"/>
          <w:lang w:eastAsia="zh-CN"/>
        </w:rPr>
        <w:t>综合评分办法细则</w:t>
      </w:r>
      <w:bookmarkEnd w:id="181"/>
      <w:bookmarkEnd w:id="182"/>
      <w:bookmarkEnd w:id="183"/>
      <w:bookmarkEnd w:id="184"/>
    </w:p>
    <w:tbl>
      <w:tblPr>
        <w:tblStyle w:val="24"/>
        <w:tblW w:w="8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732"/>
        <w:gridCol w:w="1762"/>
        <w:gridCol w:w="1427"/>
        <w:gridCol w:w="5042"/>
      </w:tblGrid>
      <w:tr w14:paraId="550B9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732" w:type="dxa"/>
            <w:noWrap w:val="0"/>
            <w:vAlign w:val="center"/>
          </w:tcPr>
          <w:p w14:paraId="24DD5BA9">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ind w:left="0" w:leftChars="0" w:firstLine="0" w:firstLineChars="0"/>
              <w:jc w:val="center"/>
              <w:textAlignment w:val="auto"/>
              <w:outlineLvl w:val="9"/>
              <w:rPr>
                <w:rFonts w:hint="eastAsia" w:ascii="宋体" w:hAnsi="宋体" w:eastAsia="宋体" w:cs="宋体"/>
                <w:b/>
                <w:color w:val="auto"/>
                <w:sz w:val="21"/>
                <w:szCs w:val="21"/>
                <w:highlight w:val="none"/>
                <w:vertAlign w:val="baseline"/>
                <w:lang w:eastAsia="zh-CN"/>
              </w:rPr>
            </w:pPr>
            <w:bookmarkStart w:id="185" w:name="_Toc3931"/>
            <w:bookmarkStart w:id="186" w:name="_Toc14333"/>
            <w:bookmarkStart w:id="187" w:name="_Toc2650"/>
            <w:bookmarkStart w:id="188" w:name="_Toc3888"/>
            <w:bookmarkStart w:id="189" w:name="_Toc2851"/>
            <w:r>
              <w:rPr>
                <w:rFonts w:hint="eastAsia" w:hAnsi="宋体" w:cs="宋体"/>
                <w:b/>
                <w:color w:val="auto"/>
                <w:sz w:val="21"/>
                <w:szCs w:val="21"/>
                <w:highlight w:val="none"/>
                <w:vertAlign w:val="baseline"/>
                <w:lang w:eastAsia="zh-CN"/>
              </w:rPr>
              <w:t>序号</w:t>
            </w:r>
            <w:bookmarkEnd w:id="185"/>
            <w:bookmarkEnd w:id="186"/>
          </w:p>
        </w:tc>
        <w:tc>
          <w:tcPr>
            <w:tcW w:w="1427" w:type="dxa"/>
            <w:gridSpan w:val="2"/>
            <w:noWrap w:val="0"/>
            <w:vAlign w:val="center"/>
          </w:tcPr>
          <w:p w14:paraId="59922821">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ind w:left="0" w:leftChars="0" w:firstLine="0" w:firstLineChars="0"/>
              <w:jc w:val="center"/>
              <w:textAlignment w:val="auto"/>
              <w:outlineLvl w:val="9"/>
              <w:rPr>
                <w:rFonts w:hint="eastAsia" w:ascii="宋体" w:hAnsi="宋体" w:eastAsia="宋体" w:cs="宋体"/>
                <w:b/>
                <w:color w:val="auto"/>
                <w:sz w:val="21"/>
                <w:szCs w:val="21"/>
                <w:highlight w:val="none"/>
                <w:vertAlign w:val="baseline"/>
                <w:lang w:eastAsia="zh-CN"/>
              </w:rPr>
            </w:pPr>
            <w:bookmarkStart w:id="190" w:name="_Toc9701"/>
            <w:bookmarkStart w:id="191" w:name="_Toc19413"/>
            <w:r>
              <w:rPr>
                <w:rFonts w:hint="eastAsia" w:hAnsi="宋体" w:cs="宋体"/>
                <w:b/>
                <w:color w:val="auto"/>
                <w:sz w:val="21"/>
                <w:szCs w:val="21"/>
                <w:highlight w:val="none"/>
                <w:vertAlign w:val="baseline"/>
                <w:lang w:eastAsia="zh-CN"/>
              </w:rPr>
              <w:t>评审因素</w:t>
            </w:r>
            <w:bookmarkEnd w:id="190"/>
            <w:bookmarkEnd w:id="191"/>
          </w:p>
        </w:tc>
        <w:tc>
          <w:tcPr>
            <w:tcW w:w="5042" w:type="dxa"/>
            <w:noWrap w:val="0"/>
            <w:vAlign w:val="center"/>
          </w:tcPr>
          <w:p w14:paraId="62D10EEA">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ind w:left="0" w:leftChars="0" w:firstLine="0" w:firstLineChars="0"/>
              <w:jc w:val="center"/>
              <w:textAlignment w:val="auto"/>
              <w:outlineLvl w:val="9"/>
              <w:rPr>
                <w:rFonts w:hint="eastAsia" w:ascii="宋体" w:hAnsi="宋体" w:eastAsia="宋体" w:cs="宋体"/>
                <w:b/>
                <w:color w:val="auto"/>
                <w:sz w:val="21"/>
                <w:szCs w:val="21"/>
                <w:highlight w:val="none"/>
                <w:vertAlign w:val="baseline"/>
                <w:lang w:eastAsia="zh-CN"/>
              </w:rPr>
            </w:pPr>
            <w:bookmarkStart w:id="192" w:name="_Toc27430"/>
            <w:bookmarkStart w:id="193" w:name="_Toc32394"/>
            <w:r>
              <w:rPr>
                <w:rFonts w:hint="eastAsia" w:hAnsi="宋体" w:cs="宋体"/>
                <w:b/>
                <w:color w:val="auto"/>
                <w:sz w:val="21"/>
                <w:szCs w:val="21"/>
                <w:highlight w:val="none"/>
                <w:vertAlign w:val="baseline"/>
                <w:lang w:eastAsia="zh-CN"/>
              </w:rPr>
              <w:t>评审细则</w:t>
            </w:r>
            <w:bookmarkEnd w:id="192"/>
            <w:bookmarkEnd w:id="193"/>
          </w:p>
        </w:tc>
      </w:tr>
      <w:tr w14:paraId="5971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732" w:type="dxa"/>
            <w:noWrap w:val="0"/>
            <w:vAlign w:val="center"/>
          </w:tcPr>
          <w:p w14:paraId="4433B924">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ind w:left="0" w:lef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bookmarkStart w:id="194" w:name="_Toc5564"/>
            <w:bookmarkStart w:id="195" w:name="_Toc15063"/>
            <w:r>
              <w:rPr>
                <w:rFonts w:hint="eastAsia" w:ascii="宋体" w:hAnsi="宋体" w:eastAsia="宋体" w:cs="宋体"/>
                <w:color w:val="auto"/>
                <w:sz w:val="21"/>
                <w:szCs w:val="21"/>
                <w:highlight w:val="none"/>
                <w:vertAlign w:val="baseline"/>
                <w:lang w:val="en-US" w:eastAsia="zh-CN"/>
              </w:rPr>
              <w:t>1</w:t>
            </w:r>
            <w:bookmarkEnd w:id="194"/>
            <w:bookmarkEnd w:id="195"/>
          </w:p>
        </w:tc>
        <w:tc>
          <w:tcPr>
            <w:tcW w:w="1427" w:type="dxa"/>
            <w:gridSpan w:val="2"/>
            <w:noWrap w:val="0"/>
            <w:vAlign w:val="center"/>
          </w:tcPr>
          <w:p w14:paraId="595226A5">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ind w:left="0" w:leftChars="0" w:firstLine="0" w:firstLineChars="0"/>
              <w:jc w:val="center"/>
              <w:textAlignment w:val="auto"/>
              <w:outlineLvl w:val="9"/>
              <w:rPr>
                <w:rFonts w:hint="eastAsia" w:ascii="宋体" w:hAnsi="宋体" w:eastAsia="宋体" w:cs="宋体"/>
                <w:color w:val="auto"/>
                <w:sz w:val="21"/>
                <w:szCs w:val="21"/>
                <w:highlight w:val="none"/>
                <w:vertAlign w:val="baseline"/>
              </w:rPr>
            </w:pPr>
            <w:bookmarkStart w:id="196" w:name="_Toc19186"/>
            <w:bookmarkStart w:id="197" w:name="_Toc18507"/>
            <w:r>
              <w:rPr>
                <w:rFonts w:hint="eastAsia" w:ascii="宋体" w:hAnsi="宋体" w:eastAsia="宋体" w:cs="宋体"/>
                <w:color w:val="auto"/>
                <w:kern w:val="0"/>
                <w:sz w:val="21"/>
                <w:szCs w:val="21"/>
                <w:highlight w:val="none"/>
              </w:rPr>
              <w:t>投标报价：</w:t>
            </w:r>
            <w:bookmarkEnd w:id="196"/>
            <w:bookmarkEnd w:id="197"/>
            <w:bookmarkStart w:id="198" w:name="_Toc24673"/>
            <w:bookmarkStart w:id="199" w:name="_Toc23046"/>
            <w:r>
              <w:rPr>
                <w:rFonts w:hint="eastAsia" w:ascii="宋体" w:hAnsi="宋体" w:eastAsia="宋体" w:cs="宋体"/>
                <w:color w:val="auto"/>
                <w:kern w:val="0"/>
                <w:sz w:val="21"/>
                <w:szCs w:val="21"/>
                <w:highlight w:val="none"/>
              </w:rPr>
              <w:t>30分</w:t>
            </w:r>
            <w:bookmarkEnd w:id="198"/>
            <w:bookmarkEnd w:id="199"/>
          </w:p>
        </w:tc>
        <w:tc>
          <w:tcPr>
            <w:tcW w:w="5042" w:type="dxa"/>
            <w:noWrap w:val="0"/>
            <w:vAlign w:val="center"/>
          </w:tcPr>
          <w:p w14:paraId="0020A2B4">
            <w:pPr>
              <w:pStyle w:val="22"/>
              <w:snapToGrid w:val="0"/>
              <w:spacing w:line="360" w:lineRule="auto"/>
              <w:ind w:left="0" w:leftChars="0"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投标报价得分＝（评标基准价/投标报价）×价格分值（注：满足招标文件要求且投标价格最低的投标报价为评标基准价。）最低报价不是中标的唯一依据。</w:t>
            </w:r>
          </w:p>
          <w:p w14:paraId="2D23116C">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ind w:left="0" w:leftChars="0" w:firstLine="0" w:firstLineChars="0"/>
              <w:jc w:val="center"/>
              <w:textAlignment w:val="auto"/>
              <w:outlineLvl w:val="9"/>
              <w:rPr>
                <w:rFonts w:hint="eastAsia" w:ascii="宋体" w:hAnsi="宋体" w:eastAsia="宋体" w:cs="宋体"/>
                <w:color w:val="auto"/>
                <w:sz w:val="21"/>
                <w:szCs w:val="21"/>
                <w:highlight w:val="none"/>
                <w:vertAlign w:val="baseline"/>
              </w:rPr>
            </w:pPr>
            <w:bookmarkStart w:id="200" w:name="_Toc20628"/>
            <w:bookmarkStart w:id="201" w:name="_Toc10111"/>
            <w:r>
              <w:rPr>
                <w:rFonts w:hint="eastAsia" w:ascii="宋体" w:hAnsi="宋体" w:eastAsia="宋体" w:cs="宋体"/>
                <w:color w:val="auto"/>
                <w:kern w:val="0"/>
                <w:sz w:val="21"/>
                <w:szCs w:val="21"/>
                <w:highlight w:val="none"/>
              </w:rPr>
              <w:t>【注：满足招标文件要求且报价最低的为评标基准价，价格分为满分。如：投标报价20%为最低报价，则评标基准价为20%】。因落实政府采购政策进行价格调整的，以调整后的价格计算评标基准价和投标报价。</w:t>
            </w:r>
            <w:bookmarkEnd w:id="200"/>
            <w:bookmarkEnd w:id="201"/>
          </w:p>
        </w:tc>
      </w:tr>
      <w:tr w14:paraId="1F9E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732" w:type="dxa"/>
            <w:vMerge w:val="restart"/>
            <w:noWrap w:val="0"/>
            <w:vAlign w:val="center"/>
          </w:tcPr>
          <w:p w14:paraId="5FF2574D">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p>
          <w:p w14:paraId="519E1422">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p>
          <w:p w14:paraId="40AEF760">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p>
          <w:p w14:paraId="03E4A175">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p>
          <w:p w14:paraId="57B12512">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p>
          <w:p w14:paraId="4F1411B8">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p>
          <w:p w14:paraId="6D3C6D45">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p>
          <w:p w14:paraId="1776D809">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p>
          <w:p w14:paraId="1510C211">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p>
          <w:p w14:paraId="678C1C43">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p>
          <w:p w14:paraId="57440FB6">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jc w:val="center"/>
              <w:textAlignment w:val="auto"/>
              <w:outlineLvl w:val="9"/>
              <w:rPr>
                <w:rFonts w:hint="eastAsia" w:ascii="宋体" w:hAnsi="宋体" w:eastAsia="宋体" w:cs="宋体"/>
                <w:color w:val="auto"/>
                <w:sz w:val="21"/>
                <w:szCs w:val="21"/>
                <w:highlight w:val="none"/>
                <w:vertAlign w:val="baseline"/>
                <w:lang w:val="en-US" w:eastAsia="zh-CN"/>
              </w:rPr>
            </w:pPr>
          </w:p>
          <w:p w14:paraId="3AEC7455">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ind w:left="0" w:lef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bookmarkStart w:id="202" w:name="_Toc16236"/>
            <w:bookmarkStart w:id="203" w:name="_Toc25670"/>
            <w:r>
              <w:rPr>
                <w:rFonts w:hint="eastAsia" w:ascii="宋体" w:hAnsi="宋体" w:eastAsia="宋体" w:cs="宋体"/>
                <w:color w:val="auto"/>
                <w:sz w:val="21"/>
                <w:szCs w:val="21"/>
                <w:highlight w:val="none"/>
                <w:vertAlign w:val="baseline"/>
                <w:lang w:val="en-US" w:eastAsia="zh-CN"/>
              </w:rPr>
              <w:t>2</w:t>
            </w:r>
            <w:bookmarkEnd w:id="202"/>
            <w:bookmarkEnd w:id="203"/>
          </w:p>
        </w:tc>
        <w:tc>
          <w:tcPr>
            <w:tcW w:w="1762" w:type="dxa"/>
            <w:vMerge w:val="restart"/>
            <w:noWrap w:val="0"/>
            <w:vAlign w:val="center"/>
          </w:tcPr>
          <w:p w14:paraId="4080995D">
            <w:pPr>
              <w:tabs>
                <w:tab w:val="left" w:pos="0"/>
                <w:tab w:val="left" w:pos="360"/>
              </w:tabs>
              <w:snapToGrid w:val="0"/>
              <w:spacing w:line="360" w:lineRule="auto"/>
              <w:jc w:val="left"/>
              <w:rPr>
                <w:rFonts w:hint="eastAsia" w:ascii="宋体" w:hAnsi="宋体" w:eastAsia="宋体" w:cs="宋体"/>
                <w:color w:val="auto"/>
                <w:sz w:val="21"/>
                <w:szCs w:val="21"/>
                <w:highlight w:val="none"/>
              </w:rPr>
            </w:pPr>
          </w:p>
          <w:p w14:paraId="6E1CB65E">
            <w:pPr>
              <w:tabs>
                <w:tab w:val="left" w:pos="0"/>
                <w:tab w:val="left" w:pos="360"/>
              </w:tabs>
              <w:snapToGrid w:val="0"/>
              <w:spacing w:line="360" w:lineRule="auto"/>
              <w:jc w:val="left"/>
              <w:rPr>
                <w:rFonts w:hint="eastAsia" w:ascii="宋体" w:hAnsi="宋体" w:eastAsia="宋体" w:cs="宋体"/>
                <w:color w:val="auto"/>
                <w:sz w:val="21"/>
                <w:szCs w:val="21"/>
                <w:highlight w:val="none"/>
              </w:rPr>
            </w:pPr>
          </w:p>
          <w:p w14:paraId="0AA8ED80">
            <w:pPr>
              <w:tabs>
                <w:tab w:val="left" w:pos="0"/>
                <w:tab w:val="left" w:pos="360"/>
              </w:tabs>
              <w:snapToGrid w:val="0"/>
              <w:spacing w:line="360" w:lineRule="auto"/>
              <w:jc w:val="left"/>
              <w:rPr>
                <w:rFonts w:hint="eastAsia" w:ascii="宋体" w:hAnsi="宋体" w:eastAsia="宋体" w:cs="宋体"/>
                <w:color w:val="auto"/>
                <w:sz w:val="21"/>
                <w:szCs w:val="21"/>
                <w:highlight w:val="none"/>
              </w:rPr>
            </w:pPr>
          </w:p>
          <w:p w14:paraId="1863DDAF">
            <w:pPr>
              <w:tabs>
                <w:tab w:val="left" w:pos="0"/>
                <w:tab w:val="left" w:pos="360"/>
              </w:tabs>
              <w:snapToGrid w:val="0"/>
              <w:spacing w:line="360" w:lineRule="auto"/>
              <w:jc w:val="left"/>
              <w:rPr>
                <w:rFonts w:hint="eastAsia" w:ascii="宋体" w:hAnsi="宋体" w:eastAsia="宋体" w:cs="宋体"/>
                <w:color w:val="auto"/>
                <w:sz w:val="21"/>
                <w:szCs w:val="21"/>
                <w:highlight w:val="none"/>
              </w:rPr>
            </w:pPr>
          </w:p>
          <w:p w14:paraId="49B7C49A">
            <w:pPr>
              <w:tabs>
                <w:tab w:val="left" w:pos="0"/>
                <w:tab w:val="left" w:pos="360"/>
              </w:tabs>
              <w:snapToGrid w:val="0"/>
              <w:spacing w:line="360" w:lineRule="auto"/>
              <w:jc w:val="left"/>
              <w:rPr>
                <w:rFonts w:hint="eastAsia" w:ascii="宋体" w:hAnsi="宋体" w:eastAsia="宋体" w:cs="宋体"/>
                <w:color w:val="auto"/>
                <w:sz w:val="21"/>
                <w:szCs w:val="21"/>
                <w:highlight w:val="none"/>
              </w:rPr>
            </w:pPr>
          </w:p>
          <w:p w14:paraId="5CA9FC22">
            <w:pPr>
              <w:tabs>
                <w:tab w:val="left" w:pos="0"/>
                <w:tab w:val="left" w:pos="360"/>
              </w:tabs>
              <w:snapToGrid w:val="0"/>
              <w:spacing w:line="360" w:lineRule="auto"/>
              <w:jc w:val="left"/>
              <w:rPr>
                <w:rFonts w:hint="eastAsia" w:ascii="宋体" w:hAnsi="宋体" w:eastAsia="宋体" w:cs="宋体"/>
                <w:color w:val="auto"/>
                <w:sz w:val="21"/>
                <w:szCs w:val="21"/>
                <w:highlight w:val="none"/>
              </w:rPr>
            </w:pPr>
          </w:p>
          <w:p w14:paraId="7AD05D45">
            <w:pPr>
              <w:tabs>
                <w:tab w:val="left" w:pos="0"/>
                <w:tab w:val="left" w:pos="360"/>
              </w:tabs>
              <w:snapToGrid w:val="0"/>
              <w:spacing w:line="360" w:lineRule="auto"/>
              <w:jc w:val="left"/>
              <w:rPr>
                <w:rFonts w:hint="eastAsia" w:ascii="宋体" w:hAnsi="宋体" w:eastAsia="宋体" w:cs="宋体"/>
                <w:color w:val="auto"/>
                <w:sz w:val="21"/>
                <w:szCs w:val="21"/>
                <w:highlight w:val="none"/>
              </w:rPr>
            </w:pPr>
          </w:p>
          <w:p w14:paraId="0218CF3F">
            <w:pPr>
              <w:tabs>
                <w:tab w:val="left" w:pos="0"/>
                <w:tab w:val="left" w:pos="360"/>
              </w:tabs>
              <w:snapToGrid w:val="0"/>
              <w:spacing w:line="360" w:lineRule="auto"/>
              <w:jc w:val="left"/>
              <w:rPr>
                <w:rFonts w:hint="eastAsia" w:ascii="宋体" w:hAnsi="宋体" w:eastAsia="宋体" w:cs="宋体"/>
                <w:color w:val="auto"/>
                <w:sz w:val="21"/>
                <w:szCs w:val="21"/>
                <w:highlight w:val="none"/>
              </w:rPr>
            </w:pPr>
          </w:p>
          <w:p w14:paraId="731DD428">
            <w:pPr>
              <w:tabs>
                <w:tab w:val="left" w:pos="0"/>
                <w:tab w:val="left" w:pos="360"/>
              </w:tabs>
              <w:snapToGrid w:val="0"/>
              <w:spacing w:line="360" w:lineRule="auto"/>
              <w:jc w:val="left"/>
              <w:rPr>
                <w:rFonts w:hint="eastAsia" w:ascii="宋体" w:hAnsi="宋体" w:eastAsia="宋体" w:cs="宋体"/>
                <w:color w:val="auto"/>
                <w:sz w:val="21"/>
                <w:szCs w:val="21"/>
                <w:highlight w:val="none"/>
              </w:rPr>
            </w:pPr>
          </w:p>
          <w:p w14:paraId="47781355">
            <w:pPr>
              <w:tabs>
                <w:tab w:val="left" w:pos="0"/>
                <w:tab w:val="left" w:pos="360"/>
              </w:tabs>
              <w:snapToGrid w:val="0"/>
              <w:spacing w:line="360" w:lineRule="auto"/>
              <w:jc w:val="left"/>
              <w:rPr>
                <w:rFonts w:hint="eastAsia" w:ascii="宋体" w:hAnsi="宋体" w:eastAsia="宋体" w:cs="宋体"/>
                <w:color w:val="auto"/>
                <w:sz w:val="21"/>
                <w:szCs w:val="21"/>
                <w:highlight w:val="none"/>
              </w:rPr>
            </w:pPr>
          </w:p>
          <w:p w14:paraId="289E2158">
            <w:pPr>
              <w:tabs>
                <w:tab w:val="left" w:pos="0"/>
                <w:tab w:val="left" w:pos="360"/>
              </w:tabs>
              <w:snapToGrid w:val="0"/>
              <w:spacing w:line="360" w:lineRule="auto"/>
              <w:jc w:val="left"/>
              <w:rPr>
                <w:rFonts w:hint="eastAsia" w:ascii="宋体" w:hAnsi="宋体" w:eastAsia="宋体" w:cs="宋体"/>
                <w:color w:val="auto"/>
                <w:sz w:val="21"/>
                <w:szCs w:val="21"/>
                <w:highlight w:val="none"/>
              </w:rPr>
            </w:pPr>
          </w:p>
          <w:p w14:paraId="1EC1F8CD">
            <w:pPr>
              <w:tabs>
                <w:tab w:val="left" w:pos="0"/>
                <w:tab w:val="left" w:pos="360"/>
              </w:tabs>
              <w:snapToGrid w:val="0"/>
              <w:spacing w:line="360" w:lineRule="auto"/>
              <w:jc w:val="left"/>
              <w:rPr>
                <w:rFonts w:hint="eastAsia" w:ascii="宋体" w:hAnsi="宋体" w:eastAsia="宋体" w:cs="宋体"/>
                <w:color w:val="auto"/>
                <w:sz w:val="21"/>
                <w:szCs w:val="21"/>
                <w:highlight w:val="none"/>
              </w:rPr>
            </w:pPr>
          </w:p>
          <w:p w14:paraId="2FC82DAF">
            <w:pPr>
              <w:tabs>
                <w:tab w:val="left" w:pos="0"/>
                <w:tab w:val="left" w:pos="360"/>
              </w:tabs>
              <w:snapToGrid w:val="0"/>
              <w:spacing w:line="360" w:lineRule="auto"/>
              <w:jc w:val="left"/>
              <w:rPr>
                <w:rFonts w:hint="eastAsia" w:ascii="宋体" w:hAnsi="宋体" w:eastAsia="宋体" w:cs="宋体"/>
                <w:color w:val="auto"/>
                <w:sz w:val="21"/>
                <w:szCs w:val="21"/>
                <w:highlight w:val="none"/>
              </w:rPr>
            </w:pPr>
          </w:p>
          <w:p w14:paraId="4C99C5C4">
            <w:pPr>
              <w:tabs>
                <w:tab w:val="left" w:pos="0"/>
                <w:tab w:val="left" w:pos="360"/>
              </w:tabs>
              <w:snapToGrid w:val="0"/>
              <w:spacing w:line="360" w:lineRule="auto"/>
              <w:jc w:val="left"/>
              <w:rPr>
                <w:rFonts w:hint="eastAsia" w:ascii="宋体" w:hAnsi="宋体" w:eastAsia="宋体" w:cs="宋体"/>
                <w:color w:val="auto"/>
                <w:sz w:val="21"/>
                <w:szCs w:val="21"/>
                <w:highlight w:val="none"/>
              </w:rPr>
            </w:pPr>
          </w:p>
          <w:p w14:paraId="43848D03">
            <w:pPr>
              <w:tabs>
                <w:tab w:val="left" w:pos="0"/>
                <w:tab w:val="left" w:pos="360"/>
              </w:tabs>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技术部分：5</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218F52F4">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jc w:val="left"/>
              <w:textAlignment w:val="auto"/>
              <w:outlineLvl w:val="9"/>
              <w:rPr>
                <w:rFonts w:hint="eastAsia" w:ascii="宋体" w:hAnsi="宋体" w:eastAsia="宋体" w:cs="宋体"/>
                <w:color w:val="auto"/>
                <w:sz w:val="21"/>
                <w:szCs w:val="21"/>
                <w:highlight w:val="none"/>
                <w:vertAlign w:val="baseline"/>
              </w:rPr>
            </w:pPr>
          </w:p>
        </w:tc>
        <w:tc>
          <w:tcPr>
            <w:tcW w:w="1427" w:type="dxa"/>
            <w:noWrap w:val="0"/>
            <w:vAlign w:val="center"/>
          </w:tcPr>
          <w:p w14:paraId="58BD1D63">
            <w:pPr>
              <w:widowControl/>
              <w:snapToGrid w:val="0"/>
              <w:spacing w:line="360" w:lineRule="auto"/>
              <w:jc w:val="center"/>
              <w:rPr>
                <w:rFonts w:hint="eastAsia" w:ascii="宋体" w:hAnsi="宋体" w:eastAsia="宋体" w:cs="宋体"/>
                <w:color w:val="auto"/>
                <w:sz w:val="21"/>
                <w:szCs w:val="21"/>
                <w:highlight w:val="none"/>
              </w:rPr>
            </w:pPr>
          </w:p>
          <w:p w14:paraId="07149C2C">
            <w:pPr>
              <w:widowControl/>
              <w:snapToGrid w:val="0"/>
              <w:spacing w:line="360" w:lineRule="auto"/>
              <w:jc w:val="center"/>
              <w:rPr>
                <w:rFonts w:hint="eastAsia" w:ascii="宋体" w:hAnsi="宋体" w:eastAsia="宋体" w:cs="宋体"/>
                <w:color w:val="auto"/>
                <w:sz w:val="21"/>
                <w:szCs w:val="21"/>
                <w:highlight w:val="none"/>
              </w:rPr>
            </w:pPr>
          </w:p>
          <w:p w14:paraId="449F6162">
            <w:pPr>
              <w:widowControl/>
              <w:snapToGrid w:val="0"/>
              <w:spacing w:line="360" w:lineRule="auto"/>
              <w:jc w:val="center"/>
              <w:rPr>
                <w:rFonts w:hint="eastAsia" w:ascii="宋体" w:hAnsi="宋体" w:eastAsia="宋体" w:cs="宋体"/>
                <w:color w:val="auto"/>
                <w:sz w:val="21"/>
                <w:szCs w:val="21"/>
                <w:highlight w:val="none"/>
              </w:rPr>
            </w:pPr>
          </w:p>
          <w:p w14:paraId="2B246D8F">
            <w:pPr>
              <w:widowControl/>
              <w:snapToGrid w:val="0"/>
              <w:spacing w:line="360" w:lineRule="auto"/>
              <w:jc w:val="center"/>
              <w:rPr>
                <w:rFonts w:hint="eastAsia" w:ascii="宋体" w:hAnsi="宋体" w:eastAsia="宋体" w:cs="宋体"/>
                <w:color w:val="auto"/>
                <w:sz w:val="21"/>
                <w:szCs w:val="21"/>
                <w:highlight w:val="none"/>
              </w:rPr>
            </w:pPr>
          </w:p>
          <w:p w14:paraId="17240C43">
            <w:pPr>
              <w:widowControl/>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产品的质量保障措施</w:t>
            </w:r>
          </w:p>
          <w:p w14:paraId="06400334">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ind w:left="0" w:leftChars="0" w:firstLine="0" w:firstLineChars="0"/>
              <w:jc w:val="center"/>
              <w:textAlignment w:val="auto"/>
              <w:outlineLvl w:val="9"/>
              <w:rPr>
                <w:rFonts w:hint="eastAsia" w:ascii="宋体" w:hAnsi="宋体" w:eastAsia="宋体" w:cs="宋体"/>
                <w:color w:val="auto"/>
                <w:sz w:val="21"/>
                <w:szCs w:val="21"/>
                <w:highlight w:val="none"/>
                <w:vertAlign w:val="baseline"/>
              </w:rPr>
            </w:pPr>
            <w:bookmarkStart w:id="204" w:name="_Toc447"/>
            <w:bookmarkStart w:id="205" w:name="_Toc30408"/>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bookmarkEnd w:id="204"/>
            <w:bookmarkEnd w:id="205"/>
          </w:p>
        </w:tc>
        <w:tc>
          <w:tcPr>
            <w:tcW w:w="5042" w:type="dxa"/>
            <w:noWrap w:val="0"/>
            <w:vAlign w:val="center"/>
          </w:tcPr>
          <w:p w14:paraId="6154C334">
            <w:pPr>
              <w:widowControl/>
              <w:snapToGrid w:val="0"/>
              <w:spacing w:line="360" w:lineRule="auto"/>
              <w:jc w:val="left"/>
              <w:rPr>
                <w:rFonts w:hint="eastAsia" w:ascii="宋体" w:hAnsi="宋体" w:eastAsia="宋体" w:cs="宋体"/>
                <w:color w:val="auto"/>
                <w:sz w:val="21"/>
                <w:szCs w:val="21"/>
                <w:highlight w:val="none"/>
                <w:lang w:val="en-US" w:eastAsia="zh-CN"/>
              </w:rPr>
            </w:pPr>
            <w:bookmarkStart w:id="206" w:name="OLE_LINK1"/>
            <w:r>
              <w:rPr>
                <w:rFonts w:hint="eastAsia" w:ascii="宋体" w:hAnsi="宋体" w:eastAsia="宋体" w:cs="宋体"/>
                <w:color w:val="auto"/>
                <w:sz w:val="21"/>
                <w:szCs w:val="21"/>
                <w:highlight w:val="none"/>
                <w:lang w:eastAsia="zh-CN"/>
              </w:rPr>
              <w:t>供应商应提供针对本项目的</w:t>
            </w:r>
            <w:bookmarkEnd w:id="206"/>
            <w:r>
              <w:rPr>
                <w:rFonts w:hint="eastAsia" w:ascii="宋体" w:hAnsi="宋体" w:eastAsia="宋体" w:cs="宋体"/>
                <w:color w:val="auto"/>
                <w:sz w:val="21"/>
                <w:szCs w:val="21"/>
                <w:highlight w:val="none"/>
                <w:lang w:eastAsia="zh-CN"/>
              </w:rPr>
              <w:t>产品质量</w:t>
            </w:r>
            <w:r>
              <w:rPr>
                <w:rFonts w:hint="eastAsia" w:ascii="宋体" w:hAnsi="宋体" w:eastAsia="宋体" w:cs="宋体"/>
                <w:color w:val="auto"/>
                <w:sz w:val="21"/>
                <w:szCs w:val="21"/>
                <w:highlight w:val="none"/>
              </w:rPr>
              <w:t>保障措施</w:t>
            </w:r>
            <w:r>
              <w:rPr>
                <w:rFonts w:hint="eastAsia" w:ascii="宋体" w:hAnsi="宋体" w:eastAsia="宋体" w:cs="宋体"/>
                <w:color w:val="auto"/>
                <w:sz w:val="21"/>
                <w:szCs w:val="21"/>
                <w:highlight w:val="none"/>
                <w:lang w:eastAsia="zh-CN"/>
              </w:rPr>
              <w:t>，措施</w:t>
            </w:r>
            <w:r>
              <w:rPr>
                <w:rFonts w:hint="eastAsia" w:ascii="宋体" w:hAnsi="宋体" w:eastAsia="宋体" w:cs="宋体"/>
                <w:color w:val="auto"/>
                <w:sz w:val="21"/>
                <w:szCs w:val="21"/>
                <w:highlight w:val="none"/>
              </w:rPr>
              <w:t>包括但不限于：①对食品原材料的采购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②检测检验；③储存管理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④来源可追溯；</w:t>
            </w:r>
            <w:bookmarkStart w:id="207" w:name="OLE_LINK2"/>
            <w:r>
              <w:rPr>
                <w:rFonts w:hint="eastAsia" w:ascii="宋体" w:hAnsi="宋体" w:eastAsia="宋体" w:cs="宋体"/>
                <w:color w:val="auto"/>
                <w:sz w:val="21"/>
                <w:szCs w:val="21"/>
                <w:highlight w:val="none"/>
                <w:lang w:eastAsia="zh-CN"/>
              </w:rPr>
              <w:t>以上内容齐全且合理的得</w:t>
            </w:r>
            <w:r>
              <w:rPr>
                <w:rFonts w:hint="eastAsia" w:ascii="宋体" w:hAnsi="宋体" w:eastAsia="宋体" w:cs="宋体"/>
                <w:color w:val="auto"/>
                <w:sz w:val="21"/>
                <w:szCs w:val="21"/>
                <w:highlight w:val="none"/>
                <w:lang w:val="en-US" w:eastAsia="zh-CN"/>
              </w:rPr>
              <w:t>8分。</w:t>
            </w:r>
          </w:p>
          <w:p w14:paraId="7ACB1DFA">
            <w:pPr>
              <w:widowControl/>
              <w:snapToGrid w:val="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未提供</w:t>
            </w:r>
            <w:r>
              <w:rPr>
                <w:rFonts w:hint="eastAsia" w:ascii="宋体" w:hAnsi="宋体" w:eastAsia="宋体" w:cs="宋体"/>
                <w:color w:val="auto"/>
                <w:sz w:val="21"/>
                <w:szCs w:val="21"/>
                <w:highlight w:val="none"/>
                <w:lang w:eastAsia="zh-CN"/>
              </w:rPr>
              <w:t>的得</w:t>
            </w:r>
            <w:r>
              <w:rPr>
                <w:rFonts w:hint="eastAsia" w:ascii="宋体" w:hAnsi="宋体" w:eastAsia="宋体" w:cs="宋体"/>
                <w:color w:val="auto"/>
                <w:sz w:val="21"/>
                <w:szCs w:val="21"/>
                <w:highlight w:val="none"/>
              </w:rPr>
              <w:t>0分</w:t>
            </w:r>
            <w:r>
              <w:rPr>
                <w:rFonts w:hint="eastAsia" w:ascii="宋体" w:hAnsi="宋体" w:eastAsia="宋体" w:cs="宋体"/>
                <w:color w:val="auto"/>
                <w:sz w:val="21"/>
                <w:szCs w:val="21"/>
                <w:highlight w:val="none"/>
                <w:lang w:eastAsia="zh-CN"/>
              </w:rPr>
              <w:t>。</w:t>
            </w:r>
          </w:p>
          <w:p w14:paraId="7792808A">
            <w:pPr>
              <w:widowControl/>
              <w:snapToGrid w:val="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有标题无实质性</w:t>
            </w:r>
            <w:bookmarkStart w:id="208" w:name="OLE_LINK6"/>
            <w:r>
              <w:rPr>
                <w:rFonts w:hint="eastAsia" w:ascii="宋体" w:hAnsi="宋体" w:eastAsia="宋体" w:cs="宋体"/>
                <w:color w:val="auto"/>
                <w:sz w:val="21"/>
                <w:szCs w:val="21"/>
                <w:highlight w:val="none"/>
              </w:rPr>
              <w:t>描述</w:t>
            </w:r>
            <w:r>
              <w:rPr>
                <w:rFonts w:hint="eastAsia" w:ascii="宋体" w:hAnsi="宋体" w:eastAsia="宋体" w:cs="宋体"/>
                <w:color w:val="auto"/>
                <w:sz w:val="21"/>
                <w:szCs w:val="21"/>
                <w:highlight w:val="none"/>
                <w:lang w:eastAsia="zh-CN"/>
              </w:rPr>
              <w:t>的，每项</w:t>
            </w:r>
            <w:r>
              <w:rPr>
                <w:rFonts w:hint="eastAsia" w:ascii="宋体" w:hAnsi="宋体" w:eastAsia="宋体" w:cs="宋体"/>
                <w:color w:val="auto"/>
                <w:sz w:val="21"/>
                <w:szCs w:val="21"/>
                <w:highlight w:val="none"/>
              </w:rPr>
              <w:t>扣</w:t>
            </w:r>
            <w:bookmarkEnd w:id="208"/>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，扣完为止。</w:t>
            </w:r>
          </w:p>
          <w:p w14:paraId="43866406">
            <w:pPr>
              <w:widowControl/>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存在缺陷的，</w:t>
            </w:r>
            <w:r>
              <w:rPr>
                <w:rFonts w:hint="eastAsia" w:ascii="宋体" w:hAnsi="宋体" w:eastAsia="宋体" w:cs="宋体"/>
                <w:color w:val="auto"/>
                <w:sz w:val="21"/>
                <w:szCs w:val="21"/>
                <w:highlight w:val="none"/>
              </w:rPr>
              <w:t>每处缺陷扣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分，本项扣完</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分为止。</w:t>
            </w:r>
          </w:p>
          <w:p w14:paraId="0E8B8ECF">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ind w:left="0" w:leftChars="0" w:firstLine="0" w:firstLineChars="0"/>
              <w:jc w:val="left"/>
              <w:textAlignment w:val="auto"/>
              <w:outlineLvl w:val="9"/>
              <w:rPr>
                <w:rFonts w:hint="eastAsia" w:ascii="宋体" w:hAnsi="宋体" w:eastAsia="宋体" w:cs="宋体"/>
                <w:color w:val="auto"/>
                <w:sz w:val="21"/>
                <w:szCs w:val="21"/>
                <w:highlight w:val="none"/>
                <w:vertAlign w:val="baseline"/>
              </w:rPr>
            </w:pPr>
            <w:bookmarkStart w:id="209" w:name="_Toc26274"/>
            <w:bookmarkStart w:id="210" w:name="_Toc31599"/>
            <w:r>
              <w:rPr>
                <w:rFonts w:hint="eastAsia" w:ascii="宋体" w:hAnsi="宋体" w:eastAsia="宋体" w:cs="宋体"/>
                <w:color w:val="auto"/>
                <w:sz w:val="21"/>
                <w:szCs w:val="21"/>
                <w:highlight w:val="none"/>
              </w:rPr>
              <w:t>（缺陷是指:非专门针对本项目或不适用项目特性的情形、内容不完整或缺少关键节点、套用其他项目方案、内容前后矛盾、涉及的规范及标准错误、不利于项目实施、不可能实现的情形等任意一种情形。）</w:t>
            </w:r>
            <w:bookmarkEnd w:id="207"/>
            <w:bookmarkEnd w:id="209"/>
            <w:bookmarkEnd w:id="210"/>
          </w:p>
        </w:tc>
      </w:tr>
      <w:tr w14:paraId="23F4D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732" w:type="dxa"/>
            <w:vMerge w:val="continue"/>
            <w:noWrap w:val="0"/>
            <w:vAlign w:val="center"/>
          </w:tcPr>
          <w:p w14:paraId="071BB3E1">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jc w:val="center"/>
              <w:textAlignment w:val="auto"/>
              <w:outlineLvl w:val="9"/>
              <w:rPr>
                <w:rFonts w:hint="eastAsia" w:ascii="宋体" w:hAnsi="宋体" w:eastAsia="宋体" w:cs="宋体"/>
                <w:color w:val="auto"/>
                <w:sz w:val="21"/>
                <w:szCs w:val="21"/>
                <w:highlight w:val="none"/>
                <w:vertAlign w:val="baseline"/>
              </w:rPr>
            </w:pPr>
          </w:p>
        </w:tc>
        <w:tc>
          <w:tcPr>
            <w:tcW w:w="1762" w:type="dxa"/>
            <w:vMerge w:val="continue"/>
            <w:noWrap w:val="0"/>
            <w:vAlign w:val="center"/>
          </w:tcPr>
          <w:p w14:paraId="2EDDC435">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jc w:val="left"/>
              <w:textAlignment w:val="auto"/>
              <w:outlineLvl w:val="9"/>
              <w:rPr>
                <w:rFonts w:hint="eastAsia" w:ascii="宋体" w:hAnsi="宋体" w:eastAsia="宋体" w:cs="宋体"/>
                <w:color w:val="auto"/>
                <w:sz w:val="21"/>
                <w:szCs w:val="21"/>
                <w:highlight w:val="none"/>
                <w:vertAlign w:val="baseline"/>
              </w:rPr>
            </w:pPr>
          </w:p>
        </w:tc>
        <w:tc>
          <w:tcPr>
            <w:tcW w:w="1427" w:type="dxa"/>
            <w:noWrap w:val="0"/>
            <w:vAlign w:val="center"/>
          </w:tcPr>
          <w:p w14:paraId="04D4A2C4">
            <w:pPr>
              <w:widowControl/>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产品的安全保障措施</w:t>
            </w:r>
          </w:p>
          <w:p w14:paraId="1E4C39CF">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ind w:left="0" w:leftChars="0" w:firstLine="0" w:firstLineChars="0"/>
              <w:jc w:val="center"/>
              <w:textAlignment w:val="auto"/>
              <w:outlineLvl w:val="9"/>
              <w:rPr>
                <w:rFonts w:hint="eastAsia" w:ascii="宋体" w:hAnsi="宋体" w:eastAsia="宋体" w:cs="宋体"/>
                <w:color w:val="auto"/>
                <w:sz w:val="21"/>
                <w:szCs w:val="21"/>
                <w:highlight w:val="none"/>
                <w:vertAlign w:val="baseline"/>
              </w:rPr>
            </w:pPr>
            <w:bookmarkStart w:id="211" w:name="_Toc27408"/>
            <w:bookmarkStart w:id="212" w:name="_Toc13535"/>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bookmarkEnd w:id="211"/>
            <w:bookmarkEnd w:id="212"/>
          </w:p>
        </w:tc>
        <w:tc>
          <w:tcPr>
            <w:tcW w:w="5042" w:type="dxa"/>
            <w:noWrap w:val="0"/>
            <w:vAlign w:val="center"/>
          </w:tcPr>
          <w:p w14:paraId="1EEFB7CC">
            <w:pPr>
              <w:widowControl/>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供应商应提供针对本项目的产品安全</w:t>
            </w:r>
            <w:r>
              <w:rPr>
                <w:rFonts w:hint="eastAsia" w:ascii="宋体" w:hAnsi="宋体" w:eastAsia="宋体" w:cs="宋体"/>
                <w:color w:val="auto"/>
                <w:sz w:val="21"/>
                <w:szCs w:val="21"/>
                <w:highlight w:val="none"/>
              </w:rPr>
              <w:t>保障措施</w:t>
            </w:r>
            <w:r>
              <w:rPr>
                <w:rFonts w:hint="eastAsia" w:ascii="宋体" w:hAnsi="宋体" w:eastAsia="宋体" w:cs="宋体"/>
                <w:color w:val="auto"/>
                <w:sz w:val="21"/>
                <w:szCs w:val="21"/>
                <w:highlight w:val="none"/>
                <w:lang w:eastAsia="zh-CN"/>
              </w:rPr>
              <w:t>，措施</w:t>
            </w:r>
            <w:r>
              <w:rPr>
                <w:rFonts w:hint="eastAsia" w:ascii="宋体" w:hAnsi="宋体" w:eastAsia="宋体" w:cs="宋体"/>
                <w:color w:val="auto"/>
                <w:sz w:val="21"/>
                <w:szCs w:val="21"/>
                <w:highlight w:val="none"/>
              </w:rPr>
              <w:t>包括但不限于：①产品原材料来源、产地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②生产环境；③产品</w:t>
            </w:r>
            <w:r>
              <w:rPr>
                <w:rFonts w:hint="eastAsia" w:ascii="宋体" w:hAnsi="宋体" w:eastAsia="宋体" w:cs="宋体"/>
                <w:color w:val="auto"/>
                <w:sz w:val="21"/>
                <w:szCs w:val="21"/>
                <w:highlight w:val="none"/>
                <w:lang w:val="en-US" w:eastAsia="zh-CN"/>
              </w:rPr>
              <w:t>卫生安全措施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④产品的质保条件；</w:t>
            </w:r>
            <w:bookmarkStart w:id="213" w:name="OLE_LINK4"/>
            <w:r>
              <w:rPr>
                <w:rFonts w:hint="eastAsia" w:ascii="宋体" w:hAnsi="宋体" w:eastAsia="宋体" w:cs="宋体"/>
                <w:color w:val="auto"/>
                <w:sz w:val="21"/>
                <w:szCs w:val="21"/>
                <w:highlight w:val="none"/>
                <w:lang w:eastAsia="zh-CN"/>
              </w:rPr>
              <w:t>以上内容齐全且合理的得</w:t>
            </w:r>
            <w:r>
              <w:rPr>
                <w:rFonts w:hint="eastAsia" w:ascii="宋体" w:hAnsi="宋体" w:eastAsia="宋体" w:cs="宋体"/>
                <w:color w:val="auto"/>
                <w:sz w:val="21"/>
                <w:szCs w:val="21"/>
                <w:highlight w:val="none"/>
                <w:lang w:val="en-US" w:eastAsia="zh-CN"/>
              </w:rPr>
              <w:t>8分。</w:t>
            </w:r>
          </w:p>
          <w:p w14:paraId="1B50921D">
            <w:pPr>
              <w:widowControl/>
              <w:snapToGrid w:val="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未提供</w:t>
            </w:r>
            <w:r>
              <w:rPr>
                <w:rFonts w:hint="eastAsia" w:ascii="宋体" w:hAnsi="宋体" w:eastAsia="宋体" w:cs="宋体"/>
                <w:color w:val="auto"/>
                <w:sz w:val="21"/>
                <w:szCs w:val="21"/>
                <w:highlight w:val="none"/>
                <w:lang w:eastAsia="zh-CN"/>
              </w:rPr>
              <w:t>的得</w:t>
            </w:r>
            <w:r>
              <w:rPr>
                <w:rFonts w:hint="eastAsia" w:ascii="宋体" w:hAnsi="宋体" w:eastAsia="宋体" w:cs="宋体"/>
                <w:color w:val="auto"/>
                <w:sz w:val="21"/>
                <w:szCs w:val="21"/>
                <w:highlight w:val="none"/>
              </w:rPr>
              <w:t>0分</w:t>
            </w:r>
            <w:r>
              <w:rPr>
                <w:rFonts w:hint="eastAsia" w:ascii="宋体" w:hAnsi="宋体" w:eastAsia="宋体" w:cs="宋体"/>
                <w:color w:val="auto"/>
                <w:sz w:val="21"/>
                <w:szCs w:val="21"/>
                <w:highlight w:val="none"/>
                <w:lang w:eastAsia="zh-CN"/>
              </w:rPr>
              <w:t>。</w:t>
            </w:r>
          </w:p>
          <w:p w14:paraId="05E12C08">
            <w:pPr>
              <w:widowControl/>
              <w:snapToGrid w:val="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有标题无实质性描述</w:t>
            </w:r>
            <w:r>
              <w:rPr>
                <w:rFonts w:hint="eastAsia" w:ascii="宋体" w:hAnsi="宋体" w:eastAsia="宋体" w:cs="宋体"/>
                <w:color w:val="auto"/>
                <w:sz w:val="21"/>
                <w:szCs w:val="21"/>
                <w:highlight w:val="none"/>
                <w:lang w:eastAsia="zh-CN"/>
              </w:rPr>
              <w:t>的，每项</w:t>
            </w:r>
            <w:r>
              <w:rPr>
                <w:rFonts w:hint="eastAsia" w:ascii="宋体" w:hAnsi="宋体" w:eastAsia="宋体" w:cs="宋体"/>
                <w:color w:val="auto"/>
                <w:sz w:val="21"/>
                <w:szCs w:val="21"/>
                <w:highlight w:val="none"/>
              </w:rPr>
              <w:t>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，扣完为止。</w:t>
            </w:r>
          </w:p>
          <w:p w14:paraId="47509120">
            <w:pPr>
              <w:widowControl/>
              <w:snapToGrid w:val="0"/>
              <w:spacing w:line="360" w:lineRule="auto"/>
              <w:jc w:val="left"/>
              <w:rPr>
                <w:rFonts w:hint="eastAsia" w:ascii="宋体" w:hAnsi="宋体" w:eastAsia="宋体" w:cs="宋体"/>
                <w:color w:val="auto"/>
                <w:sz w:val="21"/>
                <w:szCs w:val="21"/>
                <w:highlight w:val="none"/>
              </w:rPr>
            </w:pPr>
            <w:bookmarkStart w:id="214" w:name="OLE_LINK5"/>
            <w:r>
              <w:rPr>
                <w:rFonts w:hint="eastAsia" w:ascii="宋体" w:hAnsi="宋体" w:eastAsia="宋体" w:cs="宋体"/>
                <w:color w:val="auto"/>
                <w:sz w:val="21"/>
                <w:szCs w:val="21"/>
                <w:highlight w:val="none"/>
                <w:lang w:eastAsia="zh-CN"/>
              </w:rPr>
              <w:t>存在缺陷的，</w:t>
            </w:r>
            <w:r>
              <w:rPr>
                <w:rFonts w:hint="eastAsia" w:ascii="宋体" w:hAnsi="宋体" w:eastAsia="宋体" w:cs="宋体"/>
                <w:color w:val="auto"/>
                <w:sz w:val="21"/>
                <w:szCs w:val="21"/>
                <w:highlight w:val="none"/>
              </w:rPr>
              <w:t>每处缺陷扣</w:t>
            </w:r>
            <w:bookmarkEnd w:id="214"/>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分，本项扣完</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分为止。</w:t>
            </w:r>
          </w:p>
          <w:p w14:paraId="2C3E3601">
            <w:pPr>
              <w:widowControl/>
              <w:snapToGrid w:val="0"/>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（缺陷是指:非专门针对本项目或不适用项目特性的情形、内容不完整或缺少关键节点、套用其他项目方案、内容前后矛盾、涉及的规范及标准错误、不利于项目实施、不可能实现的情形等任意一种情形。）</w:t>
            </w:r>
            <w:bookmarkEnd w:id="213"/>
          </w:p>
        </w:tc>
      </w:tr>
      <w:tr w14:paraId="746B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732" w:type="dxa"/>
            <w:vMerge w:val="continue"/>
            <w:noWrap w:val="0"/>
            <w:vAlign w:val="center"/>
          </w:tcPr>
          <w:p w14:paraId="69FD909B">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jc w:val="center"/>
              <w:textAlignment w:val="auto"/>
              <w:outlineLvl w:val="9"/>
              <w:rPr>
                <w:rFonts w:hint="eastAsia" w:ascii="宋体" w:hAnsi="宋体" w:eastAsia="宋体" w:cs="宋体"/>
                <w:color w:val="auto"/>
                <w:sz w:val="21"/>
                <w:szCs w:val="21"/>
                <w:highlight w:val="none"/>
                <w:vertAlign w:val="baseline"/>
              </w:rPr>
            </w:pPr>
            <w:bookmarkStart w:id="215" w:name="OLE_LINK10" w:colFirst="2" w:colLast="3"/>
          </w:p>
        </w:tc>
        <w:tc>
          <w:tcPr>
            <w:tcW w:w="1762" w:type="dxa"/>
            <w:vMerge w:val="continue"/>
            <w:noWrap w:val="0"/>
            <w:vAlign w:val="center"/>
          </w:tcPr>
          <w:p w14:paraId="62992326">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jc w:val="left"/>
              <w:textAlignment w:val="auto"/>
              <w:outlineLvl w:val="9"/>
              <w:rPr>
                <w:rFonts w:hint="eastAsia" w:ascii="宋体" w:hAnsi="宋体" w:eastAsia="宋体" w:cs="宋体"/>
                <w:color w:val="auto"/>
                <w:sz w:val="21"/>
                <w:szCs w:val="21"/>
                <w:highlight w:val="none"/>
                <w:vertAlign w:val="baseline"/>
              </w:rPr>
            </w:pPr>
          </w:p>
        </w:tc>
        <w:tc>
          <w:tcPr>
            <w:tcW w:w="1427" w:type="dxa"/>
            <w:vMerge w:val="restart"/>
            <w:noWrap w:val="0"/>
            <w:vAlign w:val="center"/>
          </w:tcPr>
          <w:p w14:paraId="6C760A6E">
            <w:pPr>
              <w:widowControl/>
              <w:snapToGrid w:val="0"/>
              <w:spacing w:line="360" w:lineRule="auto"/>
              <w:jc w:val="center"/>
              <w:rPr>
                <w:rFonts w:hint="eastAsia" w:ascii="宋体" w:hAnsi="宋体" w:eastAsia="宋体" w:cs="宋体"/>
                <w:color w:val="auto"/>
                <w:kern w:val="0"/>
                <w:sz w:val="21"/>
                <w:szCs w:val="21"/>
                <w:highlight w:val="none"/>
              </w:rPr>
            </w:pPr>
            <w:bookmarkStart w:id="216" w:name="OLE_LINK16"/>
            <w:r>
              <w:rPr>
                <w:rFonts w:hint="eastAsia" w:ascii="宋体" w:hAnsi="宋体" w:eastAsia="宋体" w:cs="宋体"/>
                <w:color w:val="auto"/>
                <w:kern w:val="0"/>
                <w:sz w:val="21"/>
                <w:szCs w:val="21"/>
                <w:highlight w:val="none"/>
              </w:rPr>
              <w:t>履约能力</w:t>
            </w:r>
          </w:p>
          <w:p w14:paraId="226968F6">
            <w:pPr>
              <w:widowControl/>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情况</w:t>
            </w:r>
          </w:p>
          <w:p w14:paraId="3046D99D">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ind w:left="0" w:leftChars="0" w:firstLine="0" w:firstLineChars="0"/>
              <w:jc w:val="center"/>
              <w:textAlignment w:val="auto"/>
              <w:outlineLvl w:val="9"/>
              <w:rPr>
                <w:rFonts w:hint="eastAsia" w:ascii="宋体" w:hAnsi="宋体" w:eastAsia="宋体" w:cs="宋体"/>
                <w:color w:val="auto"/>
                <w:sz w:val="21"/>
                <w:szCs w:val="21"/>
                <w:highlight w:val="none"/>
              </w:rPr>
            </w:pPr>
            <w:bookmarkStart w:id="217" w:name="_Toc32400"/>
            <w:bookmarkStart w:id="218" w:name="_Toc24693"/>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w:t>
            </w:r>
            <w:bookmarkEnd w:id="216"/>
            <w:bookmarkEnd w:id="217"/>
            <w:bookmarkEnd w:id="218"/>
          </w:p>
        </w:tc>
        <w:tc>
          <w:tcPr>
            <w:tcW w:w="5042" w:type="dxa"/>
            <w:noWrap w:val="0"/>
            <w:vAlign w:val="center"/>
          </w:tcPr>
          <w:p w14:paraId="45469510">
            <w:pPr>
              <w:widowControl/>
              <w:snapToGrid w:val="0"/>
              <w:spacing w:line="360" w:lineRule="auto"/>
              <w:jc w:val="left"/>
              <w:rPr>
                <w:rFonts w:hint="eastAsia" w:ascii="宋体" w:hAnsi="宋体" w:eastAsia="宋体" w:cs="宋体"/>
                <w:color w:val="auto"/>
                <w:sz w:val="21"/>
                <w:szCs w:val="21"/>
                <w:highlight w:val="none"/>
              </w:rPr>
            </w:pPr>
            <w:bookmarkStart w:id="219" w:name="OLE_LINK3"/>
            <w:r>
              <w:rPr>
                <w:rFonts w:hint="eastAsia" w:ascii="宋体" w:hAnsi="宋体" w:eastAsia="宋体" w:cs="宋体"/>
                <w:color w:val="auto"/>
                <w:kern w:val="0"/>
                <w:sz w:val="21"/>
                <w:szCs w:val="21"/>
                <w:highlight w:val="none"/>
                <w:lang w:bidi="ar"/>
              </w:rPr>
              <w:t>为保障服务</w:t>
            </w:r>
            <w:bookmarkEnd w:id="219"/>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根据</w:t>
            </w:r>
            <w:r>
              <w:rPr>
                <w:rFonts w:hint="eastAsia" w:ascii="宋体" w:hAnsi="宋体" w:eastAsia="宋体" w:cs="宋体"/>
                <w:color w:val="auto"/>
                <w:kern w:val="0"/>
                <w:sz w:val="21"/>
                <w:szCs w:val="21"/>
                <w:highlight w:val="none"/>
                <w:lang w:val="en-US" w:eastAsia="zh-CN" w:bidi="ar"/>
              </w:rPr>
              <w:t>采购人</w:t>
            </w:r>
            <w:r>
              <w:rPr>
                <w:rFonts w:hint="eastAsia" w:ascii="宋体" w:hAnsi="宋体" w:eastAsia="宋体" w:cs="宋体"/>
                <w:color w:val="auto"/>
                <w:kern w:val="0"/>
                <w:sz w:val="21"/>
                <w:szCs w:val="21"/>
                <w:highlight w:val="none"/>
                <w:lang w:eastAsia="zh-CN" w:bidi="ar"/>
              </w:rPr>
              <w:t>驻地分布，</w:t>
            </w:r>
            <w:r>
              <w:rPr>
                <w:rFonts w:hint="eastAsia" w:ascii="宋体" w:hAnsi="宋体" w:eastAsia="宋体" w:cs="宋体"/>
                <w:color w:val="auto"/>
                <w:kern w:val="0"/>
                <w:sz w:val="21"/>
                <w:szCs w:val="21"/>
                <w:highlight w:val="none"/>
                <w:lang w:bidi="ar"/>
              </w:rPr>
              <w:t>对</w:t>
            </w:r>
            <w:r>
              <w:rPr>
                <w:rFonts w:hint="eastAsia" w:ascii="宋体" w:hAnsi="宋体" w:eastAsia="宋体" w:cs="宋体"/>
                <w:color w:val="auto"/>
                <w:kern w:val="0"/>
                <w:sz w:val="21"/>
                <w:szCs w:val="21"/>
                <w:highlight w:val="none"/>
                <w:lang w:eastAsia="zh-CN" w:bidi="ar"/>
              </w:rPr>
              <w:t>供应商</w:t>
            </w:r>
            <w:r>
              <w:rPr>
                <w:rFonts w:hint="eastAsia" w:ascii="宋体" w:hAnsi="宋体" w:eastAsia="宋体" w:cs="宋体"/>
                <w:color w:val="auto"/>
                <w:kern w:val="0"/>
                <w:sz w:val="21"/>
                <w:szCs w:val="21"/>
                <w:highlight w:val="none"/>
                <w:lang w:bidi="ar"/>
              </w:rPr>
              <w:t>在</w:t>
            </w:r>
            <w:r>
              <w:rPr>
                <w:rFonts w:hint="eastAsia" w:ascii="宋体" w:hAnsi="宋体" w:eastAsia="宋体" w:cs="宋体"/>
                <w:color w:val="auto"/>
                <w:kern w:val="0"/>
                <w:sz w:val="21"/>
                <w:szCs w:val="21"/>
                <w:highlight w:val="none"/>
                <w:lang w:val="en-US" w:eastAsia="zh-CN" w:bidi="ar"/>
              </w:rPr>
              <w:t>郑州市主城区</w:t>
            </w:r>
            <w:r>
              <w:rPr>
                <w:rFonts w:hint="eastAsia" w:ascii="宋体" w:hAnsi="宋体" w:eastAsia="宋体" w:cs="宋体"/>
                <w:color w:val="auto"/>
                <w:kern w:val="0"/>
                <w:sz w:val="21"/>
                <w:szCs w:val="21"/>
                <w:highlight w:val="none"/>
                <w:lang w:bidi="ar"/>
              </w:rPr>
              <w:t xml:space="preserve">的实体门店分布情况进行评审： </w:t>
            </w:r>
          </w:p>
          <w:p w14:paraId="287348BA">
            <w:pPr>
              <w:widowControl/>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1.实体门店数量</w:t>
            </w:r>
            <w:r>
              <w:rPr>
                <w:rFonts w:hint="eastAsia" w:ascii="宋体" w:hAnsi="宋体" w:eastAsia="宋体" w:cs="宋体"/>
                <w:color w:val="auto"/>
                <w:sz w:val="21"/>
                <w:szCs w:val="21"/>
                <w:highlight w:val="none"/>
              </w:rPr>
              <w:t>≥4</w:t>
            </w:r>
            <w:r>
              <w:rPr>
                <w:rFonts w:hint="eastAsia" w:ascii="宋体" w:hAnsi="宋体" w:eastAsia="宋体" w:cs="宋体"/>
                <w:color w:val="auto"/>
                <w:kern w:val="0"/>
                <w:sz w:val="21"/>
                <w:szCs w:val="21"/>
                <w:highlight w:val="none"/>
                <w:lang w:bidi="ar"/>
              </w:rPr>
              <w:t xml:space="preserve">0家的得6分； </w:t>
            </w:r>
          </w:p>
          <w:p w14:paraId="374E9439">
            <w:pPr>
              <w:widowControl/>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2.40家</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bidi="ar"/>
              </w:rPr>
              <w:t>实体门店数量</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bidi="ar"/>
              </w:rPr>
              <w:t>30家的得5分；</w:t>
            </w:r>
          </w:p>
          <w:p w14:paraId="66F33384">
            <w:pPr>
              <w:widowControl/>
              <w:snapToGrid w:val="0"/>
              <w:spacing w:line="360" w:lineRule="auto"/>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3.30家</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bidi="ar"/>
              </w:rPr>
              <w:t>实体门店数量</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bidi="ar"/>
              </w:rPr>
              <w:t>20家的得4分；</w:t>
            </w:r>
          </w:p>
          <w:p w14:paraId="104104FD">
            <w:pPr>
              <w:widowControl/>
              <w:snapToGrid w:val="0"/>
              <w:spacing w:line="360" w:lineRule="auto"/>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4.20家</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bidi="ar"/>
              </w:rPr>
              <w:t>实体门店数量</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bidi="ar"/>
              </w:rPr>
              <w:t>10家的得1分；</w:t>
            </w:r>
          </w:p>
          <w:p w14:paraId="09B9211F">
            <w:pPr>
              <w:widowControl/>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5.10家以下不得分。</w:t>
            </w:r>
          </w:p>
          <w:p w14:paraId="33D28CBE">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ind w:left="0" w:leftChars="0" w:firstLine="0" w:firstLineChars="0"/>
              <w:jc w:val="left"/>
              <w:textAlignment w:val="auto"/>
              <w:outlineLvl w:val="9"/>
              <w:rPr>
                <w:rFonts w:hint="eastAsia" w:ascii="宋体" w:hAnsi="宋体" w:eastAsia="宋体" w:cs="宋体"/>
                <w:color w:val="auto"/>
                <w:sz w:val="21"/>
                <w:szCs w:val="21"/>
                <w:highlight w:val="none"/>
                <w:vertAlign w:val="baseline"/>
              </w:rPr>
            </w:pPr>
            <w:bookmarkStart w:id="220" w:name="_Toc25709"/>
            <w:bookmarkStart w:id="221" w:name="_Toc6894"/>
            <w:r>
              <w:rPr>
                <w:rFonts w:hint="eastAsia" w:ascii="宋体" w:hAnsi="宋体" w:eastAsia="宋体" w:cs="宋体"/>
                <w:color w:val="auto"/>
                <w:sz w:val="21"/>
                <w:szCs w:val="21"/>
                <w:highlight w:val="none"/>
              </w:rPr>
              <w:t>注：上述营业网点（蛋糕专卖店）均需提供营业执照、</w:t>
            </w:r>
            <w:r>
              <w:rPr>
                <w:rFonts w:hint="eastAsia" w:ascii="宋体" w:hAnsi="宋体" w:eastAsia="宋体" w:cs="宋体"/>
                <w:color w:val="auto"/>
                <w:sz w:val="21"/>
                <w:szCs w:val="21"/>
                <w:highlight w:val="none"/>
                <w:lang w:eastAsia="zh-CN"/>
              </w:rPr>
              <w:t>营业网点名称</w:t>
            </w:r>
            <w:r>
              <w:rPr>
                <w:rFonts w:hint="eastAsia" w:ascii="宋体" w:hAnsi="宋体" w:eastAsia="宋体" w:cs="宋体"/>
                <w:color w:val="auto"/>
                <w:sz w:val="21"/>
                <w:szCs w:val="21"/>
                <w:highlight w:val="none"/>
              </w:rPr>
              <w:t>、地址、负责人、联系电话等并加盖公章，并同时提交可在任意一家实体门店提货的承诺函（无承诺函者不得分），</w:t>
            </w:r>
            <w:r>
              <w:rPr>
                <w:rFonts w:hint="eastAsia" w:ascii="宋体" w:hAnsi="宋体" w:eastAsia="宋体" w:cs="宋体"/>
                <w:color w:val="auto"/>
                <w:sz w:val="21"/>
                <w:szCs w:val="21"/>
                <w:highlight w:val="none"/>
                <w:lang w:eastAsia="zh-CN"/>
              </w:rPr>
              <w:t>未提供或未按要求提供证明材料的不得分。</w:t>
            </w:r>
            <w:r>
              <w:rPr>
                <w:rFonts w:hint="eastAsia" w:ascii="宋体" w:hAnsi="宋体" w:eastAsia="宋体" w:cs="宋体"/>
                <w:color w:val="auto"/>
                <w:sz w:val="21"/>
                <w:szCs w:val="21"/>
                <w:highlight w:val="none"/>
              </w:rPr>
              <w:t>无或未按要求递交证明材料的不得分。</w:t>
            </w:r>
            <w:bookmarkEnd w:id="220"/>
            <w:bookmarkEnd w:id="221"/>
          </w:p>
        </w:tc>
      </w:tr>
      <w:tr w14:paraId="70639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732" w:type="dxa"/>
            <w:vMerge w:val="continue"/>
            <w:noWrap w:val="0"/>
            <w:vAlign w:val="center"/>
          </w:tcPr>
          <w:p w14:paraId="67C80140">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jc w:val="center"/>
              <w:textAlignment w:val="auto"/>
              <w:outlineLvl w:val="9"/>
              <w:rPr>
                <w:rFonts w:hint="eastAsia" w:ascii="宋体" w:hAnsi="宋体" w:eastAsia="宋体" w:cs="宋体"/>
                <w:color w:val="auto"/>
                <w:sz w:val="21"/>
                <w:szCs w:val="21"/>
                <w:highlight w:val="none"/>
                <w:vertAlign w:val="baseline"/>
              </w:rPr>
            </w:pPr>
            <w:bookmarkStart w:id="222" w:name="OLE_LINK11" w:colFirst="0" w:colLast="0"/>
          </w:p>
        </w:tc>
        <w:tc>
          <w:tcPr>
            <w:tcW w:w="1762" w:type="dxa"/>
            <w:vMerge w:val="continue"/>
            <w:noWrap w:val="0"/>
            <w:vAlign w:val="center"/>
          </w:tcPr>
          <w:p w14:paraId="4E65B733">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jc w:val="left"/>
              <w:textAlignment w:val="auto"/>
              <w:outlineLvl w:val="9"/>
              <w:rPr>
                <w:rFonts w:hint="eastAsia" w:ascii="宋体" w:hAnsi="宋体" w:eastAsia="宋体" w:cs="宋体"/>
                <w:color w:val="auto"/>
                <w:sz w:val="21"/>
                <w:szCs w:val="21"/>
                <w:highlight w:val="none"/>
                <w:vertAlign w:val="baseline"/>
              </w:rPr>
            </w:pPr>
          </w:p>
        </w:tc>
        <w:tc>
          <w:tcPr>
            <w:tcW w:w="1427" w:type="dxa"/>
            <w:vMerge w:val="continue"/>
            <w:noWrap w:val="0"/>
            <w:vAlign w:val="center"/>
          </w:tcPr>
          <w:p w14:paraId="06C97B09">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jc w:val="center"/>
              <w:textAlignment w:val="auto"/>
              <w:outlineLvl w:val="9"/>
              <w:rPr>
                <w:rFonts w:hint="eastAsia" w:ascii="宋体" w:hAnsi="宋体" w:eastAsia="宋体" w:cs="宋体"/>
                <w:color w:val="auto"/>
                <w:kern w:val="0"/>
                <w:sz w:val="21"/>
                <w:szCs w:val="21"/>
                <w:highlight w:val="none"/>
              </w:rPr>
            </w:pPr>
          </w:p>
        </w:tc>
        <w:tc>
          <w:tcPr>
            <w:tcW w:w="5042" w:type="dxa"/>
            <w:noWrap w:val="0"/>
            <w:vAlign w:val="center"/>
          </w:tcPr>
          <w:p w14:paraId="649ECDF0">
            <w:pPr>
              <w:widowControl/>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为保障服务</w:t>
            </w:r>
            <w:r>
              <w:rPr>
                <w:rFonts w:hint="eastAsia" w:ascii="宋体" w:hAnsi="宋体" w:eastAsia="宋体" w:cs="宋体"/>
                <w:color w:val="auto"/>
                <w:kern w:val="0"/>
                <w:sz w:val="21"/>
                <w:szCs w:val="21"/>
                <w:highlight w:val="none"/>
                <w:lang w:eastAsia="zh-CN" w:bidi="ar"/>
              </w:rPr>
              <w:t>便捷，</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 xml:space="preserve">实体门店分布情况进行评审： </w:t>
            </w:r>
          </w:p>
          <w:p w14:paraId="76D7E84C">
            <w:pPr>
              <w:widowControl/>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门店分布合理、前往网点交通</w:t>
            </w:r>
            <w:r>
              <w:rPr>
                <w:rFonts w:hint="eastAsia" w:ascii="宋体" w:hAnsi="宋体" w:eastAsia="宋体" w:cs="宋体"/>
                <w:color w:val="auto"/>
                <w:sz w:val="21"/>
                <w:szCs w:val="21"/>
                <w:highlight w:val="none"/>
                <w:lang w:eastAsia="zh-CN"/>
              </w:rPr>
              <w:t>便捷</w:t>
            </w:r>
            <w:r>
              <w:rPr>
                <w:rFonts w:hint="eastAsia" w:ascii="宋体" w:hAnsi="宋体" w:eastAsia="宋体" w:cs="宋体"/>
                <w:color w:val="auto"/>
                <w:sz w:val="21"/>
                <w:szCs w:val="21"/>
                <w:highlight w:val="none"/>
              </w:rPr>
              <w:t>、利于提货</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 xml:space="preserve">得4分； </w:t>
            </w:r>
          </w:p>
          <w:p w14:paraId="5DAB23C6">
            <w:pPr>
              <w:widowControl/>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门店分布基本合理、前往网点交通</w:t>
            </w:r>
            <w:r>
              <w:rPr>
                <w:rFonts w:hint="eastAsia" w:ascii="宋体" w:hAnsi="宋体" w:eastAsia="宋体" w:cs="宋体"/>
                <w:color w:val="auto"/>
                <w:sz w:val="21"/>
                <w:szCs w:val="21"/>
                <w:highlight w:val="none"/>
                <w:lang w:eastAsia="zh-CN"/>
              </w:rPr>
              <w:t>相对便捷</w:t>
            </w:r>
            <w:r>
              <w:rPr>
                <w:rFonts w:hint="eastAsia" w:ascii="宋体" w:hAnsi="宋体" w:eastAsia="宋体" w:cs="宋体"/>
                <w:color w:val="auto"/>
                <w:sz w:val="21"/>
                <w:szCs w:val="21"/>
                <w:highlight w:val="none"/>
              </w:rPr>
              <w:t>、利于提货</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 xml:space="preserve">得2分； </w:t>
            </w:r>
          </w:p>
          <w:p w14:paraId="6707CFF4">
            <w:pPr>
              <w:widowControl/>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门店分布不合理、前往网点交通</w:t>
            </w:r>
            <w:r>
              <w:rPr>
                <w:rFonts w:hint="eastAsia" w:ascii="宋体" w:hAnsi="宋体" w:eastAsia="宋体" w:cs="宋体"/>
                <w:color w:val="auto"/>
                <w:sz w:val="21"/>
                <w:szCs w:val="21"/>
                <w:highlight w:val="none"/>
                <w:lang w:eastAsia="zh-CN"/>
              </w:rPr>
              <w:t>不便捷</w:t>
            </w:r>
            <w:r>
              <w:rPr>
                <w:rFonts w:hint="eastAsia" w:ascii="宋体" w:hAnsi="宋体" w:eastAsia="宋体" w:cs="宋体"/>
                <w:color w:val="auto"/>
                <w:sz w:val="21"/>
                <w:szCs w:val="21"/>
                <w:highlight w:val="none"/>
              </w:rPr>
              <w:t>、不利于提货，</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得1分；</w:t>
            </w:r>
          </w:p>
          <w:p w14:paraId="23B19EE7">
            <w:pPr>
              <w:widowControl/>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4.未提供不得分。 </w:t>
            </w:r>
          </w:p>
          <w:p w14:paraId="4F440A23">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ind w:left="0" w:leftChars="0" w:firstLine="0" w:firstLineChars="0"/>
              <w:jc w:val="left"/>
              <w:textAlignment w:val="auto"/>
              <w:outlineLvl w:val="9"/>
              <w:rPr>
                <w:rFonts w:hint="eastAsia" w:ascii="宋体" w:hAnsi="宋体" w:eastAsia="宋体" w:cs="宋体"/>
                <w:color w:val="auto"/>
                <w:sz w:val="21"/>
                <w:szCs w:val="21"/>
                <w:highlight w:val="none"/>
              </w:rPr>
            </w:pPr>
            <w:bookmarkStart w:id="223" w:name="_Toc10108"/>
            <w:bookmarkStart w:id="224" w:name="_Toc1844"/>
            <w:r>
              <w:rPr>
                <w:rFonts w:hint="eastAsia" w:ascii="宋体" w:hAnsi="宋体" w:eastAsia="宋体" w:cs="宋体"/>
                <w:color w:val="auto"/>
                <w:sz w:val="21"/>
                <w:szCs w:val="21"/>
                <w:highlight w:val="none"/>
              </w:rPr>
              <w:t>注：提供实体门店（蛋糕专卖店）分布图及彩色实景图片，不提供不得分），无或未按要求递交证明材料的不得分。</w:t>
            </w:r>
            <w:bookmarkEnd w:id="223"/>
            <w:bookmarkEnd w:id="224"/>
          </w:p>
        </w:tc>
      </w:tr>
      <w:bookmarkEnd w:id="215"/>
      <w:bookmarkEnd w:id="222"/>
      <w:tr w14:paraId="4A31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732" w:type="dxa"/>
            <w:vMerge w:val="continue"/>
            <w:noWrap w:val="0"/>
            <w:vAlign w:val="center"/>
          </w:tcPr>
          <w:p w14:paraId="7B9ADB6D">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jc w:val="center"/>
              <w:textAlignment w:val="auto"/>
              <w:outlineLvl w:val="9"/>
              <w:rPr>
                <w:rFonts w:hint="eastAsia" w:ascii="宋体" w:hAnsi="宋体" w:eastAsia="宋体" w:cs="宋体"/>
                <w:color w:val="auto"/>
                <w:sz w:val="21"/>
                <w:szCs w:val="21"/>
                <w:highlight w:val="none"/>
                <w:vertAlign w:val="baseline"/>
              </w:rPr>
            </w:pPr>
          </w:p>
        </w:tc>
        <w:tc>
          <w:tcPr>
            <w:tcW w:w="1762" w:type="dxa"/>
            <w:vMerge w:val="continue"/>
            <w:noWrap w:val="0"/>
            <w:vAlign w:val="center"/>
          </w:tcPr>
          <w:p w14:paraId="04229FE1">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jc w:val="left"/>
              <w:textAlignment w:val="auto"/>
              <w:outlineLvl w:val="9"/>
              <w:rPr>
                <w:rFonts w:hint="eastAsia" w:ascii="宋体" w:hAnsi="宋体" w:eastAsia="宋体" w:cs="宋体"/>
                <w:color w:val="auto"/>
                <w:sz w:val="21"/>
                <w:szCs w:val="21"/>
                <w:highlight w:val="none"/>
                <w:vertAlign w:val="baseline"/>
              </w:rPr>
            </w:pPr>
          </w:p>
        </w:tc>
        <w:tc>
          <w:tcPr>
            <w:tcW w:w="1427" w:type="dxa"/>
            <w:vMerge w:val="continue"/>
            <w:noWrap w:val="0"/>
            <w:vAlign w:val="center"/>
          </w:tcPr>
          <w:p w14:paraId="12C02E71">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jc w:val="center"/>
              <w:textAlignment w:val="auto"/>
              <w:outlineLvl w:val="9"/>
              <w:rPr>
                <w:rFonts w:hint="eastAsia" w:ascii="宋体" w:hAnsi="宋体" w:eastAsia="宋体" w:cs="宋体"/>
                <w:color w:val="auto"/>
                <w:kern w:val="0"/>
                <w:sz w:val="21"/>
                <w:szCs w:val="21"/>
                <w:highlight w:val="none"/>
              </w:rPr>
            </w:pPr>
          </w:p>
        </w:tc>
        <w:tc>
          <w:tcPr>
            <w:tcW w:w="5042" w:type="dxa"/>
            <w:noWrap w:val="0"/>
            <w:vAlign w:val="center"/>
          </w:tcPr>
          <w:p w14:paraId="0406DE9F">
            <w:pPr>
              <w:widowControl/>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为充分保障</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lang w:eastAsia="zh-CN"/>
              </w:rPr>
              <w:t>会员的不同需求，</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 xml:space="preserve">提供的门店现有自营的食品种类（第三方品牌生产的饮料及食品除外）数量进行评分： </w:t>
            </w:r>
          </w:p>
          <w:p w14:paraId="4516457E">
            <w:pPr>
              <w:widowControl/>
              <w:snapToGrid w:val="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产品种类数量</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200</w:t>
            </w:r>
            <w:r>
              <w:rPr>
                <w:rFonts w:hint="eastAsia" w:ascii="宋体" w:hAnsi="宋体" w:eastAsia="宋体" w:cs="宋体"/>
                <w:color w:val="auto"/>
                <w:sz w:val="21"/>
                <w:szCs w:val="21"/>
                <w:highlight w:val="none"/>
              </w:rPr>
              <w:t>，得6分；</w:t>
            </w:r>
          </w:p>
          <w:p w14:paraId="53588549">
            <w:pPr>
              <w:widowControl/>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200＞产品种类数量</w:t>
            </w:r>
            <w:bookmarkStart w:id="225" w:name="OLE_LINK7"/>
            <w:r>
              <w:rPr>
                <w:rFonts w:hint="eastAsia" w:ascii="宋体" w:hAnsi="宋体" w:eastAsia="宋体" w:cs="宋体"/>
                <w:color w:val="auto"/>
                <w:sz w:val="21"/>
                <w:szCs w:val="21"/>
                <w:highlight w:val="none"/>
              </w:rPr>
              <w:t>≥150，得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bookmarkEnd w:id="225"/>
            <w:r>
              <w:rPr>
                <w:rFonts w:hint="eastAsia" w:ascii="宋体" w:hAnsi="宋体" w:eastAsia="宋体" w:cs="宋体"/>
                <w:color w:val="auto"/>
                <w:sz w:val="21"/>
                <w:szCs w:val="21"/>
                <w:highlight w:val="none"/>
              </w:rPr>
              <w:t xml:space="preserve"> </w:t>
            </w:r>
          </w:p>
          <w:p w14:paraId="3E489562">
            <w:pPr>
              <w:widowControl/>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.150＞产品种类数量≥100，得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66EF9ECA">
            <w:pPr>
              <w:widowControl/>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.100＞产品种类数量≥50，得2分；</w:t>
            </w:r>
          </w:p>
          <w:p w14:paraId="6DD4C687">
            <w:pPr>
              <w:widowControl/>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.低于50种的或未提供的不得分。</w:t>
            </w:r>
          </w:p>
          <w:p w14:paraId="4BAC1727">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ind w:left="0" w:leftChars="0" w:firstLine="0" w:firstLineChars="0"/>
              <w:jc w:val="left"/>
              <w:textAlignment w:val="auto"/>
              <w:outlineLvl w:val="9"/>
              <w:rPr>
                <w:rFonts w:hint="eastAsia" w:ascii="宋体" w:hAnsi="宋体" w:eastAsia="宋体" w:cs="宋体"/>
                <w:color w:val="auto"/>
                <w:sz w:val="21"/>
                <w:szCs w:val="21"/>
                <w:highlight w:val="none"/>
              </w:rPr>
            </w:pPr>
            <w:bookmarkStart w:id="226" w:name="_Toc13617"/>
            <w:bookmarkStart w:id="227" w:name="_Toc16152"/>
            <w:r>
              <w:rPr>
                <w:rFonts w:hint="eastAsia" w:ascii="宋体" w:hAnsi="宋体" w:eastAsia="宋体" w:cs="宋体"/>
                <w:color w:val="auto"/>
                <w:sz w:val="21"/>
                <w:szCs w:val="21"/>
                <w:highlight w:val="none"/>
              </w:rPr>
              <w:t>(须提供门店食品宣传彩页等相关证明材料，不提供不得分)</w:t>
            </w:r>
            <w:bookmarkEnd w:id="226"/>
            <w:bookmarkEnd w:id="227"/>
          </w:p>
        </w:tc>
      </w:tr>
      <w:tr w14:paraId="2371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732" w:type="dxa"/>
            <w:vMerge w:val="continue"/>
            <w:noWrap w:val="0"/>
            <w:vAlign w:val="center"/>
          </w:tcPr>
          <w:p w14:paraId="67294CDA">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jc w:val="center"/>
              <w:textAlignment w:val="auto"/>
              <w:outlineLvl w:val="9"/>
              <w:rPr>
                <w:rFonts w:hint="eastAsia" w:ascii="宋体" w:hAnsi="宋体" w:eastAsia="宋体" w:cs="宋体"/>
                <w:color w:val="auto"/>
                <w:sz w:val="21"/>
                <w:szCs w:val="21"/>
                <w:highlight w:val="none"/>
                <w:vertAlign w:val="baseline"/>
              </w:rPr>
            </w:pPr>
          </w:p>
        </w:tc>
        <w:tc>
          <w:tcPr>
            <w:tcW w:w="1762" w:type="dxa"/>
            <w:vMerge w:val="continue"/>
            <w:noWrap w:val="0"/>
            <w:vAlign w:val="center"/>
          </w:tcPr>
          <w:p w14:paraId="2D31CD14">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jc w:val="left"/>
              <w:textAlignment w:val="auto"/>
              <w:outlineLvl w:val="9"/>
              <w:rPr>
                <w:rFonts w:hint="eastAsia" w:ascii="宋体" w:hAnsi="宋体" w:eastAsia="宋体" w:cs="宋体"/>
                <w:color w:val="auto"/>
                <w:sz w:val="21"/>
                <w:szCs w:val="21"/>
                <w:highlight w:val="none"/>
                <w:vertAlign w:val="baseline"/>
              </w:rPr>
            </w:pPr>
          </w:p>
        </w:tc>
        <w:tc>
          <w:tcPr>
            <w:tcW w:w="1427" w:type="dxa"/>
            <w:noWrap w:val="0"/>
            <w:vAlign w:val="center"/>
          </w:tcPr>
          <w:p w14:paraId="094A84F2">
            <w:pPr>
              <w:pStyle w:val="22"/>
              <w:snapToGrid w:val="0"/>
              <w:spacing w:after="0"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总体实施服务方案</w:t>
            </w:r>
          </w:p>
          <w:p w14:paraId="444BCD5E">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ind w:left="0" w:leftChars="0" w:firstLine="0" w:firstLineChars="0"/>
              <w:jc w:val="center"/>
              <w:textAlignment w:val="auto"/>
              <w:outlineLvl w:val="9"/>
              <w:rPr>
                <w:rFonts w:hint="eastAsia" w:ascii="宋体" w:hAnsi="宋体" w:eastAsia="宋体" w:cs="宋体"/>
                <w:color w:val="auto"/>
                <w:kern w:val="0"/>
                <w:sz w:val="21"/>
                <w:szCs w:val="21"/>
                <w:highlight w:val="none"/>
              </w:rPr>
            </w:pPr>
            <w:bookmarkStart w:id="228" w:name="_Toc28162"/>
            <w:bookmarkStart w:id="229" w:name="_Toc11483"/>
            <w:r>
              <w:rPr>
                <w:rFonts w:hint="eastAsia" w:ascii="宋体" w:hAnsi="宋体" w:eastAsia="宋体" w:cs="宋体"/>
                <w:color w:val="auto"/>
                <w:kern w:val="0"/>
                <w:sz w:val="21"/>
                <w:szCs w:val="21"/>
                <w:highlight w:val="none"/>
              </w:rPr>
              <w:t>（5分）</w:t>
            </w:r>
            <w:bookmarkEnd w:id="228"/>
            <w:bookmarkEnd w:id="229"/>
          </w:p>
        </w:tc>
        <w:tc>
          <w:tcPr>
            <w:tcW w:w="5042" w:type="dxa"/>
            <w:noWrap w:val="0"/>
            <w:vAlign w:val="center"/>
          </w:tcPr>
          <w:p w14:paraId="60929D7D">
            <w:pPr>
              <w:widowControl/>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在满足采购需求的前提下，根据各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提供的总体实施服务方案进行评审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包括但不限于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①产品设计与定制化服务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②生产计划与时间安排；③</w:t>
            </w:r>
            <w:r>
              <w:rPr>
                <w:rFonts w:hint="eastAsia" w:ascii="宋体" w:hAnsi="宋体" w:eastAsia="宋体" w:cs="宋体"/>
                <w:color w:val="auto"/>
                <w:sz w:val="21"/>
                <w:szCs w:val="21"/>
                <w:highlight w:val="none"/>
                <w:lang w:eastAsia="zh-CN"/>
              </w:rPr>
              <w:t>配送服务方案；</w:t>
            </w:r>
            <w:r>
              <w:rPr>
                <w:rFonts w:hint="eastAsia" w:ascii="宋体" w:hAnsi="宋体" w:eastAsia="宋体" w:cs="宋体"/>
                <w:color w:val="auto"/>
                <w:sz w:val="21"/>
                <w:szCs w:val="21"/>
                <w:highlight w:val="none"/>
              </w:rPr>
              <w:t>④</w:t>
            </w:r>
            <w:r>
              <w:rPr>
                <w:rFonts w:hint="eastAsia" w:ascii="宋体" w:hAnsi="宋体" w:eastAsia="宋体" w:cs="宋体"/>
                <w:color w:val="auto"/>
                <w:sz w:val="21"/>
                <w:szCs w:val="21"/>
                <w:highlight w:val="none"/>
                <w:lang w:eastAsia="zh-CN"/>
              </w:rPr>
              <w:t>配送速度；</w:t>
            </w:r>
            <w:r>
              <w:rPr>
                <w:rFonts w:hint="eastAsia" w:ascii="宋体" w:hAnsi="宋体" w:eastAsia="宋体" w:cs="宋体"/>
                <w:color w:val="auto"/>
                <w:sz w:val="21"/>
                <w:szCs w:val="21"/>
                <w:highlight w:val="none"/>
              </w:rPr>
              <w:t>⑤特殊需求处理能力</w:t>
            </w:r>
            <w:r>
              <w:rPr>
                <w:rFonts w:hint="eastAsia" w:ascii="宋体" w:hAnsi="宋体" w:eastAsia="宋体" w:cs="宋体"/>
                <w:color w:val="auto"/>
                <w:sz w:val="21"/>
                <w:szCs w:val="21"/>
                <w:highlight w:val="none"/>
                <w:lang w:eastAsia="zh-CN"/>
              </w:rPr>
              <w:t>；</w:t>
            </w:r>
            <w:bookmarkStart w:id="230" w:name="OLE_LINK8"/>
            <w:r>
              <w:rPr>
                <w:rFonts w:hint="eastAsia" w:ascii="宋体" w:hAnsi="宋体" w:eastAsia="宋体" w:cs="宋体"/>
                <w:color w:val="auto"/>
                <w:sz w:val="21"/>
                <w:szCs w:val="21"/>
                <w:highlight w:val="none"/>
                <w:lang w:eastAsia="zh-CN"/>
              </w:rPr>
              <w:t>以上内容齐全且合理的得</w:t>
            </w:r>
            <w:r>
              <w:rPr>
                <w:rFonts w:hint="eastAsia" w:ascii="宋体" w:hAnsi="宋体" w:eastAsia="宋体" w:cs="宋体"/>
                <w:color w:val="auto"/>
                <w:sz w:val="21"/>
                <w:szCs w:val="21"/>
                <w:highlight w:val="none"/>
                <w:lang w:val="en-US" w:eastAsia="zh-CN"/>
              </w:rPr>
              <w:t>5分。</w:t>
            </w:r>
            <w:bookmarkEnd w:id="230"/>
          </w:p>
          <w:p w14:paraId="4041C731">
            <w:pPr>
              <w:widowControl/>
              <w:snapToGrid w:val="0"/>
              <w:spacing w:line="360" w:lineRule="auto"/>
              <w:jc w:val="left"/>
              <w:rPr>
                <w:rFonts w:hint="eastAsia" w:ascii="宋体" w:hAnsi="宋体" w:eastAsia="宋体" w:cs="宋体"/>
                <w:color w:val="auto"/>
                <w:sz w:val="21"/>
                <w:szCs w:val="21"/>
                <w:highlight w:val="none"/>
                <w:lang w:eastAsia="zh-CN"/>
              </w:rPr>
            </w:pPr>
            <w:bookmarkStart w:id="231" w:name="OLE_LINK9"/>
            <w:r>
              <w:rPr>
                <w:rFonts w:hint="eastAsia" w:ascii="宋体" w:hAnsi="宋体" w:eastAsia="宋体" w:cs="宋体"/>
                <w:color w:val="auto"/>
                <w:sz w:val="21"/>
                <w:szCs w:val="21"/>
                <w:highlight w:val="none"/>
              </w:rPr>
              <w:t>未提供</w:t>
            </w:r>
            <w:r>
              <w:rPr>
                <w:rFonts w:hint="eastAsia" w:ascii="宋体" w:hAnsi="宋体" w:eastAsia="宋体" w:cs="宋体"/>
                <w:color w:val="auto"/>
                <w:sz w:val="21"/>
                <w:szCs w:val="21"/>
                <w:highlight w:val="none"/>
                <w:lang w:eastAsia="zh-CN"/>
              </w:rPr>
              <w:t>的得</w:t>
            </w:r>
            <w:r>
              <w:rPr>
                <w:rFonts w:hint="eastAsia" w:ascii="宋体" w:hAnsi="宋体" w:eastAsia="宋体" w:cs="宋体"/>
                <w:color w:val="auto"/>
                <w:sz w:val="21"/>
                <w:szCs w:val="21"/>
                <w:highlight w:val="none"/>
              </w:rPr>
              <w:t>0分</w:t>
            </w:r>
            <w:r>
              <w:rPr>
                <w:rFonts w:hint="eastAsia" w:ascii="宋体" w:hAnsi="宋体" w:eastAsia="宋体" w:cs="宋体"/>
                <w:color w:val="auto"/>
                <w:sz w:val="21"/>
                <w:szCs w:val="21"/>
                <w:highlight w:val="none"/>
                <w:lang w:eastAsia="zh-CN"/>
              </w:rPr>
              <w:t>。</w:t>
            </w:r>
          </w:p>
          <w:p w14:paraId="618AC5F6">
            <w:pPr>
              <w:widowControl/>
              <w:snapToGrid w:val="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有标题无实质性描述</w:t>
            </w:r>
            <w:r>
              <w:rPr>
                <w:rFonts w:hint="eastAsia" w:ascii="宋体" w:hAnsi="宋体" w:eastAsia="宋体" w:cs="宋体"/>
                <w:color w:val="auto"/>
                <w:sz w:val="21"/>
                <w:szCs w:val="21"/>
                <w:highlight w:val="none"/>
                <w:lang w:eastAsia="zh-CN"/>
              </w:rPr>
              <w:t>的，每项</w:t>
            </w:r>
            <w:r>
              <w:rPr>
                <w:rFonts w:hint="eastAsia" w:ascii="宋体" w:hAnsi="宋体" w:eastAsia="宋体" w:cs="宋体"/>
                <w:color w:val="auto"/>
                <w:sz w:val="21"/>
                <w:szCs w:val="21"/>
                <w:highlight w:val="none"/>
              </w:rPr>
              <w:t>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，扣完为止。</w:t>
            </w:r>
          </w:p>
          <w:p w14:paraId="320D8F79">
            <w:pPr>
              <w:widowControl/>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存在缺陷的，</w:t>
            </w:r>
            <w:r>
              <w:rPr>
                <w:rFonts w:hint="eastAsia" w:ascii="宋体" w:hAnsi="宋体" w:eastAsia="宋体" w:cs="宋体"/>
                <w:color w:val="auto"/>
                <w:sz w:val="21"/>
                <w:szCs w:val="21"/>
                <w:highlight w:val="none"/>
              </w:rPr>
              <w:t>每处缺陷扣</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分，本项扣完</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分为止。</w:t>
            </w:r>
          </w:p>
          <w:bookmarkEnd w:id="231"/>
          <w:p w14:paraId="27E8FBCA">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ind w:left="0" w:leftChars="0" w:firstLine="0" w:firstLineChars="0"/>
              <w:jc w:val="left"/>
              <w:textAlignment w:val="auto"/>
              <w:outlineLvl w:val="9"/>
              <w:rPr>
                <w:rFonts w:hint="eastAsia" w:ascii="宋体" w:hAnsi="宋体" w:eastAsia="宋体" w:cs="宋体"/>
                <w:color w:val="auto"/>
                <w:sz w:val="21"/>
                <w:szCs w:val="21"/>
                <w:highlight w:val="none"/>
              </w:rPr>
            </w:pPr>
            <w:bookmarkStart w:id="232" w:name="_Toc257"/>
            <w:bookmarkStart w:id="233" w:name="_Toc27042"/>
            <w:r>
              <w:rPr>
                <w:rFonts w:hint="eastAsia" w:ascii="宋体" w:hAnsi="宋体" w:eastAsia="宋体" w:cs="宋体"/>
                <w:color w:val="auto"/>
                <w:sz w:val="21"/>
                <w:szCs w:val="21"/>
                <w:highlight w:val="none"/>
              </w:rPr>
              <w:t>（缺陷是指:非专门针对本项目或不适用项目特性的情形、内容不完整或缺少关键节点、套用其他项目方案、内容前后矛盾、涉及的规范及标准错误、不利于项目实施、不可能实现的情形等任意一种情形。）</w:t>
            </w:r>
            <w:bookmarkEnd w:id="232"/>
            <w:bookmarkEnd w:id="233"/>
          </w:p>
        </w:tc>
      </w:tr>
      <w:tr w14:paraId="5603E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732" w:type="dxa"/>
            <w:vMerge w:val="continue"/>
            <w:noWrap w:val="0"/>
            <w:vAlign w:val="center"/>
          </w:tcPr>
          <w:p w14:paraId="1FD9C537">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jc w:val="center"/>
              <w:textAlignment w:val="auto"/>
              <w:outlineLvl w:val="9"/>
              <w:rPr>
                <w:rFonts w:hint="eastAsia" w:ascii="宋体" w:hAnsi="宋体" w:eastAsia="宋体" w:cs="宋体"/>
                <w:color w:val="auto"/>
                <w:sz w:val="21"/>
                <w:szCs w:val="21"/>
                <w:highlight w:val="none"/>
                <w:vertAlign w:val="baseline"/>
              </w:rPr>
            </w:pPr>
          </w:p>
        </w:tc>
        <w:tc>
          <w:tcPr>
            <w:tcW w:w="1762" w:type="dxa"/>
            <w:vMerge w:val="continue"/>
            <w:noWrap w:val="0"/>
            <w:vAlign w:val="center"/>
          </w:tcPr>
          <w:p w14:paraId="6F0D64FC">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jc w:val="left"/>
              <w:textAlignment w:val="auto"/>
              <w:outlineLvl w:val="9"/>
              <w:rPr>
                <w:rFonts w:hint="eastAsia" w:ascii="宋体" w:hAnsi="宋体" w:eastAsia="宋体" w:cs="宋体"/>
                <w:color w:val="auto"/>
                <w:sz w:val="21"/>
                <w:szCs w:val="21"/>
                <w:highlight w:val="none"/>
                <w:vertAlign w:val="baseline"/>
              </w:rPr>
            </w:pPr>
          </w:p>
        </w:tc>
        <w:tc>
          <w:tcPr>
            <w:tcW w:w="1427" w:type="dxa"/>
            <w:noWrap w:val="0"/>
            <w:vAlign w:val="center"/>
          </w:tcPr>
          <w:p w14:paraId="37F1DA4B">
            <w:pPr>
              <w:pStyle w:val="22"/>
              <w:snapToGrid w:val="0"/>
              <w:spacing w:after="0"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w:t>
            </w:r>
          </w:p>
          <w:p w14:paraId="39A87B68">
            <w:pPr>
              <w:pStyle w:val="22"/>
              <w:snapToGrid w:val="0"/>
              <w:spacing w:after="0"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w:t>
            </w:r>
          </w:p>
          <w:p w14:paraId="531F32D9">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ind w:left="0" w:leftChars="0" w:firstLine="0" w:firstLineChars="0"/>
              <w:jc w:val="center"/>
              <w:textAlignment w:val="auto"/>
              <w:outlineLvl w:val="9"/>
              <w:rPr>
                <w:rFonts w:hint="eastAsia" w:ascii="宋体" w:hAnsi="宋体" w:eastAsia="宋体" w:cs="宋体"/>
                <w:color w:val="auto"/>
                <w:kern w:val="0"/>
                <w:sz w:val="21"/>
                <w:szCs w:val="21"/>
                <w:highlight w:val="none"/>
              </w:rPr>
            </w:pPr>
            <w:bookmarkStart w:id="234" w:name="_Toc15020"/>
            <w:bookmarkStart w:id="235" w:name="_Toc31026"/>
            <w:r>
              <w:rPr>
                <w:rFonts w:hint="eastAsia" w:ascii="宋体" w:hAnsi="宋体" w:eastAsia="宋体" w:cs="宋体"/>
                <w:color w:val="auto"/>
                <w:kern w:val="0"/>
                <w:sz w:val="21"/>
                <w:szCs w:val="21"/>
                <w:highlight w:val="none"/>
              </w:rPr>
              <w:t>（5分）</w:t>
            </w:r>
            <w:bookmarkEnd w:id="234"/>
            <w:bookmarkEnd w:id="235"/>
          </w:p>
        </w:tc>
        <w:tc>
          <w:tcPr>
            <w:tcW w:w="5042" w:type="dxa"/>
            <w:noWrap w:val="0"/>
            <w:vAlign w:val="center"/>
          </w:tcPr>
          <w:p w14:paraId="6D6971F4">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的售后服务方案</w:t>
            </w:r>
            <w:r>
              <w:rPr>
                <w:rFonts w:hint="eastAsia" w:ascii="宋体" w:hAnsi="宋体" w:eastAsia="宋体" w:cs="宋体"/>
                <w:color w:val="auto"/>
                <w:sz w:val="21"/>
                <w:szCs w:val="21"/>
                <w:highlight w:val="none"/>
                <w:lang w:eastAsia="zh-CN"/>
              </w:rPr>
              <w:t>，售后服务方案</w:t>
            </w:r>
            <w:r>
              <w:rPr>
                <w:rFonts w:hint="eastAsia" w:ascii="宋体" w:hAnsi="宋体" w:eastAsia="宋体" w:cs="宋体"/>
                <w:color w:val="auto"/>
                <w:sz w:val="21"/>
                <w:szCs w:val="21"/>
                <w:highlight w:val="none"/>
              </w:rPr>
              <w:t>包含但不限于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①退换货政策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②服务热线与响应时间；③投诉处理机制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④后续支持服务；⑤满意度跟踪</w:t>
            </w:r>
            <w:r>
              <w:rPr>
                <w:rFonts w:hint="eastAsia" w:ascii="宋体" w:hAnsi="宋体" w:eastAsia="宋体" w:cs="宋体"/>
                <w:color w:val="auto"/>
                <w:sz w:val="21"/>
                <w:szCs w:val="21"/>
                <w:highlight w:val="none"/>
                <w:lang w:eastAsia="zh-CN"/>
              </w:rPr>
              <w:t>；以上内容齐全且合理的得</w:t>
            </w:r>
            <w:r>
              <w:rPr>
                <w:rFonts w:hint="eastAsia" w:ascii="宋体" w:hAnsi="宋体" w:eastAsia="宋体" w:cs="宋体"/>
                <w:color w:val="auto"/>
                <w:sz w:val="21"/>
                <w:szCs w:val="21"/>
                <w:highlight w:val="none"/>
                <w:lang w:val="en-US" w:eastAsia="zh-CN"/>
              </w:rPr>
              <w:t>5分。</w:t>
            </w:r>
          </w:p>
          <w:p w14:paraId="2312CF54">
            <w:pPr>
              <w:widowControl/>
              <w:snapToGrid w:val="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未提供</w:t>
            </w:r>
            <w:r>
              <w:rPr>
                <w:rFonts w:hint="eastAsia" w:ascii="宋体" w:hAnsi="宋体" w:eastAsia="宋体" w:cs="宋体"/>
                <w:color w:val="auto"/>
                <w:sz w:val="21"/>
                <w:szCs w:val="21"/>
                <w:highlight w:val="none"/>
                <w:lang w:eastAsia="zh-CN"/>
              </w:rPr>
              <w:t>的得</w:t>
            </w:r>
            <w:r>
              <w:rPr>
                <w:rFonts w:hint="eastAsia" w:ascii="宋体" w:hAnsi="宋体" w:eastAsia="宋体" w:cs="宋体"/>
                <w:color w:val="auto"/>
                <w:sz w:val="21"/>
                <w:szCs w:val="21"/>
                <w:highlight w:val="none"/>
              </w:rPr>
              <w:t>0分</w:t>
            </w:r>
            <w:r>
              <w:rPr>
                <w:rFonts w:hint="eastAsia" w:ascii="宋体" w:hAnsi="宋体" w:eastAsia="宋体" w:cs="宋体"/>
                <w:color w:val="auto"/>
                <w:sz w:val="21"/>
                <w:szCs w:val="21"/>
                <w:highlight w:val="none"/>
                <w:lang w:eastAsia="zh-CN"/>
              </w:rPr>
              <w:t>。</w:t>
            </w:r>
          </w:p>
          <w:p w14:paraId="31A5A52D">
            <w:pPr>
              <w:widowControl/>
              <w:snapToGrid w:val="0"/>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有标题无实质性描述</w:t>
            </w:r>
            <w:r>
              <w:rPr>
                <w:rFonts w:hint="eastAsia" w:ascii="宋体" w:hAnsi="宋体" w:eastAsia="宋体" w:cs="宋体"/>
                <w:color w:val="auto"/>
                <w:sz w:val="21"/>
                <w:szCs w:val="21"/>
                <w:highlight w:val="none"/>
                <w:lang w:eastAsia="zh-CN"/>
              </w:rPr>
              <w:t>的，每项</w:t>
            </w:r>
            <w:r>
              <w:rPr>
                <w:rFonts w:hint="eastAsia" w:ascii="宋体" w:hAnsi="宋体" w:eastAsia="宋体" w:cs="宋体"/>
                <w:color w:val="auto"/>
                <w:sz w:val="21"/>
                <w:szCs w:val="21"/>
                <w:highlight w:val="none"/>
              </w:rPr>
              <w:t>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，扣完为止。</w:t>
            </w:r>
          </w:p>
          <w:p w14:paraId="379E37EC">
            <w:pPr>
              <w:widowControl/>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存在缺陷的，</w:t>
            </w:r>
            <w:r>
              <w:rPr>
                <w:rFonts w:hint="eastAsia" w:ascii="宋体" w:hAnsi="宋体" w:eastAsia="宋体" w:cs="宋体"/>
                <w:color w:val="auto"/>
                <w:sz w:val="21"/>
                <w:szCs w:val="21"/>
                <w:highlight w:val="none"/>
              </w:rPr>
              <w:t>每处缺陷扣</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分，本项扣完</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分为止。</w:t>
            </w:r>
          </w:p>
          <w:p w14:paraId="1608C3D9">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ind w:left="0" w:leftChars="0" w:firstLine="0" w:firstLineChars="0"/>
              <w:jc w:val="left"/>
              <w:textAlignment w:val="auto"/>
              <w:outlineLvl w:val="9"/>
              <w:rPr>
                <w:rFonts w:hint="eastAsia" w:ascii="宋体" w:hAnsi="宋体" w:eastAsia="宋体" w:cs="宋体"/>
                <w:color w:val="auto"/>
                <w:sz w:val="21"/>
                <w:szCs w:val="21"/>
                <w:highlight w:val="none"/>
              </w:rPr>
            </w:pPr>
            <w:bookmarkStart w:id="236" w:name="_Toc3"/>
            <w:bookmarkStart w:id="237" w:name="_Toc9508"/>
            <w:r>
              <w:rPr>
                <w:rFonts w:hint="eastAsia" w:ascii="宋体" w:hAnsi="宋体" w:eastAsia="宋体" w:cs="宋体"/>
                <w:color w:val="auto"/>
                <w:sz w:val="21"/>
                <w:szCs w:val="21"/>
                <w:highlight w:val="none"/>
              </w:rPr>
              <w:t>（缺陷是指:非专门针对本项目或不适用项目特性的情形、内容不完整或缺少关键节点、套用其他项目方案、内容前后矛盾、涉及的规范及标准错误、不利于项目实施、不可能实现的情形等任意一种情形。）</w:t>
            </w:r>
            <w:bookmarkEnd w:id="236"/>
            <w:bookmarkEnd w:id="237"/>
          </w:p>
        </w:tc>
      </w:tr>
      <w:tr w14:paraId="666E4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732" w:type="dxa"/>
            <w:vMerge w:val="continue"/>
            <w:noWrap w:val="0"/>
            <w:vAlign w:val="center"/>
          </w:tcPr>
          <w:p w14:paraId="5B0619F2">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jc w:val="center"/>
              <w:textAlignment w:val="auto"/>
              <w:outlineLvl w:val="9"/>
              <w:rPr>
                <w:rFonts w:hint="eastAsia" w:ascii="宋体" w:hAnsi="宋体" w:eastAsia="宋体" w:cs="宋体"/>
                <w:color w:val="auto"/>
                <w:sz w:val="21"/>
                <w:szCs w:val="21"/>
                <w:highlight w:val="none"/>
                <w:vertAlign w:val="baseline"/>
              </w:rPr>
            </w:pPr>
          </w:p>
        </w:tc>
        <w:tc>
          <w:tcPr>
            <w:tcW w:w="1762" w:type="dxa"/>
            <w:vMerge w:val="continue"/>
            <w:noWrap w:val="0"/>
            <w:vAlign w:val="center"/>
          </w:tcPr>
          <w:p w14:paraId="4788FA51">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jc w:val="left"/>
              <w:textAlignment w:val="auto"/>
              <w:outlineLvl w:val="9"/>
              <w:rPr>
                <w:rFonts w:hint="eastAsia" w:ascii="宋体" w:hAnsi="宋体" w:eastAsia="宋体" w:cs="宋体"/>
                <w:color w:val="auto"/>
                <w:sz w:val="21"/>
                <w:szCs w:val="21"/>
                <w:highlight w:val="none"/>
                <w:vertAlign w:val="baseline"/>
              </w:rPr>
            </w:pPr>
          </w:p>
        </w:tc>
        <w:tc>
          <w:tcPr>
            <w:tcW w:w="1427" w:type="dxa"/>
            <w:noWrap w:val="0"/>
            <w:vAlign w:val="center"/>
          </w:tcPr>
          <w:p w14:paraId="63B13794">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样品</w:t>
            </w:r>
          </w:p>
          <w:p w14:paraId="411D8FFC">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ind w:left="0" w:leftChars="0" w:firstLine="0" w:firstLineChars="0"/>
              <w:jc w:val="center"/>
              <w:textAlignment w:val="auto"/>
              <w:outlineLvl w:val="9"/>
              <w:rPr>
                <w:rFonts w:hint="eastAsia" w:ascii="宋体" w:hAnsi="宋体" w:eastAsia="宋体" w:cs="宋体"/>
                <w:color w:val="auto"/>
                <w:kern w:val="0"/>
                <w:sz w:val="21"/>
                <w:szCs w:val="21"/>
                <w:highlight w:val="none"/>
              </w:rPr>
            </w:pPr>
            <w:bookmarkStart w:id="238" w:name="_Toc23271"/>
            <w:bookmarkStart w:id="239" w:name="_Toc11165"/>
            <w:r>
              <w:rPr>
                <w:rFonts w:hint="eastAsia" w:ascii="宋体" w:hAnsi="宋体" w:eastAsia="宋体" w:cs="宋体"/>
                <w:color w:val="auto"/>
                <w:sz w:val="21"/>
                <w:szCs w:val="21"/>
                <w:highlight w:val="none"/>
              </w:rPr>
              <w:t>（12分）</w:t>
            </w:r>
            <w:bookmarkEnd w:id="238"/>
            <w:bookmarkEnd w:id="239"/>
          </w:p>
        </w:tc>
        <w:tc>
          <w:tcPr>
            <w:tcW w:w="5042" w:type="dxa"/>
            <w:noWrap w:val="0"/>
            <w:vAlign w:val="center"/>
          </w:tcPr>
          <w:p w14:paraId="2BFF0643">
            <w:pPr>
              <w:pStyle w:val="22"/>
              <w:keepNext w:val="0"/>
              <w:keepLines w:val="0"/>
              <w:pageBreakBefore w:val="0"/>
              <w:kinsoku/>
              <w:wordWrap/>
              <w:overflowPunct/>
              <w:topLinePunct w:val="0"/>
              <w:autoSpaceDE/>
              <w:autoSpaceDN/>
              <w:bidi w:val="0"/>
              <w:adjustRightInd/>
              <w:snapToGrid w:val="0"/>
              <w:spacing w:after="0"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应根据招标文件要求提供投标样品供评标委员会进行评审，</w:t>
            </w:r>
            <w:r>
              <w:rPr>
                <w:rFonts w:hint="eastAsia" w:ascii="宋体" w:hAnsi="宋体" w:eastAsia="宋体" w:cs="宋体"/>
                <w:color w:val="auto"/>
                <w:sz w:val="21"/>
                <w:szCs w:val="21"/>
                <w:highlight w:val="none"/>
              </w:rPr>
              <w:t>每个样品均需以标签形式标明</w:t>
            </w:r>
            <w:r>
              <w:rPr>
                <w:rFonts w:hint="eastAsia" w:ascii="宋体" w:hAnsi="宋体" w:eastAsia="宋体" w:cs="宋体"/>
                <w:color w:val="auto"/>
                <w:kern w:val="0"/>
                <w:sz w:val="21"/>
                <w:szCs w:val="21"/>
                <w:highlight w:val="none"/>
              </w:rPr>
              <w:t>供应商</w:t>
            </w:r>
            <w:r>
              <w:rPr>
                <w:rFonts w:hint="eastAsia" w:ascii="宋体" w:hAnsi="宋体" w:eastAsia="宋体" w:cs="宋体"/>
                <w:color w:val="auto"/>
                <w:sz w:val="21"/>
                <w:szCs w:val="21"/>
                <w:highlight w:val="none"/>
              </w:rPr>
              <w:t>名称；未按要求提供样品，样品提供不全或提供不符合规格要求的样品的本项得0分。</w:t>
            </w:r>
          </w:p>
          <w:p w14:paraId="7B2BD42A">
            <w:pPr>
              <w:pStyle w:val="22"/>
              <w:keepNext w:val="0"/>
              <w:keepLines w:val="0"/>
              <w:pageBreakBefore w:val="0"/>
              <w:kinsoku/>
              <w:wordWrap/>
              <w:overflowPunct/>
              <w:topLinePunct w:val="0"/>
              <w:autoSpaceDE/>
              <w:autoSpaceDN/>
              <w:bidi w:val="0"/>
              <w:adjustRightInd/>
              <w:snapToGrid w:val="0"/>
              <w:spacing w:after="0"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评标委员会根据供应商提供样品情况评审：</w:t>
            </w:r>
          </w:p>
          <w:p w14:paraId="703B191C">
            <w:pPr>
              <w:pStyle w:val="22"/>
              <w:keepNext w:val="0"/>
              <w:keepLines w:val="0"/>
              <w:pageBreakBefore w:val="0"/>
              <w:kinsoku/>
              <w:wordWrap/>
              <w:overflowPunct/>
              <w:topLinePunct w:val="0"/>
              <w:autoSpaceDE/>
              <w:autoSpaceDN/>
              <w:bidi w:val="0"/>
              <w:adjustRightInd/>
              <w:snapToGrid w:val="0"/>
              <w:spacing w:after="0" w:line="360" w:lineRule="auto"/>
              <w:ind w:left="0" w:lef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1.对投标样品的外观进行评审</w:t>
            </w:r>
            <w:r>
              <w:rPr>
                <w:rFonts w:hint="eastAsia" w:ascii="宋体" w:hAnsi="宋体" w:eastAsia="宋体" w:cs="宋体"/>
                <w:color w:val="auto"/>
                <w:sz w:val="21"/>
                <w:szCs w:val="21"/>
                <w:highlight w:val="none"/>
                <w:lang w:eastAsia="zh-CN"/>
              </w:rPr>
              <w:t>：</w:t>
            </w:r>
          </w:p>
          <w:p w14:paraId="27B24A07">
            <w:pPr>
              <w:pStyle w:val="22"/>
              <w:keepNext w:val="0"/>
              <w:keepLines w:val="0"/>
              <w:pageBreakBefore w:val="0"/>
              <w:kinsoku/>
              <w:wordWrap/>
              <w:overflowPunct/>
              <w:topLinePunct w:val="0"/>
              <w:autoSpaceDE/>
              <w:autoSpaceDN/>
              <w:bidi w:val="0"/>
              <w:adjustRightInd/>
              <w:snapToGrid w:val="0"/>
              <w:spacing w:after="0" w:line="360" w:lineRule="auto"/>
              <w:ind w:left="0" w:lef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整体造型独特、美观大方，具有较高的艺术感和吸引力</w:t>
            </w:r>
            <w:r>
              <w:rPr>
                <w:rFonts w:hint="eastAsia" w:ascii="宋体" w:hAnsi="宋体" w:eastAsia="宋体" w:cs="宋体"/>
                <w:color w:val="auto"/>
                <w:sz w:val="21"/>
                <w:szCs w:val="21"/>
                <w:highlight w:val="none"/>
                <w:lang w:eastAsia="zh-CN"/>
              </w:rPr>
              <w:t>；色泽均匀、自然；装饰精致、细腻，与整体风格协调一致</w:t>
            </w:r>
            <w:r>
              <w:rPr>
                <w:rFonts w:hint="eastAsia" w:ascii="宋体" w:hAnsi="宋体" w:eastAsia="宋体" w:cs="宋体"/>
                <w:color w:val="auto"/>
                <w:kern w:val="0"/>
                <w:sz w:val="21"/>
                <w:szCs w:val="21"/>
                <w:highlight w:val="none"/>
              </w:rPr>
              <w:t>的得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p>
          <w:p w14:paraId="1F09D786">
            <w:pPr>
              <w:pStyle w:val="22"/>
              <w:keepNext w:val="0"/>
              <w:keepLines w:val="0"/>
              <w:pageBreakBefore w:val="0"/>
              <w:kinsoku/>
              <w:wordWrap/>
              <w:overflowPunct/>
              <w:topLinePunct w:val="0"/>
              <w:autoSpaceDE/>
              <w:autoSpaceDN/>
              <w:bidi w:val="0"/>
              <w:adjustRightInd/>
              <w:snapToGrid w:val="0"/>
              <w:spacing w:after="0" w:line="360" w:lineRule="auto"/>
              <w:ind w:left="0" w:lef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整体</w:t>
            </w:r>
            <w:r>
              <w:rPr>
                <w:rFonts w:hint="eastAsia" w:ascii="宋体" w:hAnsi="宋体" w:eastAsia="宋体" w:cs="宋体"/>
                <w:color w:val="auto"/>
                <w:kern w:val="0"/>
                <w:sz w:val="21"/>
                <w:szCs w:val="21"/>
                <w:highlight w:val="none"/>
              </w:rPr>
              <w:t>造型较为规整，有一定的美感</w:t>
            </w:r>
            <w:r>
              <w:rPr>
                <w:rFonts w:hint="eastAsia" w:ascii="宋体" w:hAnsi="宋体" w:eastAsia="宋体" w:cs="宋体"/>
                <w:color w:val="auto"/>
                <w:kern w:val="0"/>
                <w:sz w:val="21"/>
                <w:szCs w:val="21"/>
                <w:highlight w:val="none"/>
                <w:lang w:eastAsia="zh-CN"/>
              </w:rPr>
              <w:t>；色泽基本均匀，装饰简单，但不影响整体效果</w:t>
            </w:r>
            <w:r>
              <w:rPr>
                <w:rFonts w:hint="eastAsia" w:ascii="宋体" w:hAnsi="宋体" w:eastAsia="宋体" w:cs="宋体"/>
                <w:color w:val="auto"/>
                <w:kern w:val="0"/>
                <w:sz w:val="21"/>
                <w:szCs w:val="21"/>
                <w:highlight w:val="none"/>
              </w:rPr>
              <w:t>的得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p>
          <w:p w14:paraId="45E1BC06">
            <w:pPr>
              <w:pStyle w:val="22"/>
              <w:keepNext w:val="0"/>
              <w:keepLines w:val="0"/>
              <w:pageBreakBefore w:val="0"/>
              <w:kinsoku/>
              <w:wordWrap/>
              <w:overflowPunct/>
              <w:topLinePunct w:val="0"/>
              <w:autoSpaceDE/>
              <w:autoSpaceDN/>
              <w:bidi w:val="0"/>
              <w:adjustRightInd/>
              <w:snapToGrid w:val="0"/>
              <w:spacing w:after="0"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整体</w:t>
            </w:r>
            <w:r>
              <w:rPr>
                <w:rFonts w:hint="eastAsia" w:ascii="宋体" w:hAnsi="宋体" w:eastAsia="宋体" w:cs="宋体"/>
                <w:color w:val="auto"/>
                <w:kern w:val="0"/>
                <w:sz w:val="21"/>
                <w:szCs w:val="21"/>
                <w:highlight w:val="none"/>
              </w:rPr>
              <w:t>造型普通，缺乏特色</w:t>
            </w:r>
            <w:r>
              <w:rPr>
                <w:rFonts w:hint="eastAsia" w:ascii="宋体" w:hAnsi="宋体" w:eastAsia="宋体" w:cs="宋体"/>
                <w:color w:val="auto"/>
                <w:kern w:val="0"/>
                <w:sz w:val="21"/>
                <w:szCs w:val="21"/>
                <w:highlight w:val="none"/>
                <w:lang w:eastAsia="zh-CN"/>
              </w:rPr>
              <w:t>；色泽不均匀；装饰粗糙，影响美观</w:t>
            </w:r>
            <w:r>
              <w:rPr>
                <w:rFonts w:hint="eastAsia" w:ascii="宋体" w:hAnsi="宋体" w:eastAsia="宋体" w:cs="宋体"/>
                <w:color w:val="auto"/>
                <w:kern w:val="0"/>
                <w:sz w:val="21"/>
                <w:szCs w:val="21"/>
                <w:highlight w:val="none"/>
              </w:rPr>
              <w:t>的得1分。</w:t>
            </w:r>
          </w:p>
          <w:p w14:paraId="3364DA2A">
            <w:pPr>
              <w:pStyle w:val="22"/>
              <w:keepNext w:val="0"/>
              <w:keepLines w:val="0"/>
              <w:pageBreakBefore w:val="0"/>
              <w:kinsoku/>
              <w:wordWrap/>
              <w:overflowPunct/>
              <w:topLinePunct w:val="0"/>
              <w:autoSpaceDE/>
              <w:autoSpaceDN/>
              <w:bidi w:val="0"/>
              <w:adjustRightInd/>
              <w:snapToGrid w:val="0"/>
              <w:spacing w:after="0" w:line="360" w:lineRule="auto"/>
              <w:ind w:left="0" w:lef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.对投标样品的口感进行评审</w:t>
            </w:r>
            <w:r>
              <w:rPr>
                <w:rFonts w:hint="eastAsia" w:ascii="宋体" w:hAnsi="宋体" w:eastAsia="宋体" w:cs="宋体"/>
                <w:color w:val="auto"/>
                <w:sz w:val="21"/>
                <w:szCs w:val="21"/>
                <w:highlight w:val="none"/>
                <w:lang w:eastAsia="zh-CN"/>
              </w:rPr>
              <w:t>：</w:t>
            </w:r>
          </w:p>
          <w:p w14:paraId="4CF2A273">
            <w:pPr>
              <w:pStyle w:val="22"/>
              <w:keepNext w:val="0"/>
              <w:keepLines w:val="0"/>
              <w:pageBreakBefore w:val="0"/>
              <w:kinsoku/>
              <w:wordWrap/>
              <w:overflowPunct/>
              <w:topLinePunct w:val="0"/>
              <w:autoSpaceDE/>
              <w:autoSpaceDN/>
              <w:bidi w:val="0"/>
              <w:adjustRightInd/>
              <w:snapToGrid w:val="0"/>
              <w:spacing w:after="0"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甜度适中，符合大众口味；口感细腻、松软，层次丰富；风味浓郁，香气扑鼻，能突出蛋糕特色</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07BD5108">
            <w:pPr>
              <w:pStyle w:val="22"/>
              <w:keepNext w:val="0"/>
              <w:keepLines w:val="0"/>
              <w:pageBreakBefore w:val="0"/>
              <w:kinsoku/>
              <w:wordWrap/>
              <w:overflowPunct/>
              <w:topLinePunct w:val="0"/>
              <w:autoSpaceDE/>
              <w:autoSpaceDN/>
              <w:bidi w:val="0"/>
              <w:adjustRightInd/>
              <w:snapToGrid w:val="0"/>
              <w:spacing w:after="0"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甜度稍高或稍低，但在可接受范围内</w:t>
            </w:r>
            <w:r>
              <w:rPr>
                <w:rFonts w:hint="eastAsia" w:ascii="宋体" w:hAnsi="宋体" w:eastAsia="宋体" w:cs="宋体"/>
                <w:color w:val="auto"/>
                <w:sz w:val="21"/>
                <w:szCs w:val="21"/>
                <w:highlight w:val="none"/>
                <w:lang w:eastAsia="zh-CN"/>
              </w:rPr>
              <w:t>；口感欠佳，有一定的松软度；</w:t>
            </w:r>
            <w:r>
              <w:rPr>
                <w:rFonts w:hint="eastAsia" w:ascii="宋体" w:hAnsi="宋体" w:eastAsia="宋体" w:cs="宋体"/>
                <w:color w:val="auto"/>
                <w:sz w:val="21"/>
                <w:szCs w:val="21"/>
                <w:highlight w:val="none"/>
              </w:rPr>
              <w:t>香味不足、奶油不够细腻</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3C4936E8">
            <w:pPr>
              <w:pStyle w:val="22"/>
              <w:keepNext w:val="0"/>
              <w:keepLines w:val="0"/>
              <w:pageBreakBefore w:val="0"/>
              <w:kinsoku/>
              <w:wordWrap/>
              <w:overflowPunct/>
              <w:topLinePunct w:val="0"/>
              <w:autoSpaceDE/>
              <w:autoSpaceDN/>
              <w:bidi w:val="0"/>
              <w:adjustRightInd/>
              <w:snapToGrid w:val="0"/>
              <w:spacing w:after="0"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甜度过高或过低，难以接受</w:t>
            </w:r>
            <w:r>
              <w:rPr>
                <w:rFonts w:hint="eastAsia" w:ascii="宋体" w:hAnsi="宋体" w:eastAsia="宋体" w:cs="宋体"/>
                <w:color w:val="auto"/>
                <w:sz w:val="21"/>
                <w:szCs w:val="21"/>
                <w:highlight w:val="none"/>
                <w:lang w:eastAsia="zh-CN"/>
              </w:rPr>
              <w:t>；口感粗糙，发硬或过软</w:t>
            </w:r>
            <w:r>
              <w:rPr>
                <w:rFonts w:hint="eastAsia" w:ascii="宋体" w:hAnsi="宋体" w:eastAsia="宋体" w:cs="宋体"/>
                <w:color w:val="auto"/>
                <w:sz w:val="21"/>
                <w:szCs w:val="21"/>
                <w:highlight w:val="none"/>
              </w:rPr>
              <w:t>，风味不明显，难以辨别</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得1分。</w:t>
            </w:r>
          </w:p>
          <w:p w14:paraId="0FDC4C43">
            <w:pPr>
              <w:pStyle w:val="22"/>
              <w:keepNext w:val="0"/>
              <w:keepLines w:val="0"/>
              <w:pageBreakBefore w:val="0"/>
              <w:kinsoku/>
              <w:wordWrap/>
              <w:overflowPunct/>
              <w:topLinePunct w:val="0"/>
              <w:autoSpaceDE/>
              <w:autoSpaceDN/>
              <w:bidi w:val="0"/>
              <w:adjustRightInd/>
              <w:snapToGrid w:val="0"/>
              <w:spacing w:after="0" w:line="360" w:lineRule="auto"/>
              <w:ind w:left="0" w:leftChars="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根据供应商提供的成份分析表</w:t>
            </w:r>
            <w:r>
              <w:rPr>
                <w:rFonts w:hint="eastAsia" w:ascii="宋体" w:hAnsi="宋体" w:eastAsia="宋体" w:cs="宋体"/>
                <w:color w:val="auto"/>
                <w:sz w:val="21"/>
                <w:szCs w:val="21"/>
                <w:highlight w:val="none"/>
              </w:rPr>
              <w:t>对投标样品的</w:t>
            </w:r>
            <w:r>
              <w:rPr>
                <w:rFonts w:hint="eastAsia" w:ascii="宋体" w:hAnsi="宋体" w:eastAsia="宋体" w:cs="宋体"/>
                <w:color w:val="auto"/>
                <w:sz w:val="21"/>
                <w:szCs w:val="21"/>
                <w:highlight w:val="none"/>
                <w:lang w:val="en-US" w:eastAsia="zh-CN"/>
              </w:rPr>
              <w:t>材质</w:t>
            </w:r>
            <w:r>
              <w:rPr>
                <w:rFonts w:hint="eastAsia" w:ascii="宋体" w:hAnsi="宋体" w:eastAsia="宋体" w:cs="宋体"/>
                <w:color w:val="auto"/>
                <w:sz w:val="21"/>
                <w:szCs w:val="21"/>
                <w:highlight w:val="none"/>
              </w:rPr>
              <w:t>进行评审</w:t>
            </w:r>
            <w:r>
              <w:rPr>
                <w:rFonts w:hint="eastAsia" w:ascii="宋体" w:hAnsi="宋体" w:eastAsia="宋体" w:cs="宋体"/>
                <w:color w:val="auto"/>
                <w:sz w:val="21"/>
                <w:szCs w:val="21"/>
                <w:highlight w:val="none"/>
                <w:lang w:eastAsia="zh-CN"/>
              </w:rPr>
              <w:t>：</w:t>
            </w:r>
          </w:p>
          <w:p w14:paraId="50967769">
            <w:pPr>
              <w:pStyle w:val="22"/>
              <w:keepNext w:val="0"/>
              <w:keepLines w:val="0"/>
              <w:pageBreakBefore w:val="0"/>
              <w:kinsoku/>
              <w:wordWrap/>
              <w:overflowPunct/>
              <w:topLinePunct w:val="0"/>
              <w:autoSpaceDE/>
              <w:autoSpaceDN/>
              <w:bidi w:val="0"/>
              <w:adjustRightInd/>
              <w:snapToGrid w:val="0"/>
              <w:spacing w:after="0"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用材健康、低热量、无食品添加剂的的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5A0F0411">
            <w:pPr>
              <w:pStyle w:val="22"/>
              <w:keepNext w:val="0"/>
              <w:keepLines w:val="0"/>
              <w:pageBreakBefore w:val="0"/>
              <w:kinsoku/>
              <w:wordWrap/>
              <w:overflowPunct/>
              <w:topLinePunct w:val="0"/>
              <w:autoSpaceDE/>
              <w:autoSpaceDN/>
              <w:bidi w:val="0"/>
              <w:adjustRightInd/>
              <w:snapToGrid w:val="0"/>
              <w:spacing w:after="0"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用材健康、热量高、有食品添加剂的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477F0A99">
            <w:pPr>
              <w:pStyle w:val="22"/>
              <w:keepNext w:val="0"/>
              <w:keepLines w:val="0"/>
              <w:pageBreakBefore w:val="0"/>
              <w:kinsoku/>
              <w:wordWrap/>
              <w:overflowPunct/>
              <w:topLinePunct w:val="0"/>
              <w:autoSpaceDE/>
              <w:autoSpaceDN/>
              <w:bidi w:val="0"/>
              <w:adjustRightInd/>
              <w:snapToGrid w:val="0"/>
              <w:spacing w:after="0" w:line="360" w:lineRule="auto"/>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成份分析表不清晰的</w:t>
            </w:r>
            <w:r>
              <w:rPr>
                <w:rFonts w:hint="eastAsia" w:ascii="宋体" w:hAnsi="宋体" w:eastAsia="宋体" w:cs="宋体"/>
                <w:color w:val="auto"/>
                <w:sz w:val="21"/>
                <w:szCs w:val="21"/>
                <w:highlight w:val="none"/>
              </w:rPr>
              <w:t>得1分。</w:t>
            </w:r>
          </w:p>
          <w:p w14:paraId="1736D1AF">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.对投标样品的包装材料、制作工艺进行评审</w:t>
            </w:r>
            <w:r>
              <w:rPr>
                <w:rFonts w:hint="eastAsia" w:ascii="宋体" w:hAnsi="宋体" w:eastAsia="宋体" w:cs="宋体"/>
                <w:color w:val="auto"/>
                <w:sz w:val="21"/>
                <w:szCs w:val="21"/>
                <w:highlight w:val="none"/>
                <w:lang w:eastAsia="zh-CN"/>
              </w:rPr>
              <w:t>：</w:t>
            </w:r>
          </w:p>
          <w:p w14:paraId="5483E4AD">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包装完好，无破损、变形等情况</w:t>
            </w:r>
            <w:r>
              <w:rPr>
                <w:rFonts w:hint="eastAsia" w:ascii="宋体" w:hAnsi="宋体" w:eastAsia="宋体" w:cs="宋体"/>
                <w:color w:val="auto"/>
                <w:kern w:val="0"/>
                <w:sz w:val="21"/>
                <w:szCs w:val="21"/>
                <w:highlight w:val="none"/>
                <w:lang w:eastAsia="zh-CN"/>
              </w:rPr>
              <w:t>；设计精美，有吸引力；便于携带、储存和使用；</w:t>
            </w:r>
            <w:r>
              <w:rPr>
                <w:rFonts w:hint="eastAsia" w:ascii="宋体" w:hAnsi="宋体" w:eastAsia="宋体" w:cs="宋体"/>
                <w:color w:val="auto"/>
                <w:sz w:val="21"/>
                <w:szCs w:val="21"/>
                <w:highlight w:val="none"/>
              </w:rPr>
              <w:t>材料环保的得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05E3295C">
            <w:pPr>
              <w:pStyle w:val="6"/>
              <w:snapToGrid w:val="0"/>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szCs w:val="21"/>
                <w:highlight w:val="none"/>
                <w:lang w:eastAsia="zh-CN"/>
              </w:rPr>
              <w:t>包装完好、无破损、变形；便于使用；材料环保的得</w:t>
            </w:r>
            <w:r>
              <w:rPr>
                <w:rFonts w:hint="eastAsia" w:ascii="宋体" w:hAnsi="宋体" w:eastAsia="宋体" w:cs="宋体"/>
                <w:color w:val="auto"/>
                <w:sz w:val="21"/>
                <w:szCs w:val="21"/>
                <w:highlight w:val="none"/>
                <w:lang w:val="en-US" w:eastAsia="zh-CN"/>
              </w:rPr>
              <w:t>2分；</w:t>
            </w:r>
          </w:p>
          <w:p w14:paraId="29DEE838">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ind w:left="0" w:leftChars="0" w:firstLine="0" w:firstLineChars="0"/>
              <w:jc w:val="left"/>
              <w:textAlignment w:val="auto"/>
              <w:outlineLvl w:val="9"/>
              <w:rPr>
                <w:rFonts w:hint="eastAsia" w:ascii="宋体" w:hAnsi="宋体" w:eastAsia="宋体" w:cs="宋体"/>
                <w:color w:val="auto"/>
                <w:sz w:val="21"/>
                <w:szCs w:val="21"/>
                <w:highlight w:val="none"/>
              </w:rPr>
            </w:pPr>
            <w:bookmarkStart w:id="240" w:name="_Toc27321"/>
            <w:bookmarkStart w:id="241" w:name="_Toc946"/>
            <w:r>
              <w:rPr>
                <w:rFonts w:hint="eastAsia" w:ascii="宋体" w:hAnsi="宋体" w:eastAsia="宋体" w:cs="宋体"/>
                <w:color w:val="auto"/>
                <w:sz w:val="21"/>
                <w:szCs w:val="21"/>
                <w:highlight w:val="none"/>
              </w:rPr>
              <w:t>包装有轻微破损或变形</w:t>
            </w:r>
            <w:r>
              <w:rPr>
                <w:rFonts w:hint="eastAsia" w:ascii="宋体" w:hAnsi="宋体" w:eastAsia="宋体" w:cs="宋体"/>
                <w:color w:val="auto"/>
                <w:sz w:val="21"/>
                <w:szCs w:val="21"/>
                <w:highlight w:val="none"/>
                <w:lang w:eastAsia="zh-CN"/>
              </w:rPr>
              <w:t>；包装不方便使用；</w:t>
            </w:r>
            <w:r>
              <w:rPr>
                <w:rFonts w:hint="eastAsia" w:ascii="宋体" w:hAnsi="宋体" w:eastAsia="宋体" w:cs="宋体"/>
                <w:color w:val="auto"/>
                <w:sz w:val="21"/>
                <w:szCs w:val="21"/>
                <w:highlight w:val="none"/>
              </w:rPr>
              <w:t>材料</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环保的得1分。</w:t>
            </w:r>
            <w:bookmarkEnd w:id="240"/>
            <w:bookmarkEnd w:id="241"/>
          </w:p>
        </w:tc>
      </w:tr>
      <w:tr w14:paraId="4F82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732" w:type="dxa"/>
            <w:vMerge w:val="restart"/>
            <w:noWrap w:val="0"/>
            <w:vAlign w:val="center"/>
          </w:tcPr>
          <w:p w14:paraId="70755CC8">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ind w:left="0" w:lef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bookmarkStart w:id="242" w:name="_Toc28254"/>
            <w:bookmarkStart w:id="243" w:name="_Toc8573"/>
            <w:r>
              <w:rPr>
                <w:rFonts w:hint="eastAsia" w:ascii="宋体" w:hAnsi="宋体" w:eastAsia="宋体" w:cs="宋体"/>
                <w:color w:val="auto"/>
                <w:sz w:val="21"/>
                <w:szCs w:val="21"/>
                <w:highlight w:val="none"/>
                <w:vertAlign w:val="baseline"/>
                <w:lang w:val="en-US" w:eastAsia="zh-CN"/>
              </w:rPr>
              <w:t>3</w:t>
            </w:r>
            <w:bookmarkEnd w:id="242"/>
            <w:bookmarkEnd w:id="243"/>
          </w:p>
        </w:tc>
        <w:tc>
          <w:tcPr>
            <w:tcW w:w="1762" w:type="dxa"/>
            <w:vMerge w:val="restart"/>
            <w:noWrap w:val="0"/>
            <w:vAlign w:val="center"/>
          </w:tcPr>
          <w:p w14:paraId="1FA7A2F6">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ind w:left="0" w:leftChars="0" w:firstLine="0" w:firstLineChars="0"/>
              <w:jc w:val="left"/>
              <w:textAlignment w:val="auto"/>
              <w:outlineLvl w:val="9"/>
              <w:rPr>
                <w:rFonts w:hint="eastAsia" w:ascii="宋体" w:hAnsi="宋体" w:eastAsia="宋体" w:cs="宋体"/>
                <w:color w:val="auto"/>
                <w:sz w:val="21"/>
                <w:szCs w:val="21"/>
                <w:highlight w:val="none"/>
                <w:vertAlign w:val="baseline"/>
              </w:rPr>
            </w:pPr>
            <w:bookmarkStart w:id="244" w:name="_Toc2781"/>
            <w:bookmarkStart w:id="245" w:name="_Toc7635"/>
            <w:r>
              <w:rPr>
                <w:rFonts w:hint="eastAsia" w:ascii="宋体" w:hAnsi="宋体" w:eastAsia="宋体" w:cs="宋体"/>
                <w:color w:val="auto"/>
                <w:sz w:val="21"/>
                <w:szCs w:val="21"/>
                <w:highlight w:val="none"/>
              </w:rPr>
              <w:t>商务部分：</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kern w:val="0"/>
                <w:sz w:val="21"/>
                <w:szCs w:val="21"/>
                <w:highlight w:val="none"/>
              </w:rPr>
              <w:t>分</w:t>
            </w:r>
            <w:bookmarkEnd w:id="244"/>
            <w:bookmarkEnd w:id="245"/>
          </w:p>
        </w:tc>
        <w:tc>
          <w:tcPr>
            <w:tcW w:w="1427" w:type="dxa"/>
            <w:noWrap w:val="0"/>
            <w:vAlign w:val="center"/>
          </w:tcPr>
          <w:p w14:paraId="6720872E">
            <w:pPr>
              <w:widowControl/>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类似业绩</w:t>
            </w:r>
          </w:p>
          <w:p w14:paraId="08B3678E">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ind w:left="0" w:leftChars="0" w:firstLine="0" w:firstLineChars="0"/>
              <w:jc w:val="center"/>
              <w:textAlignment w:val="auto"/>
              <w:outlineLvl w:val="9"/>
              <w:rPr>
                <w:rFonts w:hint="eastAsia" w:ascii="宋体" w:hAnsi="宋体" w:eastAsia="宋体" w:cs="宋体"/>
                <w:color w:val="auto"/>
                <w:sz w:val="21"/>
                <w:szCs w:val="21"/>
                <w:highlight w:val="none"/>
              </w:rPr>
            </w:pPr>
            <w:bookmarkStart w:id="246" w:name="_Toc15561"/>
            <w:bookmarkStart w:id="247" w:name="_Toc4129"/>
            <w:r>
              <w:rPr>
                <w:rFonts w:hint="eastAsia" w:ascii="宋体" w:hAnsi="宋体" w:eastAsia="宋体" w:cs="宋体"/>
                <w:color w:val="auto"/>
                <w:kern w:val="0"/>
                <w:sz w:val="21"/>
                <w:szCs w:val="21"/>
                <w:highlight w:val="none"/>
              </w:rPr>
              <w:t>（10分）</w:t>
            </w:r>
            <w:bookmarkEnd w:id="246"/>
            <w:bookmarkEnd w:id="247"/>
          </w:p>
        </w:tc>
        <w:tc>
          <w:tcPr>
            <w:tcW w:w="5042" w:type="dxa"/>
            <w:noWrap w:val="0"/>
            <w:vAlign w:val="center"/>
          </w:tcPr>
          <w:p w14:paraId="125D44D6">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ind w:left="0" w:leftChars="0" w:firstLine="0" w:firstLineChars="0"/>
              <w:jc w:val="left"/>
              <w:textAlignment w:val="auto"/>
              <w:outlineLvl w:val="9"/>
              <w:rPr>
                <w:rFonts w:hint="eastAsia" w:ascii="宋体" w:hAnsi="宋体" w:eastAsia="宋体" w:cs="宋体"/>
                <w:color w:val="auto"/>
                <w:sz w:val="21"/>
                <w:szCs w:val="21"/>
                <w:highlight w:val="none"/>
              </w:rPr>
            </w:pPr>
            <w:bookmarkStart w:id="248" w:name="_Toc31227"/>
            <w:bookmarkStart w:id="249" w:name="_Toc26555"/>
            <w:r>
              <w:rPr>
                <w:rFonts w:hint="eastAsia"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提供202</w:t>
            </w:r>
            <w:r>
              <w:rPr>
                <w:rFonts w:hint="eastAsia"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年1月1日以来的类似</w:t>
            </w:r>
            <w:r>
              <w:rPr>
                <w:rFonts w:hint="eastAsia" w:hAnsi="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合同（以签订合同的时间为准），每提供一份合同的得1分，最高得10分。（投标文件中附合同的复印件或扫描件，未提供不得分）</w:t>
            </w:r>
            <w:bookmarkEnd w:id="248"/>
            <w:bookmarkEnd w:id="249"/>
          </w:p>
        </w:tc>
      </w:tr>
      <w:tr w14:paraId="0F1AC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732" w:type="dxa"/>
            <w:vMerge w:val="continue"/>
            <w:noWrap w:val="0"/>
            <w:vAlign w:val="center"/>
          </w:tcPr>
          <w:p w14:paraId="2ADA4427">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jc w:val="center"/>
              <w:textAlignment w:val="auto"/>
              <w:outlineLvl w:val="9"/>
              <w:rPr>
                <w:rFonts w:hint="eastAsia" w:ascii="宋体" w:hAnsi="宋体" w:eastAsia="宋体" w:cs="宋体"/>
                <w:color w:val="auto"/>
                <w:sz w:val="21"/>
                <w:szCs w:val="21"/>
                <w:highlight w:val="none"/>
                <w:vertAlign w:val="baseline"/>
              </w:rPr>
            </w:pPr>
          </w:p>
        </w:tc>
        <w:tc>
          <w:tcPr>
            <w:tcW w:w="1762" w:type="dxa"/>
            <w:vMerge w:val="continue"/>
            <w:noWrap w:val="0"/>
            <w:vAlign w:val="center"/>
          </w:tcPr>
          <w:p w14:paraId="4538D497">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jc w:val="left"/>
              <w:textAlignment w:val="auto"/>
              <w:outlineLvl w:val="9"/>
              <w:rPr>
                <w:rFonts w:hint="eastAsia" w:ascii="宋体" w:hAnsi="宋体" w:eastAsia="宋体" w:cs="宋体"/>
                <w:color w:val="auto"/>
                <w:sz w:val="21"/>
                <w:szCs w:val="21"/>
                <w:highlight w:val="none"/>
              </w:rPr>
            </w:pPr>
          </w:p>
        </w:tc>
        <w:tc>
          <w:tcPr>
            <w:tcW w:w="1427" w:type="dxa"/>
            <w:noWrap w:val="0"/>
            <w:vAlign w:val="center"/>
          </w:tcPr>
          <w:p w14:paraId="6DE97CE9">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ind w:left="0" w:leftChars="0" w:firstLine="0" w:firstLineChars="0"/>
              <w:jc w:val="center"/>
              <w:textAlignment w:val="auto"/>
              <w:outlineLvl w:val="9"/>
              <w:rPr>
                <w:rFonts w:hint="eastAsia" w:ascii="宋体" w:hAnsi="宋体" w:eastAsia="宋体" w:cs="宋体"/>
                <w:color w:val="auto"/>
                <w:sz w:val="21"/>
                <w:szCs w:val="21"/>
                <w:highlight w:val="none"/>
              </w:rPr>
            </w:pPr>
            <w:bookmarkStart w:id="250" w:name="_Toc26637"/>
            <w:bookmarkStart w:id="251" w:name="_Toc19955"/>
            <w:r>
              <w:rPr>
                <w:rFonts w:hint="eastAsia" w:ascii="宋体" w:hAnsi="宋体" w:eastAsia="宋体" w:cs="宋体"/>
                <w:color w:val="auto"/>
                <w:sz w:val="21"/>
                <w:szCs w:val="21"/>
                <w:highlight w:val="none"/>
                <w:lang w:eastAsia="zh-CN"/>
              </w:rPr>
              <w:t>管理体系认证</w:t>
            </w:r>
            <w:bookmarkEnd w:id="250"/>
            <w:bookmarkEnd w:id="251"/>
            <w:r>
              <w:rPr>
                <w:rFonts w:hint="eastAsia" w:ascii="宋体" w:hAnsi="宋体" w:eastAsia="宋体" w:cs="宋体"/>
                <w:color w:val="auto"/>
                <w:sz w:val="21"/>
                <w:szCs w:val="21"/>
                <w:highlight w:val="none"/>
              </w:rPr>
              <w:t xml:space="preserve"> </w:t>
            </w:r>
          </w:p>
          <w:p w14:paraId="048E7537">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ind w:left="0" w:leftChars="0" w:firstLine="0" w:firstLineChars="0"/>
              <w:jc w:val="center"/>
              <w:textAlignment w:val="auto"/>
              <w:outlineLvl w:val="9"/>
              <w:rPr>
                <w:rFonts w:hint="eastAsia" w:ascii="宋体" w:hAnsi="宋体" w:eastAsia="宋体" w:cs="宋体"/>
                <w:color w:val="auto"/>
                <w:kern w:val="0"/>
                <w:sz w:val="21"/>
                <w:szCs w:val="21"/>
                <w:highlight w:val="none"/>
              </w:rPr>
            </w:pPr>
            <w:bookmarkStart w:id="252" w:name="_Toc25109"/>
            <w:bookmarkStart w:id="253" w:name="_Toc22948"/>
            <w:r>
              <w:rPr>
                <w:rFonts w:hint="eastAsia" w:ascii="宋体" w:hAnsi="宋体" w:eastAsia="宋体" w:cs="宋体"/>
                <w:color w:val="auto"/>
                <w:sz w:val="21"/>
                <w:szCs w:val="21"/>
                <w:highlight w:val="none"/>
              </w:rPr>
              <w:t>(6分)</w:t>
            </w:r>
            <w:bookmarkEnd w:id="252"/>
            <w:bookmarkEnd w:id="253"/>
          </w:p>
        </w:tc>
        <w:tc>
          <w:tcPr>
            <w:tcW w:w="5042" w:type="dxa"/>
            <w:noWrap w:val="0"/>
            <w:vAlign w:val="center"/>
          </w:tcPr>
          <w:p w14:paraId="70F6C165">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获得质量管理体系认证证书得2分；</w:t>
            </w:r>
          </w:p>
          <w:p w14:paraId="4934F138">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 xml:space="preserve">获得环境管理体系认证证书得2分； </w:t>
            </w:r>
          </w:p>
          <w:p w14:paraId="1AF0C767">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 xml:space="preserve">获得食品安全管理体系认证证书得2分； </w:t>
            </w:r>
          </w:p>
          <w:p w14:paraId="6E2ADFEB">
            <w:pPr>
              <w:pStyle w:val="42"/>
              <w:keepNext w:val="0"/>
              <w:keepLines w:val="0"/>
              <w:pageBreakBefore w:val="0"/>
              <w:widowControl w:val="0"/>
              <w:numPr>
                <w:ilvl w:val="0"/>
                <w:numId w:val="0"/>
              </w:numPr>
              <w:kinsoku/>
              <w:wordWrap/>
              <w:overflowPunct w:val="0"/>
              <w:topLinePunct w:val="0"/>
              <w:autoSpaceDE w:val="0"/>
              <w:autoSpaceDN w:val="0"/>
              <w:bidi w:val="0"/>
              <w:adjustRightInd w:val="0"/>
              <w:snapToGrid w:val="0"/>
              <w:spacing w:before="120" w:beforeLines="50" w:line="360" w:lineRule="auto"/>
              <w:ind w:left="0" w:leftChars="0" w:firstLine="0" w:firstLineChars="0"/>
              <w:jc w:val="left"/>
              <w:textAlignment w:val="auto"/>
              <w:outlineLvl w:val="9"/>
              <w:rPr>
                <w:rFonts w:hint="eastAsia" w:ascii="宋体" w:hAnsi="宋体" w:eastAsia="宋体" w:cs="宋体"/>
                <w:color w:val="auto"/>
                <w:kern w:val="0"/>
                <w:sz w:val="21"/>
                <w:szCs w:val="21"/>
                <w:highlight w:val="none"/>
              </w:rPr>
            </w:pPr>
            <w:bookmarkStart w:id="254" w:name="_Toc21866"/>
            <w:bookmarkStart w:id="255" w:name="_Toc7554"/>
            <w:r>
              <w:rPr>
                <w:rFonts w:hint="eastAsia" w:ascii="宋体" w:hAnsi="宋体" w:eastAsia="宋体" w:cs="宋体"/>
                <w:color w:val="auto"/>
                <w:sz w:val="21"/>
                <w:szCs w:val="21"/>
                <w:highlight w:val="none"/>
              </w:rPr>
              <w:t>注：提供上述有效期内的证书复印件及提供“全国认证认可信息公共服务平台”(http://cx.cnca.cn/）上的查询为“有效”状态截图，已失效、撤销或不提供不得分。如未按要求提供证明材料，或所提供的证明材料未能体现上述评分内容的，视为该证明材料无效。</w:t>
            </w:r>
            <w:bookmarkEnd w:id="254"/>
            <w:bookmarkEnd w:id="255"/>
          </w:p>
        </w:tc>
      </w:tr>
      <w:bookmarkEnd w:id="142"/>
      <w:bookmarkEnd w:id="143"/>
      <w:bookmarkEnd w:id="144"/>
      <w:bookmarkEnd w:id="145"/>
      <w:bookmarkEnd w:id="146"/>
      <w:bookmarkEnd w:id="147"/>
      <w:bookmarkEnd w:id="187"/>
      <w:bookmarkEnd w:id="188"/>
      <w:bookmarkEnd w:id="189"/>
    </w:tbl>
    <w:p w14:paraId="267A91A1">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1.评标方法与标准</w:t>
      </w:r>
    </w:p>
    <w:p w14:paraId="6D7FD75E">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1.1本次招标采用综合评分法。</w:t>
      </w:r>
    </w:p>
    <w:p w14:paraId="154408A9">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评标委员会对符合资格的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进行符合性审查，以确定其是否满足招标文件的实质性要求，并按照招标文件中规定的评标方法和标准，对符合性审查合格的投标文件进行商务和技术评估，综合比较与评价。按照本章规定的评审因素和评分标准进行打分，并按得分由高到低顺序推荐3名中标候选人。如最后得分相同的，按投标报价由低到高顺序排列。得分且投标报价相同的并列。投标文件满足招标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为排名第一的中标候选人。</w:t>
      </w:r>
    </w:p>
    <w:p w14:paraId="21B58463">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1.2评标委员会负责具体评标事务，并独立履行相关职责。</w:t>
      </w:r>
    </w:p>
    <w:p w14:paraId="72D2D2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1.3评标步骤</w:t>
      </w:r>
    </w:p>
    <w:p w14:paraId="2FA5677C">
      <w:pPr>
        <w:spacing w:line="360" w:lineRule="auto"/>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（一）资格审查</w:t>
      </w:r>
    </w:p>
    <w:p w14:paraId="320E1086">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开标结束后采购代理机构依法对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的资格进行审查。合格</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不足3名的，不再进行评标。</w:t>
      </w:r>
    </w:p>
    <w:p w14:paraId="46CCCB0C">
      <w:pPr>
        <w:spacing w:line="360" w:lineRule="auto"/>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（二）形式评审</w:t>
      </w:r>
    </w:p>
    <w:p w14:paraId="699CC07E">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评标委员会对所有符合资格审查的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的投标文件进行形式评审，以确定是否满足招标文件的要求。</w:t>
      </w:r>
    </w:p>
    <w:p w14:paraId="550E5CC0">
      <w:pPr>
        <w:spacing w:line="360" w:lineRule="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（三）符合性评审</w:t>
      </w:r>
    </w:p>
    <w:p w14:paraId="353F2027">
      <w:pPr>
        <w:spacing w:line="360" w:lineRule="auto"/>
        <w:ind w:firstLine="420" w:firstLineChars="200"/>
        <w:rPr>
          <w:rFonts w:hint="eastAsia" w:ascii="宋体" w:hAnsi="宋体" w:eastAsia="宋体" w:cs="宋体"/>
          <w:color w:val="auto"/>
          <w:sz w:val="24"/>
          <w:szCs w:val="28"/>
          <w:highlight w:val="none"/>
        </w:rPr>
      </w:pPr>
      <w:r>
        <w:rPr>
          <w:rFonts w:hint="eastAsia" w:ascii="宋体" w:hAnsi="宋体" w:eastAsia="宋体" w:cs="宋体"/>
          <w:color w:val="auto"/>
          <w:szCs w:val="21"/>
          <w:highlight w:val="none"/>
        </w:rPr>
        <w:t>评标委员会对所有符合资格审查和形式评审的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的投标文件进行符合性评审，以确定是否满足招标文件的要求。</w:t>
      </w:r>
    </w:p>
    <w:p w14:paraId="35999838">
      <w:pPr>
        <w:spacing w:line="360" w:lineRule="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（四）详细评审</w:t>
      </w:r>
    </w:p>
    <w:p w14:paraId="47087208">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评标委员会按照招标文件中规定的评标方法细则，对初步评审合格的投标文件进行商务和技术评估，综合比较与评价。</w:t>
      </w:r>
    </w:p>
    <w:p w14:paraId="717BE0F4">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1、本次评标采用综合评分法。根据采购需要、商务、技术均能满足招标文件要求，按评标委员会评出的综合得分，由高到低顺序排列，推荐 3 名中标候选人。</w:t>
      </w:r>
    </w:p>
    <w:p w14:paraId="2569F082">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评标委员会每位成员独立对每个有效</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的投标文件进行评价、打分；然后汇总每个</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的得分，计算得分平均值，以平均值由高到低进行排序，按排序顺序推荐中标候选人。分值计算保留小数点后两位，第三位四舍五入。</w:t>
      </w:r>
    </w:p>
    <w:p w14:paraId="3B5BF566">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政府采购促进中小企业发展管理办法》（财库[2020]46号）、《财政部司法部关于政府采购支持监狱企业发展有关问题的通知》（财库〔2014〕68号）和《三部门联合发布关于促进残疾人就业政府采购政策的通知》（财库〔2017〕141号）的规定，对满足价格扣除条件且在投标文件中提交了《</w:t>
      </w:r>
      <w:r>
        <w:rPr>
          <w:rFonts w:hint="eastAsia" w:ascii="宋体" w:hAnsi="宋体" w:eastAsia="宋体" w:cs="宋体"/>
          <w:color w:val="auto"/>
          <w:szCs w:val="21"/>
          <w:highlight w:val="none"/>
          <w:lang w:eastAsia="zh-CN"/>
        </w:rPr>
        <w:t>中小企业</w:t>
      </w:r>
      <w:r>
        <w:rPr>
          <w:rFonts w:hint="eastAsia" w:ascii="宋体" w:hAnsi="宋体" w:eastAsia="宋体" w:cs="宋体"/>
          <w:color w:val="auto"/>
          <w:szCs w:val="21"/>
          <w:highlight w:val="none"/>
        </w:rPr>
        <w:t>声明函》</w:t>
      </w:r>
      <w:r>
        <w:rPr>
          <w:rFonts w:hint="eastAsia" w:ascii="宋体" w:hAnsi="宋体" w:eastAsia="宋体" w:cs="宋体"/>
          <w:color w:val="auto"/>
          <w:szCs w:val="21"/>
          <w:highlight w:val="none"/>
          <w:lang w:eastAsia="zh-CN"/>
        </w:rPr>
        <w:t>或</w:t>
      </w:r>
      <w:r>
        <w:rPr>
          <w:rFonts w:hint="eastAsia" w:ascii="宋体" w:hAnsi="宋体" w:eastAsia="宋体" w:cs="宋体"/>
          <w:color w:val="auto"/>
          <w:szCs w:val="21"/>
          <w:highlight w:val="none"/>
        </w:rPr>
        <w:t>《残疾人福利性单位声明函》或省级以上监狱管理局、戒毒管理局（含新疆生产建设兵团）出具的属于监狱企业的证明文件的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，其投标报价扣除10%后参与评审。对于同时属于小微企业、监狱企业或残疾人福利性单位的，不重复进行投标报价扣除。</w:t>
      </w:r>
    </w:p>
    <w:p w14:paraId="03D93666">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3、国家相关部委针对节能产品、环境标志产品出台了相关调整优化政府采购执行机制，并相继颁布《财政部发展改革委 生态环境部 市场监管总局 关于调整优化节能产品、环境标志产品政府采购执行机制的通知》（财库〔2019〕9号）、《市场监管总局关于发布参与实施政府采购节能产品、环境标志产品认证机构名录的公告》（市场监管总局2019年4月3日下发）（以下简称“机构名录”）、《关于印发节能产品政府采购品目清单的通知》（财库〔2019〕19号）（以下简称“节能清单”）、 《关于印发环境标志产品政府采购品目清单的通知》（财库〔2019〕18号）（以下简称“环保清单”）。</w:t>
      </w:r>
    </w:p>
    <w:p w14:paraId="1340FBA7">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根据要求，投标产品中如有属于“节能产品政府采购品目清单”中标记“★”产品的，必须提供经过“机构名录”中的认证机构出具的“节能产品认证证书”，未提供的按无效投标处理。</w:t>
      </w:r>
    </w:p>
    <w:p w14:paraId="2395216F">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投标产品属于“节能产品政府采购品目清单”中非标记“★”产品的以及属于“环境标志产品政府采购品目清单”产品并经“机构名录”中的认证机构出具相应的产品认证证书的给予优先采购体现。采购人采购产品属于节能产品或环境标志产品品目清单范围内，且</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所投产品具有有效期内的产品认证证书，在评标时予以优先采购，具体优惠措施为：对于同时获得节能产品（强制采购节能产品除外）和环境标志产品认证证书产品，按一种产品优先采购。</w:t>
      </w:r>
    </w:p>
    <w:p w14:paraId="063C11DA">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4、投标文件报价出现前后不一致的，按照下列规定修正：</w:t>
      </w:r>
    </w:p>
    <w:p w14:paraId="48508CE1">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4.1开标一览表内容与投标文件中相应内容不一致的，以开标一览表为准；</w:t>
      </w:r>
    </w:p>
    <w:p w14:paraId="321CD34B">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4.2大写金额和小写金额不一致的，以大写金额为准；</w:t>
      </w:r>
    </w:p>
    <w:p w14:paraId="5C16F00C">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4.3单价金额小数点或者百分比有明显错位的，以开标一览表的总价为准，并修改单价；</w:t>
      </w:r>
    </w:p>
    <w:p w14:paraId="637EC1E0">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4.4总价金额与按单价汇总金额不一致的，以单价金额计算结果为准。</w:t>
      </w:r>
    </w:p>
    <w:p w14:paraId="0401A1A3">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5、评标委员会认为</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的报价明显低于其他通过符合性审查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的报价，有可能影响产品质量或者不能诚信履约的，应当要求其在合理的时间内提供书面说明，必要时提交相关证明材料；</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不能证明其报价合理性的，评标委员会应当将其作为无效投标处理。</w:t>
      </w:r>
    </w:p>
    <w:p w14:paraId="39D29378">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6、投标文件的澄清</w:t>
      </w:r>
    </w:p>
    <w:p w14:paraId="6C3CD0FB">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6.1对于投标文件中含义不明确、同类问题表述不一致或者有明显文字和计算错误的内容，评标委员会应当以书面形式要求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作出必要的澄清、说明或者补正。</w:t>
      </w:r>
    </w:p>
    <w:p w14:paraId="391A0463">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的澄清、说明或者补正不得超出投标文件的范围或者改变投标文件的实质性内容。</w:t>
      </w:r>
    </w:p>
    <w:p w14:paraId="59237DFD">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 评标委员会对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提交的澄清、说明或补正有疑问的，可以要求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进一步澄清、 说明或补正，直至满足评标委员会的要求。</w:t>
      </w:r>
    </w:p>
    <w:p w14:paraId="12A25E33">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7、评标委员会成员对需要共同认定的事项存在争议的，应当按照少数服从多数的原则作出结论。持不同意见的评标委员会成员应当在评标报告上签署不同意见及理由，否则视为同意评标报告。</w:t>
      </w:r>
    </w:p>
    <w:p w14:paraId="2CC49742">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8、评标结果汇总完成后，除下列情形外，任何人不得修改评标结果：</w:t>
      </w:r>
    </w:p>
    <w:p w14:paraId="7919DF3D">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8.1分值汇总计算错误的；</w:t>
      </w:r>
    </w:p>
    <w:p w14:paraId="557390A6">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8.2分项评分超出评分标准范围的；</w:t>
      </w:r>
    </w:p>
    <w:p w14:paraId="385C31A4">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8.3评标委员会成员对客观评审因素评分不一致的；</w:t>
      </w:r>
    </w:p>
    <w:p w14:paraId="6D779C79">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8.4经评标委员会认定评分畸高、畸低的。</w:t>
      </w:r>
    </w:p>
    <w:p w14:paraId="5238C6B3">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9FFD25B">
      <w:pPr>
        <w:jc w:val="center"/>
        <w:rPr>
          <w:rFonts w:hint="eastAsia" w:ascii="宋体" w:hAnsi="宋体" w:eastAsia="宋体" w:cs="宋体"/>
          <w:color w:val="auto"/>
          <w:sz w:val="32"/>
          <w:highlight w:val="none"/>
        </w:rPr>
      </w:pPr>
      <w:bookmarkStart w:id="256" w:name="_Toc43111186"/>
    </w:p>
    <w:p w14:paraId="78D3F1B7">
      <w:pPr>
        <w:pStyle w:val="22"/>
        <w:ind w:firstLine="640"/>
        <w:rPr>
          <w:rFonts w:hint="eastAsia" w:ascii="宋体" w:hAnsi="宋体" w:eastAsia="宋体" w:cs="宋体"/>
          <w:color w:val="auto"/>
          <w:sz w:val="32"/>
          <w:highlight w:val="none"/>
        </w:rPr>
      </w:pPr>
    </w:p>
    <w:p w14:paraId="3C4D8D83">
      <w:pPr>
        <w:pStyle w:val="22"/>
        <w:ind w:firstLine="640"/>
        <w:rPr>
          <w:rFonts w:hint="eastAsia" w:ascii="宋体" w:hAnsi="宋体" w:eastAsia="宋体" w:cs="宋体"/>
          <w:color w:val="auto"/>
          <w:sz w:val="32"/>
          <w:highlight w:val="none"/>
        </w:rPr>
      </w:pPr>
    </w:p>
    <w:p w14:paraId="70C7B351">
      <w:pPr>
        <w:pStyle w:val="22"/>
        <w:ind w:firstLine="640"/>
        <w:rPr>
          <w:rFonts w:hint="eastAsia" w:ascii="宋体" w:hAnsi="宋体" w:eastAsia="宋体" w:cs="宋体"/>
          <w:color w:val="auto"/>
          <w:sz w:val="32"/>
          <w:highlight w:val="none"/>
        </w:rPr>
      </w:pPr>
    </w:p>
    <w:p w14:paraId="07537C34">
      <w:pPr>
        <w:pStyle w:val="22"/>
        <w:ind w:firstLine="640"/>
        <w:rPr>
          <w:rFonts w:hint="eastAsia" w:ascii="宋体" w:hAnsi="宋体" w:eastAsia="宋体" w:cs="宋体"/>
          <w:color w:val="auto"/>
          <w:sz w:val="32"/>
          <w:highlight w:val="none"/>
        </w:rPr>
      </w:pPr>
    </w:p>
    <w:p w14:paraId="42DB2DA0">
      <w:pPr>
        <w:pStyle w:val="22"/>
        <w:ind w:firstLine="640"/>
        <w:rPr>
          <w:rFonts w:hint="eastAsia" w:ascii="宋体" w:hAnsi="宋体" w:eastAsia="宋体" w:cs="宋体"/>
          <w:color w:val="auto"/>
          <w:sz w:val="32"/>
          <w:highlight w:val="none"/>
        </w:rPr>
      </w:pPr>
    </w:p>
    <w:p w14:paraId="3A4D7F51">
      <w:pPr>
        <w:pStyle w:val="22"/>
        <w:ind w:firstLine="640"/>
        <w:rPr>
          <w:rFonts w:hint="eastAsia" w:ascii="宋体" w:hAnsi="宋体" w:eastAsia="宋体" w:cs="宋体"/>
          <w:color w:val="auto"/>
          <w:sz w:val="32"/>
          <w:highlight w:val="none"/>
        </w:rPr>
      </w:pPr>
    </w:p>
    <w:p w14:paraId="601DFE39">
      <w:pPr>
        <w:pStyle w:val="22"/>
        <w:ind w:firstLine="640"/>
        <w:rPr>
          <w:rFonts w:hint="eastAsia" w:ascii="宋体" w:hAnsi="宋体" w:eastAsia="宋体" w:cs="宋体"/>
          <w:color w:val="auto"/>
          <w:sz w:val="32"/>
          <w:highlight w:val="none"/>
        </w:rPr>
      </w:pPr>
    </w:p>
    <w:p w14:paraId="18424D8D">
      <w:pPr>
        <w:pStyle w:val="22"/>
        <w:ind w:firstLine="640"/>
        <w:rPr>
          <w:rFonts w:hint="eastAsia" w:ascii="宋体" w:hAnsi="宋体" w:eastAsia="宋体" w:cs="宋体"/>
          <w:color w:val="auto"/>
          <w:sz w:val="32"/>
          <w:highlight w:val="none"/>
        </w:rPr>
      </w:pPr>
    </w:p>
    <w:p w14:paraId="15B32385">
      <w:pPr>
        <w:pStyle w:val="2"/>
        <w:numPr>
          <w:ilvl w:val="0"/>
          <w:numId w:val="0"/>
        </w:numPr>
        <w:spacing w:before="0" w:after="0" w:line="240" w:lineRule="auto"/>
        <w:jc w:val="center"/>
        <w:rPr>
          <w:rFonts w:hint="eastAsia" w:ascii="宋体" w:hAnsi="宋体" w:eastAsia="宋体" w:cs="宋体"/>
          <w:color w:val="auto"/>
          <w:sz w:val="32"/>
          <w:highlight w:val="none"/>
        </w:rPr>
      </w:pPr>
      <w:bookmarkStart w:id="257" w:name="_Toc11781"/>
      <w:bookmarkStart w:id="258" w:name="_Toc19438"/>
      <w:bookmarkStart w:id="259" w:name="_Toc22652"/>
      <w:bookmarkStart w:id="260" w:name="_Toc14311"/>
      <w:r>
        <w:rPr>
          <w:rFonts w:hint="eastAsia" w:ascii="宋体" w:hAnsi="宋体" w:eastAsia="宋体" w:cs="宋体"/>
          <w:color w:val="auto"/>
          <w:sz w:val="32"/>
          <w:highlight w:val="none"/>
          <w:lang w:eastAsia="zh-CN"/>
        </w:rPr>
        <w:t>第四章</w:t>
      </w:r>
      <w:r>
        <w:rPr>
          <w:rFonts w:hint="eastAsia" w:ascii="宋体" w:hAnsi="宋体" w:eastAsia="宋体" w:cs="宋体"/>
          <w:color w:val="auto"/>
          <w:sz w:val="32"/>
          <w:highlight w:val="none"/>
          <w:lang w:val="en-US" w:eastAsia="zh-CN"/>
        </w:rPr>
        <w:t xml:space="preserve"> </w:t>
      </w:r>
      <w:r>
        <w:rPr>
          <w:rFonts w:hint="eastAsia" w:ascii="宋体" w:hAnsi="宋体" w:eastAsia="宋体" w:cs="宋体"/>
          <w:color w:val="auto"/>
          <w:sz w:val="32"/>
          <w:highlight w:val="none"/>
        </w:rPr>
        <w:t>合同</w:t>
      </w:r>
      <w:bookmarkEnd w:id="256"/>
      <w:bookmarkEnd w:id="257"/>
      <w:bookmarkEnd w:id="258"/>
      <w:bookmarkEnd w:id="259"/>
      <w:bookmarkEnd w:id="260"/>
      <w:bookmarkStart w:id="261" w:name="_附件"/>
      <w:bookmarkEnd w:id="261"/>
    </w:p>
    <w:p w14:paraId="3E217017">
      <w:pPr>
        <w:widowControl w:val="0"/>
        <w:numPr>
          <w:ilvl w:val="0"/>
          <w:numId w:val="0"/>
        </w:numPr>
        <w:jc w:val="both"/>
        <w:rPr>
          <w:rFonts w:hint="eastAsia" w:ascii="宋体" w:hAnsi="宋体" w:eastAsia="宋体" w:cs="宋体"/>
          <w:color w:val="auto"/>
          <w:highlight w:val="none"/>
        </w:rPr>
      </w:pPr>
    </w:p>
    <w:p w14:paraId="75A5F400">
      <w:pPr>
        <w:pStyle w:val="22"/>
        <w:rPr>
          <w:rFonts w:hint="eastAsia" w:ascii="宋体" w:hAnsi="宋体" w:eastAsia="宋体" w:cs="宋体"/>
          <w:color w:val="auto"/>
          <w:highlight w:val="none"/>
        </w:rPr>
      </w:pPr>
    </w:p>
    <w:p w14:paraId="28D18CC0">
      <w:pPr>
        <w:pStyle w:val="22"/>
        <w:rPr>
          <w:rFonts w:hint="eastAsia" w:ascii="宋体" w:hAnsi="宋体" w:eastAsia="宋体" w:cs="宋体"/>
          <w:color w:val="auto"/>
          <w:highlight w:val="none"/>
        </w:rPr>
      </w:pPr>
    </w:p>
    <w:p w14:paraId="3CE2344A">
      <w:pPr>
        <w:pStyle w:val="22"/>
        <w:rPr>
          <w:rFonts w:hint="eastAsia" w:ascii="宋体" w:hAnsi="宋体" w:eastAsia="宋体" w:cs="宋体"/>
          <w:color w:val="auto"/>
          <w:highlight w:val="none"/>
        </w:rPr>
      </w:pPr>
    </w:p>
    <w:p w14:paraId="0E677687">
      <w:pPr>
        <w:pStyle w:val="22"/>
        <w:rPr>
          <w:rFonts w:hint="eastAsia" w:ascii="宋体" w:hAnsi="宋体" w:eastAsia="宋体" w:cs="宋体"/>
          <w:color w:val="auto"/>
          <w:highlight w:val="none"/>
        </w:rPr>
      </w:pPr>
    </w:p>
    <w:p w14:paraId="699EF52F">
      <w:pPr>
        <w:pStyle w:val="22"/>
        <w:rPr>
          <w:rFonts w:hint="eastAsia" w:ascii="宋体" w:hAnsi="宋体" w:eastAsia="宋体" w:cs="宋体"/>
          <w:color w:val="auto"/>
          <w:highlight w:val="none"/>
        </w:rPr>
      </w:pPr>
    </w:p>
    <w:p w14:paraId="0DEF108F">
      <w:pPr>
        <w:pStyle w:val="22"/>
        <w:rPr>
          <w:rFonts w:hint="eastAsia" w:ascii="宋体" w:hAnsi="宋体" w:eastAsia="宋体" w:cs="宋体"/>
          <w:color w:val="auto"/>
          <w:highlight w:val="none"/>
        </w:rPr>
      </w:pPr>
    </w:p>
    <w:p w14:paraId="4C5D659F">
      <w:pPr>
        <w:pStyle w:val="22"/>
        <w:rPr>
          <w:rFonts w:hint="eastAsia" w:ascii="宋体" w:hAnsi="宋体" w:eastAsia="宋体" w:cs="宋体"/>
          <w:color w:val="auto"/>
          <w:highlight w:val="none"/>
        </w:rPr>
      </w:pPr>
    </w:p>
    <w:p w14:paraId="0E16C7A7">
      <w:pPr>
        <w:pStyle w:val="22"/>
        <w:rPr>
          <w:rFonts w:hint="eastAsia" w:ascii="宋体" w:hAnsi="宋体" w:eastAsia="宋体" w:cs="宋体"/>
          <w:color w:val="auto"/>
          <w:highlight w:val="none"/>
        </w:rPr>
      </w:pPr>
    </w:p>
    <w:p w14:paraId="00E7A269">
      <w:pPr>
        <w:pStyle w:val="22"/>
        <w:rPr>
          <w:rFonts w:hint="eastAsia" w:ascii="宋体" w:hAnsi="宋体" w:eastAsia="宋体" w:cs="宋体"/>
          <w:color w:val="auto"/>
          <w:highlight w:val="none"/>
        </w:rPr>
      </w:pPr>
    </w:p>
    <w:p w14:paraId="5B784533">
      <w:pPr>
        <w:pStyle w:val="22"/>
        <w:rPr>
          <w:rFonts w:hint="eastAsia" w:ascii="宋体" w:hAnsi="宋体" w:eastAsia="宋体" w:cs="宋体"/>
          <w:color w:val="auto"/>
          <w:highlight w:val="none"/>
        </w:rPr>
      </w:pPr>
    </w:p>
    <w:p w14:paraId="6F239C6C">
      <w:pPr>
        <w:pStyle w:val="22"/>
        <w:rPr>
          <w:rFonts w:hint="eastAsia" w:ascii="宋体" w:hAnsi="宋体" w:eastAsia="宋体" w:cs="宋体"/>
          <w:color w:val="auto"/>
          <w:highlight w:val="none"/>
        </w:rPr>
      </w:pPr>
    </w:p>
    <w:p w14:paraId="7D6927D7">
      <w:pPr>
        <w:pStyle w:val="22"/>
        <w:rPr>
          <w:rFonts w:hint="eastAsia" w:ascii="宋体" w:hAnsi="宋体" w:eastAsia="宋体" w:cs="宋体"/>
          <w:color w:val="auto"/>
          <w:highlight w:val="none"/>
        </w:rPr>
      </w:pPr>
    </w:p>
    <w:p w14:paraId="0E1C7853">
      <w:pPr>
        <w:pStyle w:val="22"/>
        <w:rPr>
          <w:rFonts w:hint="eastAsia" w:ascii="宋体" w:hAnsi="宋体" w:eastAsia="宋体" w:cs="宋体"/>
          <w:color w:val="auto"/>
          <w:highlight w:val="none"/>
        </w:rPr>
      </w:pPr>
    </w:p>
    <w:p w14:paraId="7A12A109">
      <w:pPr>
        <w:spacing w:line="560" w:lineRule="exact"/>
        <w:jc w:val="center"/>
        <w:rPr>
          <w:rFonts w:hint="eastAsia" w:ascii="宋体" w:hAnsi="宋体" w:eastAsia="宋体" w:cs="宋体"/>
          <w:color w:val="auto"/>
          <w:sz w:val="44"/>
          <w:szCs w:val="32"/>
          <w:highlight w:val="none"/>
        </w:rPr>
      </w:pPr>
    </w:p>
    <w:p w14:paraId="572C0669">
      <w:pPr>
        <w:spacing w:line="560" w:lineRule="exact"/>
        <w:jc w:val="center"/>
        <w:rPr>
          <w:rFonts w:hint="eastAsia" w:ascii="宋体" w:hAnsi="宋体" w:eastAsia="宋体" w:cs="宋体"/>
          <w:color w:val="auto"/>
          <w:sz w:val="44"/>
          <w:szCs w:val="32"/>
          <w:highlight w:val="none"/>
        </w:rPr>
      </w:pPr>
    </w:p>
    <w:p w14:paraId="60947060">
      <w:pPr>
        <w:spacing w:line="560" w:lineRule="exact"/>
        <w:jc w:val="center"/>
        <w:rPr>
          <w:rFonts w:hint="eastAsia" w:ascii="宋体" w:hAnsi="宋体" w:eastAsia="宋体" w:cs="宋体"/>
          <w:color w:val="auto"/>
          <w:sz w:val="44"/>
          <w:szCs w:val="32"/>
          <w:highlight w:val="none"/>
        </w:rPr>
      </w:pPr>
      <w:r>
        <w:rPr>
          <w:rFonts w:hint="eastAsia" w:ascii="宋体" w:hAnsi="宋体" w:eastAsia="宋体" w:cs="宋体"/>
          <w:color w:val="auto"/>
          <w:sz w:val="44"/>
          <w:szCs w:val="32"/>
          <w:highlight w:val="none"/>
        </w:rPr>
        <w:br w:type="textWrapping"/>
      </w:r>
    </w:p>
    <w:p w14:paraId="21DEB21B">
      <w:pPr>
        <w:spacing w:line="560" w:lineRule="exact"/>
        <w:jc w:val="center"/>
        <w:rPr>
          <w:rFonts w:hint="eastAsia" w:ascii="宋体" w:hAnsi="宋体" w:eastAsia="宋体" w:cs="宋体"/>
          <w:color w:val="auto"/>
          <w:sz w:val="44"/>
          <w:szCs w:val="32"/>
          <w:highlight w:val="none"/>
        </w:rPr>
      </w:pPr>
    </w:p>
    <w:p w14:paraId="2CC5E413">
      <w:pPr>
        <w:spacing w:line="560" w:lineRule="exact"/>
        <w:jc w:val="center"/>
        <w:rPr>
          <w:rFonts w:hint="eastAsia" w:ascii="宋体" w:hAnsi="宋体" w:eastAsia="宋体" w:cs="宋体"/>
          <w:color w:val="auto"/>
          <w:sz w:val="44"/>
          <w:szCs w:val="32"/>
          <w:highlight w:val="none"/>
        </w:rPr>
      </w:pPr>
    </w:p>
    <w:p w14:paraId="4CC67486">
      <w:pPr>
        <w:spacing w:line="560" w:lineRule="exact"/>
        <w:jc w:val="center"/>
        <w:rPr>
          <w:rFonts w:hint="eastAsia" w:ascii="宋体" w:hAnsi="宋体" w:eastAsia="宋体" w:cs="宋体"/>
          <w:color w:val="auto"/>
          <w:sz w:val="44"/>
          <w:szCs w:val="32"/>
          <w:highlight w:val="none"/>
        </w:rPr>
      </w:pPr>
      <w:r>
        <w:rPr>
          <w:rFonts w:hint="eastAsia" w:ascii="宋体" w:hAnsi="宋体" w:eastAsia="宋体" w:cs="宋体"/>
          <w:color w:val="auto"/>
          <w:sz w:val="44"/>
          <w:szCs w:val="32"/>
          <w:highlight w:val="none"/>
        </w:rPr>
        <w:t>合   同   书</w:t>
      </w:r>
    </w:p>
    <w:p w14:paraId="17AC7913">
      <w:pPr>
        <w:pStyle w:val="22"/>
        <w:rPr>
          <w:rFonts w:hint="eastAsia" w:ascii="宋体" w:hAnsi="宋体" w:eastAsia="宋体" w:cs="宋体"/>
          <w:color w:val="auto"/>
          <w:highlight w:val="none"/>
        </w:rPr>
      </w:pPr>
    </w:p>
    <w:p w14:paraId="5D7CF7EC">
      <w:pPr>
        <w:spacing w:line="52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甲方（全称）：</w:t>
      </w:r>
      <w:r>
        <w:rPr>
          <w:rFonts w:hint="eastAsia" w:ascii="宋体" w:hAnsi="宋体" w:eastAsia="宋体" w:cs="宋体"/>
          <w:color w:val="auto"/>
          <w:sz w:val="21"/>
          <w:szCs w:val="21"/>
          <w:highlight w:val="none"/>
          <w:u w:val="single"/>
        </w:rPr>
        <w:t>河南省人民医院工会</w:t>
      </w:r>
    </w:p>
    <w:p w14:paraId="59791656">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乙方（全称）：</w:t>
      </w:r>
      <w:r>
        <w:rPr>
          <w:rFonts w:hint="eastAsia" w:ascii="宋体" w:hAnsi="宋体" w:eastAsia="宋体" w:cs="宋体"/>
          <w:color w:val="auto"/>
          <w:sz w:val="21"/>
          <w:szCs w:val="21"/>
          <w:highlight w:val="none"/>
          <w:u w:val="single"/>
        </w:rPr>
        <w:t xml:space="preserve">                     </w:t>
      </w:r>
    </w:p>
    <w:p w14:paraId="0C13DF8C">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依据《中华人民共和国民法典》、《中华人民共和国政府采购法》等有关法律法规，以及本采购项目的招标文件、乙方的投标文件及中标通知书，甲乙双方同意签订本合同。具体内容如下： </w:t>
      </w:r>
    </w:p>
    <w:p w14:paraId="2AE5B0BA">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一、项目信息</w:t>
      </w:r>
    </w:p>
    <w:p w14:paraId="0357594A">
      <w:pPr>
        <w:spacing w:line="520" w:lineRule="exact"/>
        <w:ind w:left="2310" w:leftChars="300" w:hanging="1680" w:hangingChars="8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1.采购项目名称：</w:t>
      </w:r>
      <w:r>
        <w:rPr>
          <w:rFonts w:hint="eastAsia" w:ascii="宋体" w:hAnsi="宋体" w:eastAsia="宋体" w:cs="宋体"/>
          <w:color w:val="auto"/>
          <w:sz w:val="21"/>
          <w:szCs w:val="21"/>
          <w:highlight w:val="none"/>
          <w:u w:val="single"/>
        </w:rPr>
        <w:t>河南省人民医院</w:t>
      </w:r>
      <w:r>
        <w:rPr>
          <w:rFonts w:hint="eastAsia" w:ascii="宋体" w:hAnsi="宋体" w:eastAsia="宋体" w:cs="宋体"/>
          <w:color w:val="auto"/>
          <w:sz w:val="21"/>
          <w:szCs w:val="21"/>
          <w:highlight w:val="none"/>
          <w:u w:val="single"/>
          <w:lang w:eastAsia="zh-CN"/>
        </w:rPr>
        <w:t>工会</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rPr>
        <w:t>年</w:t>
      </w:r>
      <w:r>
        <w:rPr>
          <w:rFonts w:hint="eastAsia" w:ascii="宋体" w:hAnsi="宋体" w:eastAsia="宋体" w:cs="宋体"/>
          <w:color w:val="auto"/>
          <w:sz w:val="21"/>
          <w:szCs w:val="21"/>
          <w:highlight w:val="none"/>
          <w:u w:val="single"/>
          <w:lang w:eastAsia="zh-CN"/>
        </w:rPr>
        <w:t>会员</w:t>
      </w:r>
      <w:r>
        <w:rPr>
          <w:rFonts w:hint="eastAsia" w:ascii="宋体" w:hAnsi="宋体" w:eastAsia="宋体" w:cs="宋体"/>
          <w:color w:val="auto"/>
          <w:sz w:val="21"/>
          <w:szCs w:val="21"/>
          <w:highlight w:val="none"/>
          <w:u w:val="single"/>
        </w:rPr>
        <w:t>生日慰问品采购项目</w:t>
      </w:r>
      <w:r>
        <w:rPr>
          <w:rFonts w:hint="eastAsia" w:ascii="宋体" w:hAnsi="宋体" w:eastAsia="宋体" w:cs="宋体"/>
          <w:color w:val="auto"/>
          <w:sz w:val="21"/>
          <w:szCs w:val="21"/>
          <w:highlight w:val="none"/>
        </w:rPr>
        <w:t xml:space="preserve">       </w:t>
      </w:r>
    </w:p>
    <w:p w14:paraId="6CF4C5FC">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采购项目编号：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297A98">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2.采购标的及预计采购数量：</w:t>
      </w:r>
      <w:r>
        <w:rPr>
          <w:rFonts w:hint="eastAsia" w:ascii="宋体" w:hAnsi="宋体" w:eastAsia="宋体" w:cs="宋体"/>
          <w:color w:val="auto"/>
          <w:sz w:val="21"/>
          <w:szCs w:val="21"/>
          <w:highlight w:val="none"/>
          <w:u w:val="single"/>
        </w:rPr>
        <w:t>生日慰问品</w:t>
      </w:r>
      <w:r>
        <w:rPr>
          <w:rFonts w:hint="eastAsia" w:ascii="宋体" w:hAnsi="宋体" w:eastAsia="宋体" w:cs="宋体"/>
          <w:color w:val="auto"/>
          <w:sz w:val="21"/>
          <w:szCs w:val="21"/>
          <w:highlight w:val="none"/>
          <w:u w:val="single"/>
          <w:lang w:eastAsia="zh-CN"/>
        </w:rPr>
        <w:t>每年约</w:t>
      </w:r>
      <w:r>
        <w:rPr>
          <w:rFonts w:hint="eastAsia" w:ascii="宋体" w:hAnsi="宋体" w:eastAsia="宋体" w:cs="宋体"/>
          <w:color w:val="auto"/>
          <w:sz w:val="21"/>
          <w:szCs w:val="21"/>
          <w:highlight w:val="none"/>
          <w:u w:val="single"/>
          <w:lang w:val="en-US" w:eastAsia="zh-CN"/>
        </w:rPr>
        <w:t>8600</w:t>
      </w:r>
      <w:r>
        <w:rPr>
          <w:rFonts w:hint="eastAsia" w:ascii="宋体" w:hAnsi="宋体" w:eastAsia="宋体" w:cs="宋体"/>
          <w:color w:val="auto"/>
          <w:sz w:val="21"/>
          <w:szCs w:val="21"/>
          <w:highlight w:val="none"/>
          <w:u w:val="single"/>
        </w:rPr>
        <w:t>份</w:t>
      </w:r>
      <w:r>
        <w:rPr>
          <w:rFonts w:hint="eastAsia" w:ascii="宋体" w:hAnsi="宋体" w:eastAsia="宋体" w:cs="宋体"/>
          <w:color w:val="auto"/>
          <w:sz w:val="21"/>
          <w:szCs w:val="21"/>
          <w:highlight w:val="none"/>
          <w:u w:val="single"/>
          <w:lang w:eastAsia="zh-CN"/>
        </w:rPr>
        <w:t>，两年约</w:t>
      </w:r>
      <w:r>
        <w:rPr>
          <w:rFonts w:hint="eastAsia" w:ascii="宋体" w:hAnsi="宋体" w:eastAsia="宋体" w:cs="宋体"/>
          <w:color w:val="auto"/>
          <w:sz w:val="21"/>
          <w:szCs w:val="21"/>
          <w:highlight w:val="none"/>
          <w:u w:val="single"/>
          <w:lang w:val="en-US" w:eastAsia="zh-CN"/>
        </w:rPr>
        <w:t>17200份</w:t>
      </w:r>
      <w:r>
        <w:rPr>
          <w:rFonts w:hint="eastAsia" w:ascii="宋体" w:hAnsi="宋体" w:eastAsia="宋体" w:cs="宋体"/>
          <w:color w:val="auto"/>
          <w:sz w:val="21"/>
          <w:szCs w:val="21"/>
          <w:highlight w:val="none"/>
        </w:rPr>
        <w:t xml:space="preserve">  </w:t>
      </w:r>
    </w:p>
    <w:p w14:paraId="3B232712">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3.政府采购组织形式：分散采购</w:t>
      </w:r>
    </w:p>
    <w:p w14:paraId="676ABCE2">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4.政府采购方式：公开招标</w:t>
      </w:r>
    </w:p>
    <w:p w14:paraId="56427476">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二、合同产品名称、数量及金额如下：</w:t>
      </w:r>
    </w:p>
    <w:tbl>
      <w:tblPr>
        <w:tblStyle w:val="23"/>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45"/>
        <w:gridCol w:w="1276"/>
        <w:gridCol w:w="1492"/>
        <w:gridCol w:w="1070"/>
        <w:gridCol w:w="1270"/>
        <w:gridCol w:w="1271"/>
      </w:tblGrid>
      <w:tr w14:paraId="20C0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60" w:type="dxa"/>
            <w:noWrap w:val="0"/>
            <w:vAlign w:val="center"/>
          </w:tcPr>
          <w:p w14:paraId="61C4B0A2">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845" w:type="dxa"/>
            <w:noWrap w:val="0"/>
            <w:vAlign w:val="center"/>
          </w:tcPr>
          <w:p w14:paraId="7F0965AE">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1276" w:type="dxa"/>
            <w:noWrap w:val="0"/>
            <w:vAlign w:val="top"/>
          </w:tcPr>
          <w:p w14:paraId="7E0391ED">
            <w:pPr>
              <w:spacing w:line="360" w:lineRule="exact"/>
              <w:jc w:val="center"/>
              <w:rPr>
                <w:rFonts w:hint="eastAsia" w:ascii="宋体" w:hAnsi="宋体" w:eastAsia="宋体" w:cs="宋体"/>
                <w:color w:val="auto"/>
                <w:sz w:val="21"/>
                <w:szCs w:val="21"/>
                <w:highlight w:val="none"/>
              </w:rPr>
            </w:pPr>
          </w:p>
          <w:p w14:paraId="144BCFC9">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p w14:paraId="02228041">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（份）</w:t>
            </w:r>
          </w:p>
        </w:tc>
        <w:tc>
          <w:tcPr>
            <w:tcW w:w="1492" w:type="dxa"/>
            <w:noWrap w:val="0"/>
            <w:vAlign w:val="center"/>
          </w:tcPr>
          <w:p w14:paraId="648E744D">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生日慰问品</w:t>
            </w:r>
            <w:r>
              <w:rPr>
                <w:rFonts w:hint="eastAsia" w:ascii="宋体" w:hAnsi="宋体" w:eastAsia="宋体" w:cs="宋体"/>
                <w:color w:val="auto"/>
                <w:sz w:val="21"/>
                <w:szCs w:val="21"/>
                <w:highlight w:val="none"/>
                <w:lang w:val="en-US" w:eastAsia="zh-CN"/>
              </w:rPr>
              <w:t>领取劵面值</w:t>
            </w:r>
            <w:r>
              <w:rPr>
                <w:rFonts w:hint="eastAsia" w:ascii="宋体" w:hAnsi="宋体" w:eastAsia="宋体" w:cs="宋体"/>
                <w:color w:val="auto"/>
                <w:sz w:val="21"/>
                <w:szCs w:val="21"/>
                <w:highlight w:val="none"/>
              </w:rPr>
              <w:t>（元/份）</w:t>
            </w:r>
          </w:p>
        </w:tc>
        <w:tc>
          <w:tcPr>
            <w:tcW w:w="1070" w:type="dxa"/>
            <w:noWrap w:val="0"/>
            <w:vAlign w:val="center"/>
          </w:tcPr>
          <w:p w14:paraId="477BF30C">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中标折扣</w:t>
            </w:r>
          </w:p>
        </w:tc>
        <w:tc>
          <w:tcPr>
            <w:tcW w:w="1270" w:type="dxa"/>
            <w:noWrap w:val="0"/>
            <w:vAlign w:val="center"/>
          </w:tcPr>
          <w:p w14:paraId="01EDB643">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生日慰问品结算单价（元/份）</w:t>
            </w:r>
          </w:p>
        </w:tc>
        <w:tc>
          <w:tcPr>
            <w:tcW w:w="1271" w:type="dxa"/>
            <w:noWrap w:val="0"/>
            <w:vAlign w:val="center"/>
          </w:tcPr>
          <w:p w14:paraId="6DF4DECF">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合同价款</w:t>
            </w:r>
          </w:p>
        </w:tc>
      </w:tr>
      <w:tr w14:paraId="620B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60" w:type="dxa"/>
            <w:noWrap w:val="0"/>
            <w:vAlign w:val="center"/>
          </w:tcPr>
          <w:p w14:paraId="7577C11C">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生日慰问品</w:t>
            </w:r>
          </w:p>
          <w:p w14:paraId="01C927E3">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lang w:eastAsia="zh-CN"/>
              </w:rPr>
              <w:t>领取</w:t>
            </w:r>
            <w:r>
              <w:rPr>
                <w:rFonts w:hint="eastAsia" w:ascii="宋体" w:hAnsi="宋体" w:eastAsia="宋体" w:cs="宋体"/>
                <w:color w:val="auto"/>
                <w:sz w:val="21"/>
                <w:szCs w:val="21"/>
                <w:highlight w:val="none"/>
              </w:rPr>
              <w:t>券的形式发放）</w:t>
            </w:r>
          </w:p>
        </w:tc>
        <w:tc>
          <w:tcPr>
            <w:tcW w:w="845" w:type="dxa"/>
            <w:noWrap w:val="0"/>
            <w:vAlign w:val="center"/>
          </w:tcPr>
          <w:p w14:paraId="58CEE7CB">
            <w:pPr>
              <w:spacing w:line="360" w:lineRule="exact"/>
              <w:jc w:val="center"/>
              <w:rPr>
                <w:rFonts w:hint="eastAsia" w:ascii="宋体" w:hAnsi="宋体" w:eastAsia="宋体" w:cs="宋体"/>
                <w:color w:val="auto"/>
                <w:sz w:val="21"/>
                <w:szCs w:val="21"/>
                <w:highlight w:val="none"/>
              </w:rPr>
            </w:pPr>
          </w:p>
        </w:tc>
        <w:tc>
          <w:tcPr>
            <w:tcW w:w="1276" w:type="dxa"/>
            <w:noWrap w:val="0"/>
            <w:vAlign w:val="top"/>
          </w:tcPr>
          <w:p w14:paraId="2756283B">
            <w:pPr>
              <w:spacing w:line="360" w:lineRule="exact"/>
              <w:jc w:val="center"/>
              <w:rPr>
                <w:rFonts w:hint="eastAsia" w:ascii="宋体" w:hAnsi="宋体" w:eastAsia="宋体" w:cs="宋体"/>
                <w:color w:val="auto"/>
                <w:sz w:val="21"/>
                <w:szCs w:val="21"/>
                <w:highlight w:val="none"/>
              </w:rPr>
            </w:pPr>
          </w:p>
        </w:tc>
        <w:tc>
          <w:tcPr>
            <w:tcW w:w="1492" w:type="dxa"/>
            <w:noWrap w:val="0"/>
            <w:vAlign w:val="top"/>
          </w:tcPr>
          <w:p w14:paraId="34EC5DF6">
            <w:pPr>
              <w:spacing w:line="360" w:lineRule="exact"/>
              <w:jc w:val="center"/>
              <w:rPr>
                <w:rFonts w:hint="eastAsia" w:ascii="宋体" w:hAnsi="宋体" w:eastAsia="宋体" w:cs="宋体"/>
                <w:color w:val="auto"/>
                <w:sz w:val="21"/>
                <w:szCs w:val="21"/>
                <w:highlight w:val="none"/>
              </w:rPr>
            </w:pPr>
          </w:p>
        </w:tc>
        <w:tc>
          <w:tcPr>
            <w:tcW w:w="1070" w:type="dxa"/>
            <w:noWrap w:val="0"/>
            <w:vAlign w:val="center"/>
          </w:tcPr>
          <w:p w14:paraId="40238A15">
            <w:pPr>
              <w:spacing w:line="360" w:lineRule="exact"/>
              <w:jc w:val="center"/>
              <w:rPr>
                <w:rFonts w:hint="eastAsia" w:ascii="宋体" w:hAnsi="宋体" w:eastAsia="宋体" w:cs="宋体"/>
                <w:color w:val="auto"/>
                <w:sz w:val="21"/>
                <w:szCs w:val="21"/>
                <w:highlight w:val="none"/>
              </w:rPr>
            </w:pPr>
          </w:p>
        </w:tc>
        <w:tc>
          <w:tcPr>
            <w:tcW w:w="1270" w:type="dxa"/>
            <w:noWrap w:val="0"/>
            <w:vAlign w:val="center"/>
          </w:tcPr>
          <w:p w14:paraId="27EB859E">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300元</w:t>
            </w:r>
          </w:p>
        </w:tc>
        <w:tc>
          <w:tcPr>
            <w:tcW w:w="1271" w:type="dxa"/>
            <w:noWrap w:val="0"/>
            <w:vAlign w:val="center"/>
          </w:tcPr>
          <w:p w14:paraId="30CAED44">
            <w:pPr>
              <w:spacing w:line="360" w:lineRule="exact"/>
              <w:jc w:val="center"/>
              <w:rPr>
                <w:rFonts w:hint="eastAsia" w:ascii="宋体" w:hAnsi="宋体" w:eastAsia="宋体" w:cs="宋体"/>
                <w:color w:val="auto"/>
                <w:sz w:val="21"/>
                <w:szCs w:val="21"/>
                <w:highlight w:val="none"/>
              </w:rPr>
            </w:pPr>
          </w:p>
        </w:tc>
      </w:tr>
    </w:tbl>
    <w:p w14:paraId="39A89268">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注：本合同为固定单价合同</w:t>
      </w:r>
      <w:r>
        <w:rPr>
          <w:rFonts w:hint="eastAsia" w:ascii="宋体" w:hAnsi="宋体" w:eastAsia="宋体" w:cs="宋体"/>
          <w:color w:val="auto"/>
          <w:sz w:val="21"/>
          <w:szCs w:val="21"/>
          <w:highlight w:val="none"/>
          <w:lang w:eastAsia="zh-CN"/>
        </w:rPr>
        <w:t>（含税）</w:t>
      </w:r>
      <w:r>
        <w:rPr>
          <w:rFonts w:hint="eastAsia" w:ascii="宋体" w:hAnsi="宋体" w:eastAsia="宋体" w:cs="宋体"/>
          <w:color w:val="auto"/>
          <w:sz w:val="21"/>
          <w:szCs w:val="21"/>
          <w:highlight w:val="none"/>
        </w:rPr>
        <w:t>，具体采购数量以合同期内甲方实际</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慰问</w:t>
      </w:r>
      <w:r>
        <w:rPr>
          <w:rFonts w:hint="eastAsia" w:ascii="宋体" w:hAnsi="宋体" w:eastAsia="宋体" w:cs="宋体"/>
          <w:color w:val="auto"/>
          <w:sz w:val="21"/>
          <w:szCs w:val="21"/>
          <w:highlight w:val="none"/>
        </w:rPr>
        <w:t>数量为准。</w:t>
      </w:r>
    </w:p>
    <w:p w14:paraId="3C5E2851">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三、合同产品的供货服务期限     </w:t>
      </w:r>
    </w:p>
    <w:p w14:paraId="0D36201C">
      <w:pPr>
        <w:spacing w:line="52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服务期限两年，即2026年1月1日-2027年12月31日。乙方负责甲方会员2026-2027年生日慰问品的分别供货。</w:t>
      </w:r>
    </w:p>
    <w:p w14:paraId="4E994CAC">
      <w:pPr>
        <w:spacing w:line="52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四、合同产品的供货及提货要求</w:t>
      </w:r>
    </w:p>
    <w:p w14:paraId="585F9161">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1.生日慰问品以领取券的形式发放，乙方根据甲方提供的会员数量印制纸质慰问品领取券，领取券应注明各门店的地址、订购电话，并</w:t>
      </w:r>
      <w:r>
        <w:rPr>
          <w:rFonts w:hint="eastAsia" w:ascii="宋体" w:hAnsi="宋体" w:eastAsia="宋体" w:cs="宋体"/>
          <w:color w:val="auto"/>
          <w:sz w:val="21"/>
          <w:szCs w:val="21"/>
          <w:highlight w:val="none"/>
        </w:rPr>
        <w:t>具有防伪标识。生日慰问品</w:t>
      </w:r>
      <w:r>
        <w:rPr>
          <w:rFonts w:hint="eastAsia" w:ascii="宋体" w:hAnsi="宋体" w:eastAsia="宋体" w:cs="宋体"/>
          <w:color w:val="auto"/>
          <w:sz w:val="21"/>
          <w:szCs w:val="21"/>
          <w:highlight w:val="none"/>
          <w:lang w:eastAsia="zh-CN"/>
        </w:rPr>
        <w:t>领取</w:t>
      </w:r>
      <w:r>
        <w:rPr>
          <w:rFonts w:hint="eastAsia" w:ascii="宋体" w:hAnsi="宋体" w:eastAsia="宋体" w:cs="宋体"/>
          <w:color w:val="auto"/>
          <w:sz w:val="21"/>
          <w:szCs w:val="21"/>
          <w:highlight w:val="none"/>
        </w:rPr>
        <w:t>券的设计图须经甲方确认。</w:t>
      </w:r>
    </w:p>
    <w:p w14:paraId="66057B68">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2.乙方应具备相应的供货能力，能够保证在合同服务期限内提供相应的生日慰问品，满足甲方会员</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 xml:space="preserve">提货要求。 </w:t>
      </w:r>
    </w:p>
    <w:p w14:paraId="0A1F639F">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当年生日慰问品领取券于上一年</w:t>
      </w:r>
      <w:r>
        <w:rPr>
          <w:rFonts w:hint="eastAsia" w:ascii="宋体" w:hAnsi="宋体" w:eastAsia="宋体" w:cs="宋体"/>
          <w:color w:val="auto"/>
          <w:sz w:val="21"/>
          <w:szCs w:val="21"/>
          <w:highlight w:val="none"/>
          <w:lang w:val="en-US" w:eastAsia="zh-CN"/>
        </w:rPr>
        <w:t>12月中下旬集中发放，乙方应按甲方需求的慰问数量及时间供应慰问品领取券</w:t>
      </w:r>
      <w:r>
        <w:rPr>
          <w:rFonts w:hint="eastAsia" w:ascii="宋体" w:hAnsi="宋体" w:eastAsia="宋体" w:cs="宋体"/>
          <w:color w:val="auto"/>
          <w:sz w:val="21"/>
          <w:szCs w:val="21"/>
          <w:highlight w:val="none"/>
        </w:rPr>
        <w:t>。</w:t>
      </w:r>
    </w:p>
    <w:p w14:paraId="176A0D1B">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4.甲方会员每年发放</w:t>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次生日慰问品</w:t>
      </w:r>
      <w:r>
        <w:rPr>
          <w:rFonts w:hint="eastAsia" w:ascii="宋体" w:hAnsi="宋体" w:eastAsia="宋体" w:cs="宋体"/>
          <w:color w:val="auto"/>
          <w:sz w:val="21"/>
          <w:szCs w:val="21"/>
          <w:highlight w:val="none"/>
          <w:lang w:eastAsia="zh-CN"/>
        </w:rPr>
        <w:t>领取券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领取</w:t>
      </w:r>
      <w:r>
        <w:rPr>
          <w:rFonts w:hint="eastAsia" w:ascii="宋体" w:hAnsi="宋体" w:eastAsia="宋体" w:cs="宋体"/>
          <w:color w:val="auto"/>
          <w:sz w:val="21"/>
          <w:szCs w:val="21"/>
          <w:highlight w:val="none"/>
        </w:rPr>
        <w:t>券有效期一年（</w:t>
      </w:r>
      <w:r>
        <w:rPr>
          <w:rFonts w:hint="eastAsia" w:ascii="宋体" w:hAnsi="宋体" w:eastAsia="宋体" w:cs="宋体"/>
          <w:color w:val="auto"/>
          <w:sz w:val="21"/>
          <w:szCs w:val="21"/>
          <w:highlight w:val="none"/>
          <w:lang w:eastAsia="zh-CN"/>
        </w:rPr>
        <w:t>领取</w:t>
      </w:r>
      <w:r>
        <w:rPr>
          <w:rFonts w:hint="eastAsia" w:ascii="宋体" w:hAnsi="宋体" w:eastAsia="宋体" w:cs="宋体"/>
          <w:color w:val="auto"/>
          <w:sz w:val="21"/>
          <w:szCs w:val="21"/>
          <w:highlight w:val="none"/>
        </w:rPr>
        <w:t xml:space="preserve">券应标注有效期限），过期无效。 </w:t>
      </w:r>
    </w:p>
    <w:p w14:paraId="42F29CCC">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5.甲方会员凭</w:t>
      </w:r>
      <w:r>
        <w:rPr>
          <w:rFonts w:hint="eastAsia" w:ascii="宋体" w:hAnsi="宋体" w:eastAsia="宋体" w:cs="宋体"/>
          <w:color w:val="auto"/>
          <w:sz w:val="21"/>
          <w:szCs w:val="21"/>
          <w:highlight w:val="none"/>
          <w:lang w:eastAsia="zh-CN"/>
        </w:rPr>
        <w:t>领取</w:t>
      </w:r>
      <w:r>
        <w:rPr>
          <w:rFonts w:hint="eastAsia" w:ascii="宋体" w:hAnsi="宋体" w:eastAsia="宋体" w:cs="宋体"/>
          <w:color w:val="auto"/>
          <w:sz w:val="21"/>
          <w:szCs w:val="21"/>
          <w:highlight w:val="none"/>
        </w:rPr>
        <w:t>券在有效期内，</w:t>
      </w:r>
      <w:r>
        <w:rPr>
          <w:rFonts w:hint="eastAsia" w:ascii="宋体" w:hAnsi="宋体" w:eastAsia="宋体" w:cs="宋体"/>
          <w:color w:val="auto"/>
          <w:sz w:val="21"/>
          <w:szCs w:val="21"/>
          <w:highlight w:val="none"/>
          <w:lang w:eastAsia="zh-CN"/>
        </w:rPr>
        <w:t>到</w:t>
      </w:r>
      <w:r>
        <w:rPr>
          <w:rFonts w:hint="eastAsia" w:ascii="宋体" w:hAnsi="宋体" w:eastAsia="宋体" w:cs="宋体"/>
          <w:color w:val="auto"/>
          <w:sz w:val="21"/>
          <w:szCs w:val="21"/>
          <w:highlight w:val="none"/>
        </w:rPr>
        <w:t>乙方的所有</w:t>
      </w:r>
      <w:r>
        <w:rPr>
          <w:rFonts w:hint="eastAsia" w:ascii="宋体" w:hAnsi="宋体" w:eastAsia="宋体" w:cs="宋体"/>
          <w:color w:val="auto"/>
          <w:sz w:val="21"/>
          <w:szCs w:val="21"/>
          <w:highlight w:val="none"/>
          <w:lang w:eastAsia="zh-CN"/>
        </w:rPr>
        <w:t>实体</w:t>
      </w:r>
      <w:r>
        <w:rPr>
          <w:rFonts w:hint="eastAsia" w:ascii="宋体" w:hAnsi="宋体" w:eastAsia="宋体" w:cs="宋体"/>
          <w:color w:val="auto"/>
          <w:sz w:val="21"/>
          <w:szCs w:val="21"/>
          <w:highlight w:val="none"/>
        </w:rPr>
        <w:t>门店购买生日蛋糕或店内其他食品等，直至</w:t>
      </w:r>
      <w:r>
        <w:rPr>
          <w:rFonts w:hint="eastAsia" w:ascii="宋体" w:hAnsi="宋体" w:eastAsia="宋体" w:cs="宋体"/>
          <w:color w:val="auto"/>
          <w:sz w:val="21"/>
          <w:szCs w:val="21"/>
          <w:highlight w:val="none"/>
          <w:lang w:eastAsia="zh-CN"/>
        </w:rPr>
        <w:t>领取券</w:t>
      </w:r>
      <w:r>
        <w:rPr>
          <w:rFonts w:hint="eastAsia" w:ascii="宋体" w:hAnsi="宋体" w:eastAsia="宋体" w:cs="宋体"/>
          <w:color w:val="auto"/>
          <w:sz w:val="21"/>
          <w:szCs w:val="21"/>
          <w:highlight w:val="none"/>
        </w:rPr>
        <w:t>额</w:t>
      </w:r>
      <w:r>
        <w:rPr>
          <w:rFonts w:hint="eastAsia" w:ascii="宋体" w:hAnsi="宋体" w:eastAsia="宋体" w:cs="宋体"/>
          <w:color w:val="auto"/>
          <w:sz w:val="21"/>
          <w:szCs w:val="21"/>
          <w:highlight w:val="none"/>
          <w:lang w:eastAsia="zh-CN"/>
        </w:rPr>
        <w:t>度</w:t>
      </w:r>
      <w:r>
        <w:rPr>
          <w:rFonts w:hint="eastAsia" w:ascii="宋体" w:hAnsi="宋体" w:eastAsia="宋体" w:cs="宋体"/>
          <w:color w:val="auto"/>
          <w:sz w:val="21"/>
          <w:szCs w:val="21"/>
          <w:highlight w:val="none"/>
        </w:rPr>
        <w:t>消费完止。</w:t>
      </w:r>
    </w:p>
    <w:p w14:paraId="57DF5E18">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生日蛋糕需送货上门的，乙方应按照甲方会员指定形式、时间和送货地址进行配送，同时免费提供刀叉、纸碟、蜡烛；乙方提供郑州市区各门店3公里以内的生日蛋糕免费配送服务，超出此范围的，配送费用按市场价由甲方工会会员自行承担。（中标人投标文件中优于以上标准的，按照中标单位投标文件执行）</w:t>
      </w:r>
    </w:p>
    <w:p w14:paraId="7D621424">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五、合同产品的质量要求</w:t>
      </w:r>
    </w:p>
    <w:p w14:paraId="212AA813">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1.乙方所供产品须符合《中华人民共和国食品安全法》、《中华人民共和国产品质量法》及其他相关规定，且符合国家和行业相应标准、规格及包装要求。</w:t>
      </w:r>
    </w:p>
    <w:p w14:paraId="5F6FBD98">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2.乙方必须确保所供食品为质量保证期内的新鲜食品，食品质量从加工、包装、运输、贮存到销售，做到优质、精良、无有害添加剂，保证无异味、无霉烂变质。</w:t>
      </w:r>
    </w:p>
    <w:p w14:paraId="33942007">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六、合同价款的结算以及支付条款</w:t>
      </w:r>
    </w:p>
    <w:p w14:paraId="72B21C57">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1.合同价款的结算</w:t>
      </w:r>
    </w:p>
    <w:p w14:paraId="1FE27A08">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1.1采用先提货后结算的形式按月支付。甲方会员凭券到乙方店面</w:t>
      </w:r>
      <w:r>
        <w:rPr>
          <w:rFonts w:hint="eastAsia" w:ascii="宋体" w:hAnsi="宋体" w:eastAsia="宋体" w:cs="宋体"/>
          <w:color w:val="auto"/>
          <w:sz w:val="21"/>
          <w:szCs w:val="21"/>
          <w:highlight w:val="none"/>
          <w:lang w:eastAsia="zh-CN"/>
        </w:rPr>
        <w:t>领</w:t>
      </w:r>
      <w:r>
        <w:rPr>
          <w:rFonts w:hint="eastAsia" w:ascii="宋体" w:hAnsi="宋体" w:eastAsia="宋体" w:cs="宋体"/>
          <w:color w:val="auto"/>
          <w:sz w:val="21"/>
          <w:szCs w:val="21"/>
          <w:highlight w:val="none"/>
        </w:rPr>
        <w:t>取生日慰问品，乙方每月凭收回的</w:t>
      </w:r>
      <w:r>
        <w:rPr>
          <w:rFonts w:hint="eastAsia" w:ascii="宋体" w:hAnsi="宋体" w:eastAsia="宋体" w:cs="宋体"/>
          <w:color w:val="auto"/>
          <w:sz w:val="21"/>
          <w:szCs w:val="21"/>
          <w:highlight w:val="none"/>
          <w:lang w:eastAsia="zh-CN"/>
        </w:rPr>
        <w:t>领取</w:t>
      </w:r>
      <w:r>
        <w:rPr>
          <w:rFonts w:hint="eastAsia" w:ascii="宋体" w:hAnsi="宋体" w:eastAsia="宋体" w:cs="宋体"/>
          <w:color w:val="auto"/>
          <w:sz w:val="21"/>
          <w:szCs w:val="21"/>
          <w:highlight w:val="none"/>
        </w:rPr>
        <w:t>券面值总额，根据中标折扣与甲方进行据实结算。</w:t>
      </w:r>
    </w:p>
    <w:p w14:paraId="4A718BFD">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结算公式：实际结算金额=</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收回</w:t>
      </w:r>
      <w:r>
        <w:rPr>
          <w:rFonts w:hint="eastAsia" w:ascii="宋体" w:hAnsi="宋体" w:eastAsia="宋体" w:cs="宋体"/>
          <w:color w:val="auto"/>
          <w:sz w:val="21"/>
          <w:szCs w:val="21"/>
          <w:highlight w:val="none"/>
          <w:lang w:eastAsia="zh-CN"/>
        </w:rPr>
        <w:t>的领取</w:t>
      </w:r>
      <w:r>
        <w:rPr>
          <w:rFonts w:hint="eastAsia" w:ascii="宋体" w:hAnsi="宋体" w:eastAsia="宋体" w:cs="宋体"/>
          <w:color w:val="auto"/>
          <w:sz w:val="21"/>
          <w:szCs w:val="21"/>
          <w:highlight w:val="none"/>
        </w:rPr>
        <w:t>券面值总额×中标折扣</w:t>
      </w:r>
    </w:p>
    <w:p w14:paraId="55360594">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1.2甲乙双方确认，本合同价包含生日慰问品及其供货、运输配送、保险、质保、售后及相关伴随的服务，甲方无须就本合同再向乙方支付任何额外费用，乙方不得以任何理由申请增加任何费用。</w:t>
      </w:r>
    </w:p>
    <w:p w14:paraId="6E59A04C">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2.合同价款的支付</w:t>
      </w:r>
    </w:p>
    <w:p w14:paraId="2F5A9CF9">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2.1甲方采用银行转账方式结算。</w:t>
      </w:r>
    </w:p>
    <w:p w14:paraId="5EB56F15">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双方的账户如下：</w:t>
      </w:r>
    </w:p>
    <w:p w14:paraId="473175DD">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                                  乙方：        </w:t>
      </w:r>
    </w:p>
    <w:p w14:paraId="009B1482">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开户行：                                开户行：       </w:t>
      </w:r>
    </w:p>
    <w:p w14:paraId="18D1C9FB">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账户名称：                              账户名称：        </w:t>
      </w:r>
    </w:p>
    <w:p w14:paraId="2E5752A2">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账号：                                  账号：                                                                                    </w:t>
      </w:r>
    </w:p>
    <w:p w14:paraId="3E766897">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任何一方如需改变上述账户，应提前十日书面通知另一方。如一方未按本合同规定通知而使另一方遭受损失的，应予以赔偿。</w:t>
      </w:r>
    </w:p>
    <w:p w14:paraId="3C507D22">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七、售后及其他服务</w:t>
      </w:r>
    </w:p>
    <w:p w14:paraId="34B7FE47">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1.乙方应有完善的售后服务体系、方案、应急处理措施等，确保</w:t>
      </w:r>
      <w:r>
        <w:rPr>
          <w:rFonts w:hint="eastAsia" w:ascii="宋体" w:hAnsi="宋体" w:eastAsia="宋体" w:cs="宋体"/>
          <w:color w:val="auto"/>
          <w:sz w:val="21"/>
          <w:szCs w:val="21"/>
          <w:highlight w:val="none"/>
          <w:lang w:eastAsia="zh-CN"/>
        </w:rPr>
        <w:t>慰问品领取</w:t>
      </w:r>
      <w:r>
        <w:rPr>
          <w:rFonts w:hint="eastAsia" w:ascii="宋体" w:hAnsi="宋体" w:eastAsia="宋体" w:cs="宋体"/>
          <w:color w:val="auto"/>
          <w:sz w:val="21"/>
          <w:szCs w:val="21"/>
          <w:highlight w:val="none"/>
        </w:rPr>
        <w:t>券正常使用；乙方应提供有效的联系人和联系电话，并承诺在接到甲方问题反馈后，须快速响应，当天问题，当天处理。</w:t>
      </w:r>
    </w:p>
    <w:tbl>
      <w:tblPr>
        <w:tblStyle w:val="24"/>
        <w:tblW w:w="0" w:type="auto"/>
        <w:tblInd w:w="6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9"/>
        <w:gridCol w:w="3809"/>
      </w:tblGrid>
      <w:tr w14:paraId="1CBC3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9" w:type="dxa"/>
            <w:noWrap w:val="0"/>
            <w:vAlign w:val="top"/>
          </w:tcPr>
          <w:p w14:paraId="4B4496DA">
            <w:pPr>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甲方联系人</w:t>
            </w:r>
          </w:p>
        </w:tc>
        <w:tc>
          <w:tcPr>
            <w:tcW w:w="3809" w:type="dxa"/>
            <w:noWrap w:val="0"/>
            <w:vAlign w:val="top"/>
          </w:tcPr>
          <w:p w14:paraId="295F9D60">
            <w:pPr>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乙方联系人</w:t>
            </w:r>
          </w:p>
        </w:tc>
      </w:tr>
      <w:tr w14:paraId="7D36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9" w:type="dxa"/>
            <w:noWrap w:val="0"/>
            <w:vAlign w:val="top"/>
          </w:tcPr>
          <w:p w14:paraId="4C089BE8">
            <w:pPr>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姓名：</w:t>
            </w:r>
          </w:p>
        </w:tc>
        <w:tc>
          <w:tcPr>
            <w:tcW w:w="3809" w:type="dxa"/>
            <w:noWrap w:val="0"/>
            <w:vAlign w:val="top"/>
          </w:tcPr>
          <w:p w14:paraId="404254D5">
            <w:pPr>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姓名：</w:t>
            </w:r>
          </w:p>
        </w:tc>
      </w:tr>
      <w:tr w14:paraId="780D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9" w:type="dxa"/>
            <w:noWrap w:val="0"/>
            <w:vAlign w:val="top"/>
          </w:tcPr>
          <w:p w14:paraId="072DABCE">
            <w:pPr>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电话：</w:t>
            </w:r>
          </w:p>
        </w:tc>
        <w:tc>
          <w:tcPr>
            <w:tcW w:w="3809" w:type="dxa"/>
            <w:noWrap w:val="0"/>
            <w:vAlign w:val="top"/>
          </w:tcPr>
          <w:p w14:paraId="74C11CC0">
            <w:pPr>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电话：</w:t>
            </w:r>
          </w:p>
        </w:tc>
      </w:tr>
      <w:tr w14:paraId="62DF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9" w:type="dxa"/>
            <w:noWrap w:val="0"/>
            <w:vAlign w:val="top"/>
          </w:tcPr>
          <w:p w14:paraId="3E369AA5">
            <w:pPr>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身份证号：</w:t>
            </w:r>
          </w:p>
        </w:tc>
        <w:tc>
          <w:tcPr>
            <w:tcW w:w="3809" w:type="dxa"/>
            <w:noWrap w:val="0"/>
            <w:vAlign w:val="top"/>
          </w:tcPr>
          <w:p w14:paraId="3B7EA11F">
            <w:pPr>
              <w:spacing w:line="52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身份证号：</w:t>
            </w:r>
          </w:p>
        </w:tc>
      </w:tr>
    </w:tbl>
    <w:p w14:paraId="1EBD1F6D">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2.质保期内，出现产品质量问题，由乙方无条件负责包换或包退，并承担因此而产生的一切费用。</w:t>
      </w:r>
    </w:p>
    <w:p w14:paraId="59228BEF">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3.甲方如果提出换货申请，乙方应及时给予更换。</w:t>
      </w:r>
    </w:p>
    <w:p w14:paraId="0FC3EA8F">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4.乙方店面如有变化或调整，应提前十日书面通知甲方。如乙方未按本合同规定通知而使甲方遭受损失的，乙方应对甲方遭受的实际损失予以赔偿。</w:t>
      </w:r>
    </w:p>
    <w:p w14:paraId="3DCF3EBF">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5.乙方须响应并执行投标文件做出的优惠及服务承诺。</w:t>
      </w:r>
    </w:p>
    <w:p w14:paraId="0D56B8D4">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八、验收</w:t>
      </w:r>
    </w:p>
    <w:p w14:paraId="076102E4">
      <w:pPr>
        <w:spacing w:line="52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1.甲乙双方</w:t>
      </w:r>
      <w:r>
        <w:rPr>
          <w:rFonts w:hint="eastAsia" w:ascii="宋体" w:hAnsi="宋体" w:eastAsia="宋体" w:cs="宋体"/>
          <w:color w:val="auto"/>
          <w:sz w:val="21"/>
          <w:szCs w:val="21"/>
          <w:highlight w:val="none"/>
          <w:lang w:eastAsia="zh-CN"/>
        </w:rPr>
        <w:t>当面点验签收慰问品领取券</w:t>
      </w:r>
      <w:r>
        <w:rPr>
          <w:rFonts w:hint="eastAsia" w:ascii="宋体" w:hAnsi="宋体" w:eastAsia="宋体" w:cs="宋体"/>
          <w:color w:val="auto"/>
          <w:sz w:val="21"/>
          <w:szCs w:val="21"/>
          <w:highlight w:val="none"/>
        </w:rPr>
        <w:t>。</w:t>
      </w:r>
    </w:p>
    <w:p w14:paraId="094D8A66">
      <w:pPr>
        <w:spacing w:line="52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2.验收按国家有关规定、规范进行。验收时如发现所交付的</w:t>
      </w:r>
      <w:r>
        <w:rPr>
          <w:rFonts w:hint="eastAsia" w:ascii="宋体" w:hAnsi="宋体" w:eastAsia="宋体" w:cs="宋体"/>
          <w:color w:val="auto"/>
          <w:sz w:val="21"/>
          <w:szCs w:val="21"/>
          <w:highlight w:val="none"/>
          <w:lang w:eastAsia="zh-CN"/>
        </w:rPr>
        <w:t>领取</w:t>
      </w:r>
      <w:r>
        <w:rPr>
          <w:rFonts w:hint="eastAsia" w:ascii="宋体" w:hAnsi="宋体" w:eastAsia="宋体" w:cs="宋体"/>
          <w:color w:val="auto"/>
          <w:sz w:val="21"/>
          <w:szCs w:val="21"/>
          <w:highlight w:val="none"/>
        </w:rPr>
        <w:t>券有短缺、次品、损坏或其他不符合招标文件、合同规定之情形者，甲方应做好详尽的现场记录，或由甲乙双方签署备忘录。此现场记录或备忘录可用作补充、缺失和更换的有效证据。由此产生的有关费用由乙方承担。</w:t>
      </w:r>
    </w:p>
    <w:p w14:paraId="2EFE92F1">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九、保密条款</w:t>
      </w:r>
    </w:p>
    <w:p w14:paraId="594BE395">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1.甲、乙双方对因执行本合同而获知的对方的商业信息均应保密。</w:t>
      </w:r>
    </w:p>
    <w:p w14:paraId="58C5D522">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2.任何一方泄露对方商业信息或不正当使用对方商业信息造成对方损失的，应予赔偿。</w:t>
      </w:r>
    </w:p>
    <w:p w14:paraId="4F5F46A7">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十、合同解释条款</w:t>
      </w:r>
    </w:p>
    <w:p w14:paraId="1A0B4346">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甲、乙双方以本合同为最终约定，构成本合同的组成文件及解释顺序依次为：</w:t>
      </w:r>
    </w:p>
    <w:p w14:paraId="5065229C">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（1）本合同条款</w:t>
      </w:r>
    </w:p>
    <w:p w14:paraId="35DE30B9">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（2）中标通知书</w:t>
      </w:r>
    </w:p>
    <w:p w14:paraId="1D85FCD7">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（3）招标文件</w:t>
      </w:r>
    </w:p>
    <w:p w14:paraId="1C5F7A69">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（4）投标文件</w:t>
      </w:r>
    </w:p>
    <w:p w14:paraId="3C7E6248">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p w14:paraId="5AD153A8">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（6）其他文件</w:t>
      </w:r>
    </w:p>
    <w:p w14:paraId="3E76E374">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十一、违约责任条款</w:t>
      </w:r>
    </w:p>
    <w:p w14:paraId="5A44A283">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因食品质量问题导致出现食品安全责任的（如造成食物中毒或食品变质等情况），经查实后确属乙方责任的，由乙方自行承担一切责任，并负责赔偿，包括但不限于食物中毒人员的医疗费、误工费、处理事故所产生的费用等，同时报执法部门追究乙方相关责任。</w:t>
      </w:r>
    </w:p>
    <w:p w14:paraId="21A80B5F">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2.甲方会员若在食品质量（如外观、口感、规格、数量等）方面发起投诉，经证实确属为乙方责任，每发生</w:t>
      </w:r>
      <w:r>
        <w:rPr>
          <w:rFonts w:hint="eastAsia" w:ascii="宋体" w:hAnsi="宋体" w:eastAsia="宋体" w:cs="宋体"/>
          <w:color w:val="auto"/>
          <w:sz w:val="21"/>
          <w:szCs w:val="21"/>
          <w:highlight w:val="none"/>
          <w:lang w:val="en-US" w:eastAsia="zh-CN"/>
        </w:rPr>
        <w:t>1起有效</w:t>
      </w:r>
      <w:r>
        <w:rPr>
          <w:rFonts w:hint="eastAsia" w:ascii="宋体" w:hAnsi="宋体" w:eastAsia="宋体" w:cs="宋体"/>
          <w:color w:val="auto"/>
          <w:sz w:val="21"/>
          <w:szCs w:val="21"/>
          <w:highlight w:val="none"/>
        </w:rPr>
        <w:t>投诉，除履约保证金外，乙方应另行向甲方支付违约金</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000元。</w:t>
      </w:r>
    </w:p>
    <w:p w14:paraId="00687477">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3.乙方服务质量不达标（如要求甲方工会会员2天后提取生日蛋糕等）且经甲方书面通知</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次仍未整改，除履约保证金外，乙方应向甲方支付违约金5000元。</w:t>
      </w:r>
    </w:p>
    <w:p w14:paraId="39BCC4AE">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4.乙方逾期交货（包括补交或由甲方提出更改、乙方承诺，但未在承诺的时间内完成等）的，应向甲方支付逾期违约金，违约金数额为影响甲方使用的全部数量金额的5%。</w:t>
      </w:r>
    </w:p>
    <w:p w14:paraId="5C4BD47F">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5.甲方提前下达计划，乙方未按甲方计划组织实施，影响甲方使用的，乙方应向甲方支付逾期违约金，违约金数额为影响甲方使用的全部数量金额的5%。</w:t>
      </w:r>
    </w:p>
    <w:p w14:paraId="0BE49E73">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6.乙方如提供非法税票结算的，甲方有权拒付款。由此产生的一切法律责任由乙方承担。</w:t>
      </w:r>
    </w:p>
    <w:p w14:paraId="5F95240E">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7.任何一方未履行本合同项下的任何条款均被视为违约。违约方应承担因自己的违约行为而给守约方造成的经济损失。</w:t>
      </w:r>
    </w:p>
    <w:p w14:paraId="2B87810A">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8.其他违约责任按《中华人民共和国民法典》处理。</w:t>
      </w:r>
    </w:p>
    <w:p w14:paraId="61D8869C">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十二、合同解除条款</w:t>
      </w:r>
    </w:p>
    <w:p w14:paraId="75C6280D">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如果乙方出现以下情形之一的，甲方有权解除合同并要求乙方承担由此给甲方造成的所有损失。</w:t>
      </w:r>
    </w:p>
    <w:p w14:paraId="1C179358">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1.本合同项下的采购任务必须由乙方自己承担，未经甲方书面同意，不得分包或变相转包给其他单位；</w:t>
      </w:r>
    </w:p>
    <w:p w14:paraId="5C6917F1">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2.乙方在生产、经营过程中有重大产品质量或安全生产事故；</w:t>
      </w:r>
    </w:p>
    <w:p w14:paraId="78A66A92">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3.经营状况严重恶化；</w:t>
      </w:r>
    </w:p>
    <w:p w14:paraId="69D9EC4D">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4.转移财产、抽逃资金，以逃避债务；</w:t>
      </w:r>
    </w:p>
    <w:p w14:paraId="367EA19E">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5.丧失商业信誉；</w:t>
      </w:r>
    </w:p>
    <w:p w14:paraId="33FA2BE3">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6.有丧失或者可能丧失履约能力的其他情形，如乙方店面数量压缩30%； </w:t>
      </w:r>
    </w:p>
    <w:p w14:paraId="789B8F7B">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7.有不诚信履约情形。</w:t>
      </w:r>
    </w:p>
    <w:p w14:paraId="40F904A5">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十三、履约保证金</w:t>
      </w:r>
    </w:p>
    <w:p w14:paraId="72238998">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1.乙方须在签订合同之前向甲方缴纳合同总金额2%的履约保证金，合同期限执行完毕后</w:t>
      </w:r>
      <w:r>
        <w:rPr>
          <w:rFonts w:hint="eastAsia" w:ascii="宋体" w:hAnsi="宋体" w:eastAsia="宋体" w:cs="宋体"/>
          <w:color w:val="auto"/>
          <w:sz w:val="21"/>
          <w:szCs w:val="21"/>
          <w:highlight w:val="none"/>
          <w:lang w:eastAsia="zh-CN"/>
        </w:rPr>
        <w:t>，甲方扣除依据本合同应当扣除的违约金，无息</w:t>
      </w:r>
      <w:r>
        <w:rPr>
          <w:rFonts w:hint="eastAsia" w:ascii="宋体" w:hAnsi="宋体" w:eastAsia="宋体" w:cs="宋体"/>
          <w:color w:val="auto"/>
          <w:sz w:val="21"/>
          <w:szCs w:val="21"/>
          <w:highlight w:val="none"/>
        </w:rPr>
        <w:t>退回乙方</w:t>
      </w:r>
      <w:r>
        <w:rPr>
          <w:rFonts w:hint="eastAsia" w:ascii="宋体" w:hAnsi="宋体" w:eastAsia="宋体" w:cs="宋体"/>
          <w:color w:val="auto"/>
          <w:sz w:val="21"/>
          <w:szCs w:val="21"/>
          <w:highlight w:val="none"/>
          <w:lang w:eastAsia="zh-CN"/>
        </w:rPr>
        <w:t>剩余</w:t>
      </w:r>
      <w:r>
        <w:rPr>
          <w:rFonts w:hint="eastAsia" w:ascii="宋体" w:hAnsi="宋体" w:eastAsia="宋体" w:cs="宋体"/>
          <w:color w:val="auto"/>
          <w:sz w:val="21"/>
          <w:szCs w:val="21"/>
          <w:highlight w:val="none"/>
        </w:rPr>
        <w:t>履约保证金。</w:t>
      </w:r>
    </w:p>
    <w:p w14:paraId="65F8F6EA">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甲方账户信息：</w:t>
      </w:r>
    </w:p>
    <w:p w14:paraId="75195134">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账户名：</w:t>
      </w:r>
    </w:p>
    <w:p w14:paraId="0E9BFE6E">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w:t>
      </w:r>
    </w:p>
    <w:p w14:paraId="272F306B">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p w14:paraId="218D4C42">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十四、争议的解决</w:t>
      </w:r>
    </w:p>
    <w:p w14:paraId="4982D083">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本合同适用于中华人民共和国法律，因履行合同而发生的争执，由供需双方直接协商解决，如协商不成，可向甲方所在地人民法院起诉，合同载明地址为法律文书送达地址。</w:t>
      </w:r>
    </w:p>
    <w:p w14:paraId="0A3820EB">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十五、不可抗力</w:t>
      </w:r>
    </w:p>
    <w:p w14:paraId="0DCF73DD">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1.不可抗力是指不能预见、不能避免并不能克服的客观情况（如自然灾害、战争、罢工、暴动等）。</w:t>
      </w:r>
    </w:p>
    <w:p w14:paraId="464E1E9A">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任何一方由于不可抗力而影响合同义务履行时，可根据不可抗力的影响程度和范围延迟或免除履行部分或全部合同义务。但是受不可抗力影响的一方应尽量减小不可抗力引起的延误或其他不利影响，并在不可抗力影响消除后，立即通知对方。任何一方不得因不可抗力造成的延迟而要求调整合同价格。</w:t>
      </w:r>
    </w:p>
    <w:p w14:paraId="410C6468">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受到不可抗力影响的一方应在不可抗力事件发生后2周内（含本数），取得有关部门关于发生不可抗力事件的证明文件，并以传真等书面形式提交另一方确认。否则，无权以不可抗力为由要求减轻或免除合同责任。</w:t>
      </w:r>
    </w:p>
    <w:p w14:paraId="0B254B16">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4.如果不可抗力事件的影响已达120天或双方预计不可抗力事件的影响将延续120天（含本数）以上时，任何一方有权终止本合同。由于合同终止所引起的后续问题由双方友好协商解决。</w:t>
      </w:r>
      <w:r>
        <w:rPr>
          <w:rFonts w:hint="eastAsia" w:ascii="宋体" w:hAnsi="宋体" w:eastAsia="宋体" w:cs="宋体"/>
          <w:color w:val="auto"/>
          <w:sz w:val="21"/>
          <w:szCs w:val="21"/>
          <w:highlight w:val="none"/>
        </w:rPr>
        <w:cr/>
      </w:r>
      <w:r>
        <w:rPr>
          <w:rFonts w:hint="eastAsia" w:ascii="宋体" w:hAnsi="宋体" w:eastAsia="宋体" w:cs="宋体"/>
          <w:color w:val="auto"/>
          <w:sz w:val="21"/>
          <w:szCs w:val="21"/>
          <w:highlight w:val="none"/>
        </w:rPr>
        <w:t xml:space="preserve">    十六、其他</w:t>
      </w:r>
    </w:p>
    <w:p w14:paraId="1B49642D">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1.本合同一式</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份，自甲、乙双方签字、盖章后生效。</w:t>
      </w:r>
    </w:p>
    <w:p w14:paraId="3F45F8AD">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未尽事宜，双方可签订补充协议及附件，补充协议、合同附件均为合同不可分割的一部分，与本合同具有同等法律效力。招标文件、合同附件与合同条款有冲突时，以合同条款为准，补充协议与本合同有冲突时，以补充协议约定内容为准。甲方本项目招标文件和乙方本项目投标文件，作为合同的有效补充文件。</w:t>
      </w:r>
    </w:p>
    <w:p w14:paraId="23070390">
      <w:pPr>
        <w:spacing w:line="520" w:lineRule="exact"/>
        <w:ind w:firstLine="420" w:firstLineChars="200"/>
        <w:rPr>
          <w:rFonts w:hint="eastAsia" w:ascii="宋体" w:hAnsi="宋体" w:eastAsia="宋体" w:cs="宋体"/>
          <w:color w:val="auto"/>
          <w:sz w:val="21"/>
          <w:szCs w:val="21"/>
          <w:highlight w:val="none"/>
        </w:rPr>
      </w:pPr>
    </w:p>
    <w:p w14:paraId="03C8648A">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    方：                      乙    方：                    </w:t>
      </w:r>
    </w:p>
    <w:p w14:paraId="1095F886">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    址：                      地    址：                    </w:t>
      </w:r>
    </w:p>
    <w:p w14:paraId="05E0F52E">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邮    编：                      邮    编：                    </w:t>
      </w:r>
    </w:p>
    <w:p w14:paraId="624532EB">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传    真：                      传    真：                                                     </w:t>
      </w:r>
    </w:p>
    <w:p w14:paraId="693F4831">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电    话：                                                   </w:t>
      </w:r>
    </w:p>
    <w:p w14:paraId="0A8137E4">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电子信箱：                      电子信箱：                                                  </w:t>
      </w:r>
    </w:p>
    <w:p w14:paraId="3D07A62D">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法定代表人：                                                </w:t>
      </w:r>
    </w:p>
    <w:p w14:paraId="361A4D8E">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授权代表人：                    授权代表人：</w:t>
      </w:r>
    </w:p>
    <w:p w14:paraId="38490D7D">
      <w:pPr>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附件一：店铺分布图、各门店的经营场所地址和联系方式</w:t>
      </w:r>
    </w:p>
    <w:p w14:paraId="2D3893EF">
      <w:pPr>
        <w:rPr>
          <w:rFonts w:hint="eastAsia" w:ascii="宋体" w:hAnsi="宋体" w:eastAsia="宋体" w:cs="宋体"/>
          <w:color w:val="auto"/>
          <w:highlight w:val="none"/>
        </w:rPr>
      </w:pPr>
    </w:p>
    <w:p w14:paraId="54AC9E3F">
      <w:pPr>
        <w:pStyle w:val="22"/>
        <w:rPr>
          <w:rFonts w:hint="eastAsia" w:ascii="宋体" w:hAnsi="宋体" w:eastAsia="宋体" w:cs="宋体"/>
          <w:color w:val="auto"/>
          <w:highlight w:val="none"/>
        </w:rPr>
      </w:pPr>
    </w:p>
    <w:p w14:paraId="50C112BE">
      <w:pPr>
        <w:pStyle w:val="22"/>
        <w:rPr>
          <w:rFonts w:hint="eastAsia" w:ascii="宋体" w:hAnsi="宋体" w:eastAsia="宋体" w:cs="宋体"/>
          <w:color w:val="auto"/>
          <w:highlight w:val="none"/>
        </w:rPr>
      </w:pPr>
    </w:p>
    <w:p w14:paraId="2C1CC9AD">
      <w:pPr>
        <w:pStyle w:val="22"/>
        <w:rPr>
          <w:rFonts w:hint="eastAsia" w:ascii="宋体" w:hAnsi="宋体" w:eastAsia="宋体" w:cs="宋体"/>
          <w:color w:val="auto"/>
          <w:highlight w:val="none"/>
        </w:rPr>
      </w:pPr>
    </w:p>
    <w:p w14:paraId="22799862">
      <w:pPr>
        <w:pStyle w:val="22"/>
        <w:rPr>
          <w:rFonts w:hint="eastAsia" w:ascii="宋体" w:hAnsi="宋体" w:eastAsia="宋体" w:cs="宋体"/>
          <w:color w:val="auto"/>
          <w:highlight w:val="none"/>
        </w:rPr>
      </w:pPr>
    </w:p>
    <w:p w14:paraId="5F4680F8">
      <w:pPr>
        <w:pStyle w:val="2"/>
        <w:numPr>
          <w:ilvl w:val="0"/>
          <w:numId w:val="3"/>
        </w:numPr>
        <w:spacing w:before="0" w:after="0"/>
        <w:jc w:val="center"/>
        <w:rPr>
          <w:rFonts w:hint="eastAsia" w:ascii="宋体" w:hAnsi="宋体" w:eastAsia="宋体" w:cs="宋体"/>
          <w:color w:val="auto"/>
          <w:sz w:val="32"/>
          <w:highlight w:val="none"/>
          <w:lang w:val="en-US" w:eastAsia="zh-CN"/>
        </w:rPr>
      </w:pPr>
      <w:bookmarkStart w:id="262" w:name="_Toc31912"/>
      <w:bookmarkStart w:id="263" w:name="_Toc30900"/>
      <w:bookmarkStart w:id="264" w:name="_Toc22685"/>
      <w:bookmarkStart w:id="265" w:name="_Toc1536"/>
      <w:r>
        <w:rPr>
          <w:rFonts w:hint="eastAsia" w:ascii="宋体" w:hAnsi="宋体" w:eastAsia="宋体" w:cs="宋体"/>
          <w:color w:val="auto"/>
          <w:sz w:val="32"/>
          <w:highlight w:val="none"/>
          <w:lang w:val="en-US" w:eastAsia="zh-CN"/>
        </w:rPr>
        <w:t>采购需求</w:t>
      </w:r>
      <w:bookmarkEnd w:id="262"/>
    </w:p>
    <w:p w14:paraId="40974E34">
      <w:pPr>
        <w:tabs>
          <w:tab w:val="center" w:pos="4482"/>
          <w:tab w:val="left" w:pos="7155"/>
        </w:tabs>
        <w:spacing w:line="580" w:lineRule="exact"/>
        <w:jc w:val="center"/>
        <w:rPr>
          <w:rFonts w:hint="eastAsia" w:ascii="宋体" w:hAnsi="宋体" w:eastAsia="宋体" w:cs="宋体"/>
          <w:color w:val="auto"/>
          <w:sz w:val="21"/>
          <w:szCs w:val="21"/>
          <w:highlight w:val="none"/>
        </w:rPr>
      </w:pPr>
      <w:bookmarkStart w:id="266" w:name="_Toc22621"/>
      <w:r>
        <w:rPr>
          <w:rFonts w:hint="eastAsia" w:ascii="宋体" w:hAnsi="宋体" w:eastAsia="宋体" w:cs="宋体"/>
          <w:b/>
          <w:bCs/>
          <w:color w:val="auto"/>
          <w:sz w:val="21"/>
          <w:szCs w:val="21"/>
          <w:highlight w:val="none"/>
          <w:lang w:eastAsia="zh-CN"/>
        </w:rPr>
        <w:t>河南省人民医院工会</w:t>
      </w:r>
      <w:r>
        <w:rPr>
          <w:rFonts w:hint="eastAsia" w:ascii="宋体" w:hAnsi="宋体" w:eastAsia="宋体" w:cs="宋体"/>
          <w:b/>
          <w:bCs/>
          <w:color w:val="auto"/>
          <w:sz w:val="21"/>
          <w:szCs w:val="21"/>
          <w:highlight w:val="none"/>
          <w:lang w:val="en-US" w:eastAsia="zh-CN"/>
        </w:rPr>
        <w:t>2026-2027年</w:t>
      </w:r>
      <w:r>
        <w:rPr>
          <w:rFonts w:hint="eastAsia" w:ascii="宋体" w:hAnsi="宋体" w:eastAsia="宋体" w:cs="宋体"/>
          <w:b/>
          <w:bCs/>
          <w:color w:val="auto"/>
          <w:sz w:val="21"/>
          <w:szCs w:val="21"/>
          <w:highlight w:val="none"/>
          <w:lang w:eastAsia="zh-CN"/>
        </w:rPr>
        <w:t>生日慰问品</w:t>
      </w:r>
      <w:r>
        <w:rPr>
          <w:rFonts w:hint="eastAsia" w:ascii="宋体" w:hAnsi="宋体" w:eastAsia="宋体" w:cs="宋体"/>
          <w:b/>
          <w:bCs/>
          <w:color w:val="auto"/>
          <w:sz w:val="21"/>
          <w:szCs w:val="21"/>
          <w:highlight w:val="none"/>
        </w:rPr>
        <w:t>采购需求</w:t>
      </w:r>
      <w:bookmarkEnd w:id="266"/>
    </w:p>
    <w:p w14:paraId="5EE5D775">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一、项目概况</w:t>
      </w:r>
    </w:p>
    <w:p w14:paraId="27E3535E">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本项目为河南省人民医院工会采购202</w:t>
      </w:r>
      <w:r>
        <w:rPr>
          <w:rFonts w:hint="eastAsia" w:ascii="宋体" w:hAnsi="宋体" w:eastAsia="宋体" w:cs="宋体"/>
          <w:color w:val="auto"/>
          <w:sz w:val="21"/>
          <w:szCs w:val="21"/>
          <w:highlight w:val="none"/>
          <w:lang w:val="en-US" w:eastAsia="zh-CN"/>
        </w:rPr>
        <w:t>6-2027</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eastAsia="zh-CN"/>
        </w:rPr>
        <w:t>会员生日</w:t>
      </w:r>
      <w:r>
        <w:rPr>
          <w:rFonts w:hint="eastAsia" w:ascii="宋体" w:hAnsi="宋体" w:eastAsia="宋体" w:cs="宋体"/>
          <w:color w:val="auto"/>
          <w:sz w:val="21"/>
          <w:szCs w:val="21"/>
          <w:highlight w:val="none"/>
        </w:rPr>
        <w:t>慰问品</w:t>
      </w:r>
      <w:r>
        <w:rPr>
          <w:rFonts w:hint="eastAsia" w:ascii="宋体" w:hAnsi="宋体" w:eastAsia="宋体" w:cs="宋体"/>
          <w:color w:val="auto"/>
          <w:sz w:val="21"/>
          <w:szCs w:val="21"/>
          <w:highlight w:val="none"/>
          <w:lang w:eastAsia="zh-CN"/>
        </w:rPr>
        <w:t>，慰问品</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lang w:eastAsia="zh-CN"/>
        </w:rPr>
        <w:t>领取</w:t>
      </w:r>
      <w:r>
        <w:rPr>
          <w:rFonts w:hint="eastAsia" w:ascii="宋体" w:hAnsi="宋体" w:eastAsia="宋体" w:cs="宋体"/>
          <w:color w:val="auto"/>
          <w:sz w:val="21"/>
          <w:szCs w:val="21"/>
          <w:highlight w:val="none"/>
        </w:rPr>
        <w:t>券形式发放</w:t>
      </w:r>
      <w:r>
        <w:rPr>
          <w:rFonts w:hint="eastAsia" w:ascii="宋体" w:hAnsi="宋体" w:eastAsia="宋体" w:cs="宋体"/>
          <w:color w:val="auto"/>
          <w:sz w:val="21"/>
          <w:szCs w:val="21"/>
          <w:highlight w:val="none"/>
          <w:lang w:eastAsia="zh-CN"/>
        </w:rPr>
        <w:t>。</w:t>
      </w:r>
    </w:p>
    <w:p w14:paraId="1D264F71">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二、采购内容</w:t>
      </w:r>
    </w:p>
    <w:p w14:paraId="66A11AF9">
      <w:pPr>
        <w:pStyle w:val="22"/>
        <w:keepNext w:val="0"/>
        <w:keepLines w:val="0"/>
        <w:pageBreakBefore w:val="0"/>
        <w:widowControl w:val="0"/>
        <w:kinsoku/>
        <w:wordWrap/>
        <w:overflowPunct/>
        <w:topLinePunct w:val="0"/>
        <w:autoSpaceDE/>
        <w:autoSpaceDN/>
        <w:bidi w:val="0"/>
        <w:adjustRightInd/>
        <w:snapToGrid/>
        <w:spacing w:line="54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采购项目：</w:t>
      </w:r>
      <w:r>
        <w:rPr>
          <w:rFonts w:hint="eastAsia" w:ascii="宋体" w:hAnsi="宋体" w:eastAsia="宋体" w:cs="宋体"/>
          <w:color w:val="auto"/>
          <w:sz w:val="21"/>
          <w:szCs w:val="21"/>
          <w:highlight w:val="none"/>
          <w:lang w:eastAsia="zh-CN"/>
        </w:rPr>
        <w:t>河南省人民医院工会会员</w:t>
      </w:r>
      <w:r>
        <w:rPr>
          <w:rFonts w:hint="eastAsia" w:ascii="宋体" w:hAnsi="宋体" w:eastAsia="宋体" w:cs="宋体"/>
          <w:color w:val="auto"/>
          <w:sz w:val="21"/>
          <w:szCs w:val="21"/>
          <w:highlight w:val="none"/>
        </w:rPr>
        <w:t>生日慰问品及其供货、运输配送、保险、质保、售后及相关伴随的服务。采购</w:t>
      </w:r>
      <w:r>
        <w:rPr>
          <w:rFonts w:hint="eastAsia" w:ascii="宋体" w:hAnsi="宋体" w:eastAsia="宋体" w:cs="宋体"/>
          <w:color w:val="auto"/>
          <w:sz w:val="21"/>
          <w:szCs w:val="21"/>
          <w:highlight w:val="none"/>
          <w:lang w:eastAsia="zh-CN"/>
        </w:rPr>
        <w:t>标准为每</w:t>
      </w:r>
      <w:r>
        <w:rPr>
          <w:rFonts w:hint="eastAsia" w:ascii="宋体" w:hAnsi="宋体" w:cs="宋体"/>
          <w:color w:val="auto"/>
          <w:sz w:val="21"/>
          <w:szCs w:val="21"/>
          <w:highlight w:val="none"/>
          <w:lang w:val="en-US" w:eastAsia="zh-CN"/>
        </w:rPr>
        <w:t>份</w:t>
      </w:r>
      <w:r>
        <w:rPr>
          <w:rFonts w:hint="eastAsia" w:ascii="宋体" w:hAnsi="宋体" w:eastAsia="宋体" w:cs="宋体"/>
          <w:color w:val="auto"/>
          <w:sz w:val="21"/>
          <w:szCs w:val="21"/>
          <w:highlight w:val="none"/>
          <w:lang w:eastAsia="zh-CN"/>
        </w:rPr>
        <w:t>每年</w:t>
      </w:r>
      <w:r>
        <w:rPr>
          <w:rFonts w:hint="eastAsia" w:ascii="宋体" w:hAnsi="宋体" w:eastAsia="宋体" w:cs="宋体"/>
          <w:color w:val="auto"/>
          <w:sz w:val="21"/>
          <w:szCs w:val="21"/>
          <w:highlight w:val="none"/>
        </w:rPr>
        <w:t>300元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会员</w:t>
      </w:r>
      <w:r>
        <w:rPr>
          <w:rFonts w:hint="eastAsia" w:ascii="宋体" w:hAnsi="宋体" w:eastAsia="宋体" w:cs="宋体"/>
          <w:color w:val="auto"/>
          <w:sz w:val="21"/>
          <w:szCs w:val="21"/>
          <w:highlight w:val="none"/>
          <w:lang w:val="en-US" w:eastAsia="zh-CN"/>
        </w:rPr>
        <w:t>凭领取券</w:t>
      </w:r>
      <w:r>
        <w:rPr>
          <w:rFonts w:hint="eastAsia" w:ascii="宋体" w:hAnsi="宋体" w:eastAsia="宋体" w:cs="宋体"/>
          <w:color w:val="auto"/>
          <w:sz w:val="21"/>
          <w:szCs w:val="21"/>
          <w:highlight w:val="none"/>
        </w:rPr>
        <w:t>可在</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所有</w:t>
      </w:r>
      <w:r>
        <w:rPr>
          <w:rFonts w:hint="eastAsia" w:ascii="宋体" w:hAnsi="宋体" w:eastAsia="宋体" w:cs="宋体"/>
          <w:color w:val="auto"/>
          <w:sz w:val="21"/>
          <w:szCs w:val="21"/>
          <w:highlight w:val="none"/>
          <w:lang w:eastAsia="zh-CN"/>
        </w:rPr>
        <w:t>实体</w:t>
      </w:r>
      <w:r>
        <w:rPr>
          <w:rFonts w:hint="eastAsia" w:ascii="宋体" w:hAnsi="宋体" w:eastAsia="宋体" w:cs="宋体"/>
          <w:color w:val="auto"/>
          <w:sz w:val="21"/>
          <w:szCs w:val="21"/>
          <w:highlight w:val="none"/>
        </w:rPr>
        <w:t>门店</w:t>
      </w:r>
      <w:r>
        <w:rPr>
          <w:rFonts w:hint="eastAsia" w:ascii="宋体" w:hAnsi="宋体" w:eastAsia="宋体" w:cs="宋体"/>
          <w:color w:val="auto"/>
          <w:sz w:val="21"/>
          <w:szCs w:val="21"/>
          <w:highlight w:val="none"/>
          <w:lang w:val="en-US" w:eastAsia="zh-CN"/>
        </w:rPr>
        <w:t>选择蛋糕或其他实物。</w:t>
      </w:r>
    </w:p>
    <w:p w14:paraId="26D63346">
      <w:pPr>
        <w:pStyle w:val="22"/>
        <w:keepNext w:val="0"/>
        <w:keepLines w:val="0"/>
        <w:pageBreakBefore w:val="0"/>
        <w:widowControl w:val="0"/>
        <w:kinsoku/>
        <w:wordWrap/>
        <w:overflowPunct/>
        <w:topLinePunct w:val="0"/>
        <w:autoSpaceDE/>
        <w:autoSpaceDN/>
        <w:bidi w:val="0"/>
        <w:adjustRightInd/>
        <w:snapToGrid/>
        <w:spacing w:line="5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采购数量：采购量</w:t>
      </w:r>
      <w:r>
        <w:rPr>
          <w:rFonts w:hint="eastAsia" w:ascii="宋体" w:hAnsi="宋体" w:eastAsia="宋体" w:cs="宋体"/>
          <w:color w:val="auto"/>
          <w:sz w:val="21"/>
          <w:szCs w:val="21"/>
          <w:highlight w:val="none"/>
          <w:lang w:eastAsia="zh-CN"/>
        </w:rPr>
        <w:t>每年</w:t>
      </w:r>
      <w:r>
        <w:rPr>
          <w:rFonts w:hint="eastAsia" w:ascii="宋体" w:hAnsi="宋体" w:eastAsia="宋体" w:cs="宋体"/>
          <w:color w:val="auto"/>
          <w:sz w:val="21"/>
          <w:szCs w:val="21"/>
          <w:highlight w:val="none"/>
        </w:rPr>
        <w:t>约</w:t>
      </w:r>
      <w:r>
        <w:rPr>
          <w:rFonts w:hint="eastAsia" w:ascii="宋体" w:hAnsi="宋体" w:eastAsia="宋体" w:cs="宋体"/>
          <w:color w:val="auto"/>
          <w:sz w:val="21"/>
          <w:szCs w:val="21"/>
          <w:highlight w:val="none"/>
          <w:lang w:val="en-US" w:eastAsia="zh-CN"/>
        </w:rPr>
        <w:t>8600</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，两年约</w:t>
      </w:r>
      <w:r>
        <w:rPr>
          <w:rFonts w:hint="eastAsia" w:ascii="宋体" w:hAnsi="宋体" w:eastAsia="宋体" w:cs="宋体"/>
          <w:color w:val="auto"/>
          <w:sz w:val="21"/>
          <w:szCs w:val="21"/>
          <w:highlight w:val="none"/>
          <w:lang w:val="en-US" w:eastAsia="zh-CN"/>
        </w:rPr>
        <w:t>17200份</w:t>
      </w:r>
      <w:r>
        <w:rPr>
          <w:rFonts w:hint="eastAsia" w:ascii="宋体" w:hAnsi="宋体" w:eastAsia="宋体" w:cs="宋体"/>
          <w:color w:val="auto"/>
          <w:sz w:val="21"/>
          <w:szCs w:val="21"/>
          <w:highlight w:val="none"/>
        </w:rPr>
        <w:t>（该数量仅作为</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的参考数据，实际采购量以采购人的实际需求为准）。</w:t>
      </w:r>
    </w:p>
    <w:p w14:paraId="3AA1B7F9">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采购金额：</w:t>
      </w:r>
      <w:r>
        <w:rPr>
          <w:rFonts w:hint="eastAsia" w:ascii="宋体" w:hAnsi="宋体" w:eastAsia="宋体" w:cs="宋体"/>
          <w:color w:val="auto"/>
          <w:sz w:val="21"/>
          <w:szCs w:val="21"/>
          <w:highlight w:val="none"/>
          <w:lang w:eastAsia="zh-CN"/>
        </w:rPr>
        <w:t>每年约人民币</w:t>
      </w:r>
      <w:r>
        <w:rPr>
          <w:rFonts w:hint="eastAsia" w:ascii="宋体" w:hAnsi="宋体" w:eastAsia="宋体" w:cs="宋体"/>
          <w:color w:val="auto"/>
          <w:sz w:val="21"/>
          <w:szCs w:val="21"/>
          <w:highlight w:val="none"/>
          <w:lang w:val="en-US" w:eastAsia="zh-CN"/>
        </w:rPr>
        <w:t>258万元，两年</w:t>
      </w:r>
      <w:r>
        <w:rPr>
          <w:rFonts w:hint="eastAsia" w:ascii="宋体" w:hAnsi="宋体" w:eastAsia="宋体" w:cs="宋体"/>
          <w:color w:val="auto"/>
          <w:sz w:val="21"/>
          <w:szCs w:val="21"/>
          <w:highlight w:val="none"/>
        </w:rPr>
        <w:t>约人民币</w:t>
      </w:r>
      <w:r>
        <w:rPr>
          <w:rFonts w:hint="eastAsia" w:ascii="宋体" w:hAnsi="宋体" w:eastAsia="宋体" w:cs="宋体"/>
          <w:color w:val="auto"/>
          <w:sz w:val="21"/>
          <w:szCs w:val="21"/>
          <w:highlight w:val="none"/>
          <w:lang w:val="en-US" w:eastAsia="zh-CN"/>
        </w:rPr>
        <w:t>516</w:t>
      </w:r>
      <w:r>
        <w:rPr>
          <w:rFonts w:hint="eastAsia" w:ascii="宋体" w:hAnsi="宋体" w:eastAsia="宋体" w:cs="宋体"/>
          <w:color w:val="auto"/>
          <w:sz w:val="21"/>
          <w:szCs w:val="21"/>
          <w:highlight w:val="none"/>
        </w:rPr>
        <w:t>万元。</w:t>
      </w:r>
    </w:p>
    <w:p w14:paraId="6BC8F072">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采购项目交付或实施地点：</w:t>
      </w:r>
      <w:r>
        <w:rPr>
          <w:rFonts w:hint="eastAsia" w:ascii="宋体" w:hAnsi="宋体" w:eastAsia="宋体" w:cs="宋体"/>
          <w:color w:val="auto"/>
          <w:sz w:val="21"/>
          <w:szCs w:val="21"/>
          <w:highlight w:val="none"/>
          <w:lang w:eastAsia="zh-CN"/>
        </w:rPr>
        <w:t>采购人指定地点</w:t>
      </w:r>
      <w:r>
        <w:rPr>
          <w:rFonts w:hint="eastAsia" w:ascii="宋体" w:hAnsi="宋体" w:eastAsia="宋体" w:cs="宋体"/>
          <w:color w:val="auto"/>
          <w:sz w:val="21"/>
          <w:szCs w:val="21"/>
          <w:highlight w:val="none"/>
        </w:rPr>
        <w:t>。</w:t>
      </w:r>
    </w:p>
    <w:p w14:paraId="6A073D3F">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生日蛋糕配送要求：1.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各门店应提供3公里以内的免费配送服务，超出此范围的，配送费用按市场价由采购人会员自行承担。2.需送货上门的，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应按照会员指定形式、时间和送货地址进行配送，同时免费提供刀叉、纸碟、蜡烛。</w:t>
      </w:r>
    </w:p>
    <w:p w14:paraId="609BC988">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三、商务具体要求</w:t>
      </w:r>
    </w:p>
    <w:p w14:paraId="06291D34">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所供</w:t>
      </w:r>
      <w:r>
        <w:rPr>
          <w:rFonts w:hint="eastAsia" w:ascii="宋体" w:hAnsi="宋体" w:eastAsia="宋体" w:cs="宋体"/>
          <w:color w:val="auto"/>
          <w:sz w:val="21"/>
          <w:szCs w:val="21"/>
          <w:highlight w:val="none"/>
          <w:lang w:eastAsia="zh-CN"/>
        </w:rPr>
        <w:t>商</w:t>
      </w:r>
      <w:r>
        <w:rPr>
          <w:rFonts w:hint="eastAsia" w:ascii="宋体" w:hAnsi="宋体" w:eastAsia="宋体" w:cs="宋体"/>
          <w:color w:val="auto"/>
          <w:sz w:val="21"/>
          <w:szCs w:val="21"/>
          <w:highlight w:val="none"/>
        </w:rPr>
        <w:t>品须符合《中华人民共和国食品安全法》、《中华人民共和国产品质量法》及其他相关规定，且符合国家和行业相应标准、规格及包装要求。</w:t>
      </w:r>
    </w:p>
    <w:p w14:paraId="3AEE326A">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应具备相应的供货能力，能够保证在合同服务期限内提供相应的生日慰问品，满足采购人会员提货要求。</w:t>
      </w:r>
    </w:p>
    <w:p w14:paraId="49B3CF0D">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根据采购人提供的</w:t>
      </w:r>
      <w:r>
        <w:rPr>
          <w:rFonts w:hint="eastAsia" w:ascii="宋体" w:hAnsi="宋体" w:eastAsia="宋体" w:cs="宋体"/>
          <w:color w:val="auto"/>
          <w:sz w:val="21"/>
          <w:szCs w:val="21"/>
          <w:highlight w:val="none"/>
          <w:lang w:eastAsia="zh-CN"/>
        </w:rPr>
        <w:t>慰问</w:t>
      </w:r>
      <w:r>
        <w:rPr>
          <w:rFonts w:hint="eastAsia" w:ascii="宋体" w:hAnsi="宋体" w:eastAsia="宋体" w:cs="宋体"/>
          <w:color w:val="auto"/>
          <w:sz w:val="21"/>
          <w:szCs w:val="21"/>
          <w:highlight w:val="none"/>
        </w:rPr>
        <w:t>数量印制纸质</w:t>
      </w:r>
      <w:r>
        <w:rPr>
          <w:rFonts w:hint="eastAsia" w:ascii="宋体" w:hAnsi="宋体" w:eastAsia="宋体" w:cs="宋体"/>
          <w:color w:val="auto"/>
          <w:sz w:val="21"/>
          <w:szCs w:val="21"/>
          <w:highlight w:val="none"/>
          <w:lang w:eastAsia="zh-CN"/>
        </w:rPr>
        <w:t>领取</w:t>
      </w:r>
      <w:r>
        <w:rPr>
          <w:rFonts w:hint="eastAsia" w:ascii="宋体" w:hAnsi="宋体" w:eastAsia="宋体" w:cs="宋体"/>
          <w:color w:val="auto"/>
          <w:sz w:val="21"/>
          <w:szCs w:val="21"/>
          <w:highlight w:val="none"/>
        </w:rPr>
        <w:t>券，</w:t>
      </w:r>
      <w:r>
        <w:rPr>
          <w:rFonts w:hint="eastAsia" w:ascii="宋体" w:hAnsi="宋体" w:eastAsia="宋体" w:cs="宋体"/>
          <w:color w:val="auto"/>
          <w:sz w:val="21"/>
          <w:szCs w:val="21"/>
          <w:highlight w:val="none"/>
          <w:lang w:eastAsia="zh-CN"/>
        </w:rPr>
        <w:t>领取</w:t>
      </w:r>
      <w:r>
        <w:rPr>
          <w:rFonts w:hint="eastAsia" w:ascii="宋体" w:hAnsi="宋体" w:eastAsia="宋体" w:cs="宋体"/>
          <w:color w:val="auto"/>
          <w:sz w:val="21"/>
          <w:szCs w:val="21"/>
          <w:highlight w:val="none"/>
        </w:rPr>
        <w:t>券应注明各门店的地址、订购电话，并具有防伪标识。</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投标时应提供专属生日慰问品</w:t>
      </w:r>
      <w:r>
        <w:rPr>
          <w:rFonts w:hint="eastAsia" w:ascii="宋体" w:hAnsi="宋体" w:eastAsia="宋体" w:cs="宋体"/>
          <w:color w:val="auto"/>
          <w:sz w:val="21"/>
          <w:szCs w:val="21"/>
          <w:highlight w:val="none"/>
          <w:lang w:eastAsia="zh-CN"/>
        </w:rPr>
        <w:t>领取</w:t>
      </w:r>
      <w:r>
        <w:rPr>
          <w:rFonts w:hint="eastAsia" w:ascii="宋体" w:hAnsi="宋体" w:eastAsia="宋体" w:cs="宋体"/>
          <w:color w:val="auto"/>
          <w:sz w:val="21"/>
          <w:szCs w:val="21"/>
          <w:highlight w:val="none"/>
        </w:rPr>
        <w:t>券的初步设计图（含正反面）。</w:t>
      </w:r>
    </w:p>
    <w:p w14:paraId="0B15F361">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（四）为便于结算，每份</w:t>
      </w:r>
      <w:r>
        <w:rPr>
          <w:rFonts w:hint="eastAsia" w:ascii="宋体" w:hAnsi="宋体" w:eastAsia="宋体" w:cs="宋体"/>
          <w:color w:val="auto"/>
          <w:sz w:val="21"/>
          <w:szCs w:val="21"/>
          <w:highlight w:val="none"/>
          <w:lang w:eastAsia="zh-CN"/>
        </w:rPr>
        <w:t>领取</w:t>
      </w:r>
      <w:r>
        <w:rPr>
          <w:rFonts w:hint="eastAsia" w:ascii="宋体" w:hAnsi="宋体" w:eastAsia="宋体" w:cs="宋体"/>
          <w:color w:val="auto"/>
          <w:sz w:val="21"/>
          <w:szCs w:val="21"/>
          <w:highlight w:val="none"/>
        </w:rPr>
        <w:t>券应按照每张面额50元的标准，分成若干张，剩余金额需印制相应金额的</w:t>
      </w:r>
      <w:r>
        <w:rPr>
          <w:rFonts w:hint="eastAsia" w:ascii="宋体" w:hAnsi="宋体" w:eastAsia="宋体" w:cs="宋体"/>
          <w:color w:val="auto"/>
          <w:sz w:val="21"/>
          <w:szCs w:val="21"/>
          <w:highlight w:val="none"/>
          <w:lang w:eastAsia="zh-CN"/>
        </w:rPr>
        <w:t>领取</w:t>
      </w:r>
      <w:r>
        <w:rPr>
          <w:rFonts w:hint="eastAsia" w:ascii="宋体" w:hAnsi="宋体" w:eastAsia="宋体" w:cs="宋体"/>
          <w:color w:val="auto"/>
          <w:sz w:val="21"/>
          <w:szCs w:val="21"/>
          <w:highlight w:val="none"/>
        </w:rPr>
        <w:t>券（例如：每份生日慰问品中标价为465元，应提供9张面额为50元和1张面额为15元的</w:t>
      </w:r>
      <w:r>
        <w:rPr>
          <w:rFonts w:hint="eastAsia" w:ascii="宋体" w:hAnsi="宋体" w:eastAsia="宋体" w:cs="宋体"/>
          <w:color w:val="auto"/>
          <w:sz w:val="21"/>
          <w:szCs w:val="21"/>
          <w:highlight w:val="none"/>
          <w:lang w:eastAsia="zh-CN"/>
        </w:rPr>
        <w:t>领取</w:t>
      </w:r>
      <w:r>
        <w:rPr>
          <w:rFonts w:hint="eastAsia" w:ascii="宋体" w:hAnsi="宋体" w:eastAsia="宋体" w:cs="宋体"/>
          <w:color w:val="auto"/>
          <w:sz w:val="21"/>
          <w:szCs w:val="21"/>
          <w:highlight w:val="none"/>
        </w:rPr>
        <w:t>券，以此类推）。</w:t>
      </w:r>
    </w:p>
    <w:p w14:paraId="09717F7F">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w:t>
      </w:r>
      <w:r>
        <w:rPr>
          <w:rFonts w:hint="eastAsia" w:ascii="宋体" w:hAnsi="宋体" w:eastAsia="宋体" w:cs="宋体"/>
          <w:color w:val="auto"/>
          <w:sz w:val="21"/>
          <w:szCs w:val="21"/>
          <w:highlight w:val="none"/>
          <w:lang w:eastAsia="zh-CN"/>
        </w:rPr>
        <w:t>当年生日慰问品领取</w:t>
      </w:r>
      <w:r>
        <w:rPr>
          <w:rFonts w:hint="eastAsia" w:ascii="宋体" w:hAnsi="宋体" w:eastAsia="宋体" w:cs="宋体"/>
          <w:color w:val="auto"/>
          <w:sz w:val="21"/>
          <w:szCs w:val="21"/>
          <w:highlight w:val="none"/>
        </w:rPr>
        <w:t>券</w:t>
      </w:r>
      <w:r>
        <w:rPr>
          <w:rFonts w:hint="eastAsia" w:ascii="宋体" w:hAnsi="宋体" w:eastAsia="宋体" w:cs="宋体"/>
          <w:color w:val="auto"/>
          <w:sz w:val="21"/>
          <w:szCs w:val="21"/>
          <w:highlight w:val="none"/>
          <w:lang w:eastAsia="zh-CN"/>
        </w:rPr>
        <w:t>于上一年</w:t>
      </w:r>
      <w:r>
        <w:rPr>
          <w:rFonts w:hint="eastAsia" w:ascii="宋体" w:hAnsi="宋体" w:eastAsia="宋体" w:cs="宋体"/>
          <w:color w:val="auto"/>
          <w:sz w:val="21"/>
          <w:szCs w:val="21"/>
          <w:highlight w:val="none"/>
          <w:lang w:val="en-US" w:eastAsia="zh-CN"/>
        </w:rPr>
        <w:t>12月中下旬</w:t>
      </w:r>
      <w:r>
        <w:rPr>
          <w:rFonts w:hint="eastAsia" w:ascii="宋体" w:hAnsi="宋体" w:eastAsia="宋体" w:cs="宋体"/>
          <w:color w:val="auto"/>
          <w:sz w:val="21"/>
          <w:szCs w:val="21"/>
          <w:highlight w:val="none"/>
          <w:lang w:eastAsia="zh-CN"/>
        </w:rPr>
        <w:t>集中</w:t>
      </w:r>
      <w:r>
        <w:rPr>
          <w:rFonts w:hint="eastAsia" w:ascii="宋体" w:hAnsi="宋体" w:eastAsia="宋体" w:cs="宋体"/>
          <w:color w:val="auto"/>
          <w:sz w:val="21"/>
          <w:szCs w:val="21"/>
          <w:highlight w:val="none"/>
        </w:rPr>
        <w:t xml:space="preserve">发放，有效期一年，过期无效。 </w:t>
      </w:r>
    </w:p>
    <w:p w14:paraId="21A6C07A">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（六）采购人会员凭</w:t>
      </w:r>
      <w:r>
        <w:rPr>
          <w:rFonts w:hint="eastAsia" w:ascii="宋体" w:hAnsi="宋体" w:eastAsia="宋体" w:cs="宋体"/>
          <w:color w:val="auto"/>
          <w:sz w:val="21"/>
          <w:szCs w:val="21"/>
          <w:highlight w:val="none"/>
          <w:lang w:eastAsia="zh-CN"/>
        </w:rPr>
        <w:t>慰问品领取</w:t>
      </w:r>
      <w:r>
        <w:rPr>
          <w:rFonts w:hint="eastAsia" w:ascii="宋体" w:hAnsi="宋体" w:eastAsia="宋体" w:cs="宋体"/>
          <w:color w:val="auto"/>
          <w:sz w:val="21"/>
          <w:szCs w:val="21"/>
          <w:highlight w:val="none"/>
        </w:rPr>
        <w:t>券</w:t>
      </w:r>
      <w:r>
        <w:rPr>
          <w:rFonts w:hint="eastAsia" w:ascii="宋体" w:hAnsi="宋体" w:eastAsia="宋体" w:cs="宋体"/>
          <w:color w:val="auto"/>
          <w:sz w:val="21"/>
          <w:szCs w:val="21"/>
          <w:highlight w:val="none"/>
          <w:lang w:eastAsia="zh-CN"/>
        </w:rPr>
        <w:t>，在</w:t>
      </w:r>
      <w:r>
        <w:rPr>
          <w:rFonts w:hint="eastAsia" w:ascii="宋体" w:hAnsi="宋体" w:eastAsia="宋体" w:cs="宋体"/>
          <w:color w:val="auto"/>
          <w:sz w:val="21"/>
          <w:szCs w:val="21"/>
          <w:highlight w:val="none"/>
        </w:rPr>
        <w:t>有效期内</w:t>
      </w:r>
      <w:r>
        <w:rPr>
          <w:rFonts w:hint="eastAsia" w:ascii="宋体" w:hAnsi="宋体" w:eastAsia="宋体" w:cs="宋体"/>
          <w:color w:val="auto"/>
          <w:sz w:val="21"/>
          <w:szCs w:val="21"/>
          <w:highlight w:val="none"/>
          <w:lang w:eastAsia="zh-CN"/>
        </w:rPr>
        <w:t>，到供应商</w:t>
      </w:r>
      <w:r>
        <w:rPr>
          <w:rFonts w:hint="eastAsia" w:ascii="宋体" w:hAnsi="宋体" w:eastAsia="宋体" w:cs="宋体"/>
          <w:color w:val="auto"/>
          <w:sz w:val="21"/>
          <w:szCs w:val="21"/>
          <w:highlight w:val="none"/>
        </w:rPr>
        <w:t>所有</w:t>
      </w:r>
      <w:r>
        <w:rPr>
          <w:rFonts w:hint="eastAsia" w:ascii="宋体" w:hAnsi="宋体" w:eastAsia="宋体" w:cs="宋体"/>
          <w:color w:val="auto"/>
          <w:sz w:val="21"/>
          <w:szCs w:val="21"/>
          <w:highlight w:val="none"/>
          <w:lang w:eastAsia="zh-CN"/>
        </w:rPr>
        <w:t>实体</w:t>
      </w:r>
      <w:r>
        <w:rPr>
          <w:rFonts w:hint="eastAsia" w:ascii="宋体" w:hAnsi="宋体" w:eastAsia="宋体" w:cs="宋体"/>
          <w:color w:val="auto"/>
          <w:sz w:val="21"/>
          <w:szCs w:val="21"/>
          <w:highlight w:val="none"/>
        </w:rPr>
        <w:t>门店</w:t>
      </w:r>
      <w:r>
        <w:rPr>
          <w:rFonts w:hint="eastAsia" w:ascii="宋体" w:hAnsi="宋体" w:eastAsia="宋体" w:cs="宋体"/>
          <w:color w:val="auto"/>
          <w:sz w:val="21"/>
          <w:szCs w:val="21"/>
          <w:highlight w:val="none"/>
          <w:lang w:eastAsia="zh-CN"/>
        </w:rPr>
        <w:t>领取</w:t>
      </w:r>
      <w:r>
        <w:rPr>
          <w:rFonts w:hint="eastAsia" w:ascii="宋体" w:hAnsi="宋体" w:eastAsia="宋体" w:cs="宋体"/>
          <w:color w:val="auto"/>
          <w:sz w:val="21"/>
          <w:szCs w:val="21"/>
          <w:highlight w:val="none"/>
        </w:rPr>
        <w:t>生日蛋糕或其他</w:t>
      </w:r>
      <w:r>
        <w:rPr>
          <w:rFonts w:hint="eastAsia" w:ascii="宋体" w:hAnsi="宋体" w:eastAsia="宋体" w:cs="宋体"/>
          <w:color w:val="auto"/>
          <w:sz w:val="21"/>
          <w:szCs w:val="21"/>
          <w:highlight w:val="none"/>
          <w:lang w:eastAsia="zh-CN"/>
        </w:rPr>
        <w:t>实物</w:t>
      </w:r>
      <w:r>
        <w:rPr>
          <w:rFonts w:hint="eastAsia" w:ascii="宋体" w:hAnsi="宋体" w:eastAsia="宋体" w:cs="宋体"/>
          <w:color w:val="auto"/>
          <w:sz w:val="21"/>
          <w:szCs w:val="21"/>
          <w:highlight w:val="none"/>
        </w:rPr>
        <w:t>，直至</w:t>
      </w:r>
      <w:r>
        <w:rPr>
          <w:rFonts w:hint="eastAsia" w:ascii="宋体" w:hAnsi="宋体" w:eastAsia="宋体" w:cs="宋体"/>
          <w:color w:val="auto"/>
          <w:sz w:val="21"/>
          <w:szCs w:val="21"/>
          <w:highlight w:val="none"/>
          <w:lang w:eastAsia="zh-CN"/>
        </w:rPr>
        <w:t>券内</w:t>
      </w:r>
      <w:r>
        <w:rPr>
          <w:rFonts w:hint="eastAsia" w:ascii="宋体" w:hAnsi="宋体" w:eastAsia="宋体" w:cs="宋体"/>
          <w:color w:val="auto"/>
          <w:sz w:val="21"/>
          <w:szCs w:val="21"/>
          <w:highlight w:val="none"/>
        </w:rPr>
        <w:t>额</w:t>
      </w:r>
      <w:r>
        <w:rPr>
          <w:rFonts w:hint="eastAsia" w:ascii="宋体" w:hAnsi="宋体" w:eastAsia="宋体" w:cs="宋体"/>
          <w:color w:val="auto"/>
          <w:sz w:val="21"/>
          <w:szCs w:val="21"/>
          <w:highlight w:val="none"/>
          <w:lang w:eastAsia="zh-CN"/>
        </w:rPr>
        <w:t>度</w:t>
      </w:r>
      <w:r>
        <w:rPr>
          <w:rFonts w:hint="eastAsia" w:ascii="宋体" w:hAnsi="宋体" w:eastAsia="宋体" w:cs="宋体"/>
          <w:color w:val="auto"/>
          <w:sz w:val="21"/>
          <w:szCs w:val="21"/>
          <w:highlight w:val="none"/>
        </w:rPr>
        <w:t>消费完。</w:t>
      </w:r>
    </w:p>
    <w:p w14:paraId="50D8AAE8">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四、服务期限</w:t>
      </w:r>
    </w:p>
    <w:p w14:paraId="2F7A2416">
      <w:pPr>
        <w:spacing w:line="580" w:lineRule="exact"/>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两年，即</w:t>
      </w:r>
      <w:r>
        <w:rPr>
          <w:rFonts w:hint="eastAsia" w:ascii="宋体" w:hAnsi="宋体" w:eastAsia="宋体" w:cs="宋体"/>
          <w:color w:val="auto"/>
          <w:sz w:val="21"/>
          <w:szCs w:val="21"/>
          <w:highlight w:val="none"/>
          <w:lang w:val="en-US" w:eastAsia="zh-CN"/>
        </w:rPr>
        <w:t>2026年1月1日--2027年12月31日。</w:t>
      </w:r>
    </w:p>
    <w:p w14:paraId="6BF3ABB5">
      <w:pPr>
        <w:numPr>
          <w:ilvl w:val="0"/>
          <w:numId w:val="4"/>
        </w:num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p w14:paraId="1A496C2E">
      <w:pPr>
        <w:numPr>
          <w:ilvl w:val="0"/>
          <w:numId w:val="5"/>
        </w:numPr>
        <w:spacing w:line="580" w:lineRule="exact"/>
        <w:ind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投标报价</w:t>
      </w:r>
      <w:r>
        <w:rPr>
          <w:rFonts w:hint="eastAsia" w:ascii="宋体" w:hAnsi="宋体" w:eastAsia="宋体" w:cs="宋体"/>
          <w:color w:val="auto"/>
          <w:sz w:val="21"/>
          <w:szCs w:val="21"/>
          <w:highlight w:val="none"/>
          <w:lang w:eastAsia="zh-CN"/>
        </w:rPr>
        <w:t>：</w:t>
      </w:r>
    </w:p>
    <w:p w14:paraId="15E9DE7B">
      <w:pPr>
        <w:numPr>
          <w:ilvl w:val="0"/>
          <w:numId w:val="0"/>
        </w:numPr>
        <w:spacing w:line="58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供应商应报出每份慰问品领取券面值的折扣（%）。</w:t>
      </w:r>
    </w:p>
    <w:p w14:paraId="67265254">
      <w:pPr>
        <w:numPr>
          <w:ilvl w:val="0"/>
          <w:numId w:val="0"/>
        </w:numPr>
        <w:spacing w:line="580" w:lineRule="exact"/>
        <w:ind w:left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折扣（%）C=A/B ；A=慰问品</w:t>
      </w:r>
      <w:r>
        <w:rPr>
          <w:rFonts w:hint="eastAsia" w:ascii="宋体" w:hAnsi="宋体" w:eastAsia="宋体" w:cs="宋体"/>
          <w:color w:val="auto"/>
          <w:sz w:val="21"/>
          <w:szCs w:val="21"/>
          <w:highlight w:val="none"/>
          <w:lang w:val="en-US" w:eastAsia="zh-CN"/>
        </w:rPr>
        <w:t>固定</w:t>
      </w:r>
      <w:r>
        <w:rPr>
          <w:rFonts w:hint="eastAsia" w:ascii="宋体" w:hAnsi="宋体" w:eastAsia="宋体" w:cs="宋体"/>
          <w:color w:val="auto"/>
          <w:sz w:val="21"/>
          <w:szCs w:val="21"/>
          <w:highlight w:val="none"/>
          <w:lang w:eastAsia="zh-CN"/>
        </w:rPr>
        <w:t>结算</w:t>
      </w:r>
      <w:r>
        <w:rPr>
          <w:rFonts w:hint="eastAsia" w:ascii="宋体" w:hAnsi="宋体" w:eastAsia="宋体" w:cs="宋体"/>
          <w:color w:val="auto"/>
          <w:sz w:val="21"/>
          <w:szCs w:val="21"/>
          <w:highlight w:val="none"/>
          <w:lang w:val="en-US" w:eastAsia="zh-CN"/>
        </w:rPr>
        <w:t>单</w:t>
      </w:r>
      <w:r>
        <w:rPr>
          <w:rFonts w:hint="eastAsia" w:ascii="宋体" w:hAnsi="宋体" w:eastAsia="宋体" w:cs="宋体"/>
          <w:color w:val="auto"/>
          <w:sz w:val="21"/>
          <w:szCs w:val="21"/>
          <w:highlight w:val="none"/>
          <w:lang w:eastAsia="zh-CN"/>
        </w:rPr>
        <w:t>价300元/份，B=领取券面值。</w:t>
      </w:r>
    </w:p>
    <w:p w14:paraId="7BC6FA7C">
      <w:pPr>
        <w:numPr>
          <w:ilvl w:val="0"/>
          <w:numId w:val="0"/>
        </w:numPr>
        <w:spacing w:line="580" w:lineRule="exact"/>
        <w:ind w:left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（例如：供应商的投标折扣是60%，会员收到的慰问品领取券面值则为500元/份，此项仅为填写示例，仅供参考。）</w:t>
      </w:r>
    </w:p>
    <w:p w14:paraId="15F1F6C6">
      <w:pPr>
        <w:numPr>
          <w:ilvl w:val="0"/>
          <w:numId w:val="5"/>
        </w:numPr>
        <w:spacing w:line="580" w:lineRule="exact"/>
        <w:ind w:left="0" w:lef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报价说明：</w:t>
      </w:r>
    </w:p>
    <w:p w14:paraId="2FA43FA4">
      <w:pPr>
        <w:numPr>
          <w:ilvl w:val="0"/>
          <w:numId w:val="0"/>
        </w:numPr>
        <w:spacing w:line="580" w:lineRule="exact"/>
        <w:ind w:left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）供应商报价</w:t>
      </w:r>
      <w:r>
        <w:rPr>
          <w:rFonts w:hint="eastAsia" w:ascii="宋体" w:hAnsi="宋体" w:eastAsia="宋体" w:cs="宋体"/>
          <w:color w:val="auto"/>
          <w:sz w:val="21"/>
          <w:szCs w:val="21"/>
          <w:highlight w:val="none"/>
          <w:lang w:val="en-US" w:eastAsia="zh-CN"/>
        </w:rPr>
        <w:t>折扣</w:t>
      </w:r>
      <w:r>
        <w:rPr>
          <w:rFonts w:hint="eastAsia" w:ascii="宋体" w:hAnsi="宋体" w:eastAsia="宋体" w:cs="宋体"/>
          <w:color w:val="auto"/>
          <w:sz w:val="21"/>
          <w:szCs w:val="21"/>
          <w:highlight w:val="none"/>
          <w:lang w:eastAsia="zh-CN"/>
        </w:rPr>
        <w:t>不得</w:t>
      </w:r>
      <w:r>
        <w:rPr>
          <w:rFonts w:hint="eastAsia" w:ascii="宋体" w:hAnsi="宋体" w:eastAsia="宋体" w:cs="宋体"/>
          <w:color w:val="auto"/>
          <w:sz w:val="21"/>
          <w:szCs w:val="21"/>
          <w:highlight w:val="none"/>
          <w:lang w:val="en-US" w:eastAsia="zh-CN"/>
        </w:rPr>
        <w:t>高于100%，慰问品领取券面值不得</w:t>
      </w:r>
      <w:r>
        <w:rPr>
          <w:rFonts w:hint="eastAsia" w:ascii="宋体" w:hAnsi="宋体" w:eastAsia="宋体" w:cs="宋体"/>
          <w:color w:val="auto"/>
          <w:sz w:val="21"/>
          <w:szCs w:val="21"/>
          <w:highlight w:val="none"/>
          <w:lang w:eastAsia="zh-CN"/>
        </w:rPr>
        <w:t>低于采购标准(每份</w:t>
      </w:r>
      <w:r>
        <w:rPr>
          <w:rFonts w:hint="eastAsia" w:ascii="宋体" w:hAnsi="宋体" w:eastAsia="宋体" w:cs="宋体"/>
          <w:color w:val="auto"/>
          <w:sz w:val="21"/>
          <w:szCs w:val="21"/>
          <w:highlight w:val="none"/>
          <w:lang w:val="en-US" w:eastAsia="zh-CN"/>
        </w:rPr>
        <w:t>300</w:t>
      </w:r>
      <w:r>
        <w:rPr>
          <w:rFonts w:hint="eastAsia" w:ascii="宋体" w:hAnsi="宋体" w:eastAsia="宋体" w:cs="宋体"/>
          <w:color w:val="auto"/>
          <w:sz w:val="21"/>
          <w:szCs w:val="21"/>
          <w:highlight w:val="none"/>
          <w:lang w:eastAsia="zh-CN"/>
        </w:rPr>
        <w:t>元)。</w:t>
      </w:r>
    </w:p>
    <w:p w14:paraId="61240E3F">
      <w:pPr>
        <w:spacing w:line="58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）该折扣为综合折扣，供应商应综合考虑包含生日蛋糕在内的其他食品及其物料购置、材料、设计、制作、配送、保险、伴随服务、销售税、其他税以及合同包含的所有风险、责任及不可预见的一切费用。如</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在中标或履行合同过程中出现任何遗漏性内容需产生额外费用，均由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自行承担，采购人不再支付任何其他费用。</w:t>
      </w:r>
    </w:p>
    <w:p w14:paraId="586DC84B">
      <w:pPr>
        <w:spacing w:line="58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）本次投标只允许有一个报价，有选择的报价不予接受。</w:t>
      </w:r>
    </w:p>
    <w:p w14:paraId="3E058149">
      <w:pPr>
        <w:spacing w:line="580" w:lineRule="exact"/>
        <w:ind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报价折扣取整数，小数点后为零。</w:t>
      </w:r>
    </w:p>
    <w:p w14:paraId="0C93F43E">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、结算方式</w:t>
      </w:r>
    </w:p>
    <w:p w14:paraId="1A5CF328">
      <w:pPr>
        <w:pStyle w:val="2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采用先提货后结算的形式按月支付。</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lang w:val="en-US" w:eastAsia="zh-CN"/>
        </w:rPr>
        <w:t>根据</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每月回收的领取券总额，按照中标折扣进行据实结算。</w:t>
      </w:r>
    </w:p>
    <w:p w14:paraId="40DBB91D">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结算公式：实际结算金额=收回</w:t>
      </w:r>
      <w:r>
        <w:rPr>
          <w:rFonts w:hint="eastAsia" w:ascii="宋体" w:hAnsi="宋体" w:eastAsia="宋体" w:cs="宋体"/>
          <w:color w:val="auto"/>
          <w:sz w:val="21"/>
          <w:szCs w:val="21"/>
          <w:highlight w:val="none"/>
          <w:lang w:eastAsia="zh-CN"/>
        </w:rPr>
        <w:t>领取</w:t>
      </w:r>
      <w:r>
        <w:rPr>
          <w:rFonts w:hint="eastAsia" w:ascii="宋体" w:hAnsi="宋体" w:eastAsia="宋体" w:cs="宋体"/>
          <w:color w:val="auto"/>
          <w:sz w:val="21"/>
          <w:szCs w:val="21"/>
          <w:highlight w:val="none"/>
        </w:rPr>
        <w:t>券面值总额×中标折扣</w:t>
      </w:r>
    </w:p>
    <w:p w14:paraId="0D280D55">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例如：本月收回</w:t>
      </w:r>
      <w:r>
        <w:rPr>
          <w:rFonts w:hint="eastAsia" w:ascii="宋体" w:hAnsi="宋体" w:eastAsia="宋体" w:cs="宋体"/>
          <w:color w:val="auto"/>
          <w:sz w:val="21"/>
          <w:szCs w:val="21"/>
          <w:highlight w:val="none"/>
          <w:lang w:eastAsia="zh-CN"/>
        </w:rPr>
        <w:t>领取</w:t>
      </w:r>
      <w:r>
        <w:rPr>
          <w:rFonts w:hint="eastAsia" w:ascii="宋体" w:hAnsi="宋体" w:eastAsia="宋体" w:cs="宋体"/>
          <w:color w:val="auto"/>
          <w:sz w:val="21"/>
          <w:szCs w:val="21"/>
          <w:highlight w:val="none"/>
        </w:rPr>
        <w:t>券面值总额217800元，中标折扣为</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w:t>
      </w:r>
    </w:p>
    <w:p w14:paraId="18BBE586">
      <w:pPr>
        <w:spacing w:line="580" w:lineRule="exact"/>
        <w:ind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实际结算金额</w:t>
      </w:r>
      <w:r>
        <w:rPr>
          <w:rFonts w:hint="eastAsia" w:ascii="宋体" w:hAnsi="宋体" w:eastAsia="宋体" w:cs="宋体"/>
          <w:color w:val="auto"/>
          <w:sz w:val="21"/>
          <w:szCs w:val="21"/>
          <w:highlight w:val="none"/>
          <w:lang w:eastAsia="zh-CN"/>
        </w:rPr>
        <w:t>为</w:t>
      </w:r>
      <w:r>
        <w:rPr>
          <w:rFonts w:hint="eastAsia" w:ascii="宋体" w:hAnsi="宋体" w:eastAsia="宋体" w:cs="宋体"/>
          <w:color w:val="auto"/>
          <w:sz w:val="21"/>
          <w:szCs w:val="21"/>
          <w:highlight w:val="none"/>
        </w:rPr>
        <w:t>217800×</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130680（</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val="en-US" w:eastAsia="zh-CN"/>
        </w:rPr>
        <w:t>）</w:t>
      </w:r>
    </w:p>
    <w:p w14:paraId="776FC175">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七</w:t>
      </w:r>
      <w:r>
        <w:rPr>
          <w:rFonts w:hint="eastAsia" w:ascii="宋体" w:hAnsi="宋体" w:eastAsia="宋体" w:cs="宋体"/>
          <w:color w:val="auto"/>
          <w:sz w:val="21"/>
          <w:szCs w:val="21"/>
          <w:highlight w:val="none"/>
        </w:rPr>
        <w:t>、样品要求</w:t>
      </w:r>
    </w:p>
    <w:p w14:paraId="5CCB7CF6">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自行提供一款6寸蛋糕，面包样品不少于五款。提供的样品应为门店销量前十的产品。</w:t>
      </w:r>
    </w:p>
    <w:p w14:paraId="76525A9E">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样品口味：</w:t>
      </w:r>
      <w:r>
        <w:rPr>
          <w:rFonts w:hint="eastAsia" w:ascii="宋体" w:hAnsi="宋体" w:eastAsia="宋体" w:cs="宋体"/>
          <w:color w:val="auto"/>
          <w:sz w:val="21"/>
          <w:szCs w:val="21"/>
          <w:highlight w:val="none"/>
          <w:lang w:val="en-US" w:eastAsia="zh-CN"/>
        </w:rPr>
        <w:t>蛋糕</w:t>
      </w:r>
      <w:r>
        <w:rPr>
          <w:rFonts w:hint="eastAsia" w:ascii="宋体" w:hAnsi="宋体" w:eastAsia="宋体" w:cs="宋体"/>
          <w:color w:val="auto"/>
          <w:sz w:val="21"/>
          <w:szCs w:val="21"/>
          <w:highlight w:val="none"/>
        </w:rPr>
        <w:t>甜</w:t>
      </w:r>
      <w:r>
        <w:rPr>
          <w:rFonts w:hint="eastAsia" w:ascii="宋体" w:hAnsi="宋体" w:eastAsia="宋体" w:cs="宋体"/>
          <w:color w:val="auto"/>
          <w:sz w:val="21"/>
          <w:szCs w:val="21"/>
          <w:highlight w:val="none"/>
          <w:lang w:val="en-US" w:eastAsia="zh-CN"/>
        </w:rPr>
        <w:t>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面包咸甜皆可</w:t>
      </w:r>
      <w:r>
        <w:rPr>
          <w:rFonts w:hint="eastAsia" w:ascii="宋体" w:hAnsi="宋体" w:eastAsia="宋体" w:cs="宋体"/>
          <w:color w:val="auto"/>
          <w:sz w:val="21"/>
          <w:szCs w:val="21"/>
          <w:highlight w:val="none"/>
        </w:rPr>
        <w:t>；</w:t>
      </w:r>
    </w:p>
    <w:p w14:paraId="1D5521DC">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蛋糕主材要求：100%动物奶油，若使用添加剂，添加剂应为天然食用添加剂；</w:t>
      </w:r>
    </w:p>
    <w:p w14:paraId="7ABEE4E9">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生产日期：投标截止前</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小时内。</w:t>
      </w:r>
    </w:p>
    <w:p w14:paraId="54C880F9">
      <w:pPr>
        <w:spacing w:line="5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样品提交要求：每个样品均需以标签形式标明供应商名称（标签注明：项目名称、</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单位名称、样品名称及数量、提交时间），开标前（投标截止时间前）递交至河南省公共资源交易中心样品展示区，以便办理样品存放手续；蛋糕应冷藏</w:t>
      </w:r>
      <w:r>
        <w:rPr>
          <w:rFonts w:hint="eastAsia" w:ascii="宋体" w:hAnsi="宋体" w:eastAsia="宋体" w:cs="宋体"/>
          <w:color w:val="auto"/>
          <w:sz w:val="21"/>
          <w:szCs w:val="21"/>
          <w:highlight w:val="none"/>
          <w:lang w:val="en-US" w:eastAsia="zh-CN"/>
        </w:rPr>
        <w:t>递</w:t>
      </w:r>
      <w:r>
        <w:rPr>
          <w:rFonts w:hint="eastAsia" w:ascii="宋体" w:hAnsi="宋体" w:eastAsia="宋体" w:cs="宋体"/>
          <w:color w:val="auto"/>
          <w:sz w:val="21"/>
          <w:szCs w:val="21"/>
          <w:highlight w:val="none"/>
        </w:rPr>
        <w:t>交。逾期提交的视为未</w:t>
      </w:r>
      <w:r>
        <w:rPr>
          <w:rFonts w:hint="eastAsia" w:ascii="宋体" w:hAnsi="宋体" w:eastAsia="宋体" w:cs="宋体"/>
          <w:color w:val="auto"/>
          <w:sz w:val="21"/>
          <w:szCs w:val="21"/>
          <w:highlight w:val="none"/>
          <w:lang w:val="en-US" w:eastAsia="zh-CN"/>
        </w:rPr>
        <w:t>递</w:t>
      </w:r>
      <w:r>
        <w:rPr>
          <w:rFonts w:hint="eastAsia" w:ascii="宋体" w:hAnsi="宋体" w:eastAsia="宋体" w:cs="宋体"/>
          <w:color w:val="auto"/>
          <w:sz w:val="21"/>
          <w:szCs w:val="21"/>
          <w:highlight w:val="none"/>
        </w:rPr>
        <w:t>交样品。</w:t>
      </w:r>
    </w:p>
    <w:p w14:paraId="2ADA67AE">
      <w:pPr>
        <w:spacing w:line="58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投标文件中须附所提供样品的成份分析表。</w:t>
      </w:r>
    </w:p>
    <w:p w14:paraId="1D69540A">
      <w:pPr>
        <w:spacing w:line="58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因本次采购内容为食品类，样品可能接受破坏性检验。</w:t>
      </w:r>
    </w:p>
    <w:p w14:paraId="6806AAF4">
      <w:pPr>
        <w:spacing w:line="580" w:lineRule="exact"/>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78C7425E">
      <w:pPr>
        <w:rPr>
          <w:rFonts w:hint="default"/>
          <w:color w:val="auto"/>
          <w:highlight w:val="none"/>
          <w:lang w:val="en-US" w:eastAsia="zh-CN"/>
        </w:rPr>
      </w:pPr>
    </w:p>
    <w:p w14:paraId="316B182D">
      <w:pPr>
        <w:pStyle w:val="2"/>
        <w:spacing w:before="0" w:after="0"/>
        <w:jc w:val="center"/>
        <w:rPr>
          <w:rFonts w:hint="eastAsia" w:ascii="宋体" w:hAnsi="宋体" w:eastAsia="宋体" w:cs="宋体"/>
          <w:color w:val="auto"/>
          <w:sz w:val="32"/>
          <w:highlight w:val="none"/>
        </w:rPr>
      </w:pPr>
      <w:bookmarkStart w:id="267" w:name="_Toc1052"/>
      <w:r>
        <w:rPr>
          <w:rFonts w:hint="eastAsia" w:ascii="宋体" w:hAnsi="宋体" w:eastAsia="宋体" w:cs="宋体"/>
          <w:color w:val="auto"/>
          <w:sz w:val="32"/>
          <w:highlight w:val="none"/>
        </w:rPr>
        <w:t>第六章 投标文件格式</w:t>
      </w:r>
      <w:bookmarkEnd w:id="263"/>
      <w:bookmarkEnd w:id="264"/>
      <w:bookmarkEnd w:id="265"/>
      <w:bookmarkEnd w:id="267"/>
    </w:p>
    <w:p w14:paraId="52085A3B">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封面格式</w:t>
      </w:r>
    </w:p>
    <w:p w14:paraId="32818643">
      <w:pPr>
        <w:jc w:val="left"/>
        <w:rPr>
          <w:rFonts w:hint="eastAsia" w:ascii="宋体" w:hAnsi="宋体" w:eastAsia="宋体" w:cs="宋体"/>
          <w:b/>
          <w:color w:val="auto"/>
          <w:sz w:val="28"/>
          <w:highlight w:val="none"/>
        </w:rPr>
      </w:pPr>
    </w:p>
    <w:p w14:paraId="0C138C73">
      <w:pPr>
        <w:jc w:val="left"/>
        <w:rPr>
          <w:rFonts w:hint="eastAsia" w:ascii="宋体" w:hAnsi="宋体" w:eastAsia="宋体" w:cs="宋体"/>
          <w:b/>
          <w:color w:val="auto"/>
          <w:sz w:val="28"/>
          <w:highlight w:val="none"/>
        </w:rPr>
      </w:pPr>
    </w:p>
    <w:p w14:paraId="497694FC">
      <w:pPr>
        <w:pStyle w:val="22"/>
        <w:ind w:firstLine="562"/>
        <w:rPr>
          <w:rFonts w:hint="eastAsia" w:ascii="宋体" w:hAnsi="宋体" w:eastAsia="宋体" w:cs="宋体"/>
          <w:b/>
          <w:color w:val="auto"/>
          <w:sz w:val="28"/>
          <w:highlight w:val="none"/>
        </w:rPr>
      </w:pPr>
    </w:p>
    <w:p w14:paraId="6B8B54F5">
      <w:pPr>
        <w:pStyle w:val="22"/>
        <w:ind w:firstLine="562"/>
        <w:rPr>
          <w:rFonts w:hint="eastAsia" w:ascii="宋体" w:hAnsi="宋体" w:eastAsia="宋体" w:cs="宋体"/>
          <w:b/>
          <w:color w:val="auto"/>
          <w:sz w:val="28"/>
          <w:highlight w:val="none"/>
        </w:rPr>
      </w:pPr>
    </w:p>
    <w:p w14:paraId="7CA85B23">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（项目名称）</w:t>
      </w:r>
    </w:p>
    <w:p w14:paraId="39A8A9A5">
      <w:pPr>
        <w:jc w:val="left"/>
        <w:rPr>
          <w:rFonts w:hint="eastAsia" w:ascii="宋体" w:hAnsi="宋体" w:eastAsia="宋体" w:cs="宋体"/>
          <w:b/>
          <w:color w:val="auto"/>
          <w:sz w:val="28"/>
          <w:highlight w:val="none"/>
        </w:rPr>
      </w:pPr>
    </w:p>
    <w:p w14:paraId="1A5D6C01">
      <w:pPr>
        <w:jc w:val="center"/>
        <w:rPr>
          <w:rFonts w:hint="eastAsia" w:ascii="宋体" w:hAnsi="宋体" w:eastAsia="宋体" w:cs="宋体"/>
          <w:b/>
          <w:color w:val="auto"/>
          <w:sz w:val="28"/>
          <w:highlight w:val="none"/>
        </w:rPr>
      </w:pPr>
    </w:p>
    <w:p w14:paraId="292ACFF1">
      <w:pPr>
        <w:jc w:val="left"/>
        <w:rPr>
          <w:rFonts w:hint="eastAsia" w:ascii="宋体" w:hAnsi="宋体" w:eastAsia="宋体" w:cs="宋体"/>
          <w:b/>
          <w:color w:val="auto"/>
          <w:sz w:val="28"/>
          <w:highlight w:val="none"/>
        </w:rPr>
      </w:pPr>
    </w:p>
    <w:p w14:paraId="1AFD78AA">
      <w:pPr>
        <w:jc w:val="center"/>
        <w:rPr>
          <w:rFonts w:hint="eastAsia" w:ascii="宋体" w:hAnsi="宋体" w:eastAsia="宋体" w:cs="宋体"/>
          <w:b/>
          <w:color w:val="auto"/>
          <w:sz w:val="44"/>
          <w:highlight w:val="none"/>
        </w:rPr>
      </w:pPr>
      <w:r>
        <w:rPr>
          <w:rFonts w:hint="eastAsia" w:ascii="宋体" w:hAnsi="宋体" w:eastAsia="宋体" w:cs="宋体"/>
          <w:b/>
          <w:color w:val="auto"/>
          <w:sz w:val="44"/>
          <w:highlight w:val="none"/>
        </w:rPr>
        <w:t>投  标 文 件</w:t>
      </w:r>
    </w:p>
    <w:p w14:paraId="34E45130">
      <w:pPr>
        <w:jc w:val="center"/>
        <w:rPr>
          <w:rFonts w:hint="eastAsia" w:ascii="宋体" w:hAnsi="宋体" w:eastAsia="宋体" w:cs="宋体"/>
          <w:b/>
          <w:color w:val="auto"/>
          <w:sz w:val="28"/>
          <w:highlight w:val="none"/>
        </w:rPr>
      </w:pPr>
    </w:p>
    <w:p w14:paraId="6AF71F4B">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项目编号：</w:t>
      </w:r>
    </w:p>
    <w:p w14:paraId="6A7D86A3">
      <w:pPr>
        <w:jc w:val="left"/>
        <w:rPr>
          <w:rFonts w:hint="eastAsia" w:ascii="宋体" w:hAnsi="宋体" w:eastAsia="宋体" w:cs="宋体"/>
          <w:b/>
          <w:color w:val="auto"/>
          <w:sz w:val="28"/>
          <w:highlight w:val="none"/>
        </w:rPr>
      </w:pPr>
    </w:p>
    <w:p w14:paraId="5922310B">
      <w:pPr>
        <w:jc w:val="left"/>
        <w:rPr>
          <w:rFonts w:hint="eastAsia" w:ascii="宋体" w:hAnsi="宋体" w:eastAsia="宋体" w:cs="宋体"/>
          <w:b/>
          <w:color w:val="auto"/>
          <w:sz w:val="28"/>
          <w:highlight w:val="none"/>
        </w:rPr>
      </w:pPr>
    </w:p>
    <w:p w14:paraId="74FF399A">
      <w:pPr>
        <w:jc w:val="left"/>
        <w:rPr>
          <w:rFonts w:hint="eastAsia" w:ascii="宋体" w:hAnsi="宋体" w:eastAsia="宋体" w:cs="宋体"/>
          <w:b/>
          <w:color w:val="auto"/>
          <w:sz w:val="28"/>
          <w:highlight w:val="none"/>
        </w:rPr>
      </w:pPr>
    </w:p>
    <w:p w14:paraId="1391537C">
      <w:pPr>
        <w:jc w:val="left"/>
        <w:rPr>
          <w:rFonts w:hint="eastAsia" w:ascii="宋体" w:hAnsi="宋体" w:eastAsia="宋体" w:cs="宋体"/>
          <w:b/>
          <w:color w:val="auto"/>
          <w:sz w:val="28"/>
          <w:highlight w:val="none"/>
        </w:rPr>
      </w:pPr>
    </w:p>
    <w:p w14:paraId="498C8603">
      <w:pPr>
        <w:pStyle w:val="22"/>
        <w:ind w:firstLine="562"/>
        <w:rPr>
          <w:rFonts w:hint="eastAsia" w:ascii="宋体" w:hAnsi="宋体" w:eastAsia="宋体" w:cs="宋体"/>
          <w:b/>
          <w:color w:val="auto"/>
          <w:sz w:val="28"/>
          <w:highlight w:val="none"/>
        </w:rPr>
      </w:pPr>
    </w:p>
    <w:p w14:paraId="33E348E5">
      <w:pPr>
        <w:pStyle w:val="22"/>
        <w:ind w:firstLine="562"/>
        <w:rPr>
          <w:rFonts w:hint="eastAsia" w:ascii="宋体" w:hAnsi="宋体" w:eastAsia="宋体" w:cs="宋体"/>
          <w:b/>
          <w:color w:val="auto"/>
          <w:sz w:val="28"/>
          <w:highlight w:val="none"/>
        </w:rPr>
      </w:pPr>
    </w:p>
    <w:p w14:paraId="75AB6795">
      <w:pPr>
        <w:pStyle w:val="22"/>
        <w:ind w:firstLine="562"/>
        <w:rPr>
          <w:rFonts w:hint="eastAsia" w:ascii="宋体" w:hAnsi="宋体" w:eastAsia="宋体" w:cs="宋体"/>
          <w:b/>
          <w:color w:val="auto"/>
          <w:sz w:val="28"/>
          <w:highlight w:val="none"/>
        </w:rPr>
      </w:pPr>
    </w:p>
    <w:p w14:paraId="43823253">
      <w:pPr>
        <w:pStyle w:val="22"/>
        <w:ind w:firstLine="562"/>
        <w:rPr>
          <w:rFonts w:hint="eastAsia" w:ascii="宋体" w:hAnsi="宋体" w:eastAsia="宋体" w:cs="宋体"/>
          <w:b/>
          <w:color w:val="auto"/>
          <w:sz w:val="28"/>
          <w:highlight w:val="none"/>
        </w:rPr>
      </w:pPr>
    </w:p>
    <w:p w14:paraId="25C83C5D">
      <w:pPr>
        <w:jc w:val="left"/>
        <w:rPr>
          <w:rFonts w:hint="eastAsia" w:ascii="宋体" w:hAnsi="宋体" w:eastAsia="宋体" w:cs="宋体"/>
          <w:b/>
          <w:color w:val="auto"/>
          <w:sz w:val="28"/>
          <w:highlight w:val="none"/>
        </w:rPr>
      </w:pPr>
    </w:p>
    <w:p w14:paraId="23EB38A3">
      <w:pPr>
        <w:jc w:val="left"/>
        <w:rPr>
          <w:rFonts w:hint="eastAsia" w:ascii="宋体" w:hAnsi="宋体" w:eastAsia="宋体" w:cs="宋体"/>
          <w:b/>
          <w:color w:val="auto"/>
          <w:sz w:val="28"/>
          <w:highlight w:val="none"/>
        </w:rPr>
      </w:pPr>
    </w:p>
    <w:p w14:paraId="44AC56C5">
      <w:pPr>
        <w:spacing w:line="48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lang w:eastAsia="zh-CN"/>
        </w:rPr>
        <w:t>供应商</w:t>
      </w:r>
      <w:r>
        <w:rPr>
          <w:rFonts w:hint="eastAsia" w:ascii="宋体" w:hAnsi="宋体" w:eastAsia="宋体" w:cs="宋体"/>
          <w:b/>
          <w:color w:val="auto"/>
          <w:sz w:val="28"/>
          <w:highlight w:val="none"/>
        </w:rPr>
        <w:t>：（加盖公章）</w:t>
      </w:r>
    </w:p>
    <w:p w14:paraId="42388FB6">
      <w:pPr>
        <w:spacing w:line="48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法定代表人或其委托代理人：（签字或盖章）</w:t>
      </w:r>
    </w:p>
    <w:p w14:paraId="34C962CD">
      <w:pPr>
        <w:spacing w:line="480" w:lineRule="auto"/>
        <w:jc w:val="center"/>
        <w:rPr>
          <w:rFonts w:hint="eastAsia" w:ascii="宋体" w:hAnsi="宋体" w:eastAsia="宋体" w:cs="宋体"/>
          <w:color w:val="auto"/>
          <w:sz w:val="28"/>
          <w:highlight w:val="none"/>
        </w:rPr>
      </w:pPr>
      <w:r>
        <w:rPr>
          <w:rFonts w:hint="eastAsia" w:ascii="宋体" w:hAnsi="宋体" w:eastAsia="宋体" w:cs="宋体"/>
          <w:b/>
          <w:color w:val="auto"/>
          <w:sz w:val="28"/>
          <w:highlight w:val="none"/>
        </w:rPr>
        <w:t>年         月</w:t>
      </w:r>
      <w:bookmarkStart w:id="268" w:name="_Toc22634"/>
    </w:p>
    <w:p w14:paraId="242CBFDC">
      <w:pPr>
        <w:pStyle w:val="14"/>
        <w:spacing w:before="0" w:after="0"/>
        <w:outlineLvl w:val="9"/>
        <w:rPr>
          <w:rFonts w:hint="eastAsia" w:ascii="宋体" w:hAnsi="宋体" w:eastAsia="宋体" w:cs="宋体"/>
          <w:color w:val="auto"/>
          <w:sz w:val="28"/>
          <w:highlight w:val="none"/>
        </w:rPr>
        <w:sectPr>
          <w:headerReference r:id="rId9" w:type="default"/>
          <w:footerReference r:id="rId10" w:type="default"/>
          <w:pgSz w:w="11910" w:h="16840"/>
          <w:pgMar w:top="1520" w:right="1380" w:bottom="1380" w:left="1580" w:header="1135" w:footer="841" w:gutter="0"/>
          <w:cols w:space="720" w:num="1"/>
        </w:sectPr>
      </w:pPr>
    </w:p>
    <w:p w14:paraId="43FC831B">
      <w:pPr>
        <w:pStyle w:val="14"/>
        <w:spacing w:before="0" w:after="0"/>
        <w:outlineLvl w:val="9"/>
        <w:rPr>
          <w:rFonts w:hint="eastAsia" w:ascii="宋体" w:hAnsi="宋体" w:eastAsia="宋体" w:cs="宋体"/>
          <w:color w:val="auto"/>
          <w:sz w:val="28"/>
          <w:highlight w:val="none"/>
        </w:rPr>
      </w:pPr>
    </w:p>
    <w:p w14:paraId="77541B38">
      <w:pPr>
        <w:pStyle w:val="14"/>
        <w:spacing w:before="0" w:after="0"/>
        <w:outlineLvl w:val="9"/>
        <w:rPr>
          <w:rFonts w:hint="eastAsia" w:ascii="宋体" w:hAnsi="宋体" w:eastAsia="宋体" w:cs="宋体"/>
          <w:color w:val="auto"/>
          <w:sz w:val="28"/>
          <w:highlight w:val="none"/>
        </w:rPr>
      </w:pPr>
    </w:p>
    <w:p w14:paraId="76E29159">
      <w:pPr>
        <w:pStyle w:val="14"/>
        <w:spacing w:before="0" w:after="0"/>
        <w:outlineLvl w:val="9"/>
        <w:rPr>
          <w:rFonts w:hint="eastAsia" w:ascii="宋体" w:hAnsi="宋体" w:eastAsia="宋体" w:cs="宋体"/>
          <w:color w:val="auto"/>
          <w:sz w:val="28"/>
          <w:highlight w:val="none"/>
        </w:rPr>
      </w:pPr>
    </w:p>
    <w:p w14:paraId="488D7501">
      <w:pPr>
        <w:rPr>
          <w:rFonts w:hint="eastAsia" w:ascii="宋体" w:hAnsi="宋体" w:eastAsia="宋体" w:cs="宋体"/>
          <w:color w:val="auto"/>
          <w:sz w:val="28"/>
          <w:highlight w:val="none"/>
        </w:rPr>
      </w:pPr>
    </w:p>
    <w:p w14:paraId="1607BE2B">
      <w:pPr>
        <w:pStyle w:val="43"/>
        <w:ind w:firstLine="560"/>
        <w:rPr>
          <w:rFonts w:hint="eastAsia" w:ascii="宋体" w:hAnsi="宋体" w:eastAsia="宋体" w:cs="宋体"/>
          <w:color w:val="auto"/>
          <w:sz w:val="28"/>
          <w:highlight w:val="none"/>
        </w:rPr>
      </w:pPr>
    </w:p>
    <w:p w14:paraId="184DB3EC">
      <w:pPr>
        <w:pStyle w:val="43"/>
        <w:ind w:firstLine="560"/>
        <w:rPr>
          <w:rFonts w:hint="eastAsia" w:ascii="宋体" w:hAnsi="宋体" w:eastAsia="宋体" w:cs="宋体"/>
          <w:color w:val="auto"/>
          <w:sz w:val="28"/>
          <w:highlight w:val="none"/>
        </w:rPr>
      </w:pPr>
    </w:p>
    <w:p w14:paraId="1B9726EB">
      <w:pPr>
        <w:pStyle w:val="43"/>
        <w:ind w:firstLine="560"/>
        <w:rPr>
          <w:rFonts w:hint="eastAsia" w:ascii="宋体" w:hAnsi="宋体" w:eastAsia="宋体" w:cs="宋体"/>
          <w:color w:val="auto"/>
          <w:sz w:val="28"/>
          <w:highlight w:val="none"/>
        </w:rPr>
      </w:pPr>
    </w:p>
    <w:p w14:paraId="1732AE4A">
      <w:pPr>
        <w:pStyle w:val="43"/>
        <w:ind w:firstLine="560"/>
        <w:rPr>
          <w:rFonts w:hint="eastAsia" w:ascii="宋体" w:hAnsi="宋体" w:eastAsia="宋体" w:cs="宋体"/>
          <w:color w:val="auto"/>
          <w:sz w:val="28"/>
          <w:highlight w:val="none"/>
        </w:rPr>
      </w:pPr>
    </w:p>
    <w:p w14:paraId="404E2BFD">
      <w:pPr>
        <w:pStyle w:val="43"/>
        <w:ind w:firstLine="560"/>
        <w:rPr>
          <w:rFonts w:hint="eastAsia" w:ascii="宋体" w:hAnsi="宋体" w:eastAsia="宋体" w:cs="宋体"/>
          <w:color w:val="auto"/>
          <w:sz w:val="28"/>
          <w:highlight w:val="none"/>
        </w:rPr>
      </w:pPr>
    </w:p>
    <w:p w14:paraId="37B697E6">
      <w:pPr>
        <w:pStyle w:val="14"/>
        <w:spacing w:before="0" w:after="0"/>
        <w:outlineLvl w:val="9"/>
        <w:rPr>
          <w:rFonts w:hint="eastAsia" w:ascii="宋体" w:hAnsi="宋体" w:eastAsia="宋体" w:cs="宋体"/>
          <w:color w:val="auto"/>
          <w:sz w:val="28"/>
          <w:highlight w:val="none"/>
        </w:rPr>
      </w:pPr>
    </w:p>
    <w:p w14:paraId="2D5FD854">
      <w:pPr>
        <w:pStyle w:val="14"/>
        <w:spacing w:before="0" w:after="0"/>
        <w:outlineLvl w:val="0"/>
        <w:rPr>
          <w:rFonts w:hint="eastAsia" w:ascii="宋体" w:hAnsi="宋体" w:eastAsia="宋体" w:cs="宋体"/>
          <w:color w:val="auto"/>
          <w:sz w:val="28"/>
          <w:highlight w:val="none"/>
        </w:rPr>
      </w:pPr>
      <w:bookmarkStart w:id="269" w:name="_Toc4470"/>
      <w:bookmarkStart w:id="270" w:name="_Toc31625"/>
      <w:bookmarkStart w:id="271" w:name="_Toc280"/>
      <w:bookmarkStart w:id="272" w:name="_Toc10608"/>
      <w:bookmarkStart w:id="273" w:name="_Toc21156"/>
      <w:bookmarkStart w:id="274" w:name="_Toc112"/>
      <w:r>
        <w:rPr>
          <w:rFonts w:hint="eastAsia" w:ascii="宋体" w:hAnsi="宋体" w:eastAsia="宋体" w:cs="宋体"/>
          <w:color w:val="auto"/>
          <w:sz w:val="28"/>
          <w:highlight w:val="none"/>
        </w:rPr>
        <w:t>第一部分资格证明文件</w:t>
      </w:r>
      <w:bookmarkEnd w:id="268"/>
      <w:bookmarkEnd w:id="269"/>
      <w:bookmarkEnd w:id="270"/>
      <w:bookmarkEnd w:id="271"/>
      <w:bookmarkEnd w:id="272"/>
      <w:bookmarkEnd w:id="273"/>
      <w:bookmarkEnd w:id="274"/>
    </w:p>
    <w:p w14:paraId="5FF5ADBB">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FEC3B3D">
      <w:pPr>
        <w:pStyle w:val="3"/>
        <w:spacing w:before="0" w:after="0"/>
        <w:jc w:val="center"/>
        <w:outlineLvl w:val="9"/>
        <w:rPr>
          <w:rFonts w:hint="eastAsia" w:ascii="宋体" w:hAnsi="宋体" w:eastAsia="宋体" w:cs="宋体"/>
          <w:color w:val="auto"/>
          <w:sz w:val="28"/>
          <w:szCs w:val="36"/>
          <w:highlight w:val="none"/>
        </w:rPr>
      </w:pPr>
      <w:bookmarkStart w:id="275" w:name="_Toc2479"/>
      <w:bookmarkStart w:id="276" w:name="_Toc25536"/>
      <w:bookmarkStart w:id="277" w:name="_Toc23630"/>
      <w:bookmarkStart w:id="278" w:name="_Toc2701"/>
      <w:bookmarkStart w:id="279" w:name="_Toc16895"/>
      <w:bookmarkStart w:id="280" w:name="_Toc25857"/>
      <w:r>
        <w:rPr>
          <w:rFonts w:hint="eastAsia" w:ascii="宋体" w:hAnsi="宋体" w:eastAsia="宋体" w:cs="宋体"/>
          <w:color w:val="auto"/>
          <w:sz w:val="28"/>
          <w:szCs w:val="36"/>
          <w:highlight w:val="none"/>
        </w:rPr>
        <w:t>一、法定代表人授权委托书</w:t>
      </w:r>
      <w:bookmarkEnd w:id="275"/>
      <w:bookmarkEnd w:id="276"/>
      <w:bookmarkEnd w:id="277"/>
      <w:bookmarkEnd w:id="278"/>
      <w:bookmarkEnd w:id="279"/>
      <w:bookmarkEnd w:id="280"/>
    </w:p>
    <w:p w14:paraId="46CD61D0">
      <w:pPr>
        <w:topLinePunct/>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名称）的法定代表人，现委托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（姓名）为我方代理人。代理人根据授权，以我方名义签署、澄清、说明、补正、递交、撤回、修改</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投标文件、签订合同和处理有关事宜，其法律后果由我方承担。</w:t>
      </w:r>
    </w:p>
    <w:p w14:paraId="5BADD7D9">
      <w:pPr>
        <w:pStyle w:val="6"/>
        <w:wordWrap w:val="0"/>
        <w:adjustRightInd/>
        <w:spacing w:before="36" w:line="386" w:lineRule="auto"/>
        <w:ind w:left="100"/>
        <w:textAlignment w:val="auto"/>
        <w:rPr>
          <w:rFonts w:hint="eastAsia" w:ascii="宋体" w:hAnsi="宋体" w:eastAsia="宋体" w:cs="宋体"/>
          <w:color w:val="auto"/>
          <w:spacing w:val="-1"/>
          <w:sz w:val="24"/>
          <w:szCs w:val="24"/>
          <w:highlight w:val="none"/>
        </w:rPr>
      </w:pPr>
    </w:p>
    <w:p w14:paraId="7AFBDF48">
      <w:pPr>
        <w:autoSpaceDE w:val="0"/>
        <w:autoSpaceDN w:val="0"/>
        <w:adjustRightIn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1804FBBB">
      <w:pPr>
        <w:pStyle w:val="21"/>
        <w:ind w:firstLine="240"/>
        <w:rPr>
          <w:rFonts w:hint="eastAsia" w:ascii="宋体" w:hAnsi="宋体" w:eastAsia="宋体" w:cs="宋体"/>
          <w:color w:val="auto"/>
          <w:sz w:val="24"/>
          <w:szCs w:val="24"/>
          <w:highlight w:val="none"/>
        </w:rPr>
      </w:pPr>
    </w:p>
    <w:p w14:paraId="56DB5DC2">
      <w:pPr>
        <w:pStyle w:val="21"/>
        <w:ind w:firstLine="2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本授权书自签署之日生效至投标有效期到期之日结束。</w:t>
      </w:r>
    </w:p>
    <w:p w14:paraId="57F26CAA">
      <w:pPr>
        <w:pStyle w:val="21"/>
        <w:ind w:firstLine="210"/>
        <w:rPr>
          <w:rFonts w:hint="eastAsia" w:ascii="宋体" w:hAnsi="宋体" w:eastAsia="宋体" w:cs="宋体"/>
          <w:color w:val="auto"/>
          <w:highlight w:val="none"/>
        </w:rPr>
      </w:pPr>
    </w:p>
    <w:tbl>
      <w:tblPr>
        <w:tblStyle w:val="23"/>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7635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62B91CF5">
            <w:pPr>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法定代表人身份证复印件（正反面）</w:t>
            </w:r>
          </w:p>
          <w:p w14:paraId="5505C1E0">
            <w:pPr>
              <w:jc w:val="center"/>
              <w:rPr>
                <w:rFonts w:hint="eastAsia" w:ascii="宋体" w:hAnsi="宋体" w:eastAsia="宋体" w:cs="宋体"/>
                <w:color w:val="auto"/>
                <w:highlight w:val="none"/>
              </w:rPr>
            </w:pPr>
          </w:p>
        </w:tc>
      </w:tr>
    </w:tbl>
    <w:p w14:paraId="6576CE69">
      <w:pPr>
        <w:jc w:val="center"/>
        <w:rPr>
          <w:rFonts w:hint="eastAsia" w:ascii="宋体" w:hAnsi="宋体" w:eastAsia="宋体" w:cs="宋体"/>
          <w:color w:val="auto"/>
          <w:highlight w:val="none"/>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5DCFE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5C1889AA">
            <w:pPr>
              <w:jc w:val="center"/>
              <w:rPr>
                <w:rFonts w:hint="eastAsia" w:ascii="宋体" w:hAnsi="宋体" w:eastAsia="宋体" w:cs="宋体"/>
                <w:color w:val="auto"/>
                <w:highlight w:val="none"/>
              </w:rPr>
            </w:pPr>
            <w:bookmarkStart w:id="281" w:name="_资格证明文件"/>
            <w:bookmarkEnd w:id="281"/>
            <w:bookmarkStart w:id="282" w:name="_Toc364329026"/>
            <w:r>
              <w:rPr>
                <w:rFonts w:hint="eastAsia" w:ascii="宋体" w:hAnsi="宋体" w:eastAsia="宋体" w:cs="宋体"/>
                <w:color w:val="auto"/>
                <w:highlight w:val="none"/>
              </w:rPr>
              <w:t>委托代理人身份证（正反面）</w:t>
            </w:r>
            <w:bookmarkEnd w:id="282"/>
          </w:p>
        </w:tc>
      </w:tr>
    </w:tbl>
    <w:p w14:paraId="0338C1FA">
      <w:pPr>
        <w:pStyle w:val="6"/>
        <w:spacing w:line="480" w:lineRule="auto"/>
        <w:ind w:firstLine="424" w:firstLineChars="177"/>
        <w:jc w:val="right"/>
        <w:rPr>
          <w:rFonts w:hint="eastAsia" w:ascii="宋体" w:hAnsi="宋体" w:eastAsia="宋体" w:cs="宋体"/>
          <w:color w:val="auto"/>
          <w:sz w:val="24"/>
          <w:highlight w:val="none"/>
        </w:rPr>
      </w:pPr>
    </w:p>
    <w:p w14:paraId="13462240">
      <w:pPr>
        <w:pStyle w:val="6"/>
        <w:spacing w:line="480" w:lineRule="auto"/>
        <w:ind w:firstLine="424" w:firstLineChars="17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法定代表人（签字或盖章）：</w:t>
      </w:r>
    </w:p>
    <w:p w14:paraId="05D0E329">
      <w:pPr>
        <w:pStyle w:val="6"/>
        <w:spacing w:line="480" w:lineRule="auto"/>
        <w:ind w:firstLine="424" w:firstLineChars="17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委托代理人（签字或盖章）：</w:t>
      </w:r>
    </w:p>
    <w:p w14:paraId="290E14C4">
      <w:pPr>
        <w:pStyle w:val="6"/>
        <w:spacing w:line="480" w:lineRule="auto"/>
        <w:ind w:firstLine="424" w:firstLineChars="17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（加盖公章）：</w:t>
      </w:r>
    </w:p>
    <w:p w14:paraId="4CD76A10">
      <w:pPr>
        <w:pStyle w:val="6"/>
        <w:spacing w:line="480" w:lineRule="auto"/>
        <w:ind w:firstLine="424" w:firstLineChars="17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委托代理人联系方式：</w:t>
      </w:r>
    </w:p>
    <w:p w14:paraId="20E0B1A1">
      <w:pPr>
        <w:pStyle w:val="42"/>
        <w:rPr>
          <w:rFonts w:hint="eastAsia" w:ascii="宋体" w:hAnsi="宋体" w:eastAsia="宋体" w:cs="宋体"/>
          <w:color w:val="auto"/>
          <w:highlight w:val="none"/>
        </w:rPr>
      </w:pPr>
    </w:p>
    <w:p w14:paraId="2E3E786D">
      <w:pPr>
        <w:pStyle w:val="42"/>
        <w:rPr>
          <w:rFonts w:hint="eastAsia" w:ascii="宋体" w:hAnsi="宋体" w:eastAsia="宋体" w:cs="宋体"/>
          <w:color w:val="auto"/>
          <w:highlight w:val="none"/>
        </w:rPr>
      </w:pPr>
    </w:p>
    <w:p w14:paraId="4A7CC3AE">
      <w:pPr>
        <w:pStyle w:val="6"/>
        <w:spacing w:line="480" w:lineRule="auto"/>
        <w:ind w:firstLine="424" w:firstLineChars="177"/>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4818ECC6">
      <w:pPr>
        <w:pStyle w:val="3"/>
        <w:spacing w:before="0" w:after="0"/>
        <w:jc w:val="center"/>
        <w:outlineLvl w:val="9"/>
        <w:rPr>
          <w:rFonts w:hint="eastAsia" w:ascii="宋体" w:hAnsi="宋体" w:eastAsia="宋体" w:cs="宋体"/>
          <w:color w:val="auto"/>
          <w:sz w:val="28"/>
          <w:szCs w:val="36"/>
          <w:highlight w:val="none"/>
        </w:rPr>
      </w:pPr>
      <w:bookmarkStart w:id="283" w:name="_Toc864"/>
      <w:bookmarkStart w:id="284" w:name="_Toc24523"/>
      <w:bookmarkStart w:id="285" w:name="_Toc31029"/>
      <w:bookmarkStart w:id="286" w:name="_Toc2748"/>
      <w:bookmarkStart w:id="287" w:name="_Toc3447"/>
      <w:bookmarkStart w:id="288" w:name="_Toc8345"/>
      <w:r>
        <w:rPr>
          <w:rFonts w:hint="eastAsia" w:ascii="宋体" w:hAnsi="宋体" w:eastAsia="宋体" w:cs="宋体"/>
          <w:color w:val="auto"/>
          <w:sz w:val="28"/>
          <w:szCs w:val="36"/>
          <w:highlight w:val="none"/>
        </w:rPr>
        <w:t>二、具有独立承担民事责任的能力</w:t>
      </w:r>
      <w:bookmarkEnd w:id="283"/>
      <w:bookmarkEnd w:id="284"/>
      <w:bookmarkEnd w:id="285"/>
      <w:bookmarkEnd w:id="286"/>
      <w:bookmarkEnd w:id="287"/>
      <w:bookmarkEnd w:id="288"/>
    </w:p>
    <w:p w14:paraId="5BAEB111">
      <w:pPr>
        <w:jc w:val="center"/>
        <w:rPr>
          <w:rFonts w:hint="eastAsia" w:ascii="宋体" w:hAnsi="宋体" w:eastAsia="宋体" w:cs="宋体"/>
          <w:color w:val="auto"/>
          <w:sz w:val="24"/>
          <w:highlight w:val="none"/>
        </w:rPr>
      </w:pPr>
    </w:p>
    <w:p w14:paraId="495786E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提供法人或者其他组织的营业执照等证明文件或自然人的身份证明。</w:t>
      </w:r>
    </w:p>
    <w:p w14:paraId="4424D072">
      <w:pPr>
        <w:rPr>
          <w:rFonts w:hint="eastAsia" w:ascii="宋体" w:hAnsi="宋体" w:eastAsia="宋体" w:cs="宋体"/>
          <w:color w:val="auto"/>
          <w:sz w:val="28"/>
          <w:szCs w:val="36"/>
          <w:highlight w:val="none"/>
        </w:rPr>
      </w:pPr>
      <w:bookmarkStart w:id="289" w:name="_Toc8556"/>
      <w:bookmarkStart w:id="290" w:name="_Toc2899"/>
      <w:bookmarkStart w:id="291" w:name="_Toc18842"/>
      <w:bookmarkStart w:id="292" w:name="_Toc27475"/>
      <w:r>
        <w:rPr>
          <w:rFonts w:hint="eastAsia" w:ascii="宋体" w:hAnsi="宋体" w:eastAsia="宋体" w:cs="宋体"/>
          <w:color w:val="auto"/>
          <w:sz w:val="28"/>
          <w:szCs w:val="36"/>
          <w:highlight w:val="none"/>
        </w:rPr>
        <w:br w:type="page"/>
      </w:r>
    </w:p>
    <w:p w14:paraId="3F3A7D63">
      <w:pPr>
        <w:pStyle w:val="3"/>
        <w:spacing w:before="0" w:after="0"/>
        <w:jc w:val="center"/>
        <w:outlineLvl w:val="9"/>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三、资质证书</w:t>
      </w:r>
      <w:bookmarkEnd w:id="289"/>
      <w:bookmarkEnd w:id="290"/>
      <w:bookmarkEnd w:id="291"/>
      <w:bookmarkEnd w:id="292"/>
    </w:p>
    <w:p w14:paraId="3FB26FC2">
      <w:pPr>
        <w:widowControl/>
        <w:jc w:val="center"/>
        <w:rPr>
          <w:rFonts w:hint="eastAsia" w:ascii="宋体" w:hAnsi="宋体" w:eastAsia="宋体" w:cs="宋体"/>
          <w:color w:val="auto"/>
          <w:kern w:val="0"/>
          <w:sz w:val="24"/>
          <w:szCs w:val="24"/>
          <w:highlight w:val="none"/>
        </w:rPr>
      </w:pPr>
    </w:p>
    <w:p w14:paraId="48088C78">
      <w:pPr>
        <w:widowControl/>
        <w:jc w:val="center"/>
        <w:rPr>
          <w:rFonts w:hint="eastAsia" w:ascii="宋体" w:hAnsi="宋体" w:eastAsia="宋体" w:cs="宋体"/>
          <w:color w:val="auto"/>
          <w:kern w:val="0"/>
          <w:sz w:val="24"/>
          <w:szCs w:val="24"/>
          <w:highlight w:val="none"/>
        </w:rPr>
        <w:sectPr>
          <w:pgSz w:w="11910" w:h="16840"/>
          <w:pgMar w:top="1520" w:right="1380" w:bottom="1380" w:left="1580" w:header="1135" w:footer="841" w:gutter="0"/>
          <w:cols w:space="720" w:num="1"/>
        </w:sectPr>
      </w:pPr>
      <w:r>
        <w:rPr>
          <w:rFonts w:hint="eastAsia" w:ascii="宋体" w:hAnsi="宋体" w:eastAsia="宋体" w:cs="宋体"/>
          <w:color w:val="auto"/>
          <w:kern w:val="0"/>
          <w:sz w:val="24"/>
          <w:szCs w:val="24"/>
          <w:highlight w:val="none"/>
        </w:rPr>
        <w:t>具有有效的食品生产许可证或食品经营许可证</w:t>
      </w:r>
    </w:p>
    <w:p w14:paraId="34AC88DF">
      <w:pPr>
        <w:widowControl/>
        <w:jc w:val="center"/>
        <w:rPr>
          <w:rFonts w:hint="eastAsia" w:ascii="宋体" w:hAnsi="宋体" w:eastAsia="宋体" w:cs="宋体"/>
          <w:b/>
          <w:bCs/>
          <w:color w:val="auto"/>
          <w:sz w:val="28"/>
          <w:szCs w:val="28"/>
          <w:highlight w:val="none"/>
        </w:rPr>
      </w:pPr>
      <w:bookmarkStart w:id="293" w:name="_Toc12674"/>
      <w:bookmarkStart w:id="294" w:name="_Toc26111"/>
      <w:r>
        <w:rPr>
          <w:rFonts w:hint="eastAsia" w:ascii="宋体" w:hAnsi="宋体" w:eastAsia="宋体" w:cs="宋体"/>
          <w:b/>
          <w:bCs/>
          <w:color w:val="auto"/>
          <w:sz w:val="28"/>
          <w:szCs w:val="28"/>
          <w:highlight w:val="none"/>
        </w:rPr>
        <w:t>四、具有良好的商业信誉和健全的财务会计制度</w:t>
      </w:r>
      <w:bookmarkEnd w:id="293"/>
      <w:bookmarkEnd w:id="294"/>
    </w:p>
    <w:p w14:paraId="6E9DB656">
      <w:pPr>
        <w:spacing w:line="360" w:lineRule="auto"/>
        <w:ind w:firstLine="424" w:firstLineChars="177"/>
        <w:rPr>
          <w:rFonts w:hint="eastAsia" w:ascii="宋体" w:hAnsi="宋体" w:eastAsia="宋体" w:cs="宋体"/>
          <w:color w:val="auto"/>
          <w:sz w:val="24"/>
          <w:highlight w:val="none"/>
        </w:rPr>
      </w:pPr>
    </w:p>
    <w:p w14:paraId="7F62B8C4">
      <w:pPr>
        <w:spacing w:line="360" w:lineRule="auto"/>
        <w:ind w:firstLine="424" w:firstLineChars="177"/>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提供2024年度经审计的财务审计报告或其基本户开户银行出具的资信证明。</w:t>
      </w:r>
    </w:p>
    <w:p w14:paraId="75566ADD">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3238112">
      <w:pPr>
        <w:pStyle w:val="3"/>
        <w:spacing w:before="0" w:after="0"/>
        <w:jc w:val="center"/>
        <w:outlineLvl w:val="9"/>
        <w:rPr>
          <w:rFonts w:hint="eastAsia" w:ascii="宋体" w:hAnsi="宋体" w:eastAsia="宋体" w:cs="宋体"/>
          <w:color w:val="auto"/>
          <w:sz w:val="28"/>
          <w:szCs w:val="28"/>
          <w:highlight w:val="none"/>
        </w:rPr>
      </w:pPr>
      <w:bookmarkStart w:id="295" w:name="_Toc31440"/>
      <w:bookmarkStart w:id="296" w:name="_Toc569"/>
      <w:bookmarkStart w:id="297" w:name="_Toc24561"/>
      <w:bookmarkStart w:id="298" w:name="_Toc3672"/>
      <w:bookmarkStart w:id="299" w:name="_Toc15451"/>
      <w:bookmarkStart w:id="300" w:name="_Toc32485"/>
      <w:r>
        <w:rPr>
          <w:rFonts w:hint="eastAsia" w:ascii="宋体" w:hAnsi="宋体" w:eastAsia="宋体" w:cs="宋体"/>
          <w:color w:val="auto"/>
          <w:sz w:val="28"/>
          <w:szCs w:val="28"/>
          <w:highlight w:val="none"/>
        </w:rPr>
        <w:t>五、具有履行合同所必需的设备和专业技术能力</w:t>
      </w:r>
      <w:bookmarkEnd w:id="295"/>
      <w:bookmarkEnd w:id="296"/>
      <w:bookmarkEnd w:id="297"/>
      <w:bookmarkEnd w:id="298"/>
      <w:bookmarkEnd w:id="299"/>
      <w:bookmarkEnd w:id="300"/>
    </w:p>
    <w:p w14:paraId="2069E643">
      <w:pPr>
        <w:keepNext/>
        <w:keepLines/>
        <w:spacing w:line="400" w:lineRule="exact"/>
        <w:rPr>
          <w:rFonts w:hint="eastAsia" w:ascii="宋体" w:hAnsi="宋体" w:eastAsia="宋体" w:cs="宋体"/>
          <w:bCs/>
          <w:color w:val="auto"/>
          <w:szCs w:val="21"/>
          <w:highlight w:val="none"/>
        </w:rPr>
      </w:pPr>
    </w:p>
    <w:p w14:paraId="3FBDC0E9">
      <w:pPr>
        <w:keepNext/>
        <w:keepLines/>
        <w:spacing w:line="400" w:lineRule="exact"/>
        <w:rPr>
          <w:rFonts w:hint="eastAsia" w:ascii="宋体" w:hAnsi="宋体" w:eastAsia="宋体" w:cs="宋体"/>
          <w:bCs/>
          <w:color w:val="auto"/>
          <w:sz w:val="24"/>
          <w:szCs w:val="24"/>
          <w:highlight w:val="none"/>
        </w:rPr>
      </w:pPr>
    </w:p>
    <w:p w14:paraId="51CF9752">
      <w:pPr>
        <w:keepNext/>
        <w:keepLines/>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河南省人民医院：</w:t>
      </w:r>
    </w:p>
    <w:p w14:paraId="1B956A9C">
      <w:pPr>
        <w:keepNext/>
        <w:keepLines/>
        <w:spacing w:line="400" w:lineRule="exact"/>
        <w:ind w:firstLine="480" w:firstLineChars="200"/>
        <w:rPr>
          <w:rFonts w:hint="eastAsia" w:ascii="宋体" w:hAnsi="宋体" w:eastAsia="宋体" w:cs="宋体"/>
          <w:bCs/>
          <w:color w:val="auto"/>
          <w:sz w:val="24"/>
          <w:szCs w:val="24"/>
          <w:highlight w:val="none"/>
        </w:rPr>
      </w:pPr>
    </w:p>
    <w:p w14:paraId="4904E8AE">
      <w:pPr>
        <w:keepNext/>
        <w:keepLines/>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我方在此声明，我单位具有履行合同所必需的设备和专业技术能力。特此声明。</w:t>
      </w:r>
    </w:p>
    <w:p w14:paraId="056887B8">
      <w:pPr>
        <w:keepNext/>
        <w:keepLines/>
        <w:spacing w:line="400" w:lineRule="exact"/>
        <w:ind w:firstLine="420" w:firstLineChars="200"/>
        <w:rPr>
          <w:rFonts w:hint="eastAsia" w:ascii="宋体" w:hAnsi="宋体" w:eastAsia="宋体" w:cs="宋体"/>
          <w:bCs/>
          <w:color w:val="auto"/>
          <w:szCs w:val="21"/>
          <w:highlight w:val="none"/>
        </w:rPr>
      </w:pPr>
    </w:p>
    <w:p w14:paraId="145A218C">
      <w:pPr>
        <w:spacing w:line="360" w:lineRule="auto"/>
        <w:rPr>
          <w:rFonts w:hint="eastAsia" w:ascii="宋体" w:hAnsi="宋体" w:eastAsia="宋体" w:cs="宋体"/>
          <w:color w:val="auto"/>
          <w:sz w:val="24"/>
          <w:szCs w:val="24"/>
          <w:highlight w:val="none"/>
        </w:rPr>
      </w:pPr>
    </w:p>
    <w:p w14:paraId="5505B000">
      <w:pPr>
        <w:spacing w:line="360" w:lineRule="auto"/>
        <w:rPr>
          <w:rFonts w:hint="eastAsia" w:ascii="宋体" w:hAnsi="宋体" w:eastAsia="宋体" w:cs="宋体"/>
          <w:color w:val="auto"/>
          <w:sz w:val="24"/>
          <w:szCs w:val="24"/>
          <w:highlight w:val="none"/>
        </w:rPr>
      </w:pPr>
    </w:p>
    <w:p w14:paraId="09283F88">
      <w:pPr>
        <w:spacing w:line="360" w:lineRule="auto"/>
        <w:rPr>
          <w:rFonts w:hint="eastAsia" w:ascii="宋体" w:hAnsi="宋体" w:eastAsia="宋体" w:cs="宋体"/>
          <w:color w:val="auto"/>
          <w:sz w:val="24"/>
          <w:szCs w:val="24"/>
          <w:highlight w:val="none"/>
        </w:rPr>
      </w:pPr>
    </w:p>
    <w:p w14:paraId="5A48ADB9">
      <w:pPr>
        <w:spacing w:line="360" w:lineRule="auto"/>
        <w:rPr>
          <w:rFonts w:hint="eastAsia" w:ascii="宋体" w:hAnsi="宋体" w:eastAsia="宋体" w:cs="宋体"/>
          <w:color w:val="auto"/>
          <w:sz w:val="24"/>
          <w:szCs w:val="24"/>
          <w:highlight w:val="none"/>
        </w:rPr>
      </w:pPr>
    </w:p>
    <w:p w14:paraId="09A4D33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（加盖公章）： </w:t>
      </w:r>
    </w:p>
    <w:p w14:paraId="0CD211F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C4278D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highlight w:val="none"/>
        </w:rPr>
        <w:t>签字或盖章</w:t>
      </w:r>
      <w:r>
        <w:rPr>
          <w:rFonts w:hint="eastAsia" w:ascii="宋体" w:hAnsi="宋体" w:eastAsia="宋体" w:cs="宋体"/>
          <w:color w:val="auto"/>
          <w:sz w:val="24"/>
          <w:szCs w:val="24"/>
          <w:highlight w:val="none"/>
        </w:rPr>
        <w:t xml:space="preserve">）： </w:t>
      </w:r>
    </w:p>
    <w:p w14:paraId="1D07E1C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AF2FA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22EA5998">
      <w:pPr>
        <w:rPr>
          <w:rFonts w:hint="eastAsia" w:ascii="宋体" w:hAnsi="宋体" w:eastAsia="宋体" w:cs="宋体"/>
          <w:color w:val="auto"/>
          <w:highlight w:val="none"/>
        </w:rPr>
      </w:pPr>
    </w:p>
    <w:p w14:paraId="7A833F4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A87FB90">
      <w:pPr>
        <w:rPr>
          <w:rFonts w:hint="eastAsia" w:ascii="宋体" w:hAnsi="宋体" w:eastAsia="宋体" w:cs="宋体"/>
          <w:color w:val="auto"/>
          <w:highlight w:val="none"/>
        </w:rPr>
      </w:pPr>
    </w:p>
    <w:p w14:paraId="26B2684D">
      <w:pPr>
        <w:pStyle w:val="3"/>
        <w:spacing w:before="0" w:after="0"/>
        <w:jc w:val="center"/>
        <w:outlineLvl w:val="9"/>
        <w:rPr>
          <w:rFonts w:hint="eastAsia" w:ascii="宋体" w:hAnsi="宋体" w:eastAsia="宋体" w:cs="宋体"/>
          <w:color w:val="auto"/>
          <w:sz w:val="28"/>
          <w:szCs w:val="28"/>
          <w:highlight w:val="none"/>
        </w:rPr>
      </w:pPr>
      <w:bookmarkStart w:id="301" w:name="_Toc31207"/>
      <w:bookmarkStart w:id="302" w:name="_Toc1972"/>
      <w:bookmarkStart w:id="303" w:name="_Toc7745"/>
      <w:bookmarkStart w:id="304" w:name="_Toc13033"/>
      <w:bookmarkStart w:id="305" w:name="_Toc18316"/>
      <w:bookmarkStart w:id="306" w:name="_Toc11452"/>
      <w:r>
        <w:rPr>
          <w:rFonts w:hint="eastAsia" w:ascii="宋体" w:hAnsi="宋体" w:eastAsia="宋体" w:cs="宋体"/>
          <w:color w:val="auto"/>
          <w:sz w:val="28"/>
          <w:szCs w:val="28"/>
          <w:highlight w:val="none"/>
        </w:rPr>
        <w:t>六、有依法缴纳税收和社会保障资金的良好记录</w:t>
      </w:r>
      <w:bookmarkEnd w:id="301"/>
      <w:bookmarkEnd w:id="302"/>
      <w:bookmarkEnd w:id="303"/>
      <w:bookmarkEnd w:id="304"/>
      <w:bookmarkEnd w:id="305"/>
      <w:bookmarkEnd w:id="306"/>
    </w:p>
    <w:p w14:paraId="1326828C">
      <w:pPr>
        <w:keepNext/>
        <w:keepLines/>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bCs/>
          <w:color w:val="auto"/>
          <w:sz w:val="24"/>
          <w:szCs w:val="24"/>
          <w:highlight w:val="none"/>
          <w:lang w:val="zh-CN"/>
        </w:rPr>
        <w:t>供应商提供</w:t>
      </w:r>
      <w:r>
        <w:rPr>
          <w:rFonts w:hint="eastAsia" w:ascii="宋体" w:hAnsi="宋体" w:eastAsia="宋体" w:cs="宋体"/>
          <w:bCs/>
          <w:color w:val="auto"/>
          <w:sz w:val="24"/>
          <w:szCs w:val="24"/>
          <w:highlight w:val="none"/>
          <w:lang w:val="en-US" w:eastAsia="zh-CN"/>
        </w:rPr>
        <w:t>近半年</w:t>
      </w:r>
      <w:r>
        <w:rPr>
          <w:rFonts w:hint="eastAsia" w:ascii="宋体" w:hAnsi="宋体" w:eastAsia="宋体" w:cs="宋体"/>
          <w:bCs/>
          <w:color w:val="auto"/>
          <w:sz w:val="24"/>
          <w:szCs w:val="24"/>
          <w:highlight w:val="none"/>
          <w:lang w:val="zh-CN"/>
        </w:rPr>
        <w:t>以来任意一个月的供应商缴纳税收证明材料和供应商缴纳社会保障资金证明材料（依法免税或不需要缴纳社会保障资金的供应商，应提供相关证明文件证明其依法免税或不需要缴纳社会保障金）。</w:t>
      </w:r>
      <w:r>
        <w:rPr>
          <w:rFonts w:hint="eastAsia" w:ascii="宋体" w:hAnsi="宋体" w:eastAsia="宋体" w:cs="宋体"/>
          <w:color w:val="auto"/>
          <w:highlight w:val="none"/>
        </w:rPr>
        <w:br w:type="page"/>
      </w:r>
    </w:p>
    <w:p w14:paraId="53C738B5">
      <w:pPr>
        <w:pStyle w:val="3"/>
        <w:spacing w:before="0" w:after="0"/>
        <w:jc w:val="center"/>
        <w:outlineLvl w:val="9"/>
        <w:rPr>
          <w:rFonts w:hint="eastAsia" w:ascii="宋体" w:hAnsi="宋体" w:eastAsia="宋体" w:cs="宋体"/>
          <w:color w:val="auto"/>
          <w:sz w:val="28"/>
          <w:highlight w:val="none"/>
        </w:rPr>
      </w:pPr>
      <w:bookmarkStart w:id="307" w:name="_Toc8953"/>
      <w:bookmarkStart w:id="308" w:name="_Toc22882"/>
      <w:bookmarkStart w:id="309" w:name="_Toc32684"/>
      <w:bookmarkStart w:id="310" w:name="_Toc3333"/>
      <w:bookmarkStart w:id="311" w:name="_Toc10277"/>
      <w:bookmarkStart w:id="312" w:name="_Toc7121"/>
      <w:r>
        <w:rPr>
          <w:rFonts w:hint="eastAsia" w:ascii="宋体" w:hAnsi="宋体" w:eastAsia="宋体" w:cs="宋体"/>
          <w:color w:val="auto"/>
          <w:sz w:val="28"/>
          <w:highlight w:val="none"/>
        </w:rPr>
        <w:t>七、参加政府采购活动前三年内，在经营活动中没有重大违法记录</w:t>
      </w:r>
      <w:bookmarkEnd w:id="307"/>
      <w:bookmarkEnd w:id="308"/>
      <w:bookmarkEnd w:id="309"/>
      <w:bookmarkEnd w:id="310"/>
      <w:bookmarkEnd w:id="311"/>
      <w:bookmarkEnd w:id="312"/>
    </w:p>
    <w:p w14:paraId="13F328BE">
      <w:pPr>
        <w:spacing w:line="360" w:lineRule="auto"/>
        <w:rPr>
          <w:rFonts w:hint="eastAsia" w:ascii="宋体" w:hAnsi="宋体" w:eastAsia="宋体" w:cs="宋体"/>
          <w:color w:val="auto"/>
          <w:sz w:val="24"/>
          <w:highlight w:val="none"/>
        </w:rPr>
      </w:pPr>
    </w:p>
    <w:p w14:paraId="01084B10">
      <w:pPr>
        <w:keepNext/>
        <w:keepLines/>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河南省人民医院：</w:t>
      </w:r>
    </w:p>
    <w:p w14:paraId="31980AE7">
      <w:pPr>
        <w:keepNext/>
        <w:keepLines/>
        <w:spacing w:line="400" w:lineRule="exact"/>
        <w:ind w:firstLine="480" w:firstLineChars="200"/>
        <w:rPr>
          <w:rFonts w:hint="eastAsia" w:ascii="宋体" w:hAnsi="宋体" w:eastAsia="宋体" w:cs="宋体"/>
          <w:bCs/>
          <w:color w:val="auto"/>
          <w:sz w:val="24"/>
          <w:szCs w:val="24"/>
          <w:highlight w:val="none"/>
        </w:rPr>
      </w:pPr>
    </w:p>
    <w:p w14:paraId="3D487BF6">
      <w:pPr>
        <w:keepNext/>
        <w:keepLines/>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我方在此声明，在参加本次政府采购活动前三年内，在经营活动中没有重大违法记录。投标产品在国内销售没有不良记录、没有发生过重大质量问题或安全事故。</w:t>
      </w:r>
    </w:p>
    <w:p w14:paraId="79D20160">
      <w:pPr>
        <w:keepNext/>
        <w:keepLines/>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我方保证上述信息的真实和准确，并愿意承担因我方就此弄虚作假所引起的一切法律后果。</w:t>
      </w:r>
    </w:p>
    <w:p w14:paraId="1FF8DC27">
      <w:pPr>
        <w:keepNext/>
        <w:keepLines/>
        <w:spacing w:line="400" w:lineRule="exact"/>
        <w:ind w:firstLine="480" w:firstLineChars="200"/>
        <w:rPr>
          <w:rFonts w:hint="eastAsia" w:ascii="宋体" w:hAnsi="宋体" w:eastAsia="宋体" w:cs="宋体"/>
          <w:bCs/>
          <w:color w:val="auto"/>
          <w:sz w:val="24"/>
          <w:szCs w:val="24"/>
          <w:highlight w:val="none"/>
        </w:rPr>
      </w:pPr>
    </w:p>
    <w:p w14:paraId="39E115E4">
      <w:pPr>
        <w:keepNext/>
        <w:keepLines/>
        <w:spacing w:line="400" w:lineRule="exact"/>
        <w:ind w:firstLine="480" w:firstLineChars="200"/>
        <w:rPr>
          <w:rFonts w:hint="eastAsia" w:ascii="宋体" w:hAnsi="宋体" w:eastAsia="宋体" w:cs="宋体"/>
          <w:bCs/>
          <w:color w:val="auto"/>
          <w:sz w:val="24"/>
          <w:szCs w:val="24"/>
          <w:highlight w:val="none"/>
        </w:rPr>
      </w:pPr>
    </w:p>
    <w:p w14:paraId="7759CD79">
      <w:pPr>
        <w:keepNext/>
        <w:keepLines/>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特此承诺。</w:t>
      </w:r>
    </w:p>
    <w:p w14:paraId="55CA9258">
      <w:pPr>
        <w:spacing w:line="360" w:lineRule="auto"/>
        <w:jc w:val="center"/>
        <w:rPr>
          <w:rFonts w:hint="eastAsia" w:ascii="宋体" w:hAnsi="宋体" w:eastAsia="宋体" w:cs="宋体"/>
          <w:color w:val="auto"/>
          <w:sz w:val="24"/>
          <w:szCs w:val="24"/>
          <w:highlight w:val="none"/>
        </w:rPr>
      </w:pPr>
    </w:p>
    <w:p w14:paraId="4D908CB8">
      <w:pPr>
        <w:spacing w:line="360" w:lineRule="auto"/>
        <w:rPr>
          <w:rFonts w:hint="eastAsia" w:ascii="宋体" w:hAnsi="宋体" w:eastAsia="宋体" w:cs="宋体"/>
          <w:color w:val="auto"/>
          <w:sz w:val="24"/>
          <w:szCs w:val="24"/>
          <w:highlight w:val="none"/>
        </w:rPr>
      </w:pPr>
    </w:p>
    <w:p w14:paraId="2DDBFBCD">
      <w:pPr>
        <w:spacing w:line="360" w:lineRule="auto"/>
        <w:rPr>
          <w:rFonts w:hint="eastAsia" w:ascii="宋体" w:hAnsi="宋体" w:eastAsia="宋体" w:cs="宋体"/>
          <w:color w:val="auto"/>
          <w:sz w:val="24"/>
          <w:szCs w:val="24"/>
          <w:highlight w:val="none"/>
        </w:rPr>
      </w:pPr>
    </w:p>
    <w:p w14:paraId="71CB6CB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（加盖公章）： </w:t>
      </w:r>
    </w:p>
    <w:p w14:paraId="27ED364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FCE454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highlight w:val="none"/>
        </w:rPr>
        <w:t>签字或盖章</w:t>
      </w:r>
      <w:r>
        <w:rPr>
          <w:rFonts w:hint="eastAsia" w:ascii="宋体" w:hAnsi="宋体" w:eastAsia="宋体" w:cs="宋体"/>
          <w:color w:val="auto"/>
          <w:sz w:val="24"/>
          <w:szCs w:val="24"/>
          <w:highlight w:val="none"/>
        </w:rPr>
        <w:t xml:space="preserve">）： </w:t>
      </w:r>
    </w:p>
    <w:p w14:paraId="01B0595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B1FE89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 xml:space="preserve">日  期： </w:t>
      </w:r>
      <w:r>
        <w:rPr>
          <w:rFonts w:hint="eastAsia" w:ascii="宋体" w:hAnsi="宋体" w:eastAsia="宋体" w:cs="宋体"/>
          <w:color w:val="auto"/>
          <w:sz w:val="24"/>
          <w:highlight w:val="none"/>
        </w:rPr>
        <w:br w:type="page"/>
      </w:r>
    </w:p>
    <w:p w14:paraId="7EB25047">
      <w:pPr>
        <w:pStyle w:val="3"/>
        <w:spacing w:before="0" w:after="0"/>
        <w:jc w:val="center"/>
        <w:outlineLvl w:val="9"/>
        <w:rPr>
          <w:rFonts w:hint="eastAsia" w:ascii="宋体" w:hAnsi="宋体" w:eastAsia="宋体" w:cs="宋体"/>
          <w:color w:val="auto"/>
          <w:sz w:val="24"/>
          <w:highlight w:val="none"/>
        </w:rPr>
      </w:pPr>
      <w:bookmarkStart w:id="313" w:name="_Toc925"/>
      <w:bookmarkStart w:id="314" w:name="_Toc7377"/>
      <w:bookmarkStart w:id="315" w:name="_Toc30549"/>
      <w:bookmarkStart w:id="316" w:name="_Toc15438"/>
      <w:bookmarkStart w:id="317" w:name="_Toc23237"/>
      <w:bookmarkStart w:id="318" w:name="_Toc22049"/>
      <w:r>
        <w:rPr>
          <w:rFonts w:hint="eastAsia" w:ascii="宋体" w:hAnsi="宋体" w:eastAsia="宋体" w:cs="宋体"/>
          <w:color w:val="auto"/>
          <w:sz w:val="28"/>
          <w:szCs w:val="36"/>
          <w:highlight w:val="none"/>
        </w:rPr>
        <w:t>八、</w:t>
      </w:r>
      <w:bookmarkEnd w:id="313"/>
      <w:r>
        <w:rPr>
          <w:rFonts w:hint="eastAsia" w:ascii="宋体" w:hAnsi="宋体" w:eastAsia="宋体" w:cs="宋体"/>
          <w:color w:val="auto"/>
          <w:sz w:val="28"/>
          <w:szCs w:val="36"/>
          <w:highlight w:val="none"/>
        </w:rPr>
        <w:t>信用记录</w:t>
      </w:r>
      <w:bookmarkEnd w:id="314"/>
      <w:bookmarkEnd w:id="315"/>
      <w:bookmarkEnd w:id="316"/>
      <w:bookmarkEnd w:id="317"/>
      <w:bookmarkEnd w:id="318"/>
    </w:p>
    <w:p w14:paraId="13486160">
      <w:pPr>
        <w:keepNext/>
        <w:keepLine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关于在政府采购活动中查询及使用信用记录有关问题的通知》（财库〔2016〕125号）和《河南省财政厅关于转发财政部关于在政府采购活动中查询及使用信用记录有关问题的通知的通知》（豫财购〔2016〕15号）的规定，对列入失信被执行人、重大税收违法失信主体名单、政府采购严重违法失信行为记录名单的</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拒绝参与本项目政府采购活动（查询渠道：“中国执行信息公开网”网站：查询失信被执行人；“信用中国”网站：查询重大税收违法失信主体名单；“中国政府采购网”网站：查询政府采购严重违法失信行为记录名单）。注：采购代理机构在开标当天将对所有参与本项目投标的</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的信用情况（失信被执行人名单、重大税收违法失信主体名单、政府采购严重违法失信行为记录名单）进行查询、打印留存。若在开标当天查询到</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有相关负面信息的，则该</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为无效</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w:t>
      </w:r>
    </w:p>
    <w:p w14:paraId="428092E6">
      <w:pPr>
        <w:keepNext/>
        <w:keepLines/>
        <w:spacing w:line="360" w:lineRule="auto"/>
        <w:ind w:firstLine="480" w:firstLineChars="200"/>
        <w:rPr>
          <w:rFonts w:hint="eastAsia" w:ascii="宋体" w:hAnsi="宋体" w:eastAsia="宋体" w:cs="宋体"/>
          <w:bCs/>
          <w:color w:val="auto"/>
          <w:sz w:val="24"/>
          <w:szCs w:val="24"/>
          <w:highlight w:val="none"/>
        </w:rPr>
      </w:pPr>
    </w:p>
    <w:p w14:paraId="1FEFA61F">
      <w:pPr>
        <w:rPr>
          <w:rFonts w:hint="eastAsia" w:ascii="宋体" w:hAnsi="宋体" w:eastAsia="宋体" w:cs="宋体"/>
          <w:color w:val="auto"/>
          <w:highlight w:val="none"/>
        </w:rPr>
      </w:pPr>
    </w:p>
    <w:p w14:paraId="0AA8EB81">
      <w:pPr>
        <w:tabs>
          <w:tab w:val="left" w:pos="840"/>
        </w:tabs>
        <w:rPr>
          <w:rFonts w:hint="eastAsia" w:ascii="宋体" w:hAnsi="宋体" w:eastAsia="宋体" w:cs="宋体"/>
          <w:color w:val="auto"/>
          <w:highlight w:val="none"/>
        </w:rPr>
      </w:pPr>
    </w:p>
    <w:p w14:paraId="24F591BC">
      <w:pPr>
        <w:rPr>
          <w:rFonts w:hint="eastAsia" w:ascii="宋体" w:hAnsi="宋体" w:eastAsia="宋体" w:cs="宋体"/>
          <w:color w:val="auto"/>
          <w:highlight w:val="none"/>
        </w:rPr>
      </w:pPr>
    </w:p>
    <w:p w14:paraId="2A50AADF">
      <w:pPr>
        <w:pStyle w:val="21"/>
        <w:ind w:firstLine="210"/>
        <w:rPr>
          <w:rFonts w:hint="eastAsia" w:ascii="宋体" w:hAnsi="宋体" w:eastAsia="宋体" w:cs="宋体"/>
          <w:color w:val="auto"/>
          <w:highlight w:val="none"/>
        </w:rPr>
      </w:pPr>
    </w:p>
    <w:p w14:paraId="4EB31E6A">
      <w:pPr>
        <w:rPr>
          <w:rFonts w:hint="eastAsia" w:ascii="宋体" w:hAnsi="宋体" w:eastAsia="宋体" w:cs="宋体"/>
          <w:color w:val="auto"/>
          <w:highlight w:val="none"/>
        </w:rPr>
      </w:pPr>
    </w:p>
    <w:p w14:paraId="6DDDB5EC">
      <w:pPr>
        <w:pStyle w:val="21"/>
        <w:ind w:firstLine="210"/>
        <w:rPr>
          <w:rFonts w:hint="eastAsia" w:ascii="宋体" w:hAnsi="宋体" w:eastAsia="宋体" w:cs="宋体"/>
          <w:color w:val="auto"/>
          <w:highlight w:val="none"/>
        </w:rPr>
      </w:pPr>
    </w:p>
    <w:p w14:paraId="24BFFFD0">
      <w:pPr>
        <w:rPr>
          <w:rFonts w:hint="eastAsia" w:ascii="宋体" w:hAnsi="宋体" w:eastAsia="宋体" w:cs="宋体"/>
          <w:color w:val="auto"/>
          <w:highlight w:val="none"/>
        </w:rPr>
      </w:pPr>
    </w:p>
    <w:p w14:paraId="3FC4635B">
      <w:pPr>
        <w:pStyle w:val="21"/>
        <w:ind w:firstLine="210"/>
        <w:rPr>
          <w:rFonts w:hint="eastAsia" w:ascii="宋体" w:hAnsi="宋体" w:eastAsia="宋体" w:cs="宋体"/>
          <w:color w:val="auto"/>
          <w:highlight w:val="none"/>
        </w:rPr>
      </w:pPr>
    </w:p>
    <w:p w14:paraId="23C105D1">
      <w:pPr>
        <w:rPr>
          <w:rFonts w:hint="eastAsia" w:ascii="宋体" w:hAnsi="宋体" w:eastAsia="宋体" w:cs="宋体"/>
          <w:color w:val="auto"/>
          <w:highlight w:val="none"/>
        </w:rPr>
      </w:pPr>
    </w:p>
    <w:p w14:paraId="3D8AF07F">
      <w:pPr>
        <w:pStyle w:val="21"/>
        <w:ind w:firstLine="210"/>
        <w:rPr>
          <w:rFonts w:hint="eastAsia" w:ascii="宋体" w:hAnsi="宋体" w:eastAsia="宋体" w:cs="宋体"/>
          <w:color w:val="auto"/>
          <w:highlight w:val="none"/>
        </w:rPr>
      </w:pPr>
    </w:p>
    <w:p w14:paraId="45D6A285">
      <w:pPr>
        <w:rPr>
          <w:rFonts w:hint="eastAsia" w:ascii="宋体" w:hAnsi="宋体" w:eastAsia="宋体" w:cs="宋体"/>
          <w:color w:val="auto"/>
          <w:highlight w:val="none"/>
        </w:rPr>
      </w:pPr>
    </w:p>
    <w:p w14:paraId="48912074">
      <w:pPr>
        <w:pStyle w:val="21"/>
        <w:ind w:firstLine="210"/>
        <w:rPr>
          <w:rFonts w:hint="eastAsia" w:ascii="宋体" w:hAnsi="宋体" w:eastAsia="宋体" w:cs="宋体"/>
          <w:color w:val="auto"/>
          <w:highlight w:val="none"/>
        </w:rPr>
      </w:pPr>
    </w:p>
    <w:p w14:paraId="1A434C51">
      <w:pPr>
        <w:rPr>
          <w:rFonts w:hint="eastAsia" w:ascii="宋体" w:hAnsi="宋体" w:eastAsia="宋体" w:cs="宋体"/>
          <w:color w:val="auto"/>
          <w:highlight w:val="none"/>
        </w:rPr>
      </w:pPr>
    </w:p>
    <w:p w14:paraId="02E71635">
      <w:pPr>
        <w:pStyle w:val="21"/>
        <w:ind w:firstLine="210"/>
        <w:rPr>
          <w:rFonts w:hint="eastAsia" w:ascii="宋体" w:hAnsi="宋体" w:eastAsia="宋体" w:cs="宋体"/>
          <w:color w:val="auto"/>
          <w:highlight w:val="none"/>
        </w:rPr>
      </w:pPr>
    </w:p>
    <w:p w14:paraId="3CA0664E">
      <w:pPr>
        <w:rPr>
          <w:rFonts w:hint="eastAsia" w:ascii="宋体" w:hAnsi="宋体" w:eastAsia="宋体" w:cs="宋体"/>
          <w:color w:val="auto"/>
          <w:highlight w:val="none"/>
        </w:rPr>
      </w:pPr>
    </w:p>
    <w:p w14:paraId="72AAF5AC">
      <w:pPr>
        <w:pStyle w:val="21"/>
        <w:ind w:firstLine="210"/>
        <w:rPr>
          <w:rFonts w:hint="eastAsia" w:ascii="宋体" w:hAnsi="宋体" w:eastAsia="宋体" w:cs="宋体"/>
          <w:color w:val="auto"/>
          <w:highlight w:val="none"/>
        </w:rPr>
      </w:pPr>
    </w:p>
    <w:p w14:paraId="0A910AAC">
      <w:pPr>
        <w:rPr>
          <w:rFonts w:hint="eastAsia" w:ascii="宋体" w:hAnsi="宋体" w:eastAsia="宋体" w:cs="宋体"/>
          <w:color w:val="auto"/>
          <w:highlight w:val="none"/>
        </w:rPr>
      </w:pPr>
    </w:p>
    <w:p w14:paraId="73120F46">
      <w:pPr>
        <w:pStyle w:val="21"/>
        <w:ind w:firstLine="210"/>
        <w:rPr>
          <w:rFonts w:hint="eastAsia" w:ascii="宋体" w:hAnsi="宋体" w:eastAsia="宋体" w:cs="宋体"/>
          <w:color w:val="auto"/>
          <w:highlight w:val="none"/>
        </w:rPr>
      </w:pPr>
    </w:p>
    <w:p w14:paraId="5DC369C9">
      <w:pPr>
        <w:rPr>
          <w:rFonts w:hint="eastAsia" w:ascii="宋体" w:hAnsi="宋体" w:eastAsia="宋体" w:cs="宋体"/>
          <w:color w:val="auto"/>
          <w:highlight w:val="none"/>
        </w:rPr>
      </w:pPr>
    </w:p>
    <w:p w14:paraId="58DC529E">
      <w:pPr>
        <w:pStyle w:val="21"/>
        <w:ind w:firstLine="210"/>
        <w:rPr>
          <w:rFonts w:hint="eastAsia" w:ascii="宋体" w:hAnsi="宋体" w:eastAsia="宋体" w:cs="宋体"/>
          <w:color w:val="auto"/>
          <w:highlight w:val="none"/>
        </w:rPr>
      </w:pPr>
    </w:p>
    <w:p w14:paraId="60F668EA">
      <w:pPr>
        <w:rPr>
          <w:rFonts w:hint="eastAsia" w:ascii="宋体" w:hAnsi="宋体" w:eastAsia="宋体" w:cs="宋体"/>
          <w:color w:val="auto"/>
          <w:highlight w:val="none"/>
        </w:rPr>
      </w:pPr>
    </w:p>
    <w:p w14:paraId="28EF7D1D">
      <w:pPr>
        <w:rPr>
          <w:rFonts w:hint="eastAsia" w:ascii="宋体" w:hAnsi="宋体" w:eastAsia="宋体" w:cs="宋体"/>
          <w:color w:val="auto"/>
          <w:sz w:val="28"/>
          <w:highlight w:val="none"/>
        </w:rPr>
      </w:pPr>
      <w:bookmarkStart w:id="319" w:name="_Toc4657"/>
      <w:r>
        <w:rPr>
          <w:rFonts w:hint="eastAsia" w:ascii="宋体" w:hAnsi="宋体" w:eastAsia="宋体" w:cs="宋体"/>
          <w:color w:val="auto"/>
          <w:sz w:val="28"/>
          <w:highlight w:val="none"/>
        </w:rPr>
        <w:br w:type="page"/>
      </w:r>
    </w:p>
    <w:p w14:paraId="505395A9">
      <w:pPr>
        <w:rPr>
          <w:rFonts w:hint="eastAsia" w:ascii="宋体" w:hAnsi="宋体" w:eastAsia="宋体" w:cs="宋体"/>
          <w:color w:val="auto"/>
          <w:highlight w:val="none"/>
        </w:rPr>
      </w:pPr>
    </w:p>
    <w:p w14:paraId="43F1F107">
      <w:pPr>
        <w:jc w:val="center"/>
        <w:rPr>
          <w:rFonts w:hint="eastAsia" w:ascii="宋体" w:hAnsi="宋体" w:eastAsia="宋体" w:cs="宋体"/>
          <w:color w:val="auto"/>
          <w:sz w:val="28"/>
          <w:highlight w:val="none"/>
        </w:rPr>
      </w:pPr>
    </w:p>
    <w:p w14:paraId="3AEF5FEC">
      <w:pPr>
        <w:pStyle w:val="3"/>
        <w:spacing w:before="0" w:after="0"/>
        <w:jc w:val="center"/>
        <w:outlineLvl w:val="9"/>
        <w:rPr>
          <w:rFonts w:hint="eastAsia" w:ascii="宋体" w:hAnsi="宋体" w:eastAsia="宋体" w:cs="宋体"/>
          <w:color w:val="auto"/>
          <w:sz w:val="28"/>
          <w:highlight w:val="none"/>
        </w:rPr>
      </w:pPr>
      <w:bookmarkStart w:id="320" w:name="_Toc14678"/>
      <w:bookmarkStart w:id="321" w:name="_Toc27945"/>
      <w:bookmarkStart w:id="322" w:name="_Toc19810"/>
      <w:bookmarkStart w:id="323" w:name="_Toc14844"/>
      <w:bookmarkStart w:id="324" w:name="_Toc26648"/>
      <w:r>
        <w:rPr>
          <w:rFonts w:hint="eastAsia" w:ascii="宋体" w:hAnsi="宋体" w:eastAsia="宋体" w:cs="宋体"/>
          <w:color w:val="auto"/>
          <w:sz w:val="28"/>
          <w:highlight w:val="none"/>
        </w:rPr>
        <w:t>九、</w:t>
      </w:r>
      <w:bookmarkEnd w:id="319"/>
      <w:r>
        <w:rPr>
          <w:rFonts w:hint="eastAsia" w:ascii="宋体" w:hAnsi="宋体" w:eastAsia="宋体" w:cs="宋体"/>
          <w:color w:val="auto"/>
          <w:szCs w:val="21"/>
          <w:highlight w:val="none"/>
        </w:rPr>
        <w:t>无关联关系声明</w:t>
      </w:r>
      <w:bookmarkEnd w:id="320"/>
      <w:bookmarkEnd w:id="321"/>
      <w:bookmarkEnd w:id="322"/>
      <w:bookmarkEnd w:id="323"/>
      <w:bookmarkEnd w:id="324"/>
    </w:p>
    <w:p w14:paraId="30D48F87">
      <w:pPr>
        <w:spacing w:line="360" w:lineRule="auto"/>
        <w:rPr>
          <w:rFonts w:hint="eastAsia" w:ascii="宋体" w:hAnsi="宋体" w:eastAsia="宋体" w:cs="宋体"/>
          <w:color w:val="auto"/>
          <w:sz w:val="24"/>
          <w:highlight w:val="none"/>
        </w:rPr>
      </w:pPr>
    </w:p>
    <w:p w14:paraId="1F75DC18">
      <w:pPr>
        <w:keepNext/>
        <w:keepLines/>
        <w:spacing w:line="360" w:lineRule="auto"/>
        <w:rPr>
          <w:rFonts w:hint="eastAsia" w:ascii="宋体" w:hAnsi="宋体" w:eastAsia="宋体" w:cs="宋体"/>
          <w:b/>
          <w:color w:val="auto"/>
          <w:sz w:val="28"/>
          <w:szCs w:val="28"/>
          <w:highlight w:val="none"/>
        </w:rPr>
      </w:pPr>
    </w:p>
    <w:p w14:paraId="6A6CE44C">
      <w:pPr>
        <w:keepNext/>
        <w:keepLines/>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河南省人民医院：</w:t>
      </w:r>
    </w:p>
    <w:p w14:paraId="19A48CCE">
      <w:pPr>
        <w:keepNext/>
        <w:keepLines/>
        <w:spacing w:line="360" w:lineRule="auto"/>
        <w:ind w:firstLine="480" w:firstLineChars="200"/>
        <w:rPr>
          <w:rFonts w:hint="eastAsia" w:ascii="宋体" w:hAnsi="宋体" w:eastAsia="宋体" w:cs="宋体"/>
          <w:bCs/>
          <w:color w:val="auto"/>
          <w:sz w:val="24"/>
          <w:szCs w:val="24"/>
          <w:highlight w:val="none"/>
        </w:rPr>
      </w:pPr>
    </w:p>
    <w:p w14:paraId="276E8ED0">
      <w:pPr>
        <w:keepNext/>
        <w:keepLine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我单位承诺：我单位不存在“单位负责人为同一人或者存在直接控股、管理关系的不同</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，参加同一合同项下的政府采购活动。”的情况。</w:t>
      </w:r>
    </w:p>
    <w:p w14:paraId="7C2CC3D9">
      <w:pPr>
        <w:keepNext/>
        <w:keepLine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我方保证上述信息的真实和准确，并愿意承担因我方就此弄虚作假所引起的一切法律后果。</w:t>
      </w:r>
    </w:p>
    <w:p w14:paraId="5616BEE2">
      <w:pPr>
        <w:pStyle w:val="6"/>
        <w:spacing w:line="360" w:lineRule="auto"/>
        <w:rPr>
          <w:rFonts w:hint="eastAsia" w:ascii="宋体" w:hAnsi="宋体" w:eastAsia="宋体" w:cs="宋体"/>
          <w:color w:val="auto"/>
          <w:sz w:val="24"/>
          <w:szCs w:val="24"/>
          <w:highlight w:val="none"/>
        </w:rPr>
      </w:pPr>
    </w:p>
    <w:p w14:paraId="379B5F7F">
      <w:pPr>
        <w:keepNext/>
        <w:keepLines/>
        <w:spacing w:line="400" w:lineRule="exact"/>
        <w:ind w:firstLine="480" w:firstLineChars="200"/>
        <w:rPr>
          <w:rFonts w:hint="eastAsia" w:ascii="宋体" w:hAnsi="宋体" w:eastAsia="宋体" w:cs="宋体"/>
          <w:bCs/>
          <w:color w:val="auto"/>
          <w:sz w:val="24"/>
          <w:szCs w:val="24"/>
          <w:highlight w:val="none"/>
        </w:rPr>
      </w:pPr>
    </w:p>
    <w:p w14:paraId="05362473">
      <w:pPr>
        <w:keepNext/>
        <w:keepLines/>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特此承诺。</w:t>
      </w:r>
    </w:p>
    <w:p w14:paraId="67628B98">
      <w:pPr>
        <w:keepNext/>
        <w:keepLines/>
        <w:spacing w:line="400" w:lineRule="exact"/>
        <w:ind w:firstLine="480" w:firstLineChars="200"/>
        <w:rPr>
          <w:rFonts w:hint="eastAsia" w:ascii="宋体" w:hAnsi="宋体" w:eastAsia="宋体" w:cs="宋体"/>
          <w:bCs/>
          <w:color w:val="auto"/>
          <w:sz w:val="24"/>
          <w:szCs w:val="24"/>
          <w:highlight w:val="none"/>
        </w:rPr>
      </w:pPr>
    </w:p>
    <w:p w14:paraId="2C573C0C">
      <w:pPr>
        <w:rPr>
          <w:rFonts w:hint="eastAsia" w:ascii="宋体" w:hAnsi="宋体" w:eastAsia="宋体" w:cs="宋体"/>
          <w:color w:val="auto"/>
          <w:sz w:val="24"/>
          <w:highlight w:val="none"/>
        </w:rPr>
      </w:pPr>
    </w:p>
    <w:p w14:paraId="3AA7039F">
      <w:pPr>
        <w:rPr>
          <w:rFonts w:hint="eastAsia" w:ascii="宋体" w:hAnsi="宋体" w:eastAsia="宋体" w:cs="宋体"/>
          <w:color w:val="auto"/>
          <w:sz w:val="24"/>
          <w:highlight w:val="none"/>
        </w:rPr>
      </w:pPr>
    </w:p>
    <w:p w14:paraId="48AB7B7A">
      <w:pPr>
        <w:rPr>
          <w:rFonts w:hint="eastAsia" w:ascii="宋体" w:hAnsi="宋体" w:eastAsia="宋体" w:cs="宋体"/>
          <w:color w:val="auto"/>
          <w:sz w:val="24"/>
          <w:highlight w:val="none"/>
        </w:rPr>
      </w:pPr>
    </w:p>
    <w:p w14:paraId="29BBBC72">
      <w:pPr>
        <w:spacing w:line="600" w:lineRule="exact"/>
        <w:jc w:val="center"/>
        <w:rPr>
          <w:rFonts w:hint="eastAsia" w:ascii="宋体" w:hAnsi="宋体" w:eastAsia="宋体" w:cs="宋体"/>
          <w:color w:val="auto"/>
          <w:sz w:val="24"/>
          <w:highlight w:val="none"/>
        </w:rPr>
      </w:pPr>
    </w:p>
    <w:p w14:paraId="39454E06">
      <w:pPr>
        <w:spacing w:line="600" w:lineRule="exact"/>
        <w:jc w:val="center"/>
        <w:rPr>
          <w:rFonts w:hint="eastAsia" w:ascii="宋体" w:hAnsi="宋体" w:eastAsia="宋体" w:cs="宋体"/>
          <w:color w:val="auto"/>
          <w:sz w:val="24"/>
          <w:highlight w:val="none"/>
        </w:rPr>
      </w:pPr>
    </w:p>
    <w:p w14:paraId="1B470DD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（加盖公章）： </w:t>
      </w:r>
    </w:p>
    <w:p w14:paraId="7E4511B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002756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highlight w:val="none"/>
        </w:rPr>
        <w:t>签字或盖章</w:t>
      </w:r>
      <w:r>
        <w:rPr>
          <w:rFonts w:hint="eastAsia" w:ascii="宋体" w:hAnsi="宋体" w:eastAsia="宋体" w:cs="宋体"/>
          <w:color w:val="auto"/>
          <w:sz w:val="24"/>
          <w:szCs w:val="24"/>
          <w:highlight w:val="none"/>
        </w:rPr>
        <w:t xml:space="preserve">）： </w:t>
      </w:r>
    </w:p>
    <w:p w14:paraId="6E0DA45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A9A956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2AD68986">
      <w:pPr>
        <w:spacing w:line="600" w:lineRule="exact"/>
        <w:jc w:val="center"/>
        <w:rPr>
          <w:rFonts w:hint="eastAsia" w:ascii="宋体" w:hAnsi="宋体" w:eastAsia="宋体" w:cs="宋体"/>
          <w:color w:val="auto"/>
          <w:sz w:val="24"/>
          <w:highlight w:val="none"/>
        </w:rPr>
      </w:pPr>
    </w:p>
    <w:p w14:paraId="06C44555">
      <w:pPr>
        <w:tabs>
          <w:tab w:val="left" w:pos="840"/>
        </w:tabs>
        <w:rPr>
          <w:rFonts w:hint="eastAsia" w:ascii="宋体" w:hAnsi="宋体" w:eastAsia="宋体" w:cs="宋体"/>
          <w:color w:val="auto"/>
          <w:sz w:val="24"/>
          <w:highlight w:val="none"/>
        </w:rPr>
      </w:pPr>
    </w:p>
    <w:p w14:paraId="00AE6691">
      <w:pPr>
        <w:rPr>
          <w:rFonts w:hint="eastAsia" w:ascii="宋体" w:hAnsi="宋体" w:eastAsia="宋体" w:cs="宋体"/>
          <w:color w:val="auto"/>
          <w:sz w:val="24"/>
          <w:highlight w:val="none"/>
        </w:rPr>
      </w:pPr>
    </w:p>
    <w:p w14:paraId="3DACE377">
      <w:pPr>
        <w:tabs>
          <w:tab w:val="left" w:pos="840"/>
        </w:tabs>
        <w:rPr>
          <w:rFonts w:hint="eastAsia" w:ascii="宋体" w:hAnsi="宋体" w:eastAsia="宋体" w:cs="宋体"/>
          <w:color w:val="auto"/>
          <w:sz w:val="24"/>
          <w:highlight w:val="none"/>
        </w:rPr>
      </w:pPr>
    </w:p>
    <w:p w14:paraId="609699AF">
      <w:pPr>
        <w:rPr>
          <w:rFonts w:hint="eastAsia" w:ascii="宋体" w:hAnsi="宋体" w:eastAsia="宋体" w:cs="宋体"/>
          <w:color w:val="auto"/>
          <w:sz w:val="24"/>
          <w:highlight w:val="none"/>
        </w:rPr>
      </w:pPr>
    </w:p>
    <w:p w14:paraId="79D20B70">
      <w:pPr>
        <w:tabs>
          <w:tab w:val="left" w:pos="840"/>
        </w:tabs>
        <w:rPr>
          <w:rFonts w:hint="eastAsia" w:ascii="宋体" w:hAnsi="宋体" w:eastAsia="宋体" w:cs="宋体"/>
          <w:color w:val="auto"/>
          <w:highlight w:val="none"/>
        </w:rPr>
      </w:pPr>
    </w:p>
    <w:p w14:paraId="4D40601B">
      <w:pPr>
        <w:spacing w:line="600" w:lineRule="exact"/>
        <w:jc w:val="center"/>
        <w:rPr>
          <w:rFonts w:hint="eastAsia" w:ascii="宋体" w:hAnsi="宋体" w:eastAsia="宋体" w:cs="宋体"/>
          <w:color w:val="auto"/>
          <w:sz w:val="24"/>
          <w:highlight w:val="none"/>
        </w:rPr>
      </w:pPr>
    </w:p>
    <w:p w14:paraId="1D78A42B">
      <w:pPr>
        <w:rPr>
          <w:rFonts w:hint="eastAsia" w:ascii="宋体" w:hAnsi="宋体" w:eastAsia="宋体" w:cs="宋体"/>
          <w:color w:val="auto"/>
          <w:highlight w:val="none"/>
        </w:rPr>
      </w:pPr>
    </w:p>
    <w:p w14:paraId="6CA6A45D">
      <w:pPr>
        <w:pStyle w:val="14"/>
        <w:outlineLvl w:val="9"/>
        <w:rPr>
          <w:rFonts w:hint="eastAsia" w:ascii="宋体" w:hAnsi="宋体" w:eastAsia="宋体" w:cs="宋体"/>
          <w:color w:val="auto"/>
          <w:sz w:val="28"/>
          <w:highlight w:val="none"/>
        </w:rPr>
      </w:pPr>
      <w:bookmarkStart w:id="325" w:name="_Toc9218"/>
    </w:p>
    <w:p w14:paraId="3758D223">
      <w:pPr>
        <w:pStyle w:val="14"/>
        <w:outlineLvl w:val="9"/>
        <w:rPr>
          <w:rFonts w:hint="eastAsia" w:ascii="宋体" w:hAnsi="宋体" w:eastAsia="宋体" w:cs="宋体"/>
          <w:color w:val="auto"/>
          <w:sz w:val="28"/>
          <w:highlight w:val="none"/>
        </w:rPr>
      </w:pPr>
    </w:p>
    <w:p w14:paraId="2A2B8C7B">
      <w:pPr>
        <w:pStyle w:val="14"/>
        <w:outlineLvl w:val="9"/>
        <w:rPr>
          <w:rFonts w:hint="eastAsia" w:ascii="宋体" w:hAnsi="宋体" w:eastAsia="宋体" w:cs="宋体"/>
          <w:color w:val="auto"/>
          <w:sz w:val="28"/>
          <w:highlight w:val="none"/>
        </w:rPr>
      </w:pPr>
    </w:p>
    <w:p w14:paraId="34FE4340">
      <w:pPr>
        <w:pStyle w:val="14"/>
        <w:outlineLvl w:val="9"/>
        <w:rPr>
          <w:rFonts w:hint="eastAsia" w:ascii="宋体" w:hAnsi="宋体" w:eastAsia="宋体" w:cs="宋体"/>
          <w:color w:val="auto"/>
          <w:sz w:val="28"/>
          <w:highlight w:val="none"/>
        </w:rPr>
      </w:pPr>
    </w:p>
    <w:p w14:paraId="340DE133">
      <w:pPr>
        <w:pStyle w:val="14"/>
        <w:outlineLvl w:val="9"/>
        <w:rPr>
          <w:rFonts w:hint="eastAsia" w:ascii="宋体" w:hAnsi="宋体" w:eastAsia="宋体" w:cs="宋体"/>
          <w:color w:val="auto"/>
          <w:sz w:val="28"/>
          <w:highlight w:val="none"/>
        </w:rPr>
      </w:pPr>
    </w:p>
    <w:p w14:paraId="3C431B55">
      <w:pPr>
        <w:pStyle w:val="14"/>
        <w:outlineLvl w:val="0"/>
        <w:rPr>
          <w:rFonts w:hint="eastAsia" w:ascii="宋体" w:hAnsi="宋体" w:eastAsia="宋体" w:cs="宋体"/>
          <w:color w:val="auto"/>
          <w:sz w:val="28"/>
          <w:highlight w:val="none"/>
        </w:rPr>
      </w:pPr>
      <w:bookmarkStart w:id="326" w:name="_Toc18375"/>
      <w:bookmarkStart w:id="327" w:name="_Toc1122"/>
      <w:bookmarkStart w:id="328" w:name="_Toc27823"/>
      <w:bookmarkStart w:id="329" w:name="_Toc30657"/>
      <w:bookmarkStart w:id="330" w:name="_Toc6549"/>
      <w:bookmarkStart w:id="331" w:name="_Toc966"/>
      <w:r>
        <w:rPr>
          <w:rFonts w:hint="eastAsia" w:ascii="宋体" w:hAnsi="宋体" w:eastAsia="宋体" w:cs="宋体"/>
          <w:color w:val="auto"/>
          <w:sz w:val="28"/>
          <w:highlight w:val="none"/>
        </w:rPr>
        <w:t>第二部分商务、技术文件</w:t>
      </w:r>
      <w:bookmarkEnd w:id="325"/>
      <w:bookmarkEnd w:id="326"/>
      <w:bookmarkEnd w:id="327"/>
      <w:bookmarkEnd w:id="328"/>
      <w:bookmarkEnd w:id="329"/>
      <w:bookmarkEnd w:id="330"/>
      <w:bookmarkEnd w:id="331"/>
    </w:p>
    <w:p w14:paraId="26827704">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952B4F2">
      <w:pPr>
        <w:pStyle w:val="3"/>
        <w:spacing w:before="0" w:after="0"/>
        <w:jc w:val="center"/>
        <w:outlineLvl w:val="9"/>
        <w:rPr>
          <w:rFonts w:hint="eastAsia" w:ascii="宋体" w:hAnsi="宋体" w:eastAsia="宋体" w:cs="宋体"/>
          <w:color w:val="auto"/>
          <w:sz w:val="24"/>
          <w:highlight w:val="none"/>
        </w:rPr>
      </w:pPr>
      <w:bookmarkStart w:id="332" w:name="_Toc26382"/>
      <w:bookmarkStart w:id="333" w:name="_Toc12800"/>
      <w:bookmarkStart w:id="334" w:name="_Toc9777"/>
      <w:bookmarkStart w:id="335" w:name="_Toc4333"/>
      <w:bookmarkStart w:id="336" w:name="_Toc19709"/>
      <w:bookmarkStart w:id="337" w:name="_Toc14932"/>
      <w:r>
        <w:rPr>
          <w:rFonts w:hint="eastAsia" w:ascii="宋体" w:hAnsi="宋体" w:eastAsia="宋体" w:cs="宋体"/>
          <w:color w:val="auto"/>
          <w:sz w:val="24"/>
          <w:highlight w:val="none"/>
        </w:rPr>
        <w:t>一、投标函</w:t>
      </w:r>
      <w:bookmarkEnd w:id="332"/>
      <w:bookmarkEnd w:id="333"/>
      <w:bookmarkEnd w:id="334"/>
      <w:bookmarkEnd w:id="335"/>
      <w:bookmarkEnd w:id="336"/>
      <w:bookmarkEnd w:id="337"/>
    </w:p>
    <w:p w14:paraId="74A4E31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（采购人或采购代理机构名称）</w:t>
      </w:r>
    </w:p>
    <w:p w14:paraId="5074CC2A">
      <w:pPr>
        <w:spacing w:line="360" w:lineRule="auto"/>
        <w:ind w:firstLine="480" w:firstLineChars="200"/>
        <w:rPr>
          <w:rFonts w:hint="eastAsia" w:ascii="宋体" w:hAnsi="宋体" w:eastAsia="宋体" w:cs="宋体"/>
          <w:color w:val="auto"/>
          <w:sz w:val="24"/>
          <w:highlight w:val="none"/>
        </w:rPr>
      </w:pPr>
    </w:p>
    <w:p w14:paraId="11E63D4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我方已仔细研究了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z w:val="24"/>
          <w:highlight w:val="none"/>
        </w:rPr>
        <w:t>项目招标文件的全部内容，愿意以折扣</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的投标报价，供提货要求：</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，服务期限</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，按合同约定完成全部工作。</w:t>
      </w:r>
    </w:p>
    <w:p w14:paraId="4CEA563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如果我方中标，我方将按招标文件的规定签订并严格履行合同中的责任和义务，在签订合同时不向你方提出附加条件，按照招标文件要求提交履约保证金，在合同约定的期限内完成合同规定的全部内容。</w:t>
      </w:r>
    </w:p>
    <w:p w14:paraId="0956A87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我方已详细审查全部招标文件，包括修改文件以及全部参考资料和有关附件。我们完全理解并同意放弃对这方面有不明及误解的权力。</w:t>
      </w:r>
    </w:p>
    <w:p w14:paraId="222AE60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 投标有效期为提交投标文件的截止之日起90日历天。</w:t>
      </w:r>
    </w:p>
    <w:p w14:paraId="664B5A8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如果在规定的开标时间后，我方承诺在投标有效期内不撤回投标。</w:t>
      </w:r>
    </w:p>
    <w:p w14:paraId="0977376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我方在此声明，所递交的投标文件及有关资料内容完整、真实和准确。</w:t>
      </w:r>
    </w:p>
    <w:p w14:paraId="64107F2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我方同意提供按照贵方可能要求的与其投标有关的一切数据或资料，完全理解贵方不一定接受最低价的投标或收到的任何投标。</w:t>
      </w:r>
    </w:p>
    <w:p w14:paraId="6E1070A8">
      <w:pPr>
        <w:spacing w:line="360" w:lineRule="auto"/>
        <w:rPr>
          <w:rFonts w:hint="eastAsia" w:ascii="宋体" w:hAnsi="宋体" w:eastAsia="宋体" w:cs="宋体"/>
          <w:color w:val="auto"/>
          <w:sz w:val="24"/>
          <w:szCs w:val="24"/>
          <w:highlight w:val="none"/>
        </w:rPr>
      </w:pPr>
    </w:p>
    <w:p w14:paraId="3E56877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01128DD">
      <w:pPr>
        <w:spacing w:line="360" w:lineRule="auto"/>
        <w:rPr>
          <w:rFonts w:hint="eastAsia" w:ascii="宋体" w:hAnsi="宋体" w:eastAsia="宋体" w:cs="宋体"/>
          <w:color w:val="auto"/>
          <w:sz w:val="24"/>
          <w:szCs w:val="24"/>
          <w:highlight w:val="none"/>
        </w:rPr>
      </w:pPr>
    </w:p>
    <w:p w14:paraId="64A404B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4A41AD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（加盖公章）： </w:t>
      </w:r>
    </w:p>
    <w:p w14:paraId="453659B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4D8E49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highlight w:val="none"/>
        </w:rPr>
        <w:t>签字或盖章</w:t>
      </w:r>
      <w:r>
        <w:rPr>
          <w:rFonts w:hint="eastAsia" w:ascii="宋体" w:hAnsi="宋体" w:eastAsia="宋体" w:cs="宋体"/>
          <w:color w:val="auto"/>
          <w:sz w:val="24"/>
          <w:szCs w:val="24"/>
          <w:highlight w:val="none"/>
        </w:rPr>
        <w:t xml:space="preserve">）： </w:t>
      </w:r>
    </w:p>
    <w:p w14:paraId="5AD8639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2CD4F9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76769998">
      <w:pPr>
        <w:pStyle w:val="20"/>
        <w:spacing w:before="0" w:beforeAutospacing="0" w:after="0" w:afterAutospacing="0" w:line="450" w:lineRule="atLeast"/>
        <w:rPr>
          <w:rFonts w:hint="eastAsia" w:ascii="宋体" w:hAnsi="宋体" w:eastAsia="宋体" w:cs="宋体"/>
          <w:color w:val="auto"/>
          <w:highlight w:val="none"/>
        </w:rPr>
      </w:pPr>
      <w:r>
        <w:rPr>
          <w:rFonts w:hint="eastAsia" w:ascii="宋体" w:hAnsi="宋体" w:eastAsia="宋体" w:cs="宋体"/>
          <w:color w:val="auto"/>
          <w:sz w:val="21"/>
          <w:szCs w:val="21"/>
          <w:highlight w:val="none"/>
          <w:shd w:val="clear" w:color="auto" w:fill="FFFFFF"/>
        </w:rPr>
        <w:t xml:space="preserve">  </w:t>
      </w:r>
    </w:p>
    <w:p w14:paraId="67379B69">
      <w:pPr>
        <w:pStyle w:val="3"/>
        <w:spacing w:before="0" w:after="0"/>
        <w:jc w:val="center"/>
        <w:outlineLvl w:val="9"/>
        <w:rPr>
          <w:rFonts w:hint="eastAsia" w:ascii="宋体" w:hAnsi="宋体" w:eastAsia="宋体" w:cs="宋体"/>
          <w:color w:val="auto"/>
          <w:sz w:val="28"/>
          <w:highlight w:val="none"/>
        </w:rPr>
      </w:pPr>
      <w:r>
        <w:rPr>
          <w:rFonts w:hint="eastAsia" w:ascii="宋体" w:hAnsi="宋体" w:eastAsia="宋体" w:cs="宋体"/>
          <w:color w:val="auto"/>
          <w:highlight w:val="none"/>
        </w:rPr>
        <w:br w:type="page"/>
      </w:r>
      <w:bookmarkStart w:id="338" w:name="_Toc26639"/>
      <w:bookmarkStart w:id="339" w:name="_Toc8473"/>
      <w:bookmarkStart w:id="340" w:name="_Toc6438"/>
      <w:bookmarkStart w:id="341" w:name="_Toc10362"/>
      <w:bookmarkStart w:id="342" w:name="_Toc8619"/>
      <w:bookmarkStart w:id="343" w:name="_Toc10557"/>
      <w:r>
        <w:rPr>
          <w:rFonts w:hint="eastAsia" w:ascii="宋体" w:hAnsi="宋体" w:eastAsia="宋体" w:cs="宋体"/>
          <w:color w:val="auto"/>
          <w:sz w:val="28"/>
          <w:highlight w:val="none"/>
        </w:rPr>
        <w:t>二、投标报价表格</w:t>
      </w:r>
      <w:bookmarkEnd w:id="338"/>
      <w:bookmarkEnd w:id="339"/>
      <w:bookmarkEnd w:id="340"/>
      <w:bookmarkEnd w:id="341"/>
      <w:bookmarkEnd w:id="342"/>
      <w:bookmarkEnd w:id="343"/>
    </w:p>
    <w:p w14:paraId="76470129">
      <w:pPr>
        <w:pStyle w:val="4"/>
        <w:spacing w:before="0" w:after="0"/>
        <w:jc w:val="center"/>
        <w:outlineLvl w:val="9"/>
        <w:rPr>
          <w:color w:val="auto"/>
          <w:sz w:val="24"/>
          <w:highlight w:val="none"/>
        </w:rPr>
      </w:pPr>
      <w:r>
        <w:rPr>
          <w:rFonts w:hint="eastAsia"/>
          <w:color w:val="auto"/>
          <w:sz w:val="24"/>
          <w:highlight w:val="none"/>
          <w:lang w:val="en-US" w:eastAsia="zh-CN"/>
        </w:rPr>
        <w:t>1、</w:t>
      </w:r>
      <w:r>
        <w:rPr>
          <w:rFonts w:hint="eastAsia"/>
          <w:color w:val="auto"/>
          <w:sz w:val="24"/>
          <w:highlight w:val="none"/>
        </w:rPr>
        <w:t>报价一览表</w:t>
      </w:r>
    </w:p>
    <w:tbl>
      <w:tblPr>
        <w:tblStyle w:val="24"/>
        <w:tblW w:w="0" w:type="auto"/>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7"/>
        <w:gridCol w:w="6825"/>
      </w:tblGrid>
      <w:tr w14:paraId="60FC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trPr>
        <w:tc>
          <w:tcPr>
            <w:tcW w:w="2087" w:type="dxa"/>
            <w:noWrap w:val="0"/>
            <w:vAlign w:val="center"/>
          </w:tcPr>
          <w:p w14:paraId="1EF92B51">
            <w:pPr>
              <w:jc w:val="center"/>
              <w:rPr>
                <w:rFonts w:ascii="宋体" w:hAnsi="宋体"/>
                <w:b/>
                <w:bCs/>
                <w:color w:val="auto"/>
                <w:szCs w:val="21"/>
                <w:highlight w:val="none"/>
              </w:rPr>
            </w:pPr>
            <w:r>
              <w:rPr>
                <w:rFonts w:hint="eastAsia" w:ascii="宋体" w:hAnsi="宋体"/>
                <w:b/>
                <w:bCs/>
                <w:color w:val="auto"/>
                <w:szCs w:val="21"/>
                <w:highlight w:val="none"/>
                <w:lang w:eastAsia="zh-CN"/>
              </w:rPr>
              <w:t>供应商</w:t>
            </w:r>
            <w:r>
              <w:rPr>
                <w:rFonts w:hint="eastAsia" w:ascii="宋体" w:hAnsi="宋体"/>
                <w:b/>
                <w:bCs/>
                <w:color w:val="auto"/>
                <w:szCs w:val="21"/>
                <w:highlight w:val="none"/>
              </w:rPr>
              <w:t>名称</w:t>
            </w:r>
          </w:p>
        </w:tc>
        <w:tc>
          <w:tcPr>
            <w:tcW w:w="6825" w:type="dxa"/>
            <w:noWrap w:val="0"/>
            <w:vAlign w:val="center"/>
          </w:tcPr>
          <w:p w14:paraId="17030C4F">
            <w:pPr>
              <w:rPr>
                <w:rFonts w:ascii="宋体" w:hAnsi="宋体"/>
                <w:b/>
                <w:bCs/>
                <w:color w:val="auto"/>
                <w:szCs w:val="21"/>
                <w:highlight w:val="none"/>
              </w:rPr>
            </w:pPr>
          </w:p>
        </w:tc>
      </w:tr>
      <w:tr w14:paraId="53CB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exact"/>
        </w:trPr>
        <w:tc>
          <w:tcPr>
            <w:tcW w:w="2087" w:type="dxa"/>
            <w:vMerge w:val="restart"/>
            <w:noWrap w:val="0"/>
            <w:vAlign w:val="center"/>
          </w:tcPr>
          <w:p w14:paraId="04A6D986">
            <w:pPr>
              <w:jc w:val="center"/>
              <w:rPr>
                <w:rFonts w:ascii="宋体" w:hAnsi="宋体"/>
                <w:b/>
                <w:bCs/>
                <w:color w:val="auto"/>
                <w:szCs w:val="21"/>
                <w:highlight w:val="none"/>
              </w:rPr>
            </w:pPr>
            <w:r>
              <w:rPr>
                <w:rFonts w:hint="eastAsia" w:ascii="宋体" w:hAnsi="宋体"/>
                <w:b/>
                <w:bCs/>
                <w:color w:val="auto"/>
                <w:szCs w:val="21"/>
                <w:highlight w:val="none"/>
              </w:rPr>
              <w:t>折扣</w:t>
            </w:r>
          </w:p>
        </w:tc>
        <w:tc>
          <w:tcPr>
            <w:tcW w:w="6825" w:type="dxa"/>
            <w:noWrap w:val="0"/>
            <w:vAlign w:val="center"/>
          </w:tcPr>
          <w:p w14:paraId="145635FF">
            <w:pPr>
              <w:widowControl/>
              <w:jc w:val="left"/>
              <w:rPr>
                <w:rFonts w:ascii="宋体" w:hAnsi="宋体"/>
                <w:b/>
                <w:bCs/>
                <w:color w:val="auto"/>
                <w:szCs w:val="21"/>
                <w:highlight w:val="none"/>
              </w:rPr>
            </w:pPr>
            <w:r>
              <w:rPr>
                <w:rFonts w:hint="eastAsia" w:ascii="宋体" w:hAnsi="宋体"/>
                <w:b/>
                <w:bCs/>
                <w:color w:val="auto"/>
                <w:szCs w:val="21"/>
                <w:highlight w:val="none"/>
              </w:rPr>
              <w:t>（大写）：</w:t>
            </w:r>
            <w:r>
              <w:rPr>
                <w:rFonts w:hint="eastAsia" w:ascii="宋体" w:hAnsi="宋体"/>
                <w:b/>
                <w:bCs/>
                <w:color w:val="auto"/>
                <w:szCs w:val="21"/>
                <w:highlight w:val="none"/>
                <w:u w:val="single"/>
              </w:rPr>
              <w:t xml:space="preserve"> 百分之      </w:t>
            </w:r>
            <w:r>
              <w:rPr>
                <w:rFonts w:hint="eastAsia" w:ascii="宋体" w:hAnsi="宋体"/>
                <w:b/>
                <w:bCs/>
                <w:color w:val="auto"/>
                <w:szCs w:val="21"/>
                <w:highlight w:val="none"/>
              </w:rPr>
              <w:t xml:space="preserve"> </w:t>
            </w:r>
            <w:r>
              <w:rPr>
                <w:rFonts w:hint="eastAsia" w:ascii="宋体" w:hAnsi="宋体" w:eastAsia="宋体" w:cs="宋体"/>
                <w:color w:val="auto"/>
                <w:kern w:val="0"/>
                <w:szCs w:val="21"/>
                <w:highlight w:val="none"/>
                <w:lang w:bidi="ar"/>
              </w:rPr>
              <w:t xml:space="preserve"> </w:t>
            </w:r>
          </w:p>
        </w:tc>
      </w:tr>
      <w:tr w14:paraId="6F584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exact"/>
        </w:trPr>
        <w:tc>
          <w:tcPr>
            <w:tcW w:w="2087" w:type="dxa"/>
            <w:vMerge w:val="continue"/>
            <w:noWrap w:val="0"/>
            <w:vAlign w:val="center"/>
          </w:tcPr>
          <w:p w14:paraId="0CFF501E">
            <w:pPr>
              <w:jc w:val="center"/>
              <w:rPr>
                <w:rFonts w:ascii="宋体" w:hAnsi="宋体"/>
                <w:b/>
                <w:bCs/>
                <w:color w:val="auto"/>
                <w:szCs w:val="21"/>
                <w:highlight w:val="none"/>
              </w:rPr>
            </w:pPr>
          </w:p>
        </w:tc>
        <w:tc>
          <w:tcPr>
            <w:tcW w:w="6825" w:type="dxa"/>
            <w:noWrap w:val="0"/>
            <w:vAlign w:val="center"/>
          </w:tcPr>
          <w:p w14:paraId="377C3455">
            <w:pPr>
              <w:widowControl/>
              <w:jc w:val="left"/>
              <w:rPr>
                <w:rFonts w:ascii="宋体" w:hAnsi="宋体"/>
                <w:b/>
                <w:bCs/>
                <w:color w:val="auto"/>
                <w:szCs w:val="21"/>
                <w:highlight w:val="none"/>
              </w:rPr>
            </w:pPr>
            <w:r>
              <w:rPr>
                <w:rFonts w:hint="eastAsia" w:ascii="宋体" w:hAnsi="宋体"/>
                <w:b/>
                <w:bCs/>
                <w:color w:val="auto"/>
                <w:szCs w:val="21"/>
                <w:highlight w:val="none"/>
              </w:rPr>
              <w:t>（小写）：</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w:t>
            </w:r>
            <w:r>
              <w:rPr>
                <w:rFonts w:hint="eastAsia" w:ascii="宋体" w:hAnsi="宋体"/>
                <w:color w:val="auto"/>
                <w:szCs w:val="21"/>
                <w:highlight w:val="none"/>
              </w:rPr>
              <w:t xml:space="preserve"> </w:t>
            </w:r>
          </w:p>
        </w:tc>
      </w:tr>
      <w:tr w14:paraId="2DFA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2087" w:type="dxa"/>
            <w:noWrap w:val="0"/>
            <w:vAlign w:val="center"/>
          </w:tcPr>
          <w:p w14:paraId="4D5716BA">
            <w:pPr>
              <w:jc w:val="center"/>
              <w:rPr>
                <w:rFonts w:hint="eastAsia" w:ascii="宋体" w:hAnsi="宋体"/>
                <w:b/>
                <w:bCs/>
                <w:color w:val="auto"/>
                <w:szCs w:val="21"/>
                <w:highlight w:val="none"/>
              </w:rPr>
            </w:pPr>
            <w:r>
              <w:rPr>
                <w:rFonts w:hint="eastAsia" w:ascii="宋体" w:hAnsi="宋体"/>
                <w:b/>
                <w:bCs/>
                <w:color w:val="auto"/>
                <w:szCs w:val="21"/>
                <w:highlight w:val="none"/>
              </w:rPr>
              <w:t>生日慰问品</w:t>
            </w:r>
          </w:p>
          <w:p w14:paraId="22E062FE">
            <w:pPr>
              <w:jc w:val="center"/>
              <w:rPr>
                <w:rFonts w:hint="eastAsia" w:ascii="宋体" w:hAnsi="宋体"/>
                <w:b/>
                <w:bCs/>
                <w:color w:val="auto"/>
                <w:szCs w:val="21"/>
                <w:highlight w:val="none"/>
              </w:rPr>
            </w:pPr>
            <w:r>
              <w:rPr>
                <w:rFonts w:hint="eastAsia" w:ascii="宋体" w:hAnsi="宋体"/>
                <w:b/>
                <w:bCs/>
                <w:color w:val="auto"/>
                <w:szCs w:val="21"/>
                <w:highlight w:val="none"/>
                <w:lang w:eastAsia="zh-CN"/>
              </w:rPr>
              <w:t>领取</w:t>
            </w:r>
            <w:r>
              <w:rPr>
                <w:rFonts w:hint="eastAsia" w:ascii="宋体" w:hAnsi="宋体"/>
                <w:b/>
                <w:bCs/>
                <w:color w:val="auto"/>
                <w:szCs w:val="21"/>
                <w:highlight w:val="none"/>
              </w:rPr>
              <w:t>券面值</w:t>
            </w:r>
          </w:p>
          <w:p w14:paraId="24DE2C97">
            <w:pPr>
              <w:jc w:val="center"/>
              <w:rPr>
                <w:rFonts w:ascii="宋体" w:hAnsi="宋体"/>
                <w:b/>
                <w:bCs/>
                <w:color w:val="auto"/>
                <w:szCs w:val="21"/>
                <w:highlight w:val="none"/>
              </w:rPr>
            </w:pPr>
            <w:r>
              <w:rPr>
                <w:rFonts w:hint="eastAsia" w:ascii="宋体" w:hAnsi="宋体"/>
                <w:b/>
                <w:bCs/>
                <w:color w:val="auto"/>
                <w:szCs w:val="21"/>
                <w:highlight w:val="none"/>
              </w:rPr>
              <w:t>（元/份）</w:t>
            </w:r>
          </w:p>
        </w:tc>
        <w:tc>
          <w:tcPr>
            <w:tcW w:w="6825" w:type="dxa"/>
            <w:noWrap w:val="0"/>
            <w:vAlign w:val="center"/>
          </w:tcPr>
          <w:p w14:paraId="21DE8975">
            <w:pPr>
              <w:widowControl/>
              <w:jc w:val="left"/>
              <w:rPr>
                <w:rFonts w:ascii="宋体" w:hAnsi="宋体"/>
                <w:b/>
                <w:bCs/>
                <w:color w:val="auto"/>
                <w:szCs w:val="21"/>
                <w:highlight w:val="none"/>
              </w:rPr>
            </w:pPr>
          </w:p>
        </w:tc>
      </w:tr>
      <w:tr w14:paraId="1FFD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trPr>
        <w:tc>
          <w:tcPr>
            <w:tcW w:w="2087" w:type="dxa"/>
            <w:noWrap w:val="0"/>
            <w:vAlign w:val="center"/>
          </w:tcPr>
          <w:p w14:paraId="09BDAFD9">
            <w:pPr>
              <w:jc w:val="center"/>
              <w:rPr>
                <w:rFonts w:ascii="宋体" w:hAnsi="宋体"/>
                <w:b/>
                <w:bCs/>
                <w:color w:val="auto"/>
                <w:szCs w:val="21"/>
                <w:highlight w:val="none"/>
              </w:rPr>
            </w:pPr>
            <w:r>
              <w:rPr>
                <w:rFonts w:hint="eastAsia" w:ascii="宋体" w:hAnsi="宋体"/>
                <w:b/>
                <w:bCs/>
                <w:color w:val="auto"/>
                <w:szCs w:val="21"/>
                <w:highlight w:val="none"/>
              </w:rPr>
              <w:t>投标范围</w:t>
            </w:r>
          </w:p>
        </w:tc>
        <w:tc>
          <w:tcPr>
            <w:tcW w:w="6825" w:type="dxa"/>
            <w:noWrap w:val="0"/>
            <w:vAlign w:val="center"/>
          </w:tcPr>
          <w:p w14:paraId="68F71491">
            <w:pPr>
              <w:rPr>
                <w:rFonts w:ascii="宋体" w:hAnsi="宋体"/>
                <w:b/>
                <w:bCs/>
                <w:color w:val="auto"/>
                <w:szCs w:val="21"/>
                <w:highlight w:val="none"/>
              </w:rPr>
            </w:pPr>
          </w:p>
        </w:tc>
      </w:tr>
      <w:tr w14:paraId="30D4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2087" w:type="dxa"/>
            <w:noWrap w:val="0"/>
            <w:vAlign w:val="center"/>
          </w:tcPr>
          <w:p w14:paraId="6D132096">
            <w:pPr>
              <w:jc w:val="center"/>
              <w:rPr>
                <w:rFonts w:ascii="宋体" w:hAnsi="宋体"/>
                <w:b/>
                <w:bCs/>
                <w:color w:val="auto"/>
                <w:szCs w:val="21"/>
                <w:highlight w:val="none"/>
              </w:rPr>
            </w:pPr>
            <w:r>
              <w:rPr>
                <w:rFonts w:ascii="宋体" w:hAnsi="宋体"/>
                <w:b/>
                <w:bCs/>
                <w:color w:val="auto"/>
                <w:szCs w:val="21"/>
                <w:highlight w:val="none"/>
              </w:rPr>
              <w:t>供提货要求</w:t>
            </w:r>
          </w:p>
        </w:tc>
        <w:tc>
          <w:tcPr>
            <w:tcW w:w="6825" w:type="dxa"/>
            <w:noWrap w:val="0"/>
            <w:vAlign w:val="center"/>
          </w:tcPr>
          <w:p w14:paraId="1F0CAA96">
            <w:pPr>
              <w:rPr>
                <w:rFonts w:ascii="宋体" w:hAnsi="宋体"/>
                <w:color w:val="auto"/>
                <w:kern w:val="0"/>
                <w:szCs w:val="21"/>
                <w:highlight w:val="none"/>
              </w:rPr>
            </w:pPr>
          </w:p>
        </w:tc>
      </w:tr>
      <w:tr w14:paraId="37F42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2087" w:type="dxa"/>
            <w:noWrap w:val="0"/>
            <w:vAlign w:val="center"/>
          </w:tcPr>
          <w:p w14:paraId="4E32AB1D">
            <w:pPr>
              <w:jc w:val="center"/>
              <w:rPr>
                <w:rFonts w:ascii="宋体" w:hAnsi="宋体"/>
                <w:b/>
                <w:bCs/>
                <w:color w:val="auto"/>
                <w:szCs w:val="21"/>
                <w:highlight w:val="none"/>
              </w:rPr>
            </w:pPr>
            <w:r>
              <w:rPr>
                <w:rFonts w:hint="eastAsia" w:ascii="宋体" w:hAnsi="宋体"/>
                <w:b/>
                <w:bCs/>
                <w:color w:val="auto"/>
                <w:szCs w:val="21"/>
                <w:highlight w:val="none"/>
              </w:rPr>
              <w:t>服务期限</w:t>
            </w:r>
          </w:p>
        </w:tc>
        <w:tc>
          <w:tcPr>
            <w:tcW w:w="6825" w:type="dxa"/>
            <w:noWrap w:val="0"/>
            <w:vAlign w:val="center"/>
          </w:tcPr>
          <w:p w14:paraId="430A5DA3">
            <w:pPr>
              <w:rPr>
                <w:rFonts w:ascii="宋体" w:hAnsi="宋体"/>
                <w:color w:val="auto"/>
                <w:kern w:val="0"/>
                <w:szCs w:val="21"/>
                <w:highlight w:val="none"/>
                <w:u w:val="single"/>
              </w:rPr>
            </w:pPr>
          </w:p>
        </w:tc>
      </w:tr>
      <w:tr w14:paraId="3D73A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2087" w:type="dxa"/>
            <w:noWrap w:val="0"/>
            <w:vAlign w:val="center"/>
          </w:tcPr>
          <w:p w14:paraId="27005F74">
            <w:pPr>
              <w:jc w:val="center"/>
              <w:rPr>
                <w:rFonts w:ascii="宋体" w:hAnsi="宋体"/>
                <w:b/>
                <w:bCs/>
                <w:color w:val="auto"/>
                <w:szCs w:val="21"/>
                <w:highlight w:val="none"/>
              </w:rPr>
            </w:pPr>
            <w:r>
              <w:rPr>
                <w:rFonts w:hint="eastAsia" w:ascii="宋体" w:hAnsi="宋体"/>
                <w:b/>
                <w:bCs/>
                <w:color w:val="auto"/>
                <w:szCs w:val="21"/>
                <w:highlight w:val="none"/>
              </w:rPr>
              <w:t>交货地点</w:t>
            </w:r>
          </w:p>
        </w:tc>
        <w:tc>
          <w:tcPr>
            <w:tcW w:w="6825" w:type="dxa"/>
            <w:noWrap w:val="0"/>
            <w:vAlign w:val="center"/>
          </w:tcPr>
          <w:p w14:paraId="23A0ADD1">
            <w:pPr>
              <w:rPr>
                <w:rFonts w:ascii="宋体" w:hAnsi="宋体"/>
                <w:color w:val="auto"/>
                <w:kern w:val="0"/>
                <w:szCs w:val="21"/>
                <w:highlight w:val="none"/>
              </w:rPr>
            </w:pPr>
          </w:p>
        </w:tc>
      </w:tr>
      <w:tr w14:paraId="71B9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trPr>
        <w:tc>
          <w:tcPr>
            <w:tcW w:w="2087" w:type="dxa"/>
            <w:noWrap w:val="0"/>
            <w:vAlign w:val="center"/>
          </w:tcPr>
          <w:p w14:paraId="24D836D7">
            <w:pPr>
              <w:jc w:val="center"/>
              <w:rPr>
                <w:rFonts w:ascii="宋体" w:hAnsi="宋体"/>
                <w:b/>
                <w:bCs/>
                <w:color w:val="auto"/>
                <w:szCs w:val="21"/>
                <w:highlight w:val="none"/>
              </w:rPr>
            </w:pPr>
            <w:r>
              <w:rPr>
                <w:rFonts w:hint="eastAsia" w:ascii="宋体" w:hAnsi="宋体"/>
                <w:b/>
                <w:bCs/>
                <w:color w:val="auto"/>
                <w:szCs w:val="21"/>
                <w:highlight w:val="none"/>
              </w:rPr>
              <w:t>质量标准</w:t>
            </w:r>
          </w:p>
        </w:tc>
        <w:tc>
          <w:tcPr>
            <w:tcW w:w="6825" w:type="dxa"/>
            <w:noWrap w:val="0"/>
            <w:vAlign w:val="center"/>
          </w:tcPr>
          <w:p w14:paraId="4AC0ECC7">
            <w:pPr>
              <w:rPr>
                <w:rFonts w:ascii="宋体" w:hAnsi="宋体"/>
                <w:b/>
                <w:bCs/>
                <w:color w:val="auto"/>
                <w:szCs w:val="21"/>
                <w:highlight w:val="none"/>
              </w:rPr>
            </w:pPr>
          </w:p>
        </w:tc>
      </w:tr>
      <w:tr w14:paraId="72FD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trPr>
        <w:tc>
          <w:tcPr>
            <w:tcW w:w="2087" w:type="dxa"/>
            <w:noWrap w:val="0"/>
            <w:vAlign w:val="center"/>
          </w:tcPr>
          <w:p w14:paraId="0DCFEAAA">
            <w:pPr>
              <w:jc w:val="center"/>
              <w:rPr>
                <w:rFonts w:ascii="宋体" w:hAnsi="宋体"/>
                <w:b/>
                <w:bCs/>
                <w:color w:val="auto"/>
                <w:szCs w:val="21"/>
                <w:highlight w:val="none"/>
              </w:rPr>
            </w:pPr>
            <w:r>
              <w:rPr>
                <w:rFonts w:hint="eastAsia" w:ascii="宋体" w:hAnsi="宋体"/>
                <w:b/>
                <w:bCs/>
                <w:color w:val="auto"/>
                <w:szCs w:val="21"/>
                <w:highlight w:val="none"/>
              </w:rPr>
              <w:t>合同履行期限</w:t>
            </w:r>
          </w:p>
        </w:tc>
        <w:tc>
          <w:tcPr>
            <w:tcW w:w="6825" w:type="dxa"/>
            <w:noWrap w:val="0"/>
            <w:vAlign w:val="center"/>
          </w:tcPr>
          <w:p w14:paraId="52D43846">
            <w:pPr>
              <w:rPr>
                <w:rFonts w:ascii="宋体" w:hAnsi="宋体"/>
                <w:b/>
                <w:bCs/>
                <w:color w:val="auto"/>
                <w:szCs w:val="21"/>
                <w:highlight w:val="none"/>
              </w:rPr>
            </w:pPr>
            <w:r>
              <w:rPr>
                <w:rFonts w:hint="eastAsia" w:ascii="宋体" w:hAnsi="宋体"/>
                <w:color w:val="auto"/>
                <w:kern w:val="0"/>
                <w:szCs w:val="21"/>
                <w:highlight w:val="none"/>
              </w:rPr>
              <w:t>同服务期限</w:t>
            </w:r>
          </w:p>
        </w:tc>
      </w:tr>
      <w:tr w14:paraId="1B24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trPr>
        <w:tc>
          <w:tcPr>
            <w:tcW w:w="2087" w:type="dxa"/>
            <w:noWrap w:val="0"/>
            <w:vAlign w:val="center"/>
          </w:tcPr>
          <w:p w14:paraId="7993638F">
            <w:pPr>
              <w:jc w:val="center"/>
              <w:rPr>
                <w:rFonts w:ascii="宋体" w:hAnsi="宋体"/>
                <w:b/>
                <w:bCs/>
                <w:color w:val="auto"/>
                <w:szCs w:val="21"/>
                <w:highlight w:val="none"/>
              </w:rPr>
            </w:pPr>
            <w:r>
              <w:rPr>
                <w:rFonts w:hint="eastAsia" w:ascii="宋体" w:hAnsi="宋体"/>
                <w:b/>
                <w:bCs/>
                <w:color w:val="auto"/>
                <w:szCs w:val="21"/>
                <w:highlight w:val="none"/>
              </w:rPr>
              <w:t>投标有效期</w:t>
            </w:r>
          </w:p>
        </w:tc>
        <w:tc>
          <w:tcPr>
            <w:tcW w:w="6825" w:type="dxa"/>
            <w:noWrap w:val="0"/>
            <w:vAlign w:val="center"/>
          </w:tcPr>
          <w:p w14:paraId="2D001AC1">
            <w:pPr>
              <w:rPr>
                <w:rFonts w:ascii="宋体" w:hAnsi="宋体"/>
                <w:b/>
                <w:bCs/>
                <w:color w:val="auto"/>
                <w:szCs w:val="21"/>
                <w:highlight w:val="none"/>
              </w:rPr>
            </w:pPr>
            <w:r>
              <w:rPr>
                <w:rFonts w:hint="eastAsia" w:ascii="宋体" w:hAnsi="宋体"/>
                <w:color w:val="auto"/>
                <w:kern w:val="0"/>
                <w:szCs w:val="21"/>
                <w:highlight w:val="none"/>
              </w:rPr>
              <w:t>自投标截止之日起90日历天</w:t>
            </w:r>
          </w:p>
        </w:tc>
      </w:tr>
      <w:tr w14:paraId="738B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trPr>
        <w:tc>
          <w:tcPr>
            <w:tcW w:w="2087" w:type="dxa"/>
            <w:noWrap w:val="0"/>
            <w:vAlign w:val="center"/>
          </w:tcPr>
          <w:p w14:paraId="2239169E">
            <w:pPr>
              <w:jc w:val="center"/>
              <w:rPr>
                <w:rFonts w:ascii="宋体" w:hAnsi="宋体"/>
                <w:b/>
                <w:bCs/>
                <w:color w:val="auto"/>
                <w:szCs w:val="21"/>
                <w:highlight w:val="none"/>
              </w:rPr>
            </w:pPr>
            <w:r>
              <w:rPr>
                <w:rFonts w:hint="eastAsia" w:ascii="宋体" w:hAnsi="宋体"/>
                <w:b/>
                <w:bCs/>
                <w:color w:val="auto"/>
                <w:szCs w:val="21"/>
                <w:highlight w:val="none"/>
              </w:rPr>
              <w:t>其他声明</w:t>
            </w:r>
          </w:p>
        </w:tc>
        <w:tc>
          <w:tcPr>
            <w:tcW w:w="6825" w:type="dxa"/>
            <w:noWrap w:val="0"/>
            <w:vAlign w:val="center"/>
          </w:tcPr>
          <w:p w14:paraId="7BE35803">
            <w:pPr>
              <w:rPr>
                <w:rFonts w:ascii="宋体" w:hAnsi="宋体"/>
                <w:b/>
                <w:bCs/>
                <w:color w:val="auto"/>
                <w:szCs w:val="21"/>
                <w:highlight w:val="none"/>
              </w:rPr>
            </w:pPr>
          </w:p>
        </w:tc>
      </w:tr>
    </w:tbl>
    <w:p w14:paraId="54E066B6">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 xml:space="preserve">（加盖公章）： </w:t>
      </w:r>
    </w:p>
    <w:p w14:paraId="45555D2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法定代表人或其委托代理人（</w:t>
      </w:r>
      <w:r>
        <w:rPr>
          <w:rFonts w:hint="eastAsia" w:ascii="宋体" w:hAnsi="宋体" w:eastAsia="宋体"/>
          <w:color w:val="auto"/>
          <w:sz w:val="24"/>
          <w:highlight w:val="none"/>
        </w:rPr>
        <w:t>签字或盖章</w:t>
      </w:r>
      <w:r>
        <w:rPr>
          <w:rFonts w:hint="eastAsia" w:ascii="宋体" w:hAnsi="宋体" w:cs="宋体"/>
          <w:color w:val="auto"/>
          <w:sz w:val="24"/>
          <w:szCs w:val="24"/>
          <w:highlight w:val="none"/>
        </w:rPr>
        <w:t xml:space="preserve">）： </w:t>
      </w:r>
    </w:p>
    <w:p w14:paraId="0909D5BB">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日  期： </w:t>
      </w:r>
    </w:p>
    <w:p w14:paraId="015668B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报价说明：</w:t>
      </w:r>
    </w:p>
    <w:p w14:paraId="319BC9ED">
      <w:pPr>
        <w:pStyle w:val="22"/>
        <w:numPr>
          <w:ilvl w:val="0"/>
          <w:numId w:val="6"/>
        </w:numPr>
        <w:ind w:left="0" w:leftChars="0"/>
        <w:rPr>
          <w:rFonts w:hint="eastAsia" w:ascii="宋体" w:hAnsi="宋体" w:cs="宋体"/>
          <w:color w:val="auto"/>
          <w:kern w:val="0"/>
          <w:szCs w:val="21"/>
          <w:highlight w:val="none"/>
        </w:rPr>
      </w:pPr>
      <w:r>
        <w:rPr>
          <w:rFonts w:hint="eastAsia" w:ascii="宋体" w:hAnsi="宋体" w:cs="宋体"/>
          <w:color w:val="auto"/>
          <w:kern w:val="0"/>
          <w:szCs w:val="21"/>
          <w:highlight w:val="none"/>
        </w:rPr>
        <w:t>本项目</w:t>
      </w:r>
      <w:r>
        <w:rPr>
          <w:rFonts w:hint="eastAsia" w:ascii="宋体" w:hAnsi="宋体" w:cs="宋体"/>
          <w:color w:val="auto"/>
          <w:kern w:val="0"/>
          <w:szCs w:val="21"/>
          <w:highlight w:val="none"/>
          <w:lang w:eastAsia="zh-CN"/>
        </w:rPr>
        <w:t>会员</w:t>
      </w:r>
      <w:r>
        <w:rPr>
          <w:rFonts w:hint="eastAsia" w:ascii="宋体" w:hAnsi="宋体" w:cs="宋体"/>
          <w:color w:val="auto"/>
          <w:kern w:val="0"/>
          <w:szCs w:val="21"/>
          <w:highlight w:val="none"/>
        </w:rPr>
        <w:t>生日慰问品以</w:t>
      </w:r>
      <w:r>
        <w:rPr>
          <w:rFonts w:hint="eastAsia" w:ascii="宋体" w:hAnsi="宋体" w:cs="宋体"/>
          <w:color w:val="auto"/>
          <w:kern w:val="0"/>
          <w:szCs w:val="21"/>
          <w:highlight w:val="none"/>
          <w:lang w:eastAsia="zh-CN"/>
        </w:rPr>
        <w:t>领取</w:t>
      </w:r>
      <w:r>
        <w:rPr>
          <w:rFonts w:hint="eastAsia" w:ascii="宋体" w:hAnsi="宋体" w:cs="宋体"/>
          <w:color w:val="auto"/>
          <w:kern w:val="0"/>
          <w:szCs w:val="21"/>
          <w:highlight w:val="none"/>
        </w:rPr>
        <w:t>券形式发放，</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应报出</w:t>
      </w:r>
      <w:r>
        <w:rPr>
          <w:rFonts w:hint="eastAsia" w:ascii="宋体" w:hAnsi="宋体" w:cs="宋体"/>
          <w:color w:val="auto"/>
          <w:kern w:val="0"/>
          <w:szCs w:val="21"/>
          <w:highlight w:val="none"/>
          <w:lang w:eastAsia="zh-CN"/>
        </w:rPr>
        <w:t>每份慰问品领取</w:t>
      </w:r>
      <w:r>
        <w:rPr>
          <w:rFonts w:hint="eastAsia" w:ascii="宋体" w:hAnsi="宋体" w:cs="宋体"/>
          <w:color w:val="auto"/>
          <w:kern w:val="0"/>
          <w:szCs w:val="21"/>
          <w:highlight w:val="none"/>
        </w:rPr>
        <w:t>券面值的折扣（%）</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折扣不得高于100%</w:t>
      </w:r>
      <w:r>
        <w:rPr>
          <w:rFonts w:hint="eastAsia" w:ascii="宋体" w:hAnsi="宋体" w:cs="宋体"/>
          <w:color w:val="auto"/>
          <w:kern w:val="0"/>
          <w:szCs w:val="21"/>
          <w:highlight w:val="none"/>
        </w:rPr>
        <w:t>。</w:t>
      </w:r>
    </w:p>
    <w:p w14:paraId="04691B3F">
      <w:pPr>
        <w:pStyle w:val="22"/>
        <w:numPr>
          <w:ilvl w:val="0"/>
          <w:numId w:val="0"/>
        </w:numPr>
        <w:ind w:leftChars="200"/>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折扣（%）C=A/B ；A=</w:t>
      </w:r>
      <w:r>
        <w:rPr>
          <w:rFonts w:hint="eastAsia" w:ascii="宋体" w:hAnsi="宋体" w:cs="宋体"/>
          <w:color w:val="auto"/>
          <w:kern w:val="0"/>
          <w:szCs w:val="21"/>
          <w:highlight w:val="none"/>
          <w:lang w:eastAsia="zh-CN"/>
        </w:rPr>
        <w:t>每份</w:t>
      </w:r>
      <w:r>
        <w:rPr>
          <w:rFonts w:hint="eastAsia" w:ascii="宋体" w:hAnsi="宋体" w:cs="宋体"/>
          <w:color w:val="auto"/>
          <w:kern w:val="0"/>
          <w:szCs w:val="21"/>
          <w:highlight w:val="none"/>
        </w:rPr>
        <w:t>慰问品</w:t>
      </w:r>
      <w:r>
        <w:rPr>
          <w:rFonts w:hint="eastAsia" w:ascii="宋体" w:hAnsi="宋体" w:cs="宋体"/>
          <w:color w:val="auto"/>
          <w:kern w:val="0"/>
          <w:szCs w:val="21"/>
          <w:highlight w:val="none"/>
          <w:lang w:eastAsia="zh-CN"/>
        </w:rPr>
        <w:t>固定单价</w:t>
      </w:r>
      <w:r>
        <w:rPr>
          <w:rFonts w:hint="eastAsia" w:ascii="宋体" w:hAnsi="宋体" w:cs="宋体"/>
          <w:color w:val="auto"/>
          <w:kern w:val="0"/>
          <w:szCs w:val="21"/>
          <w:highlight w:val="none"/>
        </w:rPr>
        <w:t>300元，B=</w:t>
      </w:r>
      <w:r>
        <w:rPr>
          <w:rFonts w:hint="eastAsia" w:ascii="宋体" w:hAnsi="宋体" w:cs="宋体"/>
          <w:color w:val="auto"/>
          <w:kern w:val="0"/>
          <w:szCs w:val="21"/>
          <w:highlight w:val="none"/>
          <w:lang w:eastAsia="zh-CN"/>
        </w:rPr>
        <w:t>每份慰问品领取</w:t>
      </w:r>
      <w:r>
        <w:rPr>
          <w:rFonts w:hint="eastAsia" w:ascii="宋体" w:hAnsi="宋体" w:cs="宋体"/>
          <w:color w:val="auto"/>
          <w:kern w:val="0"/>
          <w:szCs w:val="21"/>
          <w:highlight w:val="none"/>
        </w:rPr>
        <w:t>券面值。</w:t>
      </w:r>
      <w:r>
        <w:rPr>
          <w:rFonts w:hint="eastAsia" w:ascii="宋体" w:hAnsi="宋体" w:cs="宋体"/>
          <w:color w:val="auto"/>
          <w:kern w:val="0"/>
          <w:szCs w:val="21"/>
          <w:highlight w:val="none"/>
          <w:lang w:eastAsia="zh-CN"/>
        </w:rPr>
        <w:t>（</w:t>
      </w:r>
      <w:r>
        <w:rPr>
          <w:rFonts w:hint="eastAsia" w:ascii="宋体" w:hAnsi="宋体" w:cs="宋体"/>
          <w:b/>
          <w:bCs/>
          <w:color w:val="auto"/>
          <w:kern w:val="0"/>
          <w:szCs w:val="21"/>
          <w:highlight w:val="none"/>
          <w:lang w:eastAsia="zh-CN"/>
        </w:rPr>
        <w:t>报价折扣</w:t>
      </w:r>
      <w:r>
        <w:rPr>
          <w:rFonts w:hint="eastAsia" w:ascii="宋体" w:hAnsi="宋体" w:cs="宋体"/>
          <w:b/>
          <w:bCs/>
          <w:color w:val="auto"/>
          <w:kern w:val="0"/>
          <w:szCs w:val="21"/>
          <w:highlight w:val="none"/>
        </w:rPr>
        <w:t>取整数，小数点后为零</w:t>
      </w:r>
      <w:r>
        <w:rPr>
          <w:rFonts w:hint="eastAsia" w:ascii="宋体" w:hAnsi="宋体" w:cs="宋体"/>
          <w:color w:val="auto"/>
          <w:kern w:val="0"/>
          <w:szCs w:val="21"/>
          <w:highlight w:val="none"/>
          <w:lang w:eastAsia="zh-CN"/>
        </w:rPr>
        <w:t>）</w:t>
      </w:r>
    </w:p>
    <w:p w14:paraId="3418EC05">
      <w:pPr>
        <w:pStyle w:val="22"/>
        <w:numPr>
          <w:ilvl w:val="0"/>
          <w:numId w:val="0"/>
        </w:numPr>
        <w:ind w:leftChars="200"/>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（例如：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的投标折扣是60%，会员</w:t>
      </w:r>
      <w:r>
        <w:rPr>
          <w:rFonts w:hint="eastAsia" w:ascii="宋体" w:hAnsi="宋体" w:cs="宋体"/>
          <w:color w:val="auto"/>
          <w:kern w:val="0"/>
          <w:szCs w:val="21"/>
          <w:highlight w:val="none"/>
          <w:lang w:eastAsia="zh-CN"/>
        </w:rPr>
        <w:t>收</w:t>
      </w:r>
      <w:r>
        <w:rPr>
          <w:rFonts w:hint="eastAsia" w:ascii="宋体" w:hAnsi="宋体" w:cs="宋体"/>
          <w:color w:val="auto"/>
          <w:kern w:val="0"/>
          <w:szCs w:val="21"/>
          <w:highlight w:val="none"/>
        </w:rPr>
        <w:t>到的慰问品</w:t>
      </w:r>
      <w:r>
        <w:rPr>
          <w:rFonts w:hint="eastAsia" w:ascii="宋体" w:hAnsi="宋体" w:cs="宋体"/>
          <w:color w:val="auto"/>
          <w:kern w:val="0"/>
          <w:szCs w:val="21"/>
          <w:highlight w:val="none"/>
          <w:lang w:eastAsia="zh-CN"/>
        </w:rPr>
        <w:t>领取</w:t>
      </w:r>
      <w:r>
        <w:rPr>
          <w:rFonts w:hint="eastAsia" w:ascii="宋体" w:hAnsi="宋体" w:cs="宋体"/>
          <w:color w:val="auto"/>
          <w:kern w:val="0"/>
          <w:szCs w:val="21"/>
          <w:highlight w:val="none"/>
        </w:rPr>
        <w:t>券面值</w:t>
      </w:r>
      <w:r>
        <w:rPr>
          <w:rFonts w:hint="eastAsia" w:ascii="宋体" w:hAnsi="宋体" w:cs="宋体"/>
          <w:color w:val="auto"/>
          <w:kern w:val="0"/>
          <w:szCs w:val="21"/>
          <w:highlight w:val="none"/>
          <w:lang w:eastAsia="zh-CN"/>
        </w:rPr>
        <w:t>则</w:t>
      </w:r>
      <w:r>
        <w:rPr>
          <w:rFonts w:hint="eastAsia" w:ascii="宋体" w:hAnsi="宋体" w:cs="宋体"/>
          <w:color w:val="auto"/>
          <w:kern w:val="0"/>
          <w:szCs w:val="21"/>
          <w:highlight w:val="none"/>
        </w:rPr>
        <w:t>为500元/份，此项仅为填写示例，仅供参考。）</w:t>
      </w:r>
    </w:p>
    <w:p w14:paraId="00A49369">
      <w:pPr>
        <w:pStyle w:val="22"/>
        <w:numPr>
          <w:ilvl w:val="0"/>
          <w:numId w:val="0"/>
        </w:numPr>
        <w:ind w:leftChars="200"/>
        <w:rPr>
          <w:color w:val="auto"/>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生日</w:t>
      </w:r>
      <w:r>
        <w:rPr>
          <w:rFonts w:hint="eastAsia" w:ascii="宋体" w:hAnsi="宋体" w:eastAsia="宋体" w:cs="宋体"/>
          <w:color w:val="auto"/>
          <w:sz w:val="21"/>
          <w:szCs w:val="21"/>
          <w:highlight w:val="none"/>
          <w:lang w:val="en-US" w:eastAsia="zh-CN"/>
        </w:rPr>
        <w:t>慰问品领取券面值</w:t>
      </w:r>
      <w:r>
        <w:rPr>
          <w:rFonts w:hint="eastAsia" w:ascii="宋体" w:hAnsi="宋体" w:cs="宋体"/>
          <w:color w:val="auto"/>
          <w:kern w:val="0"/>
          <w:szCs w:val="21"/>
          <w:highlight w:val="none"/>
          <w:lang w:val="en-US" w:eastAsia="zh-CN"/>
        </w:rPr>
        <w:t>不得低于采购标准（每份300元）。</w:t>
      </w:r>
    </w:p>
    <w:p w14:paraId="6C93B82B">
      <w:pPr>
        <w:jc w:val="center"/>
        <w:rPr>
          <w:rFonts w:hint="eastAsia" w:ascii="宋体" w:hAnsi="宋体" w:eastAsia="宋体" w:cs="宋体"/>
          <w:b/>
          <w:bCs/>
          <w:color w:val="auto"/>
          <w:sz w:val="24"/>
          <w:szCs w:val="24"/>
          <w:highlight w:val="none"/>
        </w:rPr>
      </w:pPr>
    </w:p>
    <w:p w14:paraId="2AF0D864">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货物</w:t>
      </w:r>
      <w:r>
        <w:rPr>
          <w:rFonts w:hint="eastAsia" w:ascii="宋体" w:hAnsi="宋体" w:eastAsia="宋体" w:cs="宋体"/>
          <w:b/>
          <w:bCs/>
          <w:color w:val="auto"/>
          <w:sz w:val="24"/>
          <w:szCs w:val="24"/>
          <w:highlight w:val="none"/>
        </w:rPr>
        <w:t>规格一览表</w:t>
      </w:r>
    </w:p>
    <w:p w14:paraId="07D43965">
      <w:pPr>
        <w:spacing w:line="360" w:lineRule="auto"/>
        <w:jc w:val="right"/>
        <w:rPr>
          <w:rFonts w:hint="eastAsia" w:ascii="宋体" w:hAnsi="宋体" w:eastAsia="宋体" w:cs="宋体"/>
          <w:color w:val="auto"/>
          <w:sz w:val="24"/>
          <w:szCs w:val="24"/>
          <w:highlight w:val="none"/>
        </w:rPr>
      </w:pPr>
    </w:p>
    <w:tbl>
      <w:tblPr>
        <w:tblStyle w:val="23"/>
        <w:tblW w:w="88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61"/>
        <w:gridCol w:w="2159"/>
        <w:gridCol w:w="1450"/>
        <w:gridCol w:w="3375"/>
        <w:gridCol w:w="1081"/>
      </w:tblGrid>
      <w:tr w14:paraId="2FF22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61" w:type="dxa"/>
            <w:vAlign w:val="center"/>
          </w:tcPr>
          <w:p w14:paraId="0948F12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159" w:type="dxa"/>
            <w:vAlign w:val="center"/>
          </w:tcPr>
          <w:p w14:paraId="4B508CE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450" w:type="dxa"/>
            <w:vAlign w:val="center"/>
          </w:tcPr>
          <w:p w14:paraId="02825FC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3375" w:type="dxa"/>
            <w:vAlign w:val="center"/>
          </w:tcPr>
          <w:p w14:paraId="612E398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制造商名称</w:t>
            </w:r>
          </w:p>
        </w:tc>
        <w:tc>
          <w:tcPr>
            <w:tcW w:w="1081" w:type="dxa"/>
            <w:vAlign w:val="center"/>
          </w:tcPr>
          <w:p w14:paraId="795BCED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3084F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17" w:hRule="atLeast"/>
          <w:jc w:val="center"/>
        </w:trPr>
        <w:tc>
          <w:tcPr>
            <w:tcW w:w="761" w:type="dxa"/>
            <w:vAlign w:val="center"/>
          </w:tcPr>
          <w:p w14:paraId="67D0F9F0">
            <w:pPr>
              <w:spacing w:line="360" w:lineRule="auto"/>
              <w:jc w:val="center"/>
              <w:rPr>
                <w:rFonts w:hint="eastAsia" w:ascii="宋体" w:hAnsi="宋体" w:eastAsia="宋体" w:cs="宋体"/>
                <w:color w:val="auto"/>
                <w:sz w:val="24"/>
                <w:szCs w:val="24"/>
                <w:highlight w:val="none"/>
              </w:rPr>
            </w:pPr>
          </w:p>
        </w:tc>
        <w:tc>
          <w:tcPr>
            <w:tcW w:w="2159" w:type="dxa"/>
            <w:vAlign w:val="center"/>
          </w:tcPr>
          <w:p w14:paraId="66ADDD89">
            <w:pPr>
              <w:jc w:val="center"/>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生日慰问品（以</w:t>
            </w:r>
            <w:r>
              <w:rPr>
                <w:rFonts w:hint="eastAsia" w:ascii="宋体" w:hAnsi="宋体" w:eastAsia="宋体" w:cs="宋体"/>
                <w:color w:val="auto"/>
                <w:szCs w:val="21"/>
                <w:highlight w:val="none"/>
                <w:lang w:eastAsia="zh-CN"/>
              </w:rPr>
              <w:t>领取</w:t>
            </w:r>
            <w:r>
              <w:rPr>
                <w:rFonts w:hint="eastAsia" w:ascii="宋体" w:hAnsi="宋体" w:eastAsia="宋体" w:cs="宋体"/>
                <w:color w:val="auto"/>
                <w:szCs w:val="21"/>
                <w:highlight w:val="none"/>
              </w:rPr>
              <w:t>券的形式发放）</w:t>
            </w:r>
          </w:p>
        </w:tc>
        <w:tc>
          <w:tcPr>
            <w:tcW w:w="1450" w:type="dxa"/>
            <w:vAlign w:val="center"/>
          </w:tcPr>
          <w:p w14:paraId="15D719EF">
            <w:pPr>
              <w:spacing w:line="360" w:lineRule="auto"/>
              <w:jc w:val="center"/>
              <w:rPr>
                <w:rFonts w:hint="eastAsia" w:ascii="宋体" w:hAnsi="宋体" w:eastAsia="宋体" w:cs="宋体"/>
                <w:color w:val="auto"/>
                <w:sz w:val="24"/>
                <w:szCs w:val="24"/>
                <w:highlight w:val="none"/>
              </w:rPr>
            </w:pPr>
          </w:p>
        </w:tc>
        <w:tc>
          <w:tcPr>
            <w:tcW w:w="3375" w:type="dxa"/>
            <w:vAlign w:val="center"/>
          </w:tcPr>
          <w:p w14:paraId="4D8DE239">
            <w:pPr>
              <w:spacing w:line="360" w:lineRule="auto"/>
              <w:jc w:val="center"/>
              <w:rPr>
                <w:rFonts w:hint="eastAsia" w:ascii="宋体" w:hAnsi="宋体" w:eastAsia="宋体" w:cs="宋体"/>
                <w:color w:val="auto"/>
                <w:sz w:val="24"/>
                <w:szCs w:val="24"/>
                <w:highlight w:val="none"/>
              </w:rPr>
            </w:pPr>
          </w:p>
        </w:tc>
        <w:tc>
          <w:tcPr>
            <w:tcW w:w="1081" w:type="dxa"/>
            <w:vAlign w:val="center"/>
          </w:tcPr>
          <w:p w14:paraId="2856E607">
            <w:pPr>
              <w:spacing w:line="360" w:lineRule="auto"/>
              <w:jc w:val="center"/>
              <w:rPr>
                <w:rFonts w:hint="eastAsia" w:ascii="宋体" w:hAnsi="宋体" w:eastAsia="宋体" w:cs="宋体"/>
                <w:color w:val="auto"/>
                <w:sz w:val="24"/>
                <w:szCs w:val="24"/>
                <w:highlight w:val="none"/>
              </w:rPr>
            </w:pPr>
          </w:p>
        </w:tc>
      </w:tr>
      <w:tr w14:paraId="07AA98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61" w:type="dxa"/>
            <w:vAlign w:val="center"/>
          </w:tcPr>
          <w:p w14:paraId="265A399C">
            <w:pPr>
              <w:spacing w:line="360" w:lineRule="auto"/>
              <w:jc w:val="center"/>
              <w:rPr>
                <w:rFonts w:hint="eastAsia" w:ascii="宋体" w:hAnsi="宋体" w:eastAsia="宋体" w:cs="宋体"/>
                <w:color w:val="auto"/>
                <w:sz w:val="24"/>
                <w:szCs w:val="24"/>
                <w:highlight w:val="none"/>
              </w:rPr>
            </w:pPr>
          </w:p>
        </w:tc>
        <w:tc>
          <w:tcPr>
            <w:tcW w:w="2159" w:type="dxa"/>
            <w:vAlign w:val="center"/>
          </w:tcPr>
          <w:p w14:paraId="48BFB862">
            <w:pPr>
              <w:spacing w:line="360" w:lineRule="auto"/>
              <w:jc w:val="center"/>
              <w:rPr>
                <w:rFonts w:hint="eastAsia" w:ascii="宋体" w:hAnsi="宋体" w:eastAsia="宋体" w:cs="宋体"/>
                <w:color w:val="auto"/>
                <w:sz w:val="24"/>
                <w:szCs w:val="24"/>
                <w:highlight w:val="none"/>
              </w:rPr>
            </w:pPr>
          </w:p>
        </w:tc>
        <w:tc>
          <w:tcPr>
            <w:tcW w:w="1450" w:type="dxa"/>
            <w:vAlign w:val="center"/>
          </w:tcPr>
          <w:p w14:paraId="053D7774">
            <w:pPr>
              <w:spacing w:line="360" w:lineRule="auto"/>
              <w:jc w:val="center"/>
              <w:rPr>
                <w:rFonts w:hint="eastAsia" w:ascii="宋体" w:hAnsi="宋体" w:eastAsia="宋体" w:cs="宋体"/>
                <w:color w:val="auto"/>
                <w:sz w:val="24"/>
                <w:szCs w:val="24"/>
                <w:highlight w:val="none"/>
              </w:rPr>
            </w:pPr>
          </w:p>
        </w:tc>
        <w:tc>
          <w:tcPr>
            <w:tcW w:w="3375" w:type="dxa"/>
            <w:vAlign w:val="center"/>
          </w:tcPr>
          <w:p w14:paraId="1CFB18BC">
            <w:pPr>
              <w:spacing w:line="360" w:lineRule="auto"/>
              <w:jc w:val="center"/>
              <w:rPr>
                <w:rFonts w:hint="eastAsia" w:ascii="宋体" w:hAnsi="宋体" w:eastAsia="宋体" w:cs="宋体"/>
                <w:color w:val="auto"/>
                <w:sz w:val="24"/>
                <w:szCs w:val="24"/>
                <w:highlight w:val="none"/>
              </w:rPr>
            </w:pPr>
          </w:p>
        </w:tc>
        <w:tc>
          <w:tcPr>
            <w:tcW w:w="1081" w:type="dxa"/>
            <w:vAlign w:val="center"/>
          </w:tcPr>
          <w:p w14:paraId="1CABCB67">
            <w:pPr>
              <w:spacing w:line="360" w:lineRule="auto"/>
              <w:jc w:val="center"/>
              <w:rPr>
                <w:rFonts w:hint="eastAsia" w:ascii="宋体" w:hAnsi="宋体" w:eastAsia="宋体" w:cs="宋体"/>
                <w:color w:val="auto"/>
                <w:sz w:val="24"/>
                <w:szCs w:val="24"/>
                <w:highlight w:val="none"/>
              </w:rPr>
            </w:pPr>
          </w:p>
        </w:tc>
      </w:tr>
      <w:tr w14:paraId="0B245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61" w:type="dxa"/>
            <w:vAlign w:val="center"/>
          </w:tcPr>
          <w:p w14:paraId="4868DF64">
            <w:pPr>
              <w:spacing w:line="360" w:lineRule="auto"/>
              <w:jc w:val="center"/>
              <w:rPr>
                <w:rFonts w:hint="eastAsia" w:ascii="宋体" w:hAnsi="宋体" w:eastAsia="宋体" w:cs="宋体"/>
                <w:color w:val="auto"/>
                <w:sz w:val="24"/>
                <w:szCs w:val="24"/>
                <w:highlight w:val="none"/>
              </w:rPr>
            </w:pPr>
          </w:p>
        </w:tc>
        <w:tc>
          <w:tcPr>
            <w:tcW w:w="2159" w:type="dxa"/>
            <w:vAlign w:val="center"/>
          </w:tcPr>
          <w:p w14:paraId="16604647">
            <w:pPr>
              <w:spacing w:line="360" w:lineRule="auto"/>
              <w:jc w:val="center"/>
              <w:rPr>
                <w:rFonts w:hint="eastAsia" w:ascii="宋体" w:hAnsi="宋体" w:eastAsia="宋体" w:cs="宋体"/>
                <w:color w:val="auto"/>
                <w:sz w:val="24"/>
                <w:szCs w:val="24"/>
                <w:highlight w:val="none"/>
              </w:rPr>
            </w:pPr>
          </w:p>
        </w:tc>
        <w:tc>
          <w:tcPr>
            <w:tcW w:w="1450" w:type="dxa"/>
            <w:vAlign w:val="center"/>
          </w:tcPr>
          <w:p w14:paraId="55426B98">
            <w:pPr>
              <w:spacing w:line="360" w:lineRule="auto"/>
              <w:jc w:val="center"/>
              <w:rPr>
                <w:rFonts w:hint="eastAsia" w:ascii="宋体" w:hAnsi="宋体" w:eastAsia="宋体" w:cs="宋体"/>
                <w:color w:val="auto"/>
                <w:sz w:val="24"/>
                <w:szCs w:val="24"/>
                <w:highlight w:val="none"/>
              </w:rPr>
            </w:pPr>
          </w:p>
        </w:tc>
        <w:tc>
          <w:tcPr>
            <w:tcW w:w="3375" w:type="dxa"/>
            <w:vAlign w:val="center"/>
          </w:tcPr>
          <w:p w14:paraId="3B6896B7">
            <w:pPr>
              <w:spacing w:line="360" w:lineRule="auto"/>
              <w:jc w:val="center"/>
              <w:rPr>
                <w:rFonts w:hint="eastAsia" w:ascii="宋体" w:hAnsi="宋体" w:eastAsia="宋体" w:cs="宋体"/>
                <w:color w:val="auto"/>
                <w:sz w:val="24"/>
                <w:szCs w:val="24"/>
                <w:highlight w:val="none"/>
              </w:rPr>
            </w:pPr>
          </w:p>
        </w:tc>
        <w:tc>
          <w:tcPr>
            <w:tcW w:w="1081" w:type="dxa"/>
            <w:vAlign w:val="center"/>
          </w:tcPr>
          <w:p w14:paraId="2276B41E">
            <w:pPr>
              <w:spacing w:line="360" w:lineRule="auto"/>
              <w:jc w:val="center"/>
              <w:rPr>
                <w:rFonts w:hint="eastAsia" w:ascii="宋体" w:hAnsi="宋体" w:eastAsia="宋体" w:cs="宋体"/>
                <w:color w:val="auto"/>
                <w:sz w:val="24"/>
                <w:szCs w:val="24"/>
                <w:highlight w:val="none"/>
              </w:rPr>
            </w:pPr>
          </w:p>
        </w:tc>
      </w:tr>
    </w:tbl>
    <w:p w14:paraId="7E9379AE">
      <w:pPr>
        <w:spacing w:before="120"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备注：本表供应商可根据实际需要据实调整。</w:t>
      </w:r>
    </w:p>
    <w:p w14:paraId="786CD638">
      <w:pPr>
        <w:spacing w:line="360" w:lineRule="auto"/>
        <w:rPr>
          <w:rFonts w:hint="eastAsia" w:ascii="宋体" w:hAnsi="宋体" w:eastAsia="宋体" w:cs="宋体"/>
          <w:color w:val="auto"/>
          <w:sz w:val="24"/>
          <w:szCs w:val="24"/>
          <w:highlight w:val="none"/>
        </w:rPr>
      </w:pPr>
    </w:p>
    <w:p w14:paraId="5CE1F5C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D22F15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（加盖公章）： </w:t>
      </w:r>
    </w:p>
    <w:p w14:paraId="58C76A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EE0660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highlight w:val="none"/>
        </w:rPr>
        <w:t>签字或盖章</w:t>
      </w:r>
      <w:r>
        <w:rPr>
          <w:rFonts w:hint="eastAsia" w:ascii="宋体" w:hAnsi="宋体" w:eastAsia="宋体" w:cs="宋体"/>
          <w:color w:val="auto"/>
          <w:sz w:val="24"/>
          <w:szCs w:val="24"/>
          <w:highlight w:val="none"/>
        </w:rPr>
        <w:t xml:space="preserve">）： </w:t>
      </w:r>
    </w:p>
    <w:p w14:paraId="1ED84D9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268ADD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650E1001">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20398B7">
      <w:pPr>
        <w:rPr>
          <w:rFonts w:hint="eastAsia" w:ascii="宋体" w:hAnsi="宋体" w:eastAsia="宋体" w:cs="宋体"/>
          <w:color w:val="auto"/>
          <w:highlight w:val="none"/>
        </w:rPr>
      </w:pPr>
    </w:p>
    <w:p w14:paraId="6F0DA4AB">
      <w:pPr>
        <w:pStyle w:val="21"/>
        <w:ind w:firstLine="210"/>
        <w:rPr>
          <w:rFonts w:hint="eastAsia" w:ascii="宋体" w:hAnsi="宋体" w:eastAsia="宋体" w:cs="宋体"/>
          <w:color w:val="auto"/>
          <w:highlight w:val="none"/>
        </w:rPr>
      </w:pPr>
    </w:p>
    <w:p w14:paraId="26E05323">
      <w:pPr>
        <w:pStyle w:val="3"/>
        <w:spacing w:before="0" w:after="0"/>
        <w:jc w:val="center"/>
        <w:outlineLvl w:val="9"/>
        <w:rPr>
          <w:rFonts w:hint="eastAsia" w:ascii="宋体" w:hAnsi="宋体" w:eastAsia="宋体" w:cs="宋体"/>
          <w:color w:val="auto"/>
          <w:sz w:val="28"/>
          <w:highlight w:val="none"/>
        </w:rPr>
      </w:pPr>
      <w:bookmarkStart w:id="344" w:name="_Toc15045"/>
      <w:bookmarkStart w:id="345" w:name="_Toc28847"/>
      <w:bookmarkStart w:id="346" w:name="_Toc23749"/>
      <w:bookmarkStart w:id="347" w:name="_Toc27389"/>
      <w:bookmarkStart w:id="348" w:name="_Toc18624"/>
      <w:r>
        <w:rPr>
          <w:rFonts w:hint="eastAsia" w:ascii="宋体" w:hAnsi="宋体" w:eastAsia="宋体" w:cs="宋体"/>
          <w:color w:val="auto"/>
          <w:sz w:val="28"/>
          <w:highlight w:val="none"/>
        </w:rPr>
        <w:t>三、</w:t>
      </w:r>
      <w:r>
        <w:rPr>
          <w:rFonts w:hint="eastAsia" w:ascii="宋体" w:hAnsi="宋体" w:eastAsia="宋体" w:cs="宋体"/>
          <w:color w:val="auto"/>
          <w:sz w:val="28"/>
          <w:highlight w:val="none"/>
          <w:lang w:eastAsia="zh-CN"/>
        </w:rPr>
        <w:t>供应商</w:t>
      </w:r>
      <w:r>
        <w:rPr>
          <w:rFonts w:hint="eastAsia" w:ascii="宋体" w:hAnsi="宋体" w:eastAsia="宋体" w:cs="宋体"/>
          <w:color w:val="auto"/>
          <w:sz w:val="28"/>
          <w:highlight w:val="none"/>
        </w:rPr>
        <w:t>承诺函</w:t>
      </w:r>
      <w:bookmarkEnd w:id="344"/>
      <w:bookmarkEnd w:id="345"/>
      <w:bookmarkEnd w:id="346"/>
      <w:bookmarkEnd w:id="347"/>
      <w:bookmarkEnd w:id="348"/>
    </w:p>
    <w:p w14:paraId="3E64F0FA">
      <w:pPr>
        <w:pStyle w:val="4"/>
        <w:spacing w:before="0" w:after="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1、投标承诺函</w:t>
      </w:r>
    </w:p>
    <w:p w14:paraId="6FA42E68">
      <w:pPr>
        <w:pStyle w:val="20"/>
        <w:spacing w:before="0" w:beforeAutospacing="0" w:after="0" w:afterAutospacing="0" w:line="360" w:lineRule="auto"/>
        <w:jc w:val="both"/>
        <w:rPr>
          <w:rFonts w:hint="eastAsia" w:ascii="宋体" w:hAnsi="宋体" w:eastAsia="宋体" w:cs="宋体"/>
          <w:color w:val="auto"/>
          <w:spacing w:val="7"/>
          <w:sz w:val="26"/>
          <w:szCs w:val="26"/>
          <w:highlight w:val="none"/>
        </w:rPr>
      </w:pPr>
      <w:r>
        <w:rPr>
          <w:rFonts w:hint="eastAsia" w:ascii="宋体" w:hAnsi="宋体" w:eastAsia="宋体" w:cs="宋体"/>
          <w:color w:val="auto"/>
          <w:highlight w:val="none"/>
        </w:rPr>
        <w:t>致（采购代理机构）</w:t>
      </w:r>
      <w:r>
        <w:rPr>
          <w:rFonts w:hint="eastAsia" w:ascii="宋体" w:hAnsi="宋体" w:eastAsia="宋体" w:cs="宋体"/>
          <w:color w:val="auto"/>
          <w:spacing w:val="7"/>
          <w:highlight w:val="none"/>
        </w:rPr>
        <w:t>：</w:t>
      </w:r>
    </w:p>
    <w:p w14:paraId="0E73D0DE">
      <w:pPr>
        <w:pStyle w:val="20"/>
        <w:spacing w:before="0" w:beforeAutospacing="0" w:after="0" w:afterAutospacing="0" w:line="360" w:lineRule="auto"/>
        <w:ind w:firstLine="480"/>
        <w:rPr>
          <w:rFonts w:hint="eastAsia" w:ascii="宋体" w:hAnsi="宋体" w:eastAsia="宋体" w:cs="宋体"/>
          <w:color w:val="auto"/>
          <w:spacing w:val="7"/>
          <w:sz w:val="26"/>
          <w:szCs w:val="26"/>
          <w:highlight w:val="none"/>
        </w:rPr>
      </w:pPr>
      <w:r>
        <w:rPr>
          <w:rFonts w:hint="eastAsia" w:ascii="宋体" w:hAnsi="宋体" w:eastAsia="宋体" w:cs="宋体"/>
          <w:color w:val="auto"/>
          <w:spacing w:val="7"/>
          <w:highlight w:val="none"/>
        </w:rPr>
        <w:t>我公司作为本次采购项目的</w:t>
      </w:r>
      <w:r>
        <w:rPr>
          <w:rFonts w:hint="eastAsia" w:cs="宋体"/>
          <w:color w:val="auto"/>
          <w:spacing w:val="7"/>
          <w:highlight w:val="none"/>
          <w:lang w:eastAsia="zh-CN"/>
        </w:rPr>
        <w:t>供应商</w:t>
      </w:r>
      <w:r>
        <w:rPr>
          <w:rFonts w:hint="eastAsia" w:ascii="宋体" w:hAnsi="宋体" w:eastAsia="宋体" w:cs="宋体"/>
          <w:color w:val="auto"/>
          <w:spacing w:val="7"/>
          <w:highlight w:val="none"/>
        </w:rPr>
        <w:t>，根据招标文件要求，现郑重承诺如下：</w:t>
      </w:r>
    </w:p>
    <w:p w14:paraId="77D3CC9A">
      <w:pPr>
        <w:pStyle w:val="20"/>
        <w:spacing w:before="0" w:beforeAutospacing="0" w:after="0" w:afterAutospacing="0" w:line="360" w:lineRule="auto"/>
        <w:ind w:firstLine="480"/>
        <w:rPr>
          <w:rFonts w:hint="eastAsia" w:ascii="宋体" w:hAnsi="宋体" w:eastAsia="宋体" w:cs="宋体"/>
          <w:color w:val="auto"/>
          <w:spacing w:val="7"/>
          <w:sz w:val="26"/>
          <w:szCs w:val="26"/>
          <w:highlight w:val="none"/>
        </w:rPr>
      </w:pPr>
      <w:r>
        <w:rPr>
          <w:rFonts w:hint="eastAsia" w:ascii="宋体" w:hAnsi="宋体" w:eastAsia="宋体" w:cs="宋体"/>
          <w:color w:val="auto"/>
          <w:spacing w:val="7"/>
          <w:highlight w:val="none"/>
        </w:rPr>
        <w:t>一、具备《中华人民共和国政府采购法》第二十二条第一款和本项目规定的条件：</w:t>
      </w:r>
    </w:p>
    <w:p w14:paraId="4CB2D2B9">
      <w:pPr>
        <w:pStyle w:val="20"/>
        <w:spacing w:before="0" w:beforeAutospacing="0" w:after="0" w:afterAutospacing="0" w:line="360" w:lineRule="auto"/>
        <w:ind w:firstLine="480"/>
        <w:rPr>
          <w:rFonts w:hint="eastAsia" w:ascii="宋体" w:hAnsi="宋体" w:eastAsia="宋体" w:cs="宋体"/>
          <w:color w:val="auto"/>
          <w:spacing w:val="7"/>
          <w:sz w:val="26"/>
          <w:szCs w:val="26"/>
          <w:highlight w:val="none"/>
        </w:rPr>
      </w:pPr>
      <w:r>
        <w:rPr>
          <w:rFonts w:hint="eastAsia" w:ascii="宋体" w:hAnsi="宋体" w:eastAsia="宋体" w:cs="宋体"/>
          <w:color w:val="auto"/>
          <w:spacing w:val="7"/>
          <w:highlight w:val="none"/>
        </w:rPr>
        <w:t>（一）具有独立承担民事责任的能力； 　　</w:t>
      </w:r>
    </w:p>
    <w:p w14:paraId="635D4654">
      <w:pPr>
        <w:pStyle w:val="20"/>
        <w:spacing w:before="0" w:beforeAutospacing="0" w:after="0" w:afterAutospacing="0" w:line="360" w:lineRule="auto"/>
        <w:ind w:firstLine="480"/>
        <w:rPr>
          <w:rFonts w:hint="eastAsia" w:ascii="宋体" w:hAnsi="宋体" w:eastAsia="宋体" w:cs="宋体"/>
          <w:color w:val="auto"/>
          <w:spacing w:val="7"/>
          <w:sz w:val="26"/>
          <w:szCs w:val="26"/>
          <w:highlight w:val="none"/>
        </w:rPr>
      </w:pPr>
      <w:r>
        <w:rPr>
          <w:rFonts w:hint="eastAsia" w:ascii="宋体" w:hAnsi="宋体" w:eastAsia="宋体" w:cs="宋体"/>
          <w:color w:val="auto"/>
          <w:spacing w:val="7"/>
          <w:highlight w:val="none"/>
        </w:rPr>
        <w:t>（二）具有良好的商业信誉和健全的财务会计制度； 　</w:t>
      </w:r>
    </w:p>
    <w:p w14:paraId="249A8049">
      <w:pPr>
        <w:pStyle w:val="20"/>
        <w:spacing w:before="0" w:beforeAutospacing="0" w:after="0" w:afterAutospacing="0" w:line="360" w:lineRule="auto"/>
        <w:ind w:firstLine="480"/>
        <w:rPr>
          <w:rFonts w:hint="eastAsia" w:ascii="宋体" w:hAnsi="宋体" w:eastAsia="宋体" w:cs="宋体"/>
          <w:color w:val="auto"/>
          <w:spacing w:val="7"/>
          <w:sz w:val="26"/>
          <w:szCs w:val="26"/>
          <w:highlight w:val="none"/>
        </w:rPr>
      </w:pPr>
      <w:r>
        <w:rPr>
          <w:rFonts w:hint="eastAsia" w:ascii="宋体" w:hAnsi="宋体" w:eastAsia="宋体" w:cs="宋体"/>
          <w:color w:val="auto"/>
          <w:spacing w:val="7"/>
          <w:highlight w:val="none"/>
        </w:rPr>
        <w:t>（三）具有履行合同所必需的设备和专业技术能力； 　　</w:t>
      </w:r>
    </w:p>
    <w:p w14:paraId="47E76F9C">
      <w:pPr>
        <w:pStyle w:val="20"/>
        <w:spacing w:before="0" w:beforeAutospacing="0" w:after="0" w:afterAutospacing="0" w:line="360" w:lineRule="auto"/>
        <w:ind w:firstLine="480"/>
        <w:rPr>
          <w:rFonts w:hint="eastAsia" w:ascii="宋体" w:hAnsi="宋体" w:eastAsia="宋体" w:cs="宋体"/>
          <w:color w:val="auto"/>
          <w:spacing w:val="7"/>
          <w:sz w:val="26"/>
          <w:szCs w:val="26"/>
          <w:highlight w:val="none"/>
        </w:rPr>
      </w:pPr>
      <w:r>
        <w:rPr>
          <w:rFonts w:hint="eastAsia" w:ascii="宋体" w:hAnsi="宋体" w:eastAsia="宋体" w:cs="宋体"/>
          <w:color w:val="auto"/>
          <w:spacing w:val="7"/>
          <w:highlight w:val="none"/>
        </w:rPr>
        <w:t>（四）有依法缴纳税收和社会保障资金的良好记录； 　　</w:t>
      </w:r>
    </w:p>
    <w:p w14:paraId="7FAB5D1E">
      <w:pPr>
        <w:pStyle w:val="20"/>
        <w:spacing w:before="0" w:beforeAutospacing="0" w:after="0" w:afterAutospacing="0" w:line="360" w:lineRule="auto"/>
        <w:ind w:firstLine="480"/>
        <w:rPr>
          <w:rFonts w:hint="eastAsia" w:ascii="宋体" w:hAnsi="宋体" w:eastAsia="宋体" w:cs="宋体"/>
          <w:color w:val="auto"/>
          <w:spacing w:val="7"/>
          <w:sz w:val="26"/>
          <w:szCs w:val="26"/>
          <w:highlight w:val="none"/>
        </w:rPr>
      </w:pPr>
      <w:r>
        <w:rPr>
          <w:rFonts w:hint="eastAsia" w:ascii="宋体" w:hAnsi="宋体" w:eastAsia="宋体" w:cs="宋体"/>
          <w:color w:val="auto"/>
          <w:spacing w:val="7"/>
          <w:highlight w:val="none"/>
        </w:rPr>
        <w:t>（五）参加政府采购活动前三年内，在经营活动中没有重大违法记录；</w:t>
      </w:r>
    </w:p>
    <w:p w14:paraId="1C1C51E1">
      <w:pPr>
        <w:pStyle w:val="20"/>
        <w:spacing w:before="0" w:beforeAutospacing="0" w:after="0" w:afterAutospacing="0" w:line="360" w:lineRule="auto"/>
        <w:ind w:firstLine="480"/>
        <w:rPr>
          <w:rFonts w:hint="eastAsia" w:ascii="宋体" w:hAnsi="宋体" w:eastAsia="宋体" w:cs="宋体"/>
          <w:color w:val="auto"/>
          <w:spacing w:val="7"/>
          <w:sz w:val="26"/>
          <w:szCs w:val="26"/>
          <w:highlight w:val="none"/>
        </w:rPr>
      </w:pPr>
      <w:r>
        <w:rPr>
          <w:rFonts w:hint="eastAsia" w:ascii="宋体" w:hAnsi="宋体" w:eastAsia="宋体" w:cs="宋体"/>
          <w:color w:val="auto"/>
          <w:spacing w:val="7"/>
          <w:highlight w:val="none"/>
        </w:rPr>
        <w:t>（六）法律、行政法规规定的其他条件；</w:t>
      </w:r>
    </w:p>
    <w:p w14:paraId="6179EBCC">
      <w:pPr>
        <w:pStyle w:val="20"/>
        <w:spacing w:before="0" w:beforeAutospacing="0" w:after="0" w:afterAutospacing="0" w:line="360" w:lineRule="auto"/>
        <w:ind w:firstLine="480"/>
        <w:rPr>
          <w:rFonts w:hint="eastAsia" w:ascii="宋体" w:hAnsi="宋体" w:eastAsia="宋体" w:cs="宋体"/>
          <w:color w:val="auto"/>
          <w:spacing w:val="7"/>
          <w:sz w:val="26"/>
          <w:szCs w:val="26"/>
          <w:highlight w:val="none"/>
        </w:rPr>
      </w:pPr>
      <w:r>
        <w:rPr>
          <w:rFonts w:hint="eastAsia" w:ascii="宋体" w:hAnsi="宋体" w:eastAsia="宋体" w:cs="宋体"/>
          <w:color w:val="auto"/>
          <w:spacing w:val="7"/>
          <w:highlight w:val="none"/>
        </w:rPr>
        <w:t>（七）根据采购项目提出与项目相关的其他资格要求。</w:t>
      </w:r>
    </w:p>
    <w:p w14:paraId="3631EFEB">
      <w:pPr>
        <w:pStyle w:val="20"/>
        <w:spacing w:before="0" w:beforeAutospacing="0" w:after="0" w:afterAutospacing="0" w:line="360" w:lineRule="auto"/>
        <w:ind w:firstLine="480"/>
        <w:rPr>
          <w:rFonts w:hint="eastAsia" w:ascii="宋体" w:hAnsi="宋体" w:eastAsia="宋体" w:cs="宋体"/>
          <w:color w:val="auto"/>
          <w:spacing w:val="7"/>
          <w:sz w:val="26"/>
          <w:szCs w:val="26"/>
          <w:highlight w:val="none"/>
        </w:rPr>
      </w:pPr>
      <w:r>
        <w:rPr>
          <w:rFonts w:hint="eastAsia" w:ascii="宋体" w:hAnsi="宋体" w:eastAsia="宋体" w:cs="宋体"/>
          <w:color w:val="auto"/>
          <w:spacing w:val="7"/>
          <w:highlight w:val="none"/>
        </w:rPr>
        <w:t>二、完全接受和满足本项目招标文件中规定的实质性要求，不存在对招标文件有异议的同时又参加投标以求侥幸中标或者为实现其他非法目的的行为。</w:t>
      </w:r>
    </w:p>
    <w:p w14:paraId="2B28B696">
      <w:pPr>
        <w:pStyle w:val="20"/>
        <w:spacing w:before="0" w:beforeAutospacing="0" w:after="0" w:afterAutospacing="0" w:line="360" w:lineRule="auto"/>
        <w:ind w:firstLine="480"/>
        <w:rPr>
          <w:rFonts w:hint="eastAsia" w:ascii="宋体" w:hAnsi="宋体" w:eastAsia="宋体" w:cs="宋体"/>
          <w:color w:val="auto"/>
          <w:spacing w:val="7"/>
          <w:sz w:val="26"/>
          <w:szCs w:val="26"/>
          <w:highlight w:val="none"/>
        </w:rPr>
      </w:pPr>
      <w:r>
        <w:rPr>
          <w:rFonts w:hint="eastAsia" w:ascii="宋体" w:hAnsi="宋体" w:eastAsia="宋体" w:cs="宋体"/>
          <w:color w:val="auto"/>
          <w:spacing w:val="7"/>
          <w:highlight w:val="none"/>
        </w:rPr>
        <w:t>三、参加本次招标采购活动，不存在为采购项目提供整体设计、规范编制或者项目管理、监理、检测等服务的行为。</w:t>
      </w:r>
    </w:p>
    <w:p w14:paraId="2229DD72">
      <w:pPr>
        <w:pStyle w:val="20"/>
        <w:spacing w:before="0" w:beforeAutospacing="0" w:after="0" w:afterAutospacing="0" w:line="360" w:lineRule="auto"/>
        <w:ind w:firstLine="480"/>
        <w:rPr>
          <w:rFonts w:hint="eastAsia" w:ascii="宋体" w:hAnsi="宋体" w:eastAsia="宋体" w:cs="宋体"/>
          <w:color w:val="auto"/>
          <w:spacing w:val="7"/>
          <w:sz w:val="26"/>
          <w:szCs w:val="26"/>
          <w:highlight w:val="none"/>
        </w:rPr>
      </w:pPr>
      <w:r>
        <w:rPr>
          <w:rFonts w:hint="eastAsia" w:ascii="宋体" w:hAnsi="宋体" w:eastAsia="宋体" w:cs="宋体"/>
          <w:color w:val="auto"/>
          <w:spacing w:val="7"/>
          <w:highlight w:val="none"/>
        </w:rPr>
        <w:t>四、参加本次招标采购活动，不存在和其他</w:t>
      </w:r>
      <w:r>
        <w:rPr>
          <w:rFonts w:hint="eastAsia" w:cs="宋体"/>
          <w:color w:val="auto"/>
          <w:spacing w:val="7"/>
          <w:highlight w:val="none"/>
          <w:lang w:eastAsia="zh-CN"/>
        </w:rPr>
        <w:t>供应商</w:t>
      </w:r>
      <w:r>
        <w:rPr>
          <w:rFonts w:hint="eastAsia" w:ascii="宋体" w:hAnsi="宋体" w:eastAsia="宋体" w:cs="宋体"/>
          <w:color w:val="auto"/>
          <w:spacing w:val="7"/>
          <w:highlight w:val="none"/>
        </w:rPr>
        <w:t>在同一合同项下的采购项目中，同时委托同一个自然人、同一家庭的人员、同一单位的人员作为代理人的行为。</w:t>
      </w:r>
    </w:p>
    <w:p w14:paraId="67D36C95">
      <w:pPr>
        <w:pStyle w:val="20"/>
        <w:spacing w:before="0" w:beforeAutospacing="0" w:after="0" w:afterAutospacing="0" w:line="360" w:lineRule="auto"/>
        <w:ind w:firstLine="480"/>
        <w:rPr>
          <w:rFonts w:hint="eastAsia" w:ascii="宋体" w:hAnsi="宋体" w:eastAsia="宋体" w:cs="宋体"/>
          <w:color w:val="auto"/>
          <w:spacing w:val="7"/>
          <w:sz w:val="26"/>
          <w:szCs w:val="26"/>
          <w:highlight w:val="none"/>
        </w:rPr>
      </w:pPr>
      <w:r>
        <w:rPr>
          <w:rFonts w:hint="eastAsia" w:ascii="宋体" w:hAnsi="宋体" w:eastAsia="宋体" w:cs="宋体"/>
          <w:color w:val="auto"/>
          <w:spacing w:val="7"/>
          <w:highlight w:val="none"/>
        </w:rPr>
        <w:t>五、</w:t>
      </w:r>
      <w:r>
        <w:rPr>
          <w:rFonts w:hint="eastAsia" w:cs="宋体"/>
          <w:color w:val="auto"/>
          <w:spacing w:val="7"/>
          <w:highlight w:val="none"/>
          <w:lang w:eastAsia="zh-CN"/>
        </w:rPr>
        <w:t>供应商</w:t>
      </w:r>
      <w:r>
        <w:rPr>
          <w:rFonts w:hint="eastAsia" w:ascii="宋体" w:hAnsi="宋体" w:eastAsia="宋体" w:cs="宋体"/>
          <w:color w:val="auto"/>
          <w:spacing w:val="7"/>
          <w:highlight w:val="none"/>
        </w:rPr>
        <w:t>参加本次政府采购活动要求在近三年内</w:t>
      </w:r>
      <w:r>
        <w:rPr>
          <w:rFonts w:hint="eastAsia" w:cs="宋体"/>
          <w:color w:val="auto"/>
          <w:spacing w:val="7"/>
          <w:highlight w:val="none"/>
          <w:lang w:eastAsia="zh-CN"/>
        </w:rPr>
        <w:t>供应商</w:t>
      </w:r>
      <w:r>
        <w:rPr>
          <w:rFonts w:hint="eastAsia" w:ascii="宋体" w:hAnsi="宋体" w:eastAsia="宋体" w:cs="宋体"/>
          <w:color w:val="auto"/>
          <w:spacing w:val="7"/>
          <w:highlight w:val="none"/>
        </w:rPr>
        <w:t>和其法定代表人没有行贿犯罪行为。</w:t>
      </w:r>
    </w:p>
    <w:p w14:paraId="18892E1A">
      <w:pPr>
        <w:pStyle w:val="20"/>
        <w:spacing w:before="0" w:beforeAutospacing="0" w:after="0" w:afterAutospacing="0" w:line="360" w:lineRule="auto"/>
        <w:ind w:firstLine="480"/>
        <w:rPr>
          <w:rFonts w:hint="eastAsia" w:ascii="宋体" w:hAnsi="宋体" w:eastAsia="宋体" w:cs="宋体"/>
          <w:color w:val="auto"/>
          <w:spacing w:val="7"/>
          <w:sz w:val="26"/>
          <w:szCs w:val="26"/>
          <w:highlight w:val="none"/>
        </w:rPr>
      </w:pPr>
      <w:r>
        <w:rPr>
          <w:rFonts w:hint="eastAsia" w:ascii="宋体" w:hAnsi="宋体" w:eastAsia="宋体" w:cs="宋体"/>
          <w:color w:val="auto"/>
          <w:spacing w:val="7"/>
          <w:highlight w:val="none"/>
        </w:rPr>
        <w:t>六、参加本次招标采购活动，不存在联合体投标。</w:t>
      </w:r>
    </w:p>
    <w:p w14:paraId="67275D67">
      <w:pPr>
        <w:pStyle w:val="20"/>
        <w:spacing w:before="0" w:beforeAutospacing="0" w:after="0" w:afterAutospacing="0" w:line="360" w:lineRule="auto"/>
        <w:ind w:firstLine="480"/>
        <w:rPr>
          <w:rFonts w:hint="eastAsia" w:ascii="宋体" w:hAnsi="宋体" w:eastAsia="宋体" w:cs="宋体"/>
          <w:color w:val="auto"/>
          <w:spacing w:val="7"/>
          <w:sz w:val="26"/>
          <w:szCs w:val="26"/>
          <w:highlight w:val="none"/>
        </w:rPr>
      </w:pPr>
      <w:r>
        <w:rPr>
          <w:rFonts w:hint="eastAsia" w:ascii="宋体" w:hAnsi="宋体" w:eastAsia="宋体" w:cs="宋体"/>
          <w:color w:val="auto"/>
          <w:spacing w:val="7"/>
          <w:highlight w:val="none"/>
        </w:rPr>
        <w:t>七、投标文件中提供的任何材料资料和技术、服务、商务等响应承诺情况都必须是真实的、有效的、合法的。</w:t>
      </w:r>
    </w:p>
    <w:p w14:paraId="5FCC6AEE">
      <w:pPr>
        <w:pStyle w:val="20"/>
        <w:spacing w:before="0" w:beforeAutospacing="0" w:after="0" w:afterAutospacing="0" w:line="360" w:lineRule="auto"/>
        <w:jc w:val="both"/>
        <w:rPr>
          <w:rFonts w:hint="eastAsia" w:ascii="宋体" w:hAnsi="宋体" w:eastAsia="宋体" w:cs="宋体"/>
          <w:color w:val="auto"/>
          <w:spacing w:val="7"/>
          <w:sz w:val="26"/>
          <w:szCs w:val="26"/>
          <w:highlight w:val="none"/>
        </w:rPr>
      </w:pPr>
      <w:r>
        <w:rPr>
          <w:rFonts w:hint="eastAsia" w:ascii="宋体" w:hAnsi="宋体" w:eastAsia="宋体" w:cs="宋体"/>
          <w:color w:val="auto"/>
          <w:spacing w:val="7"/>
          <w:highlight w:val="none"/>
        </w:rPr>
        <w:t>   八、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14:paraId="16B4CA5F">
      <w:pPr>
        <w:pStyle w:val="20"/>
        <w:spacing w:before="0" w:beforeAutospacing="0" w:after="0" w:afterAutospacing="0" w:line="360" w:lineRule="auto"/>
        <w:jc w:val="both"/>
        <w:rPr>
          <w:rFonts w:hint="eastAsia" w:ascii="宋体" w:hAnsi="宋体" w:eastAsia="宋体" w:cs="宋体"/>
          <w:color w:val="auto"/>
          <w:spacing w:val="7"/>
          <w:sz w:val="26"/>
          <w:szCs w:val="26"/>
          <w:highlight w:val="none"/>
        </w:rPr>
      </w:pPr>
      <w:r>
        <w:rPr>
          <w:rFonts w:hint="eastAsia" w:ascii="宋体" w:hAnsi="宋体" w:eastAsia="宋体" w:cs="宋体"/>
          <w:color w:val="auto"/>
          <w:spacing w:val="7"/>
          <w:highlight w:val="none"/>
        </w:rPr>
        <w:t>    九、存在以下行为之一的愿意接受相关部门的处理：</w:t>
      </w:r>
    </w:p>
    <w:p w14:paraId="688796A6">
      <w:pPr>
        <w:pStyle w:val="20"/>
        <w:spacing w:before="0" w:beforeAutospacing="0" w:after="0" w:afterAutospacing="0" w:line="360" w:lineRule="auto"/>
        <w:jc w:val="both"/>
        <w:rPr>
          <w:rFonts w:hint="eastAsia" w:ascii="宋体" w:hAnsi="宋体" w:eastAsia="宋体" w:cs="宋体"/>
          <w:color w:val="auto"/>
          <w:spacing w:val="7"/>
          <w:sz w:val="26"/>
          <w:szCs w:val="26"/>
          <w:highlight w:val="none"/>
        </w:rPr>
      </w:pPr>
      <w:r>
        <w:rPr>
          <w:rFonts w:hint="eastAsia" w:ascii="宋体" w:hAnsi="宋体" w:eastAsia="宋体" w:cs="宋体"/>
          <w:color w:val="auto"/>
          <w:spacing w:val="7"/>
          <w:highlight w:val="none"/>
        </w:rPr>
        <w:t>   （一）投标有效期内撤销投标文件的；</w:t>
      </w:r>
    </w:p>
    <w:p w14:paraId="3168C57F">
      <w:pPr>
        <w:pStyle w:val="20"/>
        <w:spacing w:before="0" w:beforeAutospacing="0" w:after="0" w:afterAutospacing="0" w:line="360" w:lineRule="auto"/>
        <w:jc w:val="both"/>
        <w:rPr>
          <w:rFonts w:hint="eastAsia" w:ascii="宋体" w:hAnsi="宋体" w:eastAsia="宋体" w:cs="宋体"/>
          <w:color w:val="auto"/>
          <w:spacing w:val="7"/>
          <w:sz w:val="26"/>
          <w:szCs w:val="26"/>
          <w:highlight w:val="none"/>
        </w:rPr>
      </w:pPr>
      <w:r>
        <w:rPr>
          <w:rFonts w:hint="eastAsia" w:ascii="宋体" w:hAnsi="宋体" w:eastAsia="宋体" w:cs="宋体"/>
          <w:color w:val="auto"/>
          <w:spacing w:val="7"/>
          <w:highlight w:val="none"/>
        </w:rPr>
        <w:t>   （二）在采购人确定中标人以前放弃中标候选资格的；</w:t>
      </w:r>
    </w:p>
    <w:p w14:paraId="41DB19FF">
      <w:pPr>
        <w:pStyle w:val="20"/>
        <w:spacing w:before="0" w:beforeAutospacing="0" w:after="0" w:afterAutospacing="0" w:line="360" w:lineRule="auto"/>
        <w:jc w:val="both"/>
        <w:rPr>
          <w:rFonts w:hint="eastAsia" w:ascii="宋体" w:hAnsi="宋体" w:eastAsia="宋体" w:cs="宋体"/>
          <w:color w:val="auto"/>
          <w:spacing w:val="7"/>
          <w:sz w:val="26"/>
          <w:szCs w:val="26"/>
          <w:highlight w:val="none"/>
        </w:rPr>
      </w:pPr>
      <w:r>
        <w:rPr>
          <w:rFonts w:hint="eastAsia" w:ascii="宋体" w:hAnsi="宋体" w:eastAsia="宋体" w:cs="宋体"/>
          <w:color w:val="auto"/>
          <w:spacing w:val="7"/>
          <w:highlight w:val="none"/>
        </w:rPr>
        <w:t>   （三）由于中标人的原因未能按照招标文件的规定与采购人签订合同；</w:t>
      </w:r>
    </w:p>
    <w:p w14:paraId="62654179">
      <w:pPr>
        <w:pStyle w:val="20"/>
        <w:spacing w:before="0" w:beforeAutospacing="0" w:after="0" w:afterAutospacing="0" w:line="360" w:lineRule="auto"/>
        <w:jc w:val="both"/>
        <w:rPr>
          <w:rFonts w:hint="eastAsia" w:ascii="宋体" w:hAnsi="宋体" w:eastAsia="宋体" w:cs="宋体"/>
          <w:color w:val="auto"/>
          <w:spacing w:val="7"/>
          <w:sz w:val="26"/>
          <w:szCs w:val="26"/>
          <w:highlight w:val="none"/>
        </w:rPr>
      </w:pPr>
      <w:r>
        <w:rPr>
          <w:rFonts w:hint="eastAsia" w:ascii="宋体" w:hAnsi="宋体" w:eastAsia="宋体" w:cs="宋体"/>
          <w:color w:val="auto"/>
          <w:spacing w:val="7"/>
          <w:highlight w:val="none"/>
        </w:rPr>
        <w:t>   （四）由于中标人的原因未能按照招标文件的规定缴纳履约保证金；</w:t>
      </w:r>
    </w:p>
    <w:p w14:paraId="023CD386">
      <w:pPr>
        <w:pStyle w:val="20"/>
        <w:spacing w:before="0" w:beforeAutospacing="0" w:after="0" w:afterAutospacing="0" w:line="360" w:lineRule="auto"/>
        <w:jc w:val="both"/>
        <w:rPr>
          <w:rFonts w:hint="eastAsia" w:ascii="宋体" w:hAnsi="宋体" w:eastAsia="宋体" w:cs="宋体"/>
          <w:color w:val="auto"/>
          <w:spacing w:val="7"/>
          <w:sz w:val="26"/>
          <w:szCs w:val="26"/>
          <w:highlight w:val="none"/>
        </w:rPr>
      </w:pPr>
      <w:r>
        <w:rPr>
          <w:rFonts w:hint="eastAsia" w:ascii="宋体" w:hAnsi="宋体" w:eastAsia="宋体" w:cs="宋体"/>
          <w:color w:val="auto"/>
          <w:spacing w:val="7"/>
          <w:highlight w:val="none"/>
        </w:rPr>
        <w:t>   （五）在投标文件中提供虚假材料谋取中标；</w:t>
      </w:r>
    </w:p>
    <w:p w14:paraId="1B7D26F0">
      <w:pPr>
        <w:pStyle w:val="20"/>
        <w:spacing w:before="0" w:beforeAutospacing="0" w:after="0" w:afterAutospacing="0" w:line="360" w:lineRule="auto"/>
        <w:jc w:val="both"/>
        <w:rPr>
          <w:rFonts w:hint="eastAsia" w:ascii="宋体" w:hAnsi="宋体" w:eastAsia="宋体" w:cs="宋体"/>
          <w:color w:val="auto"/>
          <w:spacing w:val="7"/>
          <w:sz w:val="26"/>
          <w:szCs w:val="26"/>
          <w:highlight w:val="none"/>
        </w:rPr>
      </w:pPr>
      <w:r>
        <w:rPr>
          <w:rFonts w:hint="eastAsia" w:ascii="宋体" w:hAnsi="宋体" w:eastAsia="宋体" w:cs="宋体"/>
          <w:color w:val="auto"/>
          <w:spacing w:val="7"/>
          <w:highlight w:val="none"/>
        </w:rPr>
        <w:t>   （六）与采购人、其他</w:t>
      </w:r>
      <w:r>
        <w:rPr>
          <w:rFonts w:hint="eastAsia" w:cs="宋体"/>
          <w:color w:val="auto"/>
          <w:spacing w:val="7"/>
          <w:highlight w:val="none"/>
          <w:lang w:eastAsia="zh-CN"/>
        </w:rPr>
        <w:t>供应商</w:t>
      </w:r>
      <w:r>
        <w:rPr>
          <w:rFonts w:hint="eastAsia" w:ascii="宋体" w:hAnsi="宋体" w:eastAsia="宋体" w:cs="宋体"/>
          <w:color w:val="auto"/>
          <w:spacing w:val="7"/>
          <w:highlight w:val="none"/>
        </w:rPr>
        <w:t>或者采购代理机构恶意串通的；</w:t>
      </w:r>
    </w:p>
    <w:p w14:paraId="23F5E6E0">
      <w:pPr>
        <w:pStyle w:val="20"/>
        <w:spacing w:before="0" w:beforeAutospacing="0" w:after="0" w:afterAutospacing="0" w:line="360" w:lineRule="auto"/>
        <w:jc w:val="both"/>
        <w:rPr>
          <w:rFonts w:hint="eastAsia" w:ascii="宋体" w:hAnsi="宋体" w:eastAsia="宋体" w:cs="宋体"/>
          <w:color w:val="auto"/>
          <w:spacing w:val="7"/>
          <w:sz w:val="26"/>
          <w:szCs w:val="26"/>
          <w:highlight w:val="none"/>
        </w:rPr>
      </w:pPr>
      <w:r>
        <w:rPr>
          <w:rFonts w:hint="eastAsia" w:ascii="宋体" w:hAnsi="宋体" w:eastAsia="宋体" w:cs="宋体"/>
          <w:color w:val="auto"/>
          <w:spacing w:val="7"/>
          <w:highlight w:val="none"/>
        </w:rPr>
        <w:t>   （七）投标有效期内，</w:t>
      </w:r>
      <w:r>
        <w:rPr>
          <w:rFonts w:hint="eastAsia" w:cs="宋体"/>
          <w:color w:val="auto"/>
          <w:spacing w:val="7"/>
          <w:highlight w:val="none"/>
          <w:lang w:eastAsia="zh-CN"/>
        </w:rPr>
        <w:t>供应商</w:t>
      </w:r>
      <w:r>
        <w:rPr>
          <w:rFonts w:hint="eastAsia" w:ascii="宋体" w:hAnsi="宋体" w:eastAsia="宋体" w:cs="宋体"/>
          <w:color w:val="auto"/>
          <w:spacing w:val="7"/>
          <w:highlight w:val="none"/>
        </w:rPr>
        <w:t>在政府采购活动中有违法、违规、违纪行为。</w:t>
      </w:r>
    </w:p>
    <w:p w14:paraId="701F4A93">
      <w:pPr>
        <w:pStyle w:val="20"/>
        <w:spacing w:before="0" w:beforeAutospacing="0" w:after="0" w:afterAutospacing="0" w:line="360" w:lineRule="auto"/>
        <w:jc w:val="both"/>
        <w:rPr>
          <w:rFonts w:hint="eastAsia" w:ascii="宋体" w:hAnsi="宋体" w:eastAsia="宋体" w:cs="宋体"/>
          <w:color w:val="auto"/>
          <w:spacing w:val="7"/>
          <w:sz w:val="26"/>
          <w:szCs w:val="26"/>
          <w:highlight w:val="none"/>
        </w:rPr>
      </w:pPr>
      <w:r>
        <w:rPr>
          <w:rFonts w:hint="eastAsia" w:ascii="宋体" w:hAnsi="宋体" w:eastAsia="宋体" w:cs="宋体"/>
          <w:color w:val="auto"/>
          <w:spacing w:val="7"/>
          <w:highlight w:val="none"/>
        </w:rPr>
        <w:t> 由此产生的一切法律后果和责任由我公司承担。我公司声明放弃对此提出任何异议和追索的权利。</w:t>
      </w:r>
    </w:p>
    <w:p w14:paraId="3CBCEE86">
      <w:pPr>
        <w:pStyle w:val="20"/>
        <w:spacing w:before="0" w:beforeAutospacing="0" w:after="0" w:afterAutospacing="0" w:line="360" w:lineRule="auto"/>
        <w:ind w:firstLine="690"/>
        <w:jc w:val="both"/>
        <w:rPr>
          <w:rFonts w:hint="eastAsia" w:ascii="宋体" w:hAnsi="宋体" w:eastAsia="宋体" w:cs="宋体"/>
          <w:color w:val="auto"/>
          <w:spacing w:val="7"/>
          <w:sz w:val="26"/>
          <w:szCs w:val="26"/>
          <w:highlight w:val="none"/>
        </w:rPr>
      </w:pPr>
      <w:r>
        <w:rPr>
          <w:rFonts w:hint="eastAsia" w:ascii="宋体" w:hAnsi="宋体" w:eastAsia="宋体" w:cs="宋体"/>
          <w:color w:val="auto"/>
          <w:spacing w:val="7"/>
          <w:highlight w:val="none"/>
        </w:rPr>
        <w:t>本公司对上述承诺的内容事项真实性负责。如经查实上述承诺的内容事项存在虚假，我公司愿意接受以提供虚假材料谋取中标追究法律责任。</w:t>
      </w:r>
    </w:p>
    <w:p w14:paraId="6F97097F">
      <w:pPr>
        <w:pStyle w:val="20"/>
        <w:spacing w:before="0" w:beforeAutospacing="0" w:after="0" w:afterAutospacing="0" w:line="360" w:lineRule="auto"/>
        <w:rPr>
          <w:rFonts w:hint="eastAsia" w:ascii="宋体" w:hAnsi="宋体" w:eastAsia="宋体" w:cs="宋体"/>
          <w:color w:val="auto"/>
          <w:spacing w:val="7"/>
          <w:sz w:val="26"/>
          <w:szCs w:val="26"/>
          <w:highlight w:val="none"/>
        </w:rPr>
      </w:pPr>
      <w:r>
        <w:rPr>
          <w:rFonts w:hint="eastAsia" w:ascii="宋体" w:hAnsi="宋体" w:eastAsia="宋体" w:cs="宋体"/>
          <w:color w:val="auto"/>
          <w:spacing w:val="7"/>
          <w:highlight w:val="none"/>
        </w:rPr>
        <w:t>       </w:t>
      </w:r>
    </w:p>
    <w:p w14:paraId="4F5D8514">
      <w:pPr>
        <w:spacing w:line="360" w:lineRule="auto"/>
        <w:rPr>
          <w:rFonts w:hint="eastAsia" w:ascii="宋体" w:hAnsi="宋体" w:eastAsia="宋体" w:cs="宋体"/>
          <w:color w:val="auto"/>
          <w:sz w:val="24"/>
          <w:szCs w:val="24"/>
          <w:highlight w:val="none"/>
        </w:rPr>
      </w:pPr>
    </w:p>
    <w:p w14:paraId="0745A68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（加盖公章）： </w:t>
      </w:r>
    </w:p>
    <w:p w14:paraId="29542C0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0DCFD1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highlight w:val="none"/>
        </w:rPr>
        <w:t>签字或盖章</w:t>
      </w:r>
      <w:r>
        <w:rPr>
          <w:rFonts w:hint="eastAsia" w:ascii="宋体" w:hAnsi="宋体" w:eastAsia="宋体" w:cs="宋体"/>
          <w:color w:val="auto"/>
          <w:sz w:val="24"/>
          <w:szCs w:val="24"/>
          <w:highlight w:val="none"/>
        </w:rPr>
        <w:t xml:space="preserve">）： </w:t>
      </w:r>
    </w:p>
    <w:p w14:paraId="62958CF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2129C6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5928AB48">
      <w:pPr>
        <w:pStyle w:val="20"/>
        <w:spacing w:before="0" w:beforeAutospacing="0" w:after="0" w:afterAutospacing="0" w:line="360" w:lineRule="auto"/>
        <w:ind w:firstLine="480"/>
        <w:jc w:val="both"/>
        <w:rPr>
          <w:rFonts w:hint="eastAsia" w:ascii="宋体" w:hAnsi="宋体" w:eastAsia="宋体" w:cs="宋体"/>
          <w:color w:val="auto"/>
          <w:spacing w:val="7"/>
          <w:sz w:val="26"/>
          <w:szCs w:val="26"/>
          <w:highlight w:val="none"/>
        </w:rPr>
      </w:pPr>
      <w:r>
        <w:rPr>
          <w:rFonts w:hint="eastAsia" w:ascii="宋体" w:hAnsi="宋体" w:eastAsia="宋体" w:cs="宋体"/>
          <w:color w:val="auto"/>
          <w:spacing w:val="7"/>
          <w:highlight w:val="none"/>
        </w:rPr>
        <w:t>             </w:t>
      </w:r>
    </w:p>
    <w:p w14:paraId="7984D238">
      <w:pPr>
        <w:pStyle w:val="20"/>
        <w:spacing w:before="0" w:beforeAutospacing="0" w:after="0" w:afterAutospacing="0" w:line="360" w:lineRule="auto"/>
        <w:ind w:firstLine="495"/>
        <w:jc w:val="both"/>
        <w:rPr>
          <w:rFonts w:hint="eastAsia" w:ascii="宋体" w:hAnsi="宋体" w:eastAsia="宋体" w:cs="宋体"/>
          <w:color w:val="auto"/>
          <w:spacing w:val="7"/>
          <w:sz w:val="26"/>
          <w:szCs w:val="26"/>
          <w:highlight w:val="none"/>
        </w:rPr>
      </w:pPr>
      <w:r>
        <w:rPr>
          <w:rFonts w:hint="eastAsia" w:ascii="宋体" w:hAnsi="宋体" w:eastAsia="宋体" w:cs="宋体"/>
          <w:color w:val="auto"/>
          <w:highlight w:val="none"/>
        </w:rPr>
        <w:t> </w:t>
      </w:r>
    </w:p>
    <w:p w14:paraId="1486DCE7">
      <w:pPr>
        <w:rPr>
          <w:rFonts w:hint="eastAsia" w:ascii="宋体" w:hAnsi="宋体" w:eastAsia="宋体" w:cs="宋体"/>
          <w:color w:val="auto"/>
          <w:highlight w:val="none"/>
        </w:rPr>
      </w:pPr>
    </w:p>
    <w:p w14:paraId="57E3DBB2">
      <w:pPr>
        <w:widowControl/>
        <w:jc w:val="left"/>
        <w:rPr>
          <w:rFonts w:hint="eastAsia" w:ascii="宋体" w:hAnsi="宋体" w:eastAsia="宋体" w:cs="宋体"/>
          <w:b/>
          <w:color w:val="auto"/>
          <w:highlight w:val="none"/>
        </w:rPr>
      </w:pPr>
      <w:r>
        <w:rPr>
          <w:rFonts w:hint="eastAsia" w:ascii="宋体" w:hAnsi="宋体" w:eastAsia="宋体" w:cs="宋体"/>
          <w:b/>
          <w:color w:val="auto"/>
          <w:highlight w:val="none"/>
        </w:rPr>
        <w:br w:type="page"/>
      </w:r>
      <w:bookmarkStart w:id="349" w:name="_Toc8281"/>
    </w:p>
    <w:p w14:paraId="6DF4EF89">
      <w:pPr>
        <w:widowControl/>
        <w:jc w:val="left"/>
        <w:rPr>
          <w:rFonts w:hint="eastAsia" w:ascii="宋体" w:hAnsi="宋体" w:eastAsia="宋体" w:cs="宋体"/>
          <w:b/>
          <w:color w:val="auto"/>
          <w:highlight w:val="none"/>
        </w:rPr>
      </w:pPr>
    </w:p>
    <w:p w14:paraId="1A5CBD3B">
      <w:pPr>
        <w:widowControl/>
        <w:jc w:val="center"/>
        <w:rPr>
          <w:rFonts w:hint="eastAsia" w:ascii="宋体" w:hAnsi="宋体" w:eastAsia="宋体" w:cs="宋体"/>
          <w:color w:val="auto"/>
          <w:sz w:val="28"/>
          <w:highlight w:val="none"/>
        </w:rPr>
      </w:pPr>
      <w:r>
        <w:rPr>
          <w:rFonts w:hint="eastAsia" w:ascii="宋体" w:hAnsi="宋体" w:eastAsia="宋体" w:cs="宋体"/>
          <w:b/>
          <w:bCs/>
          <w:color w:val="auto"/>
          <w:sz w:val="24"/>
          <w:szCs w:val="28"/>
          <w:highlight w:val="none"/>
        </w:rPr>
        <w:t>2、反商业贿赂承诺书</w:t>
      </w:r>
      <w:bookmarkEnd w:id="349"/>
    </w:p>
    <w:p w14:paraId="0DB484C5">
      <w:pPr>
        <w:spacing w:line="6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我公司承诺：</w:t>
      </w:r>
    </w:p>
    <w:p w14:paraId="64CB3766">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在本次采购活动中，我公司保证做到：</w:t>
      </w:r>
    </w:p>
    <w:p w14:paraId="24D09427">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一、公平竞争参加本次采购活动。</w:t>
      </w:r>
    </w:p>
    <w:p w14:paraId="2380DAE5">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76A2EDB">
      <w:pPr>
        <w:spacing w:line="6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三、若出现上述行为，我公司及参与采购的工作人员愿意接受按照国家法律法规等有关规定给予的处罚。</w:t>
      </w:r>
    </w:p>
    <w:p w14:paraId="41655689">
      <w:pPr>
        <w:spacing w:line="600" w:lineRule="exact"/>
        <w:rPr>
          <w:rFonts w:hint="eastAsia" w:ascii="宋体" w:hAnsi="宋体" w:eastAsia="宋体" w:cs="宋体"/>
          <w:color w:val="auto"/>
          <w:sz w:val="24"/>
          <w:highlight w:val="none"/>
        </w:rPr>
      </w:pPr>
    </w:p>
    <w:p w14:paraId="76E2BEDB">
      <w:pPr>
        <w:spacing w:line="600" w:lineRule="exact"/>
        <w:rPr>
          <w:rFonts w:hint="eastAsia" w:ascii="宋体" w:hAnsi="宋体" w:eastAsia="宋体" w:cs="宋体"/>
          <w:color w:val="auto"/>
          <w:sz w:val="24"/>
          <w:highlight w:val="none"/>
        </w:rPr>
      </w:pPr>
    </w:p>
    <w:p w14:paraId="007B5B0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（加盖公章）： </w:t>
      </w:r>
    </w:p>
    <w:p w14:paraId="4FCDE05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397305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highlight w:val="none"/>
        </w:rPr>
        <w:t>签字或盖章</w:t>
      </w:r>
      <w:r>
        <w:rPr>
          <w:rFonts w:hint="eastAsia" w:ascii="宋体" w:hAnsi="宋体" w:eastAsia="宋体" w:cs="宋体"/>
          <w:color w:val="auto"/>
          <w:sz w:val="24"/>
          <w:szCs w:val="24"/>
          <w:highlight w:val="none"/>
        </w:rPr>
        <w:t xml:space="preserve">）： </w:t>
      </w:r>
    </w:p>
    <w:p w14:paraId="49C3495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89C68D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24C74207">
      <w:pPr>
        <w:spacing w:line="600" w:lineRule="exact"/>
        <w:jc w:val="center"/>
        <w:rPr>
          <w:rFonts w:hint="eastAsia" w:ascii="宋体" w:hAnsi="宋体" w:eastAsia="宋体" w:cs="宋体"/>
          <w:color w:val="auto"/>
          <w:sz w:val="24"/>
          <w:highlight w:val="none"/>
        </w:rPr>
      </w:pPr>
    </w:p>
    <w:p w14:paraId="26A88739">
      <w:pPr>
        <w:spacing w:line="600" w:lineRule="exact"/>
        <w:jc w:val="center"/>
        <w:rPr>
          <w:rFonts w:hint="eastAsia" w:ascii="宋体" w:hAnsi="宋体" w:eastAsia="宋体" w:cs="宋体"/>
          <w:color w:val="auto"/>
          <w:sz w:val="24"/>
          <w:highlight w:val="none"/>
        </w:rPr>
      </w:pPr>
    </w:p>
    <w:p w14:paraId="1ED8F9D2">
      <w:pPr>
        <w:widowControl/>
        <w:jc w:val="left"/>
        <w:rPr>
          <w:rFonts w:hint="eastAsia" w:ascii="宋体" w:hAnsi="宋体" w:eastAsia="宋体" w:cs="宋体"/>
          <w:color w:val="auto"/>
          <w:highlight w:val="none"/>
        </w:rPr>
      </w:pPr>
    </w:p>
    <w:p w14:paraId="50BE75EC">
      <w:pPr>
        <w:rPr>
          <w:rFonts w:hint="eastAsia" w:ascii="宋体" w:hAnsi="宋体" w:eastAsia="宋体" w:cs="宋体"/>
          <w:color w:val="auto"/>
          <w:highlight w:val="none"/>
        </w:rPr>
      </w:pPr>
    </w:p>
    <w:p w14:paraId="604A6326">
      <w:pPr>
        <w:pStyle w:val="3"/>
        <w:spacing w:before="0" w:after="0"/>
        <w:jc w:val="center"/>
        <w:outlineLvl w:val="9"/>
        <w:rPr>
          <w:rFonts w:hint="eastAsia" w:ascii="宋体" w:hAnsi="宋体" w:eastAsia="宋体" w:cs="宋体"/>
          <w:color w:val="auto"/>
          <w:sz w:val="28"/>
          <w:highlight w:val="none"/>
        </w:rPr>
      </w:pPr>
      <w:bookmarkStart w:id="350" w:name="_Toc30623"/>
      <w:bookmarkStart w:id="351" w:name="_Toc603"/>
      <w:bookmarkStart w:id="352" w:name="_Toc18200"/>
      <w:bookmarkStart w:id="353" w:name="_Toc13581"/>
      <w:bookmarkStart w:id="354" w:name="_Toc16905"/>
      <w:r>
        <w:rPr>
          <w:rFonts w:hint="eastAsia" w:ascii="宋体" w:hAnsi="宋体" w:eastAsia="宋体" w:cs="宋体"/>
          <w:color w:val="auto"/>
          <w:sz w:val="28"/>
          <w:highlight w:val="none"/>
        </w:rPr>
        <w:t>四、采购需求偏离表</w:t>
      </w:r>
      <w:bookmarkEnd w:id="350"/>
      <w:bookmarkEnd w:id="351"/>
      <w:bookmarkEnd w:id="352"/>
      <w:bookmarkEnd w:id="353"/>
      <w:bookmarkEnd w:id="354"/>
    </w:p>
    <w:p w14:paraId="0853A5F0">
      <w:pPr>
        <w:pStyle w:val="4"/>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1、商务要求偏离表</w:t>
      </w:r>
    </w:p>
    <w:tbl>
      <w:tblPr>
        <w:tblStyle w:val="23"/>
        <w:tblW w:w="8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43"/>
        <w:gridCol w:w="1225"/>
        <w:gridCol w:w="1187"/>
        <w:gridCol w:w="1925"/>
        <w:gridCol w:w="1463"/>
      </w:tblGrid>
      <w:tr w14:paraId="2C11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4" w:hRule="atLeast"/>
          <w:jc w:val="center"/>
        </w:trPr>
        <w:tc>
          <w:tcPr>
            <w:tcW w:w="959" w:type="dxa"/>
            <w:vAlign w:val="center"/>
          </w:tcPr>
          <w:p w14:paraId="6B59154B">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643" w:type="dxa"/>
            <w:vAlign w:val="center"/>
          </w:tcPr>
          <w:p w14:paraId="4E417512">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招标文件中商务要求条款号</w:t>
            </w:r>
          </w:p>
        </w:tc>
        <w:tc>
          <w:tcPr>
            <w:tcW w:w="1225" w:type="dxa"/>
            <w:vAlign w:val="center"/>
          </w:tcPr>
          <w:p w14:paraId="7FC86450">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招标文件</w:t>
            </w:r>
          </w:p>
        </w:tc>
        <w:tc>
          <w:tcPr>
            <w:tcW w:w="1187" w:type="dxa"/>
            <w:vAlign w:val="center"/>
          </w:tcPr>
          <w:p w14:paraId="2A4F5B24">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w:t>
            </w:r>
          </w:p>
        </w:tc>
        <w:tc>
          <w:tcPr>
            <w:tcW w:w="1925" w:type="dxa"/>
            <w:vAlign w:val="center"/>
          </w:tcPr>
          <w:p w14:paraId="1405E156">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对招标文件偏离</w:t>
            </w:r>
          </w:p>
        </w:tc>
        <w:tc>
          <w:tcPr>
            <w:tcW w:w="1463" w:type="dxa"/>
            <w:vAlign w:val="center"/>
          </w:tcPr>
          <w:p w14:paraId="473E1904">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0BD5E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9" w:type="dxa"/>
          </w:tcPr>
          <w:p w14:paraId="45632CE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43" w:type="dxa"/>
          </w:tcPr>
          <w:p w14:paraId="787587BA">
            <w:pPr>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投标范围</w:t>
            </w:r>
          </w:p>
        </w:tc>
        <w:tc>
          <w:tcPr>
            <w:tcW w:w="1225" w:type="dxa"/>
          </w:tcPr>
          <w:p w14:paraId="511EB914">
            <w:pPr>
              <w:spacing w:line="360" w:lineRule="auto"/>
              <w:rPr>
                <w:rFonts w:hint="eastAsia" w:ascii="宋体" w:hAnsi="宋体" w:eastAsia="宋体" w:cs="宋体"/>
                <w:color w:val="auto"/>
                <w:sz w:val="24"/>
                <w:szCs w:val="24"/>
                <w:highlight w:val="none"/>
              </w:rPr>
            </w:pPr>
          </w:p>
        </w:tc>
        <w:tc>
          <w:tcPr>
            <w:tcW w:w="1187" w:type="dxa"/>
          </w:tcPr>
          <w:p w14:paraId="7C3310B1">
            <w:pPr>
              <w:spacing w:line="360" w:lineRule="auto"/>
              <w:rPr>
                <w:rFonts w:hint="eastAsia" w:ascii="宋体" w:hAnsi="宋体" w:eastAsia="宋体" w:cs="宋体"/>
                <w:color w:val="auto"/>
                <w:sz w:val="24"/>
                <w:szCs w:val="24"/>
                <w:highlight w:val="none"/>
              </w:rPr>
            </w:pPr>
          </w:p>
        </w:tc>
        <w:tc>
          <w:tcPr>
            <w:tcW w:w="1925" w:type="dxa"/>
          </w:tcPr>
          <w:p w14:paraId="76287B25">
            <w:pPr>
              <w:spacing w:line="360" w:lineRule="auto"/>
              <w:rPr>
                <w:rFonts w:hint="eastAsia" w:ascii="宋体" w:hAnsi="宋体" w:eastAsia="宋体" w:cs="宋体"/>
                <w:color w:val="auto"/>
                <w:sz w:val="24"/>
                <w:szCs w:val="24"/>
                <w:highlight w:val="none"/>
              </w:rPr>
            </w:pPr>
          </w:p>
        </w:tc>
        <w:tc>
          <w:tcPr>
            <w:tcW w:w="1463" w:type="dxa"/>
          </w:tcPr>
          <w:p w14:paraId="7B2CC271">
            <w:pPr>
              <w:spacing w:line="360" w:lineRule="auto"/>
              <w:rPr>
                <w:rFonts w:hint="eastAsia" w:ascii="宋体" w:hAnsi="宋体" w:eastAsia="宋体" w:cs="宋体"/>
                <w:color w:val="auto"/>
                <w:sz w:val="24"/>
                <w:szCs w:val="24"/>
                <w:highlight w:val="none"/>
              </w:rPr>
            </w:pPr>
          </w:p>
        </w:tc>
      </w:tr>
      <w:tr w14:paraId="6612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66D2D9E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43" w:type="dxa"/>
          </w:tcPr>
          <w:p w14:paraId="2E7300A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供提货要求</w:t>
            </w:r>
          </w:p>
        </w:tc>
        <w:tc>
          <w:tcPr>
            <w:tcW w:w="1225" w:type="dxa"/>
          </w:tcPr>
          <w:p w14:paraId="204CB209">
            <w:pPr>
              <w:spacing w:line="360" w:lineRule="auto"/>
              <w:rPr>
                <w:rFonts w:hint="eastAsia" w:ascii="宋体" w:hAnsi="宋体" w:eastAsia="宋体" w:cs="宋体"/>
                <w:color w:val="auto"/>
                <w:sz w:val="24"/>
                <w:szCs w:val="24"/>
                <w:highlight w:val="none"/>
              </w:rPr>
            </w:pPr>
          </w:p>
        </w:tc>
        <w:tc>
          <w:tcPr>
            <w:tcW w:w="1187" w:type="dxa"/>
          </w:tcPr>
          <w:p w14:paraId="0AE657BB">
            <w:pPr>
              <w:spacing w:line="360" w:lineRule="auto"/>
              <w:rPr>
                <w:rFonts w:hint="eastAsia" w:ascii="宋体" w:hAnsi="宋体" w:eastAsia="宋体" w:cs="宋体"/>
                <w:color w:val="auto"/>
                <w:sz w:val="24"/>
                <w:szCs w:val="24"/>
                <w:highlight w:val="none"/>
              </w:rPr>
            </w:pPr>
          </w:p>
        </w:tc>
        <w:tc>
          <w:tcPr>
            <w:tcW w:w="1925" w:type="dxa"/>
          </w:tcPr>
          <w:p w14:paraId="7E3FDB5C">
            <w:pPr>
              <w:spacing w:line="360" w:lineRule="auto"/>
              <w:rPr>
                <w:rFonts w:hint="eastAsia" w:ascii="宋体" w:hAnsi="宋体" w:eastAsia="宋体" w:cs="宋体"/>
                <w:color w:val="auto"/>
                <w:sz w:val="24"/>
                <w:szCs w:val="24"/>
                <w:highlight w:val="none"/>
              </w:rPr>
            </w:pPr>
          </w:p>
        </w:tc>
        <w:tc>
          <w:tcPr>
            <w:tcW w:w="1463" w:type="dxa"/>
          </w:tcPr>
          <w:p w14:paraId="602BD5B6">
            <w:pPr>
              <w:spacing w:line="360" w:lineRule="auto"/>
              <w:rPr>
                <w:rFonts w:hint="eastAsia" w:ascii="宋体" w:hAnsi="宋体" w:eastAsia="宋体" w:cs="宋体"/>
                <w:color w:val="auto"/>
                <w:sz w:val="24"/>
                <w:szCs w:val="24"/>
                <w:highlight w:val="none"/>
              </w:rPr>
            </w:pPr>
          </w:p>
        </w:tc>
      </w:tr>
      <w:tr w14:paraId="47CED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11BE44D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43" w:type="dxa"/>
          </w:tcPr>
          <w:p w14:paraId="277F59B7">
            <w:pPr>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服务期限</w:t>
            </w:r>
          </w:p>
        </w:tc>
        <w:tc>
          <w:tcPr>
            <w:tcW w:w="1225" w:type="dxa"/>
          </w:tcPr>
          <w:p w14:paraId="6BB49BBE">
            <w:pPr>
              <w:spacing w:line="360" w:lineRule="auto"/>
              <w:rPr>
                <w:rFonts w:hint="eastAsia" w:ascii="宋体" w:hAnsi="宋体" w:eastAsia="宋体" w:cs="宋体"/>
                <w:color w:val="auto"/>
                <w:sz w:val="24"/>
                <w:szCs w:val="24"/>
                <w:highlight w:val="none"/>
              </w:rPr>
            </w:pPr>
          </w:p>
        </w:tc>
        <w:tc>
          <w:tcPr>
            <w:tcW w:w="1187" w:type="dxa"/>
          </w:tcPr>
          <w:p w14:paraId="7D7B2FFF">
            <w:pPr>
              <w:spacing w:line="360" w:lineRule="auto"/>
              <w:rPr>
                <w:rFonts w:hint="eastAsia" w:ascii="宋体" w:hAnsi="宋体" w:eastAsia="宋体" w:cs="宋体"/>
                <w:color w:val="auto"/>
                <w:sz w:val="24"/>
                <w:szCs w:val="24"/>
                <w:highlight w:val="none"/>
              </w:rPr>
            </w:pPr>
          </w:p>
        </w:tc>
        <w:tc>
          <w:tcPr>
            <w:tcW w:w="1925" w:type="dxa"/>
          </w:tcPr>
          <w:p w14:paraId="4F52AB9B">
            <w:pPr>
              <w:spacing w:line="360" w:lineRule="auto"/>
              <w:rPr>
                <w:rFonts w:hint="eastAsia" w:ascii="宋体" w:hAnsi="宋体" w:eastAsia="宋体" w:cs="宋体"/>
                <w:color w:val="auto"/>
                <w:sz w:val="24"/>
                <w:szCs w:val="24"/>
                <w:highlight w:val="none"/>
              </w:rPr>
            </w:pPr>
          </w:p>
        </w:tc>
        <w:tc>
          <w:tcPr>
            <w:tcW w:w="1463" w:type="dxa"/>
          </w:tcPr>
          <w:p w14:paraId="7B5F91A0">
            <w:pPr>
              <w:spacing w:line="360" w:lineRule="auto"/>
              <w:rPr>
                <w:rFonts w:hint="eastAsia" w:ascii="宋体" w:hAnsi="宋体" w:eastAsia="宋体" w:cs="宋体"/>
                <w:color w:val="auto"/>
                <w:sz w:val="24"/>
                <w:szCs w:val="24"/>
                <w:highlight w:val="none"/>
              </w:rPr>
            </w:pPr>
          </w:p>
        </w:tc>
      </w:tr>
      <w:tr w14:paraId="3DF43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573EC80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643" w:type="dxa"/>
          </w:tcPr>
          <w:p w14:paraId="6FEA139B">
            <w:pPr>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交货地点</w:t>
            </w:r>
          </w:p>
        </w:tc>
        <w:tc>
          <w:tcPr>
            <w:tcW w:w="1225" w:type="dxa"/>
          </w:tcPr>
          <w:p w14:paraId="137CA8C7">
            <w:pPr>
              <w:spacing w:line="360" w:lineRule="auto"/>
              <w:rPr>
                <w:rFonts w:hint="eastAsia" w:ascii="宋体" w:hAnsi="宋体" w:eastAsia="宋体" w:cs="宋体"/>
                <w:color w:val="auto"/>
                <w:sz w:val="24"/>
                <w:szCs w:val="24"/>
                <w:highlight w:val="none"/>
              </w:rPr>
            </w:pPr>
          </w:p>
        </w:tc>
        <w:tc>
          <w:tcPr>
            <w:tcW w:w="1187" w:type="dxa"/>
          </w:tcPr>
          <w:p w14:paraId="140106EF">
            <w:pPr>
              <w:spacing w:line="360" w:lineRule="auto"/>
              <w:rPr>
                <w:rFonts w:hint="eastAsia" w:ascii="宋体" w:hAnsi="宋体" w:eastAsia="宋体" w:cs="宋体"/>
                <w:color w:val="auto"/>
                <w:sz w:val="24"/>
                <w:szCs w:val="24"/>
                <w:highlight w:val="none"/>
              </w:rPr>
            </w:pPr>
          </w:p>
        </w:tc>
        <w:tc>
          <w:tcPr>
            <w:tcW w:w="1925" w:type="dxa"/>
          </w:tcPr>
          <w:p w14:paraId="0B6A13A7">
            <w:pPr>
              <w:spacing w:line="360" w:lineRule="auto"/>
              <w:rPr>
                <w:rFonts w:hint="eastAsia" w:ascii="宋体" w:hAnsi="宋体" w:eastAsia="宋体" w:cs="宋体"/>
                <w:color w:val="auto"/>
                <w:sz w:val="24"/>
                <w:szCs w:val="24"/>
                <w:highlight w:val="none"/>
              </w:rPr>
            </w:pPr>
          </w:p>
        </w:tc>
        <w:tc>
          <w:tcPr>
            <w:tcW w:w="1463" w:type="dxa"/>
          </w:tcPr>
          <w:p w14:paraId="28F3480D">
            <w:pPr>
              <w:spacing w:line="360" w:lineRule="auto"/>
              <w:rPr>
                <w:rFonts w:hint="eastAsia" w:ascii="宋体" w:hAnsi="宋体" w:eastAsia="宋体" w:cs="宋体"/>
                <w:color w:val="auto"/>
                <w:sz w:val="24"/>
                <w:szCs w:val="24"/>
                <w:highlight w:val="none"/>
              </w:rPr>
            </w:pPr>
          </w:p>
        </w:tc>
      </w:tr>
      <w:tr w14:paraId="1D13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0E9783E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43" w:type="dxa"/>
          </w:tcPr>
          <w:p w14:paraId="3D05E8E4">
            <w:pPr>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质量标准</w:t>
            </w:r>
          </w:p>
        </w:tc>
        <w:tc>
          <w:tcPr>
            <w:tcW w:w="1225" w:type="dxa"/>
          </w:tcPr>
          <w:p w14:paraId="17A5633F">
            <w:pPr>
              <w:spacing w:line="360" w:lineRule="auto"/>
              <w:rPr>
                <w:rFonts w:hint="eastAsia" w:ascii="宋体" w:hAnsi="宋体" w:eastAsia="宋体" w:cs="宋体"/>
                <w:color w:val="auto"/>
                <w:sz w:val="24"/>
                <w:szCs w:val="24"/>
                <w:highlight w:val="none"/>
              </w:rPr>
            </w:pPr>
          </w:p>
        </w:tc>
        <w:tc>
          <w:tcPr>
            <w:tcW w:w="1187" w:type="dxa"/>
          </w:tcPr>
          <w:p w14:paraId="6648CBC9">
            <w:pPr>
              <w:spacing w:line="360" w:lineRule="auto"/>
              <w:rPr>
                <w:rFonts w:hint="eastAsia" w:ascii="宋体" w:hAnsi="宋体" w:eastAsia="宋体" w:cs="宋体"/>
                <w:color w:val="auto"/>
                <w:sz w:val="24"/>
                <w:szCs w:val="24"/>
                <w:highlight w:val="none"/>
              </w:rPr>
            </w:pPr>
          </w:p>
        </w:tc>
        <w:tc>
          <w:tcPr>
            <w:tcW w:w="1925" w:type="dxa"/>
          </w:tcPr>
          <w:p w14:paraId="17E129E8">
            <w:pPr>
              <w:spacing w:line="360" w:lineRule="auto"/>
              <w:rPr>
                <w:rFonts w:hint="eastAsia" w:ascii="宋体" w:hAnsi="宋体" w:eastAsia="宋体" w:cs="宋体"/>
                <w:color w:val="auto"/>
                <w:sz w:val="24"/>
                <w:szCs w:val="24"/>
                <w:highlight w:val="none"/>
              </w:rPr>
            </w:pPr>
          </w:p>
        </w:tc>
        <w:tc>
          <w:tcPr>
            <w:tcW w:w="1463" w:type="dxa"/>
          </w:tcPr>
          <w:p w14:paraId="273678F3">
            <w:pPr>
              <w:spacing w:line="360" w:lineRule="auto"/>
              <w:rPr>
                <w:rFonts w:hint="eastAsia" w:ascii="宋体" w:hAnsi="宋体" w:eastAsia="宋体" w:cs="宋体"/>
                <w:color w:val="auto"/>
                <w:sz w:val="24"/>
                <w:szCs w:val="24"/>
                <w:highlight w:val="none"/>
              </w:rPr>
            </w:pPr>
          </w:p>
        </w:tc>
      </w:tr>
      <w:tr w14:paraId="5E42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619B6DA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643" w:type="dxa"/>
          </w:tcPr>
          <w:p w14:paraId="374D38AC">
            <w:pPr>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合同履行期限</w:t>
            </w:r>
          </w:p>
        </w:tc>
        <w:tc>
          <w:tcPr>
            <w:tcW w:w="1225" w:type="dxa"/>
          </w:tcPr>
          <w:p w14:paraId="66E8A52B">
            <w:pPr>
              <w:spacing w:line="360" w:lineRule="auto"/>
              <w:rPr>
                <w:rFonts w:hint="eastAsia" w:ascii="宋体" w:hAnsi="宋体" w:eastAsia="宋体" w:cs="宋体"/>
                <w:color w:val="auto"/>
                <w:sz w:val="24"/>
                <w:szCs w:val="24"/>
                <w:highlight w:val="none"/>
              </w:rPr>
            </w:pPr>
          </w:p>
        </w:tc>
        <w:tc>
          <w:tcPr>
            <w:tcW w:w="1187" w:type="dxa"/>
          </w:tcPr>
          <w:p w14:paraId="54A26E9A">
            <w:pPr>
              <w:spacing w:line="360" w:lineRule="auto"/>
              <w:rPr>
                <w:rFonts w:hint="eastAsia" w:ascii="宋体" w:hAnsi="宋体" w:eastAsia="宋体" w:cs="宋体"/>
                <w:color w:val="auto"/>
                <w:sz w:val="24"/>
                <w:szCs w:val="24"/>
                <w:highlight w:val="none"/>
              </w:rPr>
            </w:pPr>
          </w:p>
        </w:tc>
        <w:tc>
          <w:tcPr>
            <w:tcW w:w="1925" w:type="dxa"/>
          </w:tcPr>
          <w:p w14:paraId="033E97FF">
            <w:pPr>
              <w:spacing w:line="360" w:lineRule="auto"/>
              <w:rPr>
                <w:rFonts w:hint="eastAsia" w:ascii="宋体" w:hAnsi="宋体" w:eastAsia="宋体" w:cs="宋体"/>
                <w:color w:val="auto"/>
                <w:sz w:val="24"/>
                <w:szCs w:val="24"/>
                <w:highlight w:val="none"/>
              </w:rPr>
            </w:pPr>
          </w:p>
        </w:tc>
        <w:tc>
          <w:tcPr>
            <w:tcW w:w="1463" w:type="dxa"/>
          </w:tcPr>
          <w:p w14:paraId="70FF1A05">
            <w:pPr>
              <w:spacing w:line="360" w:lineRule="auto"/>
              <w:rPr>
                <w:rFonts w:hint="eastAsia" w:ascii="宋体" w:hAnsi="宋体" w:eastAsia="宋体" w:cs="宋体"/>
                <w:color w:val="auto"/>
                <w:sz w:val="24"/>
                <w:szCs w:val="24"/>
                <w:highlight w:val="none"/>
              </w:rPr>
            </w:pPr>
          </w:p>
        </w:tc>
      </w:tr>
      <w:tr w14:paraId="27D83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5305027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43" w:type="dxa"/>
          </w:tcPr>
          <w:p w14:paraId="26F5006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投标有效期</w:t>
            </w:r>
          </w:p>
        </w:tc>
        <w:tc>
          <w:tcPr>
            <w:tcW w:w="1225" w:type="dxa"/>
          </w:tcPr>
          <w:p w14:paraId="2ACB33E1">
            <w:pPr>
              <w:spacing w:line="360" w:lineRule="auto"/>
              <w:rPr>
                <w:rFonts w:hint="eastAsia" w:ascii="宋体" w:hAnsi="宋体" w:eastAsia="宋体" w:cs="宋体"/>
                <w:color w:val="auto"/>
                <w:sz w:val="24"/>
                <w:szCs w:val="24"/>
                <w:highlight w:val="none"/>
              </w:rPr>
            </w:pPr>
          </w:p>
        </w:tc>
        <w:tc>
          <w:tcPr>
            <w:tcW w:w="1187" w:type="dxa"/>
          </w:tcPr>
          <w:p w14:paraId="082F4C16">
            <w:pPr>
              <w:spacing w:line="360" w:lineRule="auto"/>
              <w:rPr>
                <w:rFonts w:hint="eastAsia" w:ascii="宋体" w:hAnsi="宋体" w:eastAsia="宋体" w:cs="宋体"/>
                <w:color w:val="auto"/>
                <w:sz w:val="24"/>
                <w:szCs w:val="24"/>
                <w:highlight w:val="none"/>
              </w:rPr>
            </w:pPr>
          </w:p>
        </w:tc>
        <w:tc>
          <w:tcPr>
            <w:tcW w:w="1925" w:type="dxa"/>
          </w:tcPr>
          <w:p w14:paraId="5FBE05CA">
            <w:pPr>
              <w:spacing w:line="360" w:lineRule="auto"/>
              <w:rPr>
                <w:rFonts w:hint="eastAsia" w:ascii="宋体" w:hAnsi="宋体" w:eastAsia="宋体" w:cs="宋体"/>
                <w:color w:val="auto"/>
                <w:sz w:val="24"/>
                <w:szCs w:val="24"/>
                <w:highlight w:val="none"/>
              </w:rPr>
            </w:pPr>
          </w:p>
        </w:tc>
        <w:tc>
          <w:tcPr>
            <w:tcW w:w="1463" w:type="dxa"/>
          </w:tcPr>
          <w:p w14:paraId="7651DA84">
            <w:pPr>
              <w:spacing w:line="360" w:lineRule="auto"/>
              <w:rPr>
                <w:rFonts w:hint="eastAsia" w:ascii="宋体" w:hAnsi="宋体" w:eastAsia="宋体" w:cs="宋体"/>
                <w:color w:val="auto"/>
                <w:sz w:val="24"/>
                <w:szCs w:val="24"/>
                <w:highlight w:val="none"/>
              </w:rPr>
            </w:pPr>
          </w:p>
        </w:tc>
      </w:tr>
      <w:tr w14:paraId="111C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11C55E83">
            <w:pPr>
              <w:spacing w:line="360" w:lineRule="auto"/>
              <w:rPr>
                <w:rFonts w:hint="eastAsia" w:ascii="宋体" w:hAnsi="宋体" w:eastAsia="宋体" w:cs="宋体"/>
                <w:color w:val="auto"/>
                <w:sz w:val="24"/>
                <w:szCs w:val="24"/>
                <w:highlight w:val="none"/>
              </w:rPr>
            </w:pPr>
          </w:p>
        </w:tc>
        <w:tc>
          <w:tcPr>
            <w:tcW w:w="1643" w:type="dxa"/>
          </w:tcPr>
          <w:p w14:paraId="247BE7F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25" w:type="dxa"/>
          </w:tcPr>
          <w:p w14:paraId="7AAF1AC5">
            <w:pPr>
              <w:spacing w:line="360" w:lineRule="auto"/>
              <w:rPr>
                <w:rFonts w:hint="eastAsia" w:ascii="宋体" w:hAnsi="宋体" w:eastAsia="宋体" w:cs="宋体"/>
                <w:color w:val="auto"/>
                <w:sz w:val="24"/>
                <w:szCs w:val="24"/>
                <w:highlight w:val="none"/>
              </w:rPr>
            </w:pPr>
          </w:p>
        </w:tc>
        <w:tc>
          <w:tcPr>
            <w:tcW w:w="1187" w:type="dxa"/>
          </w:tcPr>
          <w:p w14:paraId="643A6925">
            <w:pPr>
              <w:spacing w:line="360" w:lineRule="auto"/>
              <w:rPr>
                <w:rFonts w:hint="eastAsia" w:ascii="宋体" w:hAnsi="宋体" w:eastAsia="宋体" w:cs="宋体"/>
                <w:color w:val="auto"/>
                <w:sz w:val="24"/>
                <w:szCs w:val="24"/>
                <w:highlight w:val="none"/>
              </w:rPr>
            </w:pPr>
          </w:p>
        </w:tc>
        <w:tc>
          <w:tcPr>
            <w:tcW w:w="1925" w:type="dxa"/>
          </w:tcPr>
          <w:p w14:paraId="6D1D12E3">
            <w:pPr>
              <w:spacing w:line="360" w:lineRule="auto"/>
              <w:rPr>
                <w:rFonts w:hint="eastAsia" w:ascii="宋体" w:hAnsi="宋体" w:eastAsia="宋体" w:cs="宋体"/>
                <w:color w:val="auto"/>
                <w:sz w:val="24"/>
                <w:szCs w:val="24"/>
                <w:highlight w:val="none"/>
              </w:rPr>
            </w:pPr>
          </w:p>
        </w:tc>
        <w:tc>
          <w:tcPr>
            <w:tcW w:w="1463" w:type="dxa"/>
          </w:tcPr>
          <w:p w14:paraId="21BAABEB">
            <w:pPr>
              <w:spacing w:line="360" w:lineRule="auto"/>
              <w:rPr>
                <w:rFonts w:hint="eastAsia" w:ascii="宋体" w:hAnsi="宋体" w:eastAsia="宋体" w:cs="宋体"/>
                <w:color w:val="auto"/>
                <w:sz w:val="24"/>
                <w:szCs w:val="24"/>
                <w:highlight w:val="none"/>
              </w:rPr>
            </w:pPr>
          </w:p>
        </w:tc>
      </w:tr>
      <w:tr w14:paraId="687C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5002AFB3">
            <w:pPr>
              <w:spacing w:line="360" w:lineRule="auto"/>
              <w:rPr>
                <w:rFonts w:hint="eastAsia" w:ascii="宋体" w:hAnsi="宋体" w:eastAsia="宋体" w:cs="宋体"/>
                <w:color w:val="auto"/>
                <w:sz w:val="24"/>
                <w:szCs w:val="24"/>
                <w:highlight w:val="none"/>
              </w:rPr>
            </w:pPr>
          </w:p>
        </w:tc>
        <w:tc>
          <w:tcPr>
            <w:tcW w:w="1643" w:type="dxa"/>
          </w:tcPr>
          <w:p w14:paraId="2AE249E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25" w:type="dxa"/>
          </w:tcPr>
          <w:p w14:paraId="33417936">
            <w:pPr>
              <w:spacing w:line="360" w:lineRule="auto"/>
              <w:rPr>
                <w:rFonts w:hint="eastAsia" w:ascii="宋体" w:hAnsi="宋体" w:eastAsia="宋体" w:cs="宋体"/>
                <w:color w:val="auto"/>
                <w:sz w:val="24"/>
                <w:szCs w:val="24"/>
                <w:highlight w:val="none"/>
              </w:rPr>
            </w:pPr>
          </w:p>
        </w:tc>
        <w:tc>
          <w:tcPr>
            <w:tcW w:w="1187" w:type="dxa"/>
          </w:tcPr>
          <w:p w14:paraId="2CA534D4">
            <w:pPr>
              <w:spacing w:line="360" w:lineRule="auto"/>
              <w:rPr>
                <w:rFonts w:hint="eastAsia" w:ascii="宋体" w:hAnsi="宋体" w:eastAsia="宋体" w:cs="宋体"/>
                <w:color w:val="auto"/>
                <w:sz w:val="24"/>
                <w:szCs w:val="24"/>
                <w:highlight w:val="none"/>
              </w:rPr>
            </w:pPr>
          </w:p>
        </w:tc>
        <w:tc>
          <w:tcPr>
            <w:tcW w:w="1925" w:type="dxa"/>
          </w:tcPr>
          <w:p w14:paraId="5C4F093A">
            <w:pPr>
              <w:spacing w:line="360" w:lineRule="auto"/>
              <w:rPr>
                <w:rFonts w:hint="eastAsia" w:ascii="宋体" w:hAnsi="宋体" w:eastAsia="宋体" w:cs="宋体"/>
                <w:color w:val="auto"/>
                <w:sz w:val="24"/>
                <w:szCs w:val="24"/>
                <w:highlight w:val="none"/>
              </w:rPr>
            </w:pPr>
          </w:p>
        </w:tc>
        <w:tc>
          <w:tcPr>
            <w:tcW w:w="1463" w:type="dxa"/>
          </w:tcPr>
          <w:p w14:paraId="7B32D492">
            <w:pPr>
              <w:spacing w:line="360" w:lineRule="auto"/>
              <w:rPr>
                <w:rFonts w:hint="eastAsia" w:ascii="宋体" w:hAnsi="宋体" w:eastAsia="宋体" w:cs="宋体"/>
                <w:color w:val="auto"/>
                <w:sz w:val="24"/>
                <w:szCs w:val="24"/>
                <w:highlight w:val="none"/>
              </w:rPr>
            </w:pPr>
          </w:p>
        </w:tc>
      </w:tr>
      <w:tr w14:paraId="1167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03F6BCDA">
            <w:pPr>
              <w:spacing w:line="360" w:lineRule="auto"/>
              <w:rPr>
                <w:rFonts w:hint="eastAsia" w:ascii="宋体" w:hAnsi="宋体" w:eastAsia="宋体" w:cs="宋体"/>
                <w:color w:val="auto"/>
                <w:sz w:val="24"/>
                <w:szCs w:val="24"/>
                <w:highlight w:val="none"/>
              </w:rPr>
            </w:pPr>
          </w:p>
        </w:tc>
        <w:tc>
          <w:tcPr>
            <w:tcW w:w="1643" w:type="dxa"/>
          </w:tcPr>
          <w:p w14:paraId="0ED7492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25" w:type="dxa"/>
          </w:tcPr>
          <w:p w14:paraId="6A2E05B4">
            <w:pPr>
              <w:spacing w:line="360" w:lineRule="auto"/>
              <w:rPr>
                <w:rFonts w:hint="eastAsia" w:ascii="宋体" w:hAnsi="宋体" w:eastAsia="宋体" w:cs="宋体"/>
                <w:color w:val="auto"/>
                <w:sz w:val="24"/>
                <w:szCs w:val="24"/>
                <w:highlight w:val="none"/>
              </w:rPr>
            </w:pPr>
          </w:p>
        </w:tc>
        <w:tc>
          <w:tcPr>
            <w:tcW w:w="1187" w:type="dxa"/>
          </w:tcPr>
          <w:p w14:paraId="7BCCA324">
            <w:pPr>
              <w:spacing w:line="360" w:lineRule="auto"/>
              <w:rPr>
                <w:rFonts w:hint="eastAsia" w:ascii="宋体" w:hAnsi="宋体" w:eastAsia="宋体" w:cs="宋体"/>
                <w:color w:val="auto"/>
                <w:sz w:val="24"/>
                <w:szCs w:val="24"/>
                <w:highlight w:val="none"/>
              </w:rPr>
            </w:pPr>
          </w:p>
        </w:tc>
        <w:tc>
          <w:tcPr>
            <w:tcW w:w="1925" w:type="dxa"/>
          </w:tcPr>
          <w:p w14:paraId="1E4C5641">
            <w:pPr>
              <w:spacing w:line="360" w:lineRule="auto"/>
              <w:rPr>
                <w:rFonts w:hint="eastAsia" w:ascii="宋体" w:hAnsi="宋体" w:eastAsia="宋体" w:cs="宋体"/>
                <w:color w:val="auto"/>
                <w:sz w:val="24"/>
                <w:szCs w:val="24"/>
                <w:highlight w:val="none"/>
              </w:rPr>
            </w:pPr>
          </w:p>
        </w:tc>
        <w:tc>
          <w:tcPr>
            <w:tcW w:w="1463" w:type="dxa"/>
          </w:tcPr>
          <w:p w14:paraId="1F4194FD">
            <w:pPr>
              <w:spacing w:line="360" w:lineRule="auto"/>
              <w:rPr>
                <w:rFonts w:hint="eastAsia" w:ascii="宋体" w:hAnsi="宋体" w:eastAsia="宋体" w:cs="宋体"/>
                <w:color w:val="auto"/>
                <w:sz w:val="24"/>
                <w:szCs w:val="24"/>
                <w:highlight w:val="none"/>
              </w:rPr>
            </w:pPr>
          </w:p>
        </w:tc>
      </w:tr>
      <w:tr w14:paraId="49258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0F63299E">
            <w:pPr>
              <w:spacing w:line="360" w:lineRule="auto"/>
              <w:rPr>
                <w:rFonts w:hint="eastAsia" w:ascii="宋体" w:hAnsi="宋体" w:eastAsia="宋体" w:cs="宋体"/>
                <w:color w:val="auto"/>
                <w:sz w:val="24"/>
                <w:szCs w:val="24"/>
                <w:highlight w:val="none"/>
              </w:rPr>
            </w:pPr>
          </w:p>
        </w:tc>
        <w:tc>
          <w:tcPr>
            <w:tcW w:w="1643" w:type="dxa"/>
          </w:tcPr>
          <w:p w14:paraId="2D69796F">
            <w:pPr>
              <w:spacing w:line="360" w:lineRule="auto"/>
              <w:rPr>
                <w:rFonts w:hint="eastAsia" w:ascii="宋体" w:hAnsi="宋体" w:eastAsia="宋体" w:cs="宋体"/>
                <w:color w:val="auto"/>
                <w:sz w:val="24"/>
                <w:szCs w:val="24"/>
                <w:highlight w:val="none"/>
              </w:rPr>
            </w:pPr>
          </w:p>
        </w:tc>
        <w:tc>
          <w:tcPr>
            <w:tcW w:w="1225" w:type="dxa"/>
          </w:tcPr>
          <w:p w14:paraId="48B6689B">
            <w:pPr>
              <w:spacing w:line="360" w:lineRule="auto"/>
              <w:rPr>
                <w:rFonts w:hint="eastAsia" w:ascii="宋体" w:hAnsi="宋体" w:eastAsia="宋体" w:cs="宋体"/>
                <w:color w:val="auto"/>
                <w:sz w:val="24"/>
                <w:szCs w:val="24"/>
                <w:highlight w:val="none"/>
              </w:rPr>
            </w:pPr>
          </w:p>
        </w:tc>
        <w:tc>
          <w:tcPr>
            <w:tcW w:w="1187" w:type="dxa"/>
          </w:tcPr>
          <w:p w14:paraId="79D911CE">
            <w:pPr>
              <w:spacing w:line="360" w:lineRule="auto"/>
              <w:rPr>
                <w:rFonts w:hint="eastAsia" w:ascii="宋体" w:hAnsi="宋体" w:eastAsia="宋体" w:cs="宋体"/>
                <w:color w:val="auto"/>
                <w:sz w:val="24"/>
                <w:szCs w:val="24"/>
                <w:highlight w:val="none"/>
              </w:rPr>
            </w:pPr>
          </w:p>
        </w:tc>
        <w:tc>
          <w:tcPr>
            <w:tcW w:w="1925" w:type="dxa"/>
          </w:tcPr>
          <w:p w14:paraId="16F3CE8A">
            <w:pPr>
              <w:spacing w:line="360" w:lineRule="auto"/>
              <w:rPr>
                <w:rFonts w:hint="eastAsia" w:ascii="宋体" w:hAnsi="宋体" w:eastAsia="宋体" w:cs="宋体"/>
                <w:color w:val="auto"/>
                <w:sz w:val="24"/>
                <w:szCs w:val="24"/>
                <w:highlight w:val="none"/>
              </w:rPr>
            </w:pPr>
          </w:p>
        </w:tc>
        <w:tc>
          <w:tcPr>
            <w:tcW w:w="1463" w:type="dxa"/>
          </w:tcPr>
          <w:p w14:paraId="6C682C4A">
            <w:pPr>
              <w:spacing w:line="360" w:lineRule="auto"/>
              <w:rPr>
                <w:rFonts w:hint="eastAsia" w:ascii="宋体" w:hAnsi="宋体" w:eastAsia="宋体" w:cs="宋体"/>
                <w:color w:val="auto"/>
                <w:sz w:val="24"/>
                <w:szCs w:val="24"/>
                <w:highlight w:val="none"/>
              </w:rPr>
            </w:pPr>
          </w:p>
        </w:tc>
      </w:tr>
      <w:tr w14:paraId="1B0D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715DB1DB">
            <w:pPr>
              <w:spacing w:line="360" w:lineRule="auto"/>
              <w:rPr>
                <w:rFonts w:hint="eastAsia" w:ascii="宋体" w:hAnsi="宋体" w:eastAsia="宋体" w:cs="宋体"/>
                <w:color w:val="auto"/>
                <w:sz w:val="24"/>
                <w:szCs w:val="24"/>
                <w:highlight w:val="none"/>
              </w:rPr>
            </w:pPr>
          </w:p>
        </w:tc>
        <w:tc>
          <w:tcPr>
            <w:tcW w:w="1643" w:type="dxa"/>
          </w:tcPr>
          <w:p w14:paraId="768DC570">
            <w:pPr>
              <w:spacing w:line="360" w:lineRule="auto"/>
              <w:rPr>
                <w:rFonts w:hint="eastAsia" w:ascii="宋体" w:hAnsi="宋体" w:eastAsia="宋体" w:cs="宋体"/>
                <w:color w:val="auto"/>
                <w:sz w:val="24"/>
                <w:szCs w:val="24"/>
                <w:highlight w:val="none"/>
              </w:rPr>
            </w:pPr>
          </w:p>
        </w:tc>
        <w:tc>
          <w:tcPr>
            <w:tcW w:w="1225" w:type="dxa"/>
          </w:tcPr>
          <w:p w14:paraId="46DC26F7">
            <w:pPr>
              <w:spacing w:line="360" w:lineRule="auto"/>
              <w:rPr>
                <w:rFonts w:hint="eastAsia" w:ascii="宋体" w:hAnsi="宋体" w:eastAsia="宋体" w:cs="宋体"/>
                <w:color w:val="auto"/>
                <w:sz w:val="24"/>
                <w:szCs w:val="24"/>
                <w:highlight w:val="none"/>
              </w:rPr>
            </w:pPr>
          </w:p>
        </w:tc>
        <w:tc>
          <w:tcPr>
            <w:tcW w:w="1187" w:type="dxa"/>
          </w:tcPr>
          <w:p w14:paraId="63185362">
            <w:pPr>
              <w:spacing w:line="360" w:lineRule="auto"/>
              <w:rPr>
                <w:rFonts w:hint="eastAsia" w:ascii="宋体" w:hAnsi="宋体" w:eastAsia="宋体" w:cs="宋体"/>
                <w:color w:val="auto"/>
                <w:sz w:val="24"/>
                <w:szCs w:val="24"/>
                <w:highlight w:val="none"/>
              </w:rPr>
            </w:pPr>
          </w:p>
        </w:tc>
        <w:tc>
          <w:tcPr>
            <w:tcW w:w="1925" w:type="dxa"/>
          </w:tcPr>
          <w:p w14:paraId="71039197">
            <w:pPr>
              <w:spacing w:line="360" w:lineRule="auto"/>
              <w:rPr>
                <w:rFonts w:hint="eastAsia" w:ascii="宋体" w:hAnsi="宋体" w:eastAsia="宋体" w:cs="宋体"/>
                <w:color w:val="auto"/>
                <w:sz w:val="24"/>
                <w:szCs w:val="24"/>
                <w:highlight w:val="none"/>
              </w:rPr>
            </w:pPr>
          </w:p>
        </w:tc>
        <w:tc>
          <w:tcPr>
            <w:tcW w:w="1463" w:type="dxa"/>
          </w:tcPr>
          <w:p w14:paraId="4DB09B72">
            <w:pPr>
              <w:spacing w:line="360" w:lineRule="auto"/>
              <w:rPr>
                <w:rFonts w:hint="eastAsia" w:ascii="宋体" w:hAnsi="宋体" w:eastAsia="宋体" w:cs="宋体"/>
                <w:color w:val="auto"/>
                <w:sz w:val="24"/>
                <w:szCs w:val="24"/>
                <w:highlight w:val="none"/>
              </w:rPr>
            </w:pPr>
          </w:p>
        </w:tc>
      </w:tr>
    </w:tbl>
    <w:p w14:paraId="46F5E0C8">
      <w:pPr>
        <w:spacing w:line="360" w:lineRule="auto"/>
        <w:rPr>
          <w:rFonts w:hint="eastAsia" w:ascii="宋体" w:hAnsi="宋体" w:eastAsia="宋体" w:cs="宋体"/>
          <w:color w:val="auto"/>
          <w:sz w:val="24"/>
          <w:szCs w:val="24"/>
          <w:highlight w:val="none"/>
        </w:rPr>
      </w:pPr>
    </w:p>
    <w:p w14:paraId="11490587">
      <w:pPr>
        <w:spacing w:line="360" w:lineRule="auto"/>
        <w:rPr>
          <w:rFonts w:hint="eastAsia" w:ascii="宋体" w:hAnsi="宋体" w:eastAsia="宋体" w:cs="宋体"/>
          <w:color w:val="auto"/>
          <w:sz w:val="24"/>
          <w:szCs w:val="24"/>
          <w:highlight w:val="none"/>
        </w:rPr>
      </w:pPr>
    </w:p>
    <w:p w14:paraId="5089AE0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（加盖公章）： </w:t>
      </w:r>
    </w:p>
    <w:p w14:paraId="29C0D8F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9733A5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highlight w:val="none"/>
        </w:rPr>
        <w:t>签字或盖章</w:t>
      </w:r>
      <w:r>
        <w:rPr>
          <w:rFonts w:hint="eastAsia" w:ascii="宋体" w:hAnsi="宋体" w:eastAsia="宋体" w:cs="宋体"/>
          <w:color w:val="auto"/>
          <w:sz w:val="24"/>
          <w:szCs w:val="24"/>
          <w:highlight w:val="none"/>
        </w:rPr>
        <w:t xml:space="preserve">）： </w:t>
      </w:r>
    </w:p>
    <w:p w14:paraId="3FBC0CA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24E717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42F97047">
      <w:pPr>
        <w:spacing w:line="360" w:lineRule="auto"/>
        <w:rPr>
          <w:rFonts w:hint="eastAsia" w:ascii="宋体" w:hAnsi="宋体" w:eastAsia="宋体" w:cs="宋体"/>
          <w:color w:val="auto"/>
          <w:sz w:val="24"/>
          <w:highlight w:val="none"/>
        </w:rPr>
      </w:pPr>
    </w:p>
    <w:p w14:paraId="05158BD5">
      <w:pPr>
        <w:rPr>
          <w:rFonts w:hint="eastAsia" w:ascii="宋体" w:hAnsi="宋体" w:eastAsia="宋体" w:cs="宋体"/>
          <w:color w:val="auto"/>
          <w:highlight w:val="none"/>
        </w:rPr>
      </w:pPr>
      <w:r>
        <w:rPr>
          <w:rFonts w:hint="eastAsia" w:ascii="宋体" w:hAnsi="宋体" w:eastAsia="宋体" w:cs="宋体"/>
          <w:b/>
          <w:color w:val="auto"/>
          <w:highlight w:val="none"/>
        </w:rPr>
        <w:br w:type="page"/>
      </w:r>
    </w:p>
    <w:p w14:paraId="5A33D253">
      <w:pPr>
        <w:pStyle w:val="4"/>
        <w:spacing w:line="377"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2、技术要求偏离表</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75"/>
        <w:gridCol w:w="1217"/>
        <w:gridCol w:w="1217"/>
        <w:gridCol w:w="1218"/>
        <w:gridCol w:w="1218"/>
        <w:gridCol w:w="1218"/>
      </w:tblGrid>
      <w:tr w14:paraId="2612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4" w:hRule="atLeast"/>
          <w:jc w:val="center"/>
        </w:trPr>
        <w:tc>
          <w:tcPr>
            <w:tcW w:w="959" w:type="dxa"/>
            <w:vAlign w:val="center"/>
          </w:tcPr>
          <w:p w14:paraId="0896BA7C">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475" w:type="dxa"/>
            <w:vAlign w:val="center"/>
          </w:tcPr>
          <w:p w14:paraId="556231E1">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招标文件中技术要求条款号</w:t>
            </w:r>
          </w:p>
        </w:tc>
        <w:tc>
          <w:tcPr>
            <w:tcW w:w="1217" w:type="dxa"/>
            <w:vAlign w:val="center"/>
          </w:tcPr>
          <w:p w14:paraId="13D4BB11">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招标文件</w:t>
            </w:r>
          </w:p>
        </w:tc>
        <w:tc>
          <w:tcPr>
            <w:tcW w:w="1217" w:type="dxa"/>
            <w:vAlign w:val="center"/>
          </w:tcPr>
          <w:p w14:paraId="14976553">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w:t>
            </w:r>
          </w:p>
        </w:tc>
        <w:tc>
          <w:tcPr>
            <w:tcW w:w="1218" w:type="dxa"/>
            <w:vAlign w:val="center"/>
          </w:tcPr>
          <w:p w14:paraId="460328CD">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对招标文件偏离</w:t>
            </w:r>
          </w:p>
        </w:tc>
        <w:tc>
          <w:tcPr>
            <w:tcW w:w="1218" w:type="dxa"/>
            <w:vAlign w:val="center"/>
          </w:tcPr>
          <w:p w14:paraId="7E301780">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描述</w:t>
            </w:r>
          </w:p>
        </w:tc>
        <w:tc>
          <w:tcPr>
            <w:tcW w:w="1218" w:type="dxa"/>
            <w:vAlign w:val="center"/>
          </w:tcPr>
          <w:p w14:paraId="3950E5E0">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68A2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9" w:type="dxa"/>
          </w:tcPr>
          <w:p w14:paraId="296CFDB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75" w:type="dxa"/>
          </w:tcPr>
          <w:p w14:paraId="2F9866DC">
            <w:pPr>
              <w:spacing w:line="360" w:lineRule="auto"/>
              <w:rPr>
                <w:rFonts w:hint="eastAsia" w:ascii="宋体" w:hAnsi="宋体" w:eastAsia="宋体" w:cs="宋体"/>
                <w:color w:val="auto"/>
                <w:sz w:val="24"/>
                <w:szCs w:val="24"/>
                <w:highlight w:val="none"/>
              </w:rPr>
            </w:pPr>
          </w:p>
        </w:tc>
        <w:tc>
          <w:tcPr>
            <w:tcW w:w="1217" w:type="dxa"/>
          </w:tcPr>
          <w:p w14:paraId="3A715219">
            <w:pPr>
              <w:spacing w:line="360" w:lineRule="auto"/>
              <w:rPr>
                <w:rFonts w:hint="eastAsia" w:ascii="宋体" w:hAnsi="宋体" w:eastAsia="宋体" w:cs="宋体"/>
                <w:color w:val="auto"/>
                <w:sz w:val="24"/>
                <w:szCs w:val="24"/>
                <w:highlight w:val="none"/>
              </w:rPr>
            </w:pPr>
          </w:p>
        </w:tc>
        <w:tc>
          <w:tcPr>
            <w:tcW w:w="1217" w:type="dxa"/>
          </w:tcPr>
          <w:p w14:paraId="5E36C584">
            <w:pPr>
              <w:spacing w:line="360" w:lineRule="auto"/>
              <w:rPr>
                <w:rFonts w:hint="eastAsia" w:ascii="宋体" w:hAnsi="宋体" w:eastAsia="宋体" w:cs="宋体"/>
                <w:color w:val="auto"/>
                <w:sz w:val="24"/>
                <w:szCs w:val="24"/>
                <w:highlight w:val="none"/>
              </w:rPr>
            </w:pPr>
          </w:p>
        </w:tc>
        <w:tc>
          <w:tcPr>
            <w:tcW w:w="1218" w:type="dxa"/>
          </w:tcPr>
          <w:p w14:paraId="0174F8EB">
            <w:pPr>
              <w:spacing w:line="360" w:lineRule="auto"/>
              <w:rPr>
                <w:rFonts w:hint="eastAsia" w:ascii="宋体" w:hAnsi="宋体" w:eastAsia="宋体" w:cs="宋体"/>
                <w:color w:val="auto"/>
                <w:sz w:val="24"/>
                <w:szCs w:val="24"/>
                <w:highlight w:val="none"/>
              </w:rPr>
            </w:pPr>
          </w:p>
        </w:tc>
        <w:tc>
          <w:tcPr>
            <w:tcW w:w="1218" w:type="dxa"/>
          </w:tcPr>
          <w:p w14:paraId="73E45B8E">
            <w:pPr>
              <w:spacing w:line="360" w:lineRule="auto"/>
              <w:rPr>
                <w:rFonts w:hint="eastAsia" w:ascii="宋体" w:hAnsi="宋体" w:eastAsia="宋体" w:cs="宋体"/>
                <w:color w:val="auto"/>
                <w:sz w:val="24"/>
                <w:szCs w:val="24"/>
                <w:highlight w:val="none"/>
              </w:rPr>
            </w:pPr>
          </w:p>
        </w:tc>
        <w:tc>
          <w:tcPr>
            <w:tcW w:w="1218" w:type="dxa"/>
          </w:tcPr>
          <w:p w14:paraId="618E3D87">
            <w:pPr>
              <w:spacing w:line="360" w:lineRule="auto"/>
              <w:rPr>
                <w:rFonts w:hint="eastAsia" w:ascii="宋体" w:hAnsi="宋体" w:eastAsia="宋体" w:cs="宋体"/>
                <w:color w:val="auto"/>
                <w:sz w:val="24"/>
                <w:szCs w:val="24"/>
                <w:highlight w:val="none"/>
              </w:rPr>
            </w:pPr>
          </w:p>
        </w:tc>
      </w:tr>
      <w:tr w14:paraId="1B95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4C7396B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75" w:type="dxa"/>
          </w:tcPr>
          <w:p w14:paraId="50FD3143">
            <w:pPr>
              <w:spacing w:line="360" w:lineRule="auto"/>
              <w:rPr>
                <w:rFonts w:hint="eastAsia" w:ascii="宋体" w:hAnsi="宋体" w:eastAsia="宋体" w:cs="宋体"/>
                <w:color w:val="auto"/>
                <w:sz w:val="24"/>
                <w:szCs w:val="24"/>
                <w:highlight w:val="none"/>
              </w:rPr>
            </w:pPr>
          </w:p>
        </w:tc>
        <w:tc>
          <w:tcPr>
            <w:tcW w:w="1217" w:type="dxa"/>
          </w:tcPr>
          <w:p w14:paraId="51477D57">
            <w:pPr>
              <w:spacing w:line="360" w:lineRule="auto"/>
              <w:rPr>
                <w:rFonts w:hint="eastAsia" w:ascii="宋体" w:hAnsi="宋体" w:eastAsia="宋体" w:cs="宋体"/>
                <w:color w:val="auto"/>
                <w:sz w:val="24"/>
                <w:szCs w:val="24"/>
                <w:highlight w:val="none"/>
              </w:rPr>
            </w:pPr>
          </w:p>
        </w:tc>
        <w:tc>
          <w:tcPr>
            <w:tcW w:w="1217" w:type="dxa"/>
          </w:tcPr>
          <w:p w14:paraId="46600BE8">
            <w:pPr>
              <w:spacing w:line="360" w:lineRule="auto"/>
              <w:rPr>
                <w:rFonts w:hint="eastAsia" w:ascii="宋体" w:hAnsi="宋体" w:eastAsia="宋体" w:cs="宋体"/>
                <w:color w:val="auto"/>
                <w:sz w:val="24"/>
                <w:szCs w:val="24"/>
                <w:highlight w:val="none"/>
              </w:rPr>
            </w:pPr>
          </w:p>
        </w:tc>
        <w:tc>
          <w:tcPr>
            <w:tcW w:w="1218" w:type="dxa"/>
          </w:tcPr>
          <w:p w14:paraId="081064F1">
            <w:pPr>
              <w:spacing w:line="360" w:lineRule="auto"/>
              <w:rPr>
                <w:rFonts w:hint="eastAsia" w:ascii="宋体" w:hAnsi="宋体" w:eastAsia="宋体" w:cs="宋体"/>
                <w:color w:val="auto"/>
                <w:sz w:val="24"/>
                <w:szCs w:val="24"/>
                <w:highlight w:val="none"/>
              </w:rPr>
            </w:pPr>
          </w:p>
        </w:tc>
        <w:tc>
          <w:tcPr>
            <w:tcW w:w="1218" w:type="dxa"/>
          </w:tcPr>
          <w:p w14:paraId="179BBCE5">
            <w:pPr>
              <w:spacing w:line="360" w:lineRule="auto"/>
              <w:rPr>
                <w:rFonts w:hint="eastAsia" w:ascii="宋体" w:hAnsi="宋体" w:eastAsia="宋体" w:cs="宋体"/>
                <w:color w:val="auto"/>
                <w:sz w:val="24"/>
                <w:szCs w:val="24"/>
                <w:highlight w:val="none"/>
              </w:rPr>
            </w:pPr>
          </w:p>
        </w:tc>
        <w:tc>
          <w:tcPr>
            <w:tcW w:w="1218" w:type="dxa"/>
          </w:tcPr>
          <w:p w14:paraId="3814CD22">
            <w:pPr>
              <w:spacing w:line="360" w:lineRule="auto"/>
              <w:rPr>
                <w:rFonts w:hint="eastAsia" w:ascii="宋体" w:hAnsi="宋体" w:eastAsia="宋体" w:cs="宋体"/>
                <w:color w:val="auto"/>
                <w:sz w:val="24"/>
                <w:szCs w:val="24"/>
                <w:highlight w:val="none"/>
              </w:rPr>
            </w:pPr>
          </w:p>
        </w:tc>
      </w:tr>
      <w:tr w14:paraId="7C6C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30E8FA7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75" w:type="dxa"/>
          </w:tcPr>
          <w:p w14:paraId="330FE7CF">
            <w:pPr>
              <w:spacing w:line="360" w:lineRule="auto"/>
              <w:rPr>
                <w:rFonts w:hint="eastAsia" w:ascii="宋体" w:hAnsi="宋体" w:eastAsia="宋体" w:cs="宋体"/>
                <w:color w:val="auto"/>
                <w:sz w:val="24"/>
                <w:szCs w:val="24"/>
                <w:highlight w:val="none"/>
              </w:rPr>
            </w:pPr>
          </w:p>
        </w:tc>
        <w:tc>
          <w:tcPr>
            <w:tcW w:w="1217" w:type="dxa"/>
          </w:tcPr>
          <w:p w14:paraId="46E283A8">
            <w:pPr>
              <w:spacing w:line="360" w:lineRule="auto"/>
              <w:rPr>
                <w:rFonts w:hint="eastAsia" w:ascii="宋体" w:hAnsi="宋体" w:eastAsia="宋体" w:cs="宋体"/>
                <w:color w:val="auto"/>
                <w:sz w:val="24"/>
                <w:szCs w:val="24"/>
                <w:highlight w:val="none"/>
              </w:rPr>
            </w:pPr>
          </w:p>
        </w:tc>
        <w:tc>
          <w:tcPr>
            <w:tcW w:w="1217" w:type="dxa"/>
          </w:tcPr>
          <w:p w14:paraId="2F3953E1">
            <w:pPr>
              <w:spacing w:line="360" w:lineRule="auto"/>
              <w:rPr>
                <w:rFonts w:hint="eastAsia" w:ascii="宋体" w:hAnsi="宋体" w:eastAsia="宋体" w:cs="宋体"/>
                <w:color w:val="auto"/>
                <w:sz w:val="24"/>
                <w:szCs w:val="24"/>
                <w:highlight w:val="none"/>
              </w:rPr>
            </w:pPr>
          </w:p>
        </w:tc>
        <w:tc>
          <w:tcPr>
            <w:tcW w:w="1218" w:type="dxa"/>
          </w:tcPr>
          <w:p w14:paraId="252DC09A">
            <w:pPr>
              <w:spacing w:line="360" w:lineRule="auto"/>
              <w:rPr>
                <w:rFonts w:hint="eastAsia" w:ascii="宋体" w:hAnsi="宋体" w:eastAsia="宋体" w:cs="宋体"/>
                <w:color w:val="auto"/>
                <w:sz w:val="24"/>
                <w:szCs w:val="24"/>
                <w:highlight w:val="none"/>
              </w:rPr>
            </w:pPr>
          </w:p>
        </w:tc>
        <w:tc>
          <w:tcPr>
            <w:tcW w:w="1218" w:type="dxa"/>
          </w:tcPr>
          <w:p w14:paraId="7509A50D">
            <w:pPr>
              <w:spacing w:line="360" w:lineRule="auto"/>
              <w:rPr>
                <w:rFonts w:hint="eastAsia" w:ascii="宋体" w:hAnsi="宋体" w:eastAsia="宋体" w:cs="宋体"/>
                <w:color w:val="auto"/>
                <w:sz w:val="24"/>
                <w:szCs w:val="24"/>
                <w:highlight w:val="none"/>
              </w:rPr>
            </w:pPr>
          </w:p>
        </w:tc>
        <w:tc>
          <w:tcPr>
            <w:tcW w:w="1218" w:type="dxa"/>
          </w:tcPr>
          <w:p w14:paraId="4E6AE81A">
            <w:pPr>
              <w:spacing w:line="360" w:lineRule="auto"/>
              <w:rPr>
                <w:rFonts w:hint="eastAsia" w:ascii="宋体" w:hAnsi="宋体" w:eastAsia="宋体" w:cs="宋体"/>
                <w:color w:val="auto"/>
                <w:sz w:val="24"/>
                <w:szCs w:val="24"/>
                <w:highlight w:val="none"/>
              </w:rPr>
            </w:pPr>
          </w:p>
        </w:tc>
      </w:tr>
      <w:tr w14:paraId="6B263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1F76FDF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475" w:type="dxa"/>
          </w:tcPr>
          <w:p w14:paraId="123B3723">
            <w:pPr>
              <w:spacing w:line="360" w:lineRule="auto"/>
              <w:rPr>
                <w:rFonts w:hint="eastAsia" w:ascii="宋体" w:hAnsi="宋体" w:eastAsia="宋体" w:cs="宋体"/>
                <w:color w:val="auto"/>
                <w:sz w:val="24"/>
                <w:szCs w:val="24"/>
                <w:highlight w:val="none"/>
              </w:rPr>
            </w:pPr>
          </w:p>
        </w:tc>
        <w:tc>
          <w:tcPr>
            <w:tcW w:w="1217" w:type="dxa"/>
          </w:tcPr>
          <w:p w14:paraId="208C7E57">
            <w:pPr>
              <w:spacing w:line="360" w:lineRule="auto"/>
              <w:rPr>
                <w:rFonts w:hint="eastAsia" w:ascii="宋体" w:hAnsi="宋体" w:eastAsia="宋体" w:cs="宋体"/>
                <w:color w:val="auto"/>
                <w:sz w:val="24"/>
                <w:szCs w:val="24"/>
                <w:highlight w:val="none"/>
              </w:rPr>
            </w:pPr>
          </w:p>
        </w:tc>
        <w:tc>
          <w:tcPr>
            <w:tcW w:w="1217" w:type="dxa"/>
          </w:tcPr>
          <w:p w14:paraId="438837E8">
            <w:pPr>
              <w:spacing w:line="360" w:lineRule="auto"/>
              <w:rPr>
                <w:rFonts w:hint="eastAsia" w:ascii="宋体" w:hAnsi="宋体" w:eastAsia="宋体" w:cs="宋体"/>
                <w:color w:val="auto"/>
                <w:sz w:val="24"/>
                <w:szCs w:val="24"/>
                <w:highlight w:val="none"/>
              </w:rPr>
            </w:pPr>
          </w:p>
        </w:tc>
        <w:tc>
          <w:tcPr>
            <w:tcW w:w="1218" w:type="dxa"/>
          </w:tcPr>
          <w:p w14:paraId="6B23A674">
            <w:pPr>
              <w:spacing w:line="360" w:lineRule="auto"/>
              <w:rPr>
                <w:rFonts w:hint="eastAsia" w:ascii="宋体" w:hAnsi="宋体" w:eastAsia="宋体" w:cs="宋体"/>
                <w:color w:val="auto"/>
                <w:sz w:val="24"/>
                <w:szCs w:val="24"/>
                <w:highlight w:val="none"/>
              </w:rPr>
            </w:pPr>
          </w:p>
        </w:tc>
        <w:tc>
          <w:tcPr>
            <w:tcW w:w="1218" w:type="dxa"/>
          </w:tcPr>
          <w:p w14:paraId="60944CF4">
            <w:pPr>
              <w:spacing w:line="360" w:lineRule="auto"/>
              <w:rPr>
                <w:rFonts w:hint="eastAsia" w:ascii="宋体" w:hAnsi="宋体" w:eastAsia="宋体" w:cs="宋体"/>
                <w:color w:val="auto"/>
                <w:sz w:val="24"/>
                <w:szCs w:val="24"/>
                <w:highlight w:val="none"/>
              </w:rPr>
            </w:pPr>
          </w:p>
        </w:tc>
        <w:tc>
          <w:tcPr>
            <w:tcW w:w="1218" w:type="dxa"/>
          </w:tcPr>
          <w:p w14:paraId="28B9F480">
            <w:pPr>
              <w:spacing w:line="360" w:lineRule="auto"/>
              <w:rPr>
                <w:rFonts w:hint="eastAsia" w:ascii="宋体" w:hAnsi="宋体" w:eastAsia="宋体" w:cs="宋体"/>
                <w:color w:val="auto"/>
                <w:sz w:val="24"/>
                <w:szCs w:val="24"/>
                <w:highlight w:val="none"/>
              </w:rPr>
            </w:pPr>
          </w:p>
        </w:tc>
      </w:tr>
      <w:tr w14:paraId="6C16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2A10E26C">
            <w:pPr>
              <w:spacing w:line="360" w:lineRule="auto"/>
              <w:rPr>
                <w:rFonts w:hint="eastAsia" w:ascii="宋体" w:hAnsi="宋体" w:eastAsia="宋体" w:cs="宋体"/>
                <w:color w:val="auto"/>
                <w:sz w:val="24"/>
                <w:szCs w:val="24"/>
                <w:highlight w:val="none"/>
              </w:rPr>
            </w:pPr>
          </w:p>
        </w:tc>
        <w:tc>
          <w:tcPr>
            <w:tcW w:w="1475" w:type="dxa"/>
          </w:tcPr>
          <w:p w14:paraId="78606DCD">
            <w:pPr>
              <w:spacing w:line="360" w:lineRule="auto"/>
              <w:rPr>
                <w:rFonts w:hint="eastAsia" w:ascii="宋体" w:hAnsi="宋体" w:eastAsia="宋体" w:cs="宋体"/>
                <w:color w:val="auto"/>
                <w:sz w:val="24"/>
                <w:szCs w:val="24"/>
                <w:highlight w:val="none"/>
              </w:rPr>
            </w:pPr>
          </w:p>
        </w:tc>
        <w:tc>
          <w:tcPr>
            <w:tcW w:w="1217" w:type="dxa"/>
          </w:tcPr>
          <w:p w14:paraId="747BA0FE">
            <w:pPr>
              <w:spacing w:line="360" w:lineRule="auto"/>
              <w:rPr>
                <w:rFonts w:hint="eastAsia" w:ascii="宋体" w:hAnsi="宋体" w:eastAsia="宋体" w:cs="宋体"/>
                <w:color w:val="auto"/>
                <w:sz w:val="24"/>
                <w:szCs w:val="24"/>
                <w:highlight w:val="none"/>
              </w:rPr>
            </w:pPr>
          </w:p>
        </w:tc>
        <w:tc>
          <w:tcPr>
            <w:tcW w:w="1217" w:type="dxa"/>
          </w:tcPr>
          <w:p w14:paraId="749220C0">
            <w:pPr>
              <w:spacing w:line="360" w:lineRule="auto"/>
              <w:rPr>
                <w:rFonts w:hint="eastAsia" w:ascii="宋体" w:hAnsi="宋体" w:eastAsia="宋体" w:cs="宋体"/>
                <w:color w:val="auto"/>
                <w:sz w:val="24"/>
                <w:szCs w:val="24"/>
                <w:highlight w:val="none"/>
              </w:rPr>
            </w:pPr>
          </w:p>
        </w:tc>
        <w:tc>
          <w:tcPr>
            <w:tcW w:w="1218" w:type="dxa"/>
          </w:tcPr>
          <w:p w14:paraId="6E9628EB">
            <w:pPr>
              <w:spacing w:line="360" w:lineRule="auto"/>
              <w:rPr>
                <w:rFonts w:hint="eastAsia" w:ascii="宋体" w:hAnsi="宋体" w:eastAsia="宋体" w:cs="宋体"/>
                <w:color w:val="auto"/>
                <w:sz w:val="24"/>
                <w:szCs w:val="24"/>
                <w:highlight w:val="none"/>
              </w:rPr>
            </w:pPr>
          </w:p>
        </w:tc>
        <w:tc>
          <w:tcPr>
            <w:tcW w:w="1218" w:type="dxa"/>
          </w:tcPr>
          <w:p w14:paraId="01095F75">
            <w:pPr>
              <w:spacing w:line="360" w:lineRule="auto"/>
              <w:rPr>
                <w:rFonts w:hint="eastAsia" w:ascii="宋体" w:hAnsi="宋体" w:eastAsia="宋体" w:cs="宋体"/>
                <w:color w:val="auto"/>
                <w:sz w:val="24"/>
                <w:szCs w:val="24"/>
                <w:highlight w:val="none"/>
              </w:rPr>
            </w:pPr>
          </w:p>
        </w:tc>
        <w:tc>
          <w:tcPr>
            <w:tcW w:w="1218" w:type="dxa"/>
          </w:tcPr>
          <w:p w14:paraId="66E498A9">
            <w:pPr>
              <w:spacing w:line="360" w:lineRule="auto"/>
              <w:rPr>
                <w:rFonts w:hint="eastAsia" w:ascii="宋体" w:hAnsi="宋体" w:eastAsia="宋体" w:cs="宋体"/>
                <w:color w:val="auto"/>
                <w:sz w:val="24"/>
                <w:szCs w:val="24"/>
                <w:highlight w:val="none"/>
              </w:rPr>
            </w:pPr>
          </w:p>
        </w:tc>
      </w:tr>
      <w:tr w14:paraId="6E6D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5592944B">
            <w:pPr>
              <w:spacing w:line="360" w:lineRule="auto"/>
              <w:rPr>
                <w:rFonts w:hint="eastAsia" w:ascii="宋体" w:hAnsi="宋体" w:eastAsia="宋体" w:cs="宋体"/>
                <w:color w:val="auto"/>
                <w:sz w:val="24"/>
                <w:szCs w:val="24"/>
                <w:highlight w:val="none"/>
              </w:rPr>
            </w:pPr>
          </w:p>
        </w:tc>
        <w:tc>
          <w:tcPr>
            <w:tcW w:w="1475" w:type="dxa"/>
          </w:tcPr>
          <w:p w14:paraId="0973A3C8">
            <w:pPr>
              <w:spacing w:line="360" w:lineRule="auto"/>
              <w:rPr>
                <w:rFonts w:hint="eastAsia" w:ascii="宋体" w:hAnsi="宋体" w:eastAsia="宋体" w:cs="宋体"/>
                <w:color w:val="auto"/>
                <w:sz w:val="24"/>
                <w:szCs w:val="24"/>
                <w:highlight w:val="none"/>
              </w:rPr>
            </w:pPr>
          </w:p>
        </w:tc>
        <w:tc>
          <w:tcPr>
            <w:tcW w:w="1217" w:type="dxa"/>
          </w:tcPr>
          <w:p w14:paraId="0F446652">
            <w:pPr>
              <w:spacing w:line="360" w:lineRule="auto"/>
              <w:rPr>
                <w:rFonts w:hint="eastAsia" w:ascii="宋体" w:hAnsi="宋体" w:eastAsia="宋体" w:cs="宋体"/>
                <w:color w:val="auto"/>
                <w:sz w:val="24"/>
                <w:szCs w:val="24"/>
                <w:highlight w:val="none"/>
              </w:rPr>
            </w:pPr>
          </w:p>
        </w:tc>
        <w:tc>
          <w:tcPr>
            <w:tcW w:w="1217" w:type="dxa"/>
          </w:tcPr>
          <w:p w14:paraId="0E6CA84E">
            <w:pPr>
              <w:spacing w:line="360" w:lineRule="auto"/>
              <w:rPr>
                <w:rFonts w:hint="eastAsia" w:ascii="宋体" w:hAnsi="宋体" w:eastAsia="宋体" w:cs="宋体"/>
                <w:color w:val="auto"/>
                <w:sz w:val="24"/>
                <w:szCs w:val="24"/>
                <w:highlight w:val="none"/>
              </w:rPr>
            </w:pPr>
          </w:p>
        </w:tc>
        <w:tc>
          <w:tcPr>
            <w:tcW w:w="1218" w:type="dxa"/>
          </w:tcPr>
          <w:p w14:paraId="0B42D6DA">
            <w:pPr>
              <w:spacing w:line="360" w:lineRule="auto"/>
              <w:rPr>
                <w:rFonts w:hint="eastAsia" w:ascii="宋体" w:hAnsi="宋体" w:eastAsia="宋体" w:cs="宋体"/>
                <w:color w:val="auto"/>
                <w:sz w:val="24"/>
                <w:szCs w:val="24"/>
                <w:highlight w:val="none"/>
              </w:rPr>
            </w:pPr>
          </w:p>
        </w:tc>
        <w:tc>
          <w:tcPr>
            <w:tcW w:w="1218" w:type="dxa"/>
          </w:tcPr>
          <w:p w14:paraId="667B2A22">
            <w:pPr>
              <w:spacing w:line="360" w:lineRule="auto"/>
              <w:rPr>
                <w:rFonts w:hint="eastAsia" w:ascii="宋体" w:hAnsi="宋体" w:eastAsia="宋体" w:cs="宋体"/>
                <w:color w:val="auto"/>
                <w:sz w:val="24"/>
                <w:szCs w:val="24"/>
                <w:highlight w:val="none"/>
              </w:rPr>
            </w:pPr>
          </w:p>
        </w:tc>
        <w:tc>
          <w:tcPr>
            <w:tcW w:w="1218" w:type="dxa"/>
          </w:tcPr>
          <w:p w14:paraId="0A82EDB4">
            <w:pPr>
              <w:spacing w:line="360" w:lineRule="auto"/>
              <w:rPr>
                <w:rFonts w:hint="eastAsia" w:ascii="宋体" w:hAnsi="宋体" w:eastAsia="宋体" w:cs="宋体"/>
                <w:color w:val="auto"/>
                <w:sz w:val="24"/>
                <w:szCs w:val="24"/>
                <w:highlight w:val="none"/>
              </w:rPr>
            </w:pPr>
          </w:p>
        </w:tc>
      </w:tr>
      <w:tr w14:paraId="1DB3F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14:paraId="1AA1347B">
            <w:pPr>
              <w:spacing w:line="360" w:lineRule="auto"/>
              <w:rPr>
                <w:rFonts w:hint="eastAsia" w:ascii="宋体" w:hAnsi="宋体" w:eastAsia="宋体" w:cs="宋体"/>
                <w:color w:val="auto"/>
                <w:sz w:val="24"/>
                <w:szCs w:val="24"/>
                <w:highlight w:val="none"/>
              </w:rPr>
            </w:pPr>
          </w:p>
        </w:tc>
        <w:tc>
          <w:tcPr>
            <w:tcW w:w="1475" w:type="dxa"/>
          </w:tcPr>
          <w:p w14:paraId="28B0EC70">
            <w:pPr>
              <w:spacing w:line="360" w:lineRule="auto"/>
              <w:rPr>
                <w:rFonts w:hint="eastAsia" w:ascii="宋体" w:hAnsi="宋体" w:eastAsia="宋体" w:cs="宋体"/>
                <w:color w:val="auto"/>
                <w:sz w:val="24"/>
                <w:szCs w:val="24"/>
                <w:highlight w:val="none"/>
              </w:rPr>
            </w:pPr>
          </w:p>
        </w:tc>
        <w:tc>
          <w:tcPr>
            <w:tcW w:w="1217" w:type="dxa"/>
          </w:tcPr>
          <w:p w14:paraId="2F483B5C">
            <w:pPr>
              <w:spacing w:line="360" w:lineRule="auto"/>
              <w:rPr>
                <w:rFonts w:hint="eastAsia" w:ascii="宋体" w:hAnsi="宋体" w:eastAsia="宋体" w:cs="宋体"/>
                <w:color w:val="auto"/>
                <w:sz w:val="24"/>
                <w:szCs w:val="24"/>
                <w:highlight w:val="none"/>
              </w:rPr>
            </w:pPr>
          </w:p>
        </w:tc>
        <w:tc>
          <w:tcPr>
            <w:tcW w:w="1217" w:type="dxa"/>
          </w:tcPr>
          <w:p w14:paraId="5D05304E">
            <w:pPr>
              <w:spacing w:line="360" w:lineRule="auto"/>
              <w:rPr>
                <w:rFonts w:hint="eastAsia" w:ascii="宋体" w:hAnsi="宋体" w:eastAsia="宋体" w:cs="宋体"/>
                <w:color w:val="auto"/>
                <w:sz w:val="24"/>
                <w:szCs w:val="24"/>
                <w:highlight w:val="none"/>
              </w:rPr>
            </w:pPr>
          </w:p>
        </w:tc>
        <w:tc>
          <w:tcPr>
            <w:tcW w:w="1218" w:type="dxa"/>
          </w:tcPr>
          <w:p w14:paraId="28A530A1">
            <w:pPr>
              <w:spacing w:line="360" w:lineRule="auto"/>
              <w:rPr>
                <w:rFonts w:hint="eastAsia" w:ascii="宋体" w:hAnsi="宋体" w:eastAsia="宋体" w:cs="宋体"/>
                <w:color w:val="auto"/>
                <w:sz w:val="24"/>
                <w:szCs w:val="24"/>
                <w:highlight w:val="none"/>
              </w:rPr>
            </w:pPr>
          </w:p>
        </w:tc>
        <w:tc>
          <w:tcPr>
            <w:tcW w:w="1218" w:type="dxa"/>
          </w:tcPr>
          <w:p w14:paraId="5548C09B">
            <w:pPr>
              <w:spacing w:line="360" w:lineRule="auto"/>
              <w:rPr>
                <w:rFonts w:hint="eastAsia" w:ascii="宋体" w:hAnsi="宋体" w:eastAsia="宋体" w:cs="宋体"/>
                <w:color w:val="auto"/>
                <w:sz w:val="24"/>
                <w:szCs w:val="24"/>
                <w:highlight w:val="none"/>
              </w:rPr>
            </w:pPr>
          </w:p>
        </w:tc>
        <w:tc>
          <w:tcPr>
            <w:tcW w:w="1218" w:type="dxa"/>
          </w:tcPr>
          <w:p w14:paraId="792DC2C6">
            <w:pPr>
              <w:spacing w:line="360" w:lineRule="auto"/>
              <w:rPr>
                <w:rFonts w:hint="eastAsia" w:ascii="宋体" w:hAnsi="宋体" w:eastAsia="宋体" w:cs="宋体"/>
                <w:color w:val="auto"/>
                <w:sz w:val="24"/>
                <w:szCs w:val="24"/>
                <w:highlight w:val="none"/>
              </w:rPr>
            </w:pPr>
          </w:p>
        </w:tc>
      </w:tr>
    </w:tbl>
    <w:p w14:paraId="6720664F">
      <w:pPr>
        <w:spacing w:line="360" w:lineRule="auto"/>
        <w:rPr>
          <w:rFonts w:hint="eastAsia" w:ascii="宋体" w:hAnsi="宋体" w:eastAsia="宋体" w:cs="宋体"/>
          <w:color w:val="auto"/>
          <w:sz w:val="24"/>
          <w:highlight w:val="none"/>
        </w:rPr>
      </w:pPr>
    </w:p>
    <w:p w14:paraId="52F1F922">
      <w:pPr>
        <w:spacing w:line="360" w:lineRule="auto"/>
        <w:rPr>
          <w:rFonts w:hint="eastAsia" w:ascii="宋体" w:hAnsi="宋体" w:eastAsia="宋体" w:cs="宋体"/>
          <w:color w:val="auto"/>
          <w:sz w:val="24"/>
          <w:highlight w:val="none"/>
        </w:rPr>
      </w:pPr>
    </w:p>
    <w:p w14:paraId="3268263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（加盖公章）： </w:t>
      </w:r>
    </w:p>
    <w:p w14:paraId="6C62978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201F67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highlight w:val="none"/>
        </w:rPr>
        <w:t>签字或盖章</w:t>
      </w:r>
      <w:r>
        <w:rPr>
          <w:rFonts w:hint="eastAsia" w:ascii="宋体" w:hAnsi="宋体" w:eastAsia="宋体" w:cs="宋体"/>
          <w:color w:val="auto"/>
          <w:sz w:val="24"/>
          <w:szCs w:val="24"/>
          <w:highlight w:val="none"/>
        </w:rPr>
        <w:t xml:space="preserve">）： </w:t>
      </w:r>
    </w:p>
    <w:p w14:paraId="2595EC2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97BE7C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26AD03D9">
      <w:pPr>
        <w:spacing w:line="360" w:lineRule="auto"/>
        <w:rPr>
          <w:rFonts w:hint="eastAsia" w:ascii="宋体" w:hAnsi="宋体" w:eastAsia="宋体" w:cs="宋体"/>
          <w:color w:val="auto"/>
          <w:sz w:val="24"/>
          <w:highlight w:val="none"/>
        </w:rPr>
      </w:pPr>
    </w:p>
    <w:p w14:paraId="2180B73B">
      <w:pPr>
        <w:rPr>
          <w:rFonts w:hint="eastAsia" w:ascii="宋体" w:hAnsi="宋体" w:eastAsia="宋体" w:cs="宋体"/>
          <w:b/>
          <w:color w:val="auto"/>
          <w:sz w:val="32"/>
          <w:szCs w:val="36"/>
          <w:highlight w:val="none"/>
        </w:rPr>
      </w:pPr>
    </w:p>
    <w:p w14:paraId="6709A4CA">
      <w:pPr>
        <w:rPr>
          <w:rFonts w:hint="eastAsia" w:ascii="宋体" w:hAnsi="宋体" w:eastAsia="宋体" w:cs="宋体"/>
          <w:b/>
          <w:color w:val="auto"/>
          <w:sz w:val="32"/>
          <w:szCs w:val="36"/>
          <w:highlight w:val="none"/>
        </w:rPr>
      </w:pPr>
      <w:r>
        <w:rPr>
          <w:rFonts w:hint="eastAsia" w:ascii="宋体" w:hAnsi="宋体" w:eastAsia="宋体" w:cs="宋体"/>
          <w:b/>
          <w:color w:val="auto"/>
          <w:sz w:val="32"/>
          <w:szCs w:val="36"/>
          <w:highlight w:val="none"/>
        </w:rPr>
        <w:br w:type="page"/>
      </w:r>
    </w:p>
    <w:p w14:paraId="1CF8CA3C">
      <w:pPr>
        <w:pStyle w:val="21"/>
        <w:ind w:firstLine="210"/>
        <w:rPr>
          <w:rFonts w:hint="eastAsia" w:ascii="宋体" w:hAnsi="宋体" w:eastAsia="宋体" w:cs="宋体"/>
          <w:color w:val="auto"/>
          <w:highlight w:val="none"/>
        </w:rPr>
      </w:pPr>
    </w:p>
    <w:p w14:paraId="536B0CAD">
      <w:pPr>
        <w:jc w:val="center"/>
        <w:rPr>
          <w:rFonts w:hint="eastAsia" w:ascii="宋体" w:hAnsi="宋体" w:eastAsia="宋体" w:cs="宋体"/>
          <w:b/>
          <w:color w:val="auto"/>
          <w:sz w:val="32"/>
          <w:szCs w:val="36"/>
          <w:highlight w:val="none"/>
        </w:rPr>
      </w:pPr>
    </w:p>
    <w:p w14:paraId="43935C92">
      <w:pPr>
        <w:pStyle w:val="3"/>
        <w:spacing w:before="0" w:after="0"/>
        <w:jc w:val="center"/>
        <w:outlineLvl w:val="9"/>
        <w:rPr>
          <w:rFonts w:hint="eastAsia" w:ascii="宋体" w:hAnsi="宋体" w:eastAsia="宋体" w:cs="宋体"/>
          <w:color w:val="auto"/>
          <w:sz w:val="28"/>
          <w:highlight w:val="none"/>
        </w:rPr>
      </w:pPr>
      <w:bookmarkStart w:id="355" w:name="_Toc8227"/>
      <w:bookmarkStart w:id="356" w:name="_Toc19080"/>
      <w:bookmarkStart w:id="357" w:name="_Toc20827"/>
      <w:bookmarkStart w:id="358" w:name="_Toc17173"/>
      <w:bookmarkStart w:id="359" w:name="_Toc9232"/>
      <w:r>
        <w:rPr>
          <w:rFonts w:hint="eastAsia" w:ascii="宋体" w:hAnsi="宋体" w:eastAsia="宋体" w:cs="宋体"/>
          <w:color w:val="auto"/>
          <w:sz w:val="28"/>
          <w:highlight w:val="none"/>
        </w:rPr>
        <w:t>五、近年投标产品类似业绩</w:t>
      </w:r>
      <w:bookmarkEnd w:id="355"/>
      <w:bookmarkEnd w:id="356"/>
      <w:bookmarkEnd w:id="357"/>
      <w:bookmarkEnd w:id="358"/>
      <w:bookmarkEnd w:id="359"/>
    </w:p>
    <w:tbl>
      <w:tblPr>
        <w:tblStyle w:val="23"/>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3107"/>
        <w:gridCol w:w="1712"/>
        <w:gridCol w:w="3173"/>
      </w:tblGrid>
      <w:tr w14:paraId="1EACE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 w:type="dxa"/>
            <w:vAlign w:val="center"/>
          </w:tcPr>
          <w:p w14:paraId="57779CFF">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3107" w:type="dxa"/>
            <w:vAlign w:val="center"/>
          </w:tcPr>
          <w:p w14:paraId="3C38C8E7">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1712" w:type="dxa"/>
            <w:vAlign w:val="center"/>
          </w:tcPr>
          <w:p w14:paraId="43856AC9">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合同签订时间</w:t>
            </w:r>
          </w:p>
        </w:tc>
        <w:tc>
          <w:tcPr>
            <w:tcW w:w="3173" w:type="dxa"/>
            <w:vAlign w:val="center"/>
          </w:tcPr>
          <w:p w14:paraId="279D0038">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招标单位联系人及联系电话</w:t>
            </w:r>
          </w:p>
        </w:tc>
      </w:tr>
      <w:tr w14:paraId="5972D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 w:type="dxa"/>
            <w:vAlign w:val="center"/>
          </w:tcPr>
          <w:p w14:paraId="28E3FA48">
            <w:pPr>
              <w:spacing w:line="360" w:lineRule="auto"/>
              <w:jc w:val="center"/>
              <w:rPr>
                <w:rFonts w:hint="eastAsia" w:ascii="宋体" w:hAnsi="宋体" w:eastAsia="宋体" w:cs="宋体"/>
                <w:color w:val="auto"/>
                <w:kern w:val="0"/>
                <w:sz w:val="24"/>
                <w:szCs w:val="24"/>
                <w:highlight w:val="none"/>
              </w:rPr>
            </w:pPr>
          </w:p>
        </w:tc>
        <w:tc>
          <w:tcPr>
            <w:tcW w:w="3107" w:type="dxa"/>
            <w:vAlign w:val="center"/>
          </w:tcPr>
          <w:p w14:paraId="36D9422B">
            <w:pPr>
              <w:spacing w:line="360" w:lineRule="auto"/>
              <w:jc w:val="center"/>
              <w:rPr>
                <w:rFonts w:hint="eastAsia" w:ascii="宋体" w:hAnsi="宋体" w:eastAsia="宋体" w:cs="宋体"/>
                <w:color w:val="auto"/>
                <w:kern w:val="0"/>
                <w:sz w:val="24"/>
                <w:szCs w:val="24"/>
                <w:highlight w:val="none"/>
              </w:rPr>
            </w:pPr>
          </w:p>
        </w:tc>
        <w:tc>
          <w:tcPr>
            <w:tcW w:w="1712" w:type="dxa"/>
            <w:vAlign w:val="center"/>
          </w:tcPr>
          <w:p w14:paraId="292F436D">
            <w:pPr>
              <w:spacing w:line="360" w:lineRule="auto"/>
              <w:jc w:val="center"/>
              <w:rPr>
                <w:rFonts w:hint="eastAsia" w:ascii="宋体" w:hAnsi="宋体" w:eastAsia="宋体" w:cs="宋体"/>
                <w:color w:val="auto"/>
                <w:kern w:val="0"/>
                <w:sz w:val="24"/>
                <w:szCs w:val="24"/>
                <w:highlight w:val="none"/>
              </w:rPr>
            </w:pPr>
          </w:p>
        </w:tc>
        <w:tc>
          <w:tcPr>
            <w:tcW w:w="3173" w:type="dxa"/>
            <w:vAlign w:val="center"/>
          </w:tcPr>
          <w:p w14:paraId="6CC1E750">
            <w:pPr>
              <w:spacing w:line="360" w:lineRule="auto"/>
              <w:jc w:val="center"/>
              <w:rPr>
                <w:rFonts w:hint="eastAsia" w:ascii="宋体" w:hAnsi="宋体" w:eastAsia="宋体" w:cs="宋体"/>
                <w:color w:val="auto"/>
                <w:kern w:val="0"/>
                <w:sz w:val="24"/>
                <w:szCs w:val="24"/>
                <w:highlight w:val="none"/>
              </w:rPr>
            </w:pPr>
          </w:p>
        </w:tc>
      </w:tr>
      <w:tr w14:paraId="2F67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 w:type="dxa"/>
            <w:vAlign w:val="center"/>
          </w:tcPr>
          <w:p w14:paraId="38115BB7">
            <w:pPr>
              <w:spacing w:line="360" w:lineRule="auto"/>
              <w:jc w:val="center"/>
              <w:rPr>
                <w:rFonts w:hint="eastAsia" w:ascii="宋体" w:hAnsi="宋体" w:eastAsia="宋体" w:cs="宋体"/>
                <w:color w:val="auto"/>
                <w:kern w:val="0"/>
                <w:sz w:val="24"/>
                <w:szCs w:val="24"/>
                <w:highlight w:val="none"/>
              </w:rPr>
            </w:pPr>
          </w:p>
        </w:tc>
        <w:tc>
          <w:tcPr>
            <w:tcW w:w="3107" w:type="dxa"/>
            <w:vAlign w:val="center"/>
          </w:tcPr>
          <w:p w14:paraId="3CAA440F">
            <w:pPr>
              <w:spacing w:line="360" w:lineRule="auto"/>
              <w:jc w:val="center"/>
              <w:rPr>
                <w:rFonts w:hint="eastAsia" w:ascii="宋体" w:hAnsi="宋体" w:eastAsia="宋体" w:cs="宋体"/>
                <w:color w:val="auto"/>
                <w:kern w:val="0"/>
                <w:sz w:val="24"/>
                <w:szCs w:val="24"/>
                <w:highlight w:val="none"/>
              </w:rPr>
            </w:pPr>
          </w:p>
        </w:tc>
        <w:tc>
          <w:tcPr>
            <w:tcW w:w="1712" w:type="dxa"/>
            <w:vAlign w:val="center"/>
          </w:tcPr>
          <w:p w14:paraId="4B18846C">
            <w:pPr>
              <w:spacing w:line="360" w:lineRule="auto"/>
              <w:jc w:val="center"/>
              <w:rPr>
                <w:rFonts w:hint="eastAsia" w:ascii="宋体" w:hAnsi="宋体" w:eastAsia="宋体" w:cs="宋体"/>
                <w:color w:val="auto"/>
                <w:kern w:val="0"/>
                <w:sz w:val="24"/>
                <w:szCs w:val="24"/>
                <w:highlight w:val="none"/>
              </w:rPr>
            </w:pPr>
          </w:p>
        </w:tc>
        <w:tc>
          <w:tcPr>
            <w:tcW w:w="3173" w:type="dxa"/>
            <w:vAlign w:val="center"/>
          </w:tcPr>
          <w:p w14:paraId="02625F54">
            <w:pPr>
              <w:spacing w:line="360" w:lineRule="auto"/>
              <w:jc w:val="center"/>
              <w:rPr>
                <w:rFonts w:hint="eastAsia" w:ascii="宋体" w:hAnsi="宋体" w:eastAsia="宋体" w:cs="宋体"/>
                <w:color w:val="auto"/>
                <w:kern w:val="0"/>
                <w:sz w:val="24"/>
                <w:szCs w:val="24"/>
                <w:highlight w:val="none"/>
              </w:rPr>
            </w:pPr>
          </w:p>
        </w:tc>
      </w:tr>
      <w:tr w14:paraId="765D9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 w:type="dxa"/>
            <w:vAlign w:val="center"/>
          </w:tcPr>
          <w:p w14:paraId="1B27E474">
            <w:pPr>
              <w:spacing w:line="360" w:lineRule="auto"/>
              <w:jc w:val="center"/>
              <w:rPr>
                <w:rFonts w:hint="eastAsia" w:ascii="宋体" w:hAnsi="宋体" w:eastAsia="宋体" w:cs="宋体"/>
                <w:color w:val="auto"/>
                <w:kern w:val="0"/>
                <w:sz w:val="24"/>
                <w:szCs w:val="24"/>
                <w:highlight w:val="none"/>
              </w:rPr>
            </w:pPr>
          </w:p>
        </w:tc>
        <w:tc>
          <w:tcPr>
            <w:tcW w:w="3107" w:type="dxa"/>
            <w:vAlign w:val="center"/>
          </w:tcPr>
          <w:p w14:paraId="0211A6A3">
            <w:pPr>
              <w:spacing w:line="360" w:lineRule="auto"/>
              <w:jc w:val="center"/>
              <w:rPr>
                <w:rFonts w:hint="eastAsia" w:ascii="宋体" w:hAnsi="宋体" w:eastAsia="宋体" w:cs="宋体"/>
                <w:color w:val="auto"/>
                <w:kern w:val="0"/>
                <w:sz w:val="24"/>
                <w:szCs w:val="24"/>
                <w:highlight w:val="none"/>
              </w:rPr>
            </w:pPr>
          </w:p>
        </w:tc>
        <w:tc>
          <w:tcPr>
            <w:tcW w:w="1712" w:type="dxa"/>
            <w:vAlign w:val="center"/>
          </w:tcPr>
          <w:p w14:paraId="0010A5DF">
            <w:pPr>
              <w:spacing w:line="360" w:lineRule="auto"/>
              <w:jc w:val="center"/>
              <w:rPr>
                <w:rFonts w:hint="eastAsia" w:ascii="宋体" w:hAnsi="宋体" w:eastAsia="宋体" w:cs="宋体"/>
                <w:color w:val="auto"/>
                <w:kern w:val="0"/>
                <w:sz w:val="24"/>
                <w:szCs w:val="24"/>
                <w:highlight w:val="none"/>
              </w:rPr>
            </w:pPr>
          </w:p>
        </w:tc>
        <w:tc>
          <w:tcPr>
            <w:tcW w:w="3173" w:type="dxa"/>
            <w:vAlign w:val="center"/>
          </w:tcPr>
          <w:p w14:paraId="6B4695E3">
            <w:pPr>
              <w:spacing w:line="360" w:lineRule="auto"/>
              <w:jc w:val="center"/>
              <w:rPr>
                <w:rFonts w:hint="eastAsia" w:ascii="宋体" w:hAnsi="宋体" w:eastAsia="宋体" w:cs="宋体"/>
                <w:color w:val="auto"/>
                <w:kern w:val="0"/>
                <w:sz w:val="24"/>
                <w:szCs w:val="24"/>
                <w:highlight w:val="none"/>
              </w:rPr>
            </w:pPr>
          </w:p>
        </w:tc>
      </w:tr>
      <w:tr w14:paraId="2532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 w:type="dxa"/>
            <w:vAlign w:val="center"/>
          </w:tcPr>
          <w:p w14:paraId="6BA59A7C">
            <w:pPr>
              <w:spacing w:line="360" w:lineRule="auto"/>
              <w:jc w:val="center"/>
              <w:rPr>
                <w:rFonts w:hint="eastAsia" w:ascii="宋体" w:hAnsi="宋体" w:eastAsia="宋体" w:cs="宋体"/>
                <w:color w:val="auto"/>
                <w:kern w:val="0"/>
                <w:sz w:val="24"/>
                <w:szCs w:val="24"/>
                <w:highlight w:val="none"/>
              </w:rPr>
            </w:pPr>
          </w:p>
        </w:tc>
        <w:tc>
          <w:tcPr>
            <w:tcW w:w="3107" w:type="dxa"/>
            <w:vAlign w:val="center"/>
          </w:tcPr>
          <w:p w14:paraId="4AC8C77E">
            <w:pPr>
              <w:spacing w:line="360" w:lineRule="auto"/>
              <w:jc w:val="center"/>
              <w:rPr>
                <w:rFonts w:hint="eastAsia" w:ascii="宋体" w:hAnsi="宋体" w:eastAsia="宋体" w:cs="宋体"/>
                <w:color w:val="auto"/>
                <w:kern w:val="0"/>
                <w:sz w:val="24"/>
                <w:szCs w:val="24"/>
                <w:highlight w:val="none"/>
              </w:rPr>
            </w:pPr>
          </w:p>
        </w:tc>
        <w:tc>
          <w:tcPr>
            <w:tcW w:w="1712" w:type="dxa"/>
            <w:vAlign w:val="center"/>
          </w:tcPr>
          <w:p w14:paraId="710917D4">
            <w:pPr>
              <w:spacing w:line="360" w:lineRule="auto"/>
              <w:jc w:val="center"/>
              <w:rPr>
                <w:rFonts w:hint="eastAsia" w:ascii="宋体" w:hAnsi="宋体" w:eastAsia="宋体" w:cs="宋体"/>
                <w:color w:val="auto"/>
                <w:kern w:val="0"/>
                <w:sz w:val="24"/>
                <w:szCs w:val="24"/>
                <w:highlight w:val="none"/>
              </w:rPr>
            </w:pPr>
          </w:p>
        </w:tc>
        <w:tc>
          <w:tcPr>
            <w:tcW w:w="3173" w:type="dxa"/>
            <w:vAlign w:val="center"/>
          </w:tcPr>
          <w:p w14:paraId="49469137">
            <w:pPr>
              <w:spacing w:line="360" w:lineRule="auto"/>
              <w:jc w:val="center"/>
              <w:rPr>
                <w:rFonts w:hint="eastAsia" w:ascii="宋体" w:hAnsi="宋体" w:eastAsia="宋体" w:cs="宋体"/>
                <w:color w:val="auto"/>
                <w:kern w:val="0"/>
                <w:sz w:val="24"/>
                <w:szCs w:val="24"/>
                <w:highlight w:val="none"/>
              </w:rPr>
            </w:pPr>
          </w:p>
        </w:tc>
      </w:tr>
      <w:tr w14:paraId="427B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 w:type="dxa"/>
            <w:vAlign w:val="center"/>
          </w:tcPr>
          <w:p w14:paraId="1C13D42C">
            <w:pPr>
              <w:spacing w:line="360" w:lineRule="auto"/>
              <w:jc w:val="center"/>
              <w:rPr>
                <w:rFonts w:hint="eastAsia" w:ascii="宋体" w:hAnsi="宋体" w:eastAsia="宋体" w:cs="宋体"/>
                <w:color w:val="auto"/>
                <w:kern w:val="0"/>
                <w:sz w:val="24"/>
                <w:szCs w:val="24"/>
                <w:highlight w:val="none"/>
              </w:rPr>
            </w:pPr>
          </w:p>
        </w:tc>
        <w:tc>
          <w:tcPr>
            <w:tcW w:w="3107" w:type="dxa"/>
            <w:vAlign w:val="center"/>
          </w:tcPr>
          <w:p w14:paraId="32594548">
            <w:pPr>
              <w:spacing w:line="360" w:lineRule="auto"/>
              <w:jc w:val="center"/>
              <w:rPr>
                <w:rFonts w:hint="eastAsia" w:ascii="宋体" w:hAnsi="宋体" w:eastAsia="宋体" w:cs="宋体"/>
                <w:color w:val="auto"/>
                <w:kern w:val="0"/>
                <w:sz w:val="24"/>
                <w:szCs w:val="24"/>
                <w:highlight w:val="none"/>
              </w:rPr>
            </w:pPr>
          </w:p>
        </w:tc>
        <w:tc>
          <w:tcPr>
            <w:tcW w:w="1712" w:type="dxa"/>
            <w:vAlign w:val="center"/>
          </w:tcPr>
          <w:p w14:paraId="2FF4B752">
            <w:pPr>
              <w:spacing w:line="360" w:lineRule="auto"/>
              <w:jc w:val="center"/>
              <w:rPr>
                <w:rFonts w:hint="eastAsia" w:ascii="宋体" w:hAnsi="宋体" w:eastAsia="宋体" w:cs="宋体"/>
                <w:color w:val="auto"/>
                <w:kern w:val="0"/>
                <w:sz w:val="24"/>
                <w:szCs w:val="24"/>
                <w:highlight w:val="none"/>
              </w:rPr>
            </w:pPr>
          </w:p>
        </w:tc>
        <w:tc>
          <w:tcPr>
            <w:tcW w:w="3173" w:type="dxa"/>
            <w:vAlign w:val="center"/>
          </w:tcPr>
          <w:p w14:paraId="1D80A6AF">
            <w:pPr>
              <w:spacing w:line="360" w:lineRule="auto"/>
              <w:jc w:val="center"/>
              <w:rPr>
                <w:rFonts w:hint="eastAsia" w:ascii="宋体" w:hAnsi="宋体" w:eastAsia="宋体" w:cs="宋体"/>
                <w:color w:val="auto"/>
                <w:kern w:val="0"/>
                <w:sz w:val="24"/>
                <w:szCs w:val="24"/>
                <w:highlight w:val="none"/>
              </w:rPr>
            </w:pPr>
          </w:p>
        </w:tc>
      </w:tr>
      <w:tr w14:paraId="3771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 w:type="dxa"/>
            <w:vAlign w:val="center"/>
          </w:tcPr>
          <w:p w14:paraId="4C3F315E">
            <w:pPr>
              <w:spacing w:line="360" w:lineRule="auto"/>
              <w:jc w:val="center"/>
              <w:rPr>
                <w:rFonts w:hint="eastAsia" w:ascii="宋体" w:hAnsi="宋体" w:eastAsia="宋体" w:cs="宋体"/>
                <w:color w:val="auto"/>
                <w:kern w:val="0"/>
                <w:sz w:val="24"/>
                <w:szCs w:val="24"/>
                <w:highlight w:val="none"/>
              </w:rPr>
            </w:pPr>
          </w:p>
        </w:tc>
        <w:tc>
          <w:tcPr>
            <w:tcW w:w="3107" w:type="dxa"/>
            <w:vAlign w:val="center"/>
          </w:tcPr>
          <w:p w14:paraId="1A04E6F8">
            <w:pPr>
              <w:spacing w:line="360" w:lineRule="auto"/>
              <w:jc w:val="center"/>
              <w:rPr>
                <w:rFonts w:hint="eastAsia" w:ascii="宋体" w:hAnsi="宋体" w:eastAsia="宋体" w:cs="宋体"/>
                <w:color w:val="auto"/>
                <w:kern w:val="0"/>
                <w:sz w:val="24"/>
                <w:szCs w:val="24"/>
                <w:highlight w:val="none"/>
              </w:rPr>
            </w:pPr>
          </w:p>
        </w:tc>
        <w:tc>
          <w:tcPr>
            <w:tcW w:w="1712" w:type="dxa"/>
            <w:vAlign w:val="center"/>
          </w:tcPr>
          <w:p w14:paraId="67AC2E98">
            <w:pPr>
              <w:spacing w:line="360" w:lineRule="auto"/>
              <w:jc w:val="center"/>
              <w:rPr>
                <w:rFonts w:hint="eastAsia" w:ascii="宋体" w:hAnsi="宋体" w:eastAsia="宋体" w:cs="宋体"/>
                <w:color w:val="auto"/>
                <w:kern w:val="0"/>
                <w:sz w:val="24"/>
                <w:szCs w:val="24"/>
                <w:highlight w:val="none"/>
              </w:rPr>
            </w:pPr>
          </w:p>
        </w:tc>
        <w:tc>
          <w:tcPr>
            <w:tcW w:w="3173" w:type="dxa"/>
            <w:vAlign w:val="center"/>
          </w:tcPr>
          <w:p w14:paraId="06B3E021">
            <w:pPr>
              <w:spacing w:line="360" w:lineRule="auto"/>
              <w:jc w:val="center"/>
              <w:rPr>
                <w:rFonts w:hint="eastAsia" w:ascii="宋体" w:hAnsi="宋体" w:eastAsia="宋体" w:cs="宋体"/>
                <w:color w:val="auto"/>
                <w:kern w:val="0"/>
                <w:sz w:val="24"/>
                <w:szCs w:val="24"/>
                <w:highlight w:val="none"/>
              </w:rPr>
            </w:pPr>
          </w:p>
        </w:tc>
      </w:tr>
      <w:tr w14:paraId="0FA9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 w:type="dxa"/>
            <w:vAlign w:val="center"/>
          </w:tcPr>
          <w:p w14:paraId="3563A736">
            <w:pPr>
              <w:spacing w:line="360" w:lineRule="auto"/>
              <w:jc w:val="center"/>
              <w:rPr>
                <w:rFonts w:hint="eastAsia" w:ascii="宋体" w:hAnsi="宋体" w:eastAsia="宋体" w:cs="宋体"/>
                <w:color w:val="auto"/>
                <w:kern w:val="0"/>
                <w:sz w:val="24"/>
                <w:szCs w:val="24"/>
                <w:highlight w:val="none"/>
              </w:rPr>
            </w:pPr>
          </w:p>
        </w:tc>
        <w:tc>
          <w:tcPr>
            <w:tcW w:w="3107" w:type="dxa"/>
            <w:vAlign w:val="center"/>
          </w:tcPr>
          <w:p w14:paraId="05C868A3">
            <w:pPr>
              <w:spacing w:line="360" w:lineRule="auto"/>
              <w:jc w:val="center"/>
              <w:rPr>
                <w:rFonts w:hint="eastAsia" w:ascii="宋体" w:hAnsi="宋体" w:eastAsia="宋体" w:cs="宋体"/>
                <w:color w:val="auto"/>
                <w:kern w:val="0"/>
                <w:sz w:val="24"/>
                <w:szCs w:val="24"/>
                <w:highlight w:val="none"/>
              </w:rPr>
            </w:pPr>
          </w:p>
        </w:tc>
        <w:tc>
          <w:tcPr>
            <w:tcW w:w="1712" w:type="dxa"/>
            <w:vAlign w:val="center"/>
          </w:tcPr>
          <w:p w14:paraId="3E8567BC">
            <w:pPr>
              <w:spacing w:line="360" w:lineRule="auto"/>
              <w:jc w:val="center"/>
              <w:rPr>
                <w:rFonts w:hint="eastAsia" w:ascii="宋体" w:hAnsi="宋体" w:eastAsia="宋体" w:cs="宋体"/>
                <w:color w:val="auto"/>
                <w:kern w:val="0"/>
                <w:sz w:val="24"/>
                <w:szCs w:val="24"/>
                <w:highlight w:val="none"/>
              </w:rPr>
            </w:pPr>
          </w:p>
        </w:tc>
        <w:tc>
          <w:tcPr>
            <w:tcW w:w="3173" w:type="dxa"/>
            <w:vAlign w:val="center"/>
          </w:tcPr>
          <w:p w14:paraId="0B3BAD25">
            <w:pPr>
              <w:spacing w:line="360" w:lineRule="auto"/>
              <w:jc w:val="center"/>
              <w:rPr>
                <w:rFonts w:hint="eastAsia" w:ascii="宋体" w:hAnsi="宋体" w:eastAsia="宋体" w:cs="宋体"/>
                <w:color w:val="auto"/>
                <w:kern w:val="0"/>
                <w:sz w:val="24"/>
                <w:szCs w:val="24"/>
                <w:highlight w:val="none"/>
              </w:rPr>
            </w:pPr>
          </w:p>
        </w:tc>
      </w:tr>
      <w:tr w14:paraId="5CB90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 w:type="dxa"/>
            <w:vAlign w:val="center"/>
          </w:tcPr>
          <w:p w14:paraId="1A310D19">
            <w:pPr>
              <w:spacing w:line="360" w:lineRule="auto"/>
              <w:jc w:val="center"/>
              <w:rPr>
                <w:rFonts w:hint="eastAsia" w:ascii="宋体" w:hAnsi="宋体" w:eastAsia="宋体" w:cs="宋体"/>
                <w:color w:val="auto"/>
                <w:kern w:val="0"/>
                <w:sz w:val="24"/>
                <w:szCs w:val="24"/>
                <w:highlight w:val="none"/>
              </w:rPr>
            </w:pPr>
          </w:p>
        </w:tc>
        <w:tc>
          <w:tcPr>
            <w:tcW w:w="3107" w:type="dxa"/>
            <w:vAlign w:val="center"/>
          </w:tcPr>
          <w:p w14:paraId="0E7B849A">
            <w:pPr>
              <w:spacing w:line="360" w:lineRule="auto"/>
              <w:jc w:val="center"/>
              <w:rPr>
                <w:rFonts w:hint="eastAsia" w:ascii="宋体" w:hAnsi="宋体" w:eastAsia="宋体" w:cs="宋体"/>
                <w:color w:val="auto"/>
                <w:kern w:val="0"/>
                <w:sz w:val="24"/>
                <w:szCs w:val="24"/>
                <w:highlight w:val="none"/>
              </w:rPr>
            </w:pPr>
          </w:p>
        </w:tc>
        <w:tc>
          <w:tcPr>
            <w:tcW w:w="1712" w:type="dxa"/>
            <w:vAlign w:val="center"/>
          </w:tcPr>
          <w:p w14:paraId="42EC74C8">
            <w:pPr>
              <w:spacing w:line="360" w:lineRule="auto"/>
              <w:jc w:val="center"/>
              <w:rPr>
                <w:rFonts w:hint="eastAsia" w:ascii="宋体" w:hAnsi="宋体" w:eastAsia="宋体" w:cs="宋体"/>
                <w:color w:val="auto"/>
                <w:kern w:val="0"/>
                <w:sz w:val="24"/>
                <w:szCs w:val="24"/>
                <w:highlight w:val="none"/>
              </w:rPr>
            </w:pPr>
          </w:p>
        </w:tc>
        <w:tc>
          <w:tcPr>
            <w:tcW w:w="3173" w:type="dxa"/>
            <w:vAlign w:val="center"/>
          </w:tcPr>
          <w:p w14:paraId="00300D7F">
            <w:pPr>
              <w:spacing w:line="360" w:lineRule="auto"/>
              <w:jc w:val="center"/>
              <w:rPr>
                <w:rFonts w:hint="eastAsia" w:ascii="宋体" w:hAnsi="宋体" w:eastAsia="宋体" w:cs="宋体"/>
                <w:color w:val="auto"/>
                <w:kern w:val="0"/>
                <w:sz w:val="24"/>
                <w:szCs w:val="24"/>
                <w:highlight w:val="none"/>
              </w:rPr>
            </w:pPr>
          </w:p>
        </w:tc>
      </w:tr>
      <w:tr w14:paraId="449D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 w:type="dxa"/>
            <w:vAlign w:val="center"/>
          </w:tcPr>
          <w:p w14:paraId="234E6705">
            <w:pPr>
              <w:spacing w:line="360" w:lineRule="auto"/>
              <w:jc w:val="center"/>
              <w:rPr>
                <w:rFonts w:hint="eastAsia" w:ascii="宋体" w:hAnsi="宋体" w:eastAsia="宋体" w:cs="宋体"/>
                <w:color w:val="auto"/>
                <w:kern w:val="0"/>
                <w:sz w:val="24"/>
                <w:szCs w:val="24"/>
                <w:highlight w:val="none"/>
              </w:rPr>
            </w:pPr>
          </w:p>
        </w:tc>
        <w:tc>
          <w:tcPr>
            <w:tcW w:w="3107" w:type="dxa"/>
            <w:vAlign w:val="center"/>
          </w:tcPr>
          <w:p w14:paraId="1F2BF518">
            <w:pPr>
              <w:spacing w:line="360" w:lineRule="auto"/>
              <w:jc w:val="center"/>
              <w:rPr>
                <w:rFonts w:hint="eastAsia" w:ascii="宋体" w:hAnsi="宋体" w:eastAsia="宋体" w:cs="宋体"/>
                <w:color w:val="auto"/>
                <w:kern w:val="0"/>
                <w:sz w:val="24"/>
                <w:szCs w:val="24"/>
                <w:highlight w:val="none"/>
              </w:rPr>
            </w:pPr>
          </w:p>
        </w:tc>
        <w:tc>
          <w:tcPr>
            <w:tcW w:w="1712" w:type="dxa"/>
            <w:vAlign w:val="center"/>
          </w:tcPr>
          <w:p w14:paraId="5DADF85A">
            <w:pPr>
              <w:spacing w:line="360" w:lineRule="auto"/>
              <w:jc w:val="center"/>
              <w:rPr>
                <w:rFonts w:hint="eastAsia" w:ascii="宋体" w:hAnsi="宋体" w:eastAsia="宋体" w:cs="宋体"/>
                <w:color w:val="auto"/>
                <w:kern w:val="0"/>
                <w:sz w:val="24"/>
                <w:szCs w:val="24"/>
                <w:highlight w:val="none"/>
              </w:rPr>
            </w:pPr>
          </w:p>
        </w:tc>
        <w:tc>
          <w:tcPr>
            <w:tcW w:w="3173" w:type="dxa"/>
            <w:vAlign w:val="center"/>
          </w:tcPr>
          <w:p w14:paraId="63E7D53C">
            <w:pPr>
              <w:spacing w:line="360" w:lineRule="auto"/>
              <w:jc w:val="center"/>
              <w:rPr>
                <w:rFonts w:hint="eastAsia" w:ascii="宋体" w:hAnsi="宋体" w:eastAsia="宋体" w:cs="宋体"/>
                <w:color w:val="auto"/>
                <w:kern w:val="0"/>
                <w:sz w:val="24"/>
                <w:szCs w:val="24"/>
                <w:highlight w:val="none"/>
              </w:rPr>
            </w:pPr>
          </w:p>
        </w:tc>
      </w:tr>
      <w:tr w14:paraId="3E2A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7" w:type="dxa"/>
            <w:vAlign w:val="center"/>
          </w:tcPr>
          <w:p w14:paraId="7F48145C">
            <w:pPr>
              <w:spacing w:line="360" w:lineRule="auto"/>
              <w:jc w:val="center"/>
              <w:rPr>
                <w:rFonts w:hint="eastAsia" w:ascii="宋体" w:hAnsi="宋体" w:eastAsia="宋体" w:cs="宋体"/>
                <w:color w:val="auto"/>
                <w:kern w:val="0"/>
                <w:sz w:val="24"/>
                <w:szCs w:val="24"/>
                <w:highlight w:val="none"/>
              </w:rPr>
            </w:pPr>
          </w:p>
        </w:tc>
        <w:tc>
          <w:tcPr>
            <w:tcW w:w="3107" w:type="dxa"/>
            <w:vAlign w:val="center"/>
          </w:tcPr>
          <w:p w14:paraId="1BFF2821">
            <w:pPr>
              <w:spacing w:line="360" w:lineRule="auto"/>
              <w:jc w:val="center"/>
              <w:rPr>
                <w:rFonts w:hint="eastAsia" w:ascii="宋体" w:hAnsi="宋体" w:eastAsia="宋体" w:cs="宋体"/>
                <w:color w:val="auto"/>
                <w:kern w:val="0"/>
                <w:sz w:val="24"/>
                <w:szCs w:val="24"/>
                <w:highlight w:val="none"/>
              </w:rPr>
            </w:pPr>
          </w:p>
        </w:tc>
        <w:tc>
          <w:tcPr>
            <w:tcW w:w="1712" w:type="dxa"/>
            <w:vAlign w:val="center"/>
          </w:tcPr>
          <w:p w14:paraId="5A8DDBB6">
            <w:pPr>
              <w:spacing w:line="360" w:lineRule="auto"/>
              <w:jc w:val="center"/>
              <w:rPr>
                <w:rFonts w:hint="eastAsia" w:ascii="宋体" w:hAnsi="宋体" w:eastAsia="宋体" w:cs="宋体"/>
                <w:color w:val="auto"/>
                <w:kern w:val="0"/>
                <w:sz w:val="24"/>
                <w:szCs w:val="24"/>
                <w:highlight w:val="none"/>
              </w:rPr>
            </w:pPr>
          </w:p>
        </w:tc>
        <w:tc>
          <w:tcPr>
            <w:tcW w:w="3173" w:type="dxa"/>
            <w:vAlign w:val="center"/>
          </w:tcPr>
          <w:p w14:paraId="41E62CE7">
            <w:pPr>
              <w:spacing w:line="360" w:lineRule="auto"/>
              <w:jc w:val="center"/>
              <w:rPr>
                <w:rFonts w:hint="eastAsia" w:ascii="宋体" w:hAnsi="宋体" w:eastAsia="宋体" w:cs="宋体"/>
                <w:color w:val="auto"/>
                <w:kern w:val="0"/>
                <w:sz w:val="24"/>
                <w:szCs w:val="24"/>
                <w:highlight w:val="none"/>
              </w:rPr>
            </w:pPr>
          </w:p>
        </w:tc>
      </w:tr>
    </w:tbl>
    <w:p w14:paraId="23388F23">
      <w:pPr>
        <w:rPr>
          <w:rFonts w:hint="eastAsia" w:ascii="宋体" w:hAnsi="宋体" w:eastAsia="宋体" w:cs="宋体"/>
          <w:color w:val="auto"/>
          <w:highlight w:val="none"/>
        </w:rPr>
      </w:pPr>
    </w:p>
    <w:p w14:paraId="75E04D5C">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19CA857">
      <w:pPr>
        <w:widowControl/>
        <w:jc w:val="left"/>
        <w:rPr>
          <w:rFonts w:hint="eastAsia" w:ascii="宋体" w:hAnsi="宋体" w:eastAsia="宋体" w:cs="宋体"/>
          <w:color w:val="auto"/>
          <w:highlight w:val="none"/>
        </w:rPr>
      </w:pPr>
    </w:p>
    <w:p w14:paraId="0DB13E4B">
      <w:pPr>
        <w:jc w:val="center"/>
        <w:rPr>
          <w:rFonts w:hint="eastAsia" w:ascii="宋体" w:hAnsi="宋体" w:eastAsia="宋体" w:cs="宋体"/>
          <w:b/>
          <w:color w:val="auto"/>
          <w:sz w:val="32"/>
          <w:szCs w:val="36"/>
          <w:highlight w:val="none"/>
        </w:rPr>
      </w:pPr>
      <w:r>
        <w:rPr>
          <w:rFonts w:hint="eastAsia" w:ascii="宋体" w:hAnsi="宋体" w:eastAsia="宋体" w:cs="宋体"/>
          <w:b/>
          <w:color w:val="auto"/>
          <w:sz w:val="32"/>
          <w:szCs w:val="36"/>
          <w:highlight w:val="none"/>
        </w:rPr>
        <w:t>附合同等相关证明材料</w:t>
      </w:r>
    </w:p>
    <w:p w14:paraId="0A21257C">
      <w:pPr>
        <w:jc w:val="center"/>
        <w:rPr>
          <w:rFonts w:hint="eastAsia" w:ascii="宋体" w:hAnsi="宋体" w:eastAsia="宋体" w:cs="宋体"/>
          <w:color w:val="auto"/>
          <w:highlight w:val="none"/>
        </w:rPr>
      </w:pPr>
      <w:r>
        <w:rPr>
          <w:rFonts w:hint="eastAsia" w:ascii="宋体" w:hAnsi="宋体" w:eastAsia="宋体" w:cs="宋体"/>
          <w:b/>
          <w:color w:val="auto"/>
          <w:highlight w:val="none"/>
        </w:rPr>
        <w:br w:type="page"/>
      </w:r>
    </w:p>
    <w:p w14:paraId="4E485C9C">
      <w:pPr>
        <w:pStyle w:val="42"/>
        <w:rPr>
          <w:rFonts w:hint="eastAsia" w:ascii="宋体" w:hAnsi="宋体" w:eastAsia="宋体" w:cs="宋体"/>
          <w:color w:val="auto"/>
          <w:highlight w:val="none"/>
        </w:rPr>
      </w:pPr>
    </w:p>
    <w:p w14:paraId="61F53285">
      <w:pPr>
        <w:pStyle w:val="3"/>
        <w:spacing w:before="0" w:after="0"/>
        <w:jc w:val="center"/>
        <w:outlineLvl w:val="9"/>
        <w:rPr>
          <w:rFonts w:hint="eastAsia" w:ascii="宋体" w:hAnsi="宋体" w:eastAsia="宋体" w:cs="宋体"/>
          <w:color w:val="auto"/>
          <w:sz w:val="28"/>
          <w:highlight w:val="none"/>
        </w:rPr>
      </w:pPr>
      <w:bookmarkStart w:id="360" w:name="_Toc28181"/>
      <w:bookmarkStart w:id="361" w:name="_Toc6086"/>
      <w:bookmarkStart w:id="362" w:name="_Toc31538"/>
      <w:bookmarkStart w:id="363" w:name="_Toc15584"/>
      <w:bookmarkStart w:id="364" w:name="_Toc17893"/>
      <w:r>
        <w:rPr>
          <w:rFonts w:hint="eastAsia" w:ascii="宋体" w:hAnsi="宋体" w:eastAsia="宋体" w:cs="宋体"/>
          <w:color w:val="auto"/>
          <w:sz w:val="28"/>
          <w:highlight w:val="none"/>
        </w:rPr>
        <w:t>六、</w:t>
      </w:r>
      <w:bookmarkEnd w:id="360"/>
      <w:r>
        <w:rPr>
          <w:rFonts w:hint="eastAsia" w:ascii="宋体" w:hAnsi="宋体" w:eastAsia="宋体" w:cs="宋体"/>
          <w:color w:val="auto"/>
          <w:sz w:val="28"/>
          <w:highlight w:val="none"/>
        </w:rPr>
        <w:t>技术水平</w:t>
      </w:r>
      <w:bookmarkEnd w:id="361"/>
      <w:bookmarkEnd w:id="362"/>
      <w:bookmarkEnd w:id="363"/>
      <w:bookmarkEnd w:id="364"/>
    </w:p>
    <w:p w14:paraId="399D087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包括但不限于以下内容：</w:t>
      </w:r>
    </w:p>
    <w:p w14:paraId="3F6EAED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产品的质量及安全保障措施；</w:t>
      </w:r>
    </w:p>
    <w:p w14:paraId="51D9576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履约能力情况；</w:t>
      </w:r>
    </w:p>
    <w:p w14:paraId="6C331EC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总体实施服务方案；</w:t>
      </w:r>
    </w:p>
    <w:p w14:paraId="7D64998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售后服务方案。</w:t>
      </w:r>
    </w:p>
    <w:p w14:paraId="7F076539">
      <w:pPr>
        <w:spacing w:line="360" w:lineRule="auto"/>
        <w:rPr>
          <w:rFonts w:hint="eastAsia" w:ascii="宋体" w:hAnsi="宋体" w:eastAsia="宋体" w:cs="宋体"/>
          <w:color w:val="auto"/>
          <w:sz w:val="24"/>
          <w:szCs w:val="24"/>
          <w:highlight w:val="none"/>
        </w:rPr>
      </w:pPr>
    </w:p>
    <w:p w14:paraId="4FCEC6D8">
      <w:pPr>
        <w:rPr>
          <w:rFonts w:hint="eastAsia" w:ascii="宋体" w:hAnsi="宋体" w:eastAsia="宋体" w:cs="宋体"/>
          <w:color w:val="auto"/>
          <w:highlight w:val="none"/>
        </w:rPr>
      </w:pPr>
    </w:p>
    <w:p w14:paraId="14904C17">
      <w:pPr>
        <w:widowControl/>
        <w:jc w:val="left"/>
        <w:rPr>
          <w:rFonts w:hint="eastAsia" w:ascii="宋体" w:hAnsi="宋体" w:eastAsia="宋体" w:cs="宋体"/>
          <w:color w:val="auto"/>
          <w:highlight w:val="none"/>
        </w:rPr>
        <w:sectPr>
          <w:pgSz w:w="11910" w:h="16840"/>
          <w:pgMar w:top="1520" w:right="1380" w:bottom="1380" w:left="1580" w:header="1135" w:footer="841" w:gutter="0"/>
          <w:cols w:space="720" w:num="1"/>
        </w:sectPr>
      </w:pPr>
    </w:p>
    <w:p w14:paraId="764878ED">
      <w:pPr>
        <w:pStyle w:val="3"/>
        <w:jc w:val="center"/>
        <w:outlineLvl w:val="9"/>
        <w:rPr>
          <w:rFonts w:hint="eastAsia" w:ascii="宋体" w:hAnsi="宋体" w:eastAsia="宋体" w:cs="宋体"/>
          <w:color w:val="auto"/>
          <w:highlight w:val="none"/>
        </w:rPr>
      </w:pPr>
      <w:bookmarkStart w:id="365" w:name="_Toc24381"/>
      <w:bookmarkStart w:id="366" w:name="_Toc31792"/>
      <w:bookmarkStart w:id="367" w:name="_Toc9756"/>
      <w:bookmarkStart w:id="368" w:name="_Toc1456"/>
      <w:bookmarkStart w:id="369" w:name="_Toc13385"/>
      <w:r>
        <w:rPr>
          <w:rFonts w:hint="eastAsia" w:ascii="宋体" w:hAnsi="宋体" w:eastAsia="宋体" w:cs="宋体"/>
          <w:color w:val="auto"/>
          <w:highlight w:val="none"/>
        </w:rPr>
        <w:t>七、</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简介</w:t>
      </w:r>
      <w:bookmarkEnd w:id="365"/>
      <w:bookmarkEnd w:id="366"/>
      <w:bookmarkEnd w:id="367"/>
      <w:bookmarkEnd w:id="368"/>
      <w:bookmarkEnd w:id="369"/>
    </w:p>
    <w:p w14:paraId="0EEB9A8C">
      <w:pPr>
        <w:rPr>
          <w:rFonts w:hint="eastAsia" w:ascii="宋体" w:hAnsi="宋体" w:eastAsia="宋体" w:cs="宋体"/>
          <w:color w:val="auto"/>
          <w:highlight w:val="none"/>
        </w:rPr>
      </w:pPr>
    </w:p>
    <w:p w14:paraId="29623752">
      <w:pPr>
        <w:widowControl/>
        <w:jc w:val="left"/>
        <w:rPr>
          <w:rFonts w:hint="eastAsia" w:ascii="宋体" w:hAnsi="宋体" w:eastAsia="宋体" w:cs="宋体"/>
          <w:color w:val="auto"/>
          <w:sz w:val="28"/>
          <w:highlight w:val="none"/>
        </w:rPr>
      </w:pPr>
      <w:r>
        <w:rPr>
          <w:rFonts w:hint="eastAsia" w:ascii="宋体" w:hAnsi="宋体" w:eastAsia="宋体" w:cs="宋体"/>
          <w:color w:val="auto"/>
          <w:highlight w:val="none"/>
        </w:rPr>
        <w:br w:type="page"/>
      </w:r>
    </w:p>
    <w:p w14:paraId="6B723E5F">
      <w:pPr>
        <w:pStyle w:val="3"/>
        <w:jc w:val="center"/>
        <w:outlineLvl w:val="9"/>
        <w:rPr>
          <w:rFonts w:hint="eastAsia" w:ascii="宋体" w:hAnsi="宋体" w:eastAsia="宋体" w:cs="宋体"/>
          <w:color w:val="auto"/>
          <w:highlight w:val="none"/>
        </w:rPr>
      </w:pPr>
      <w:bookmarkStart w:id="370" w:name="_Toc5213"/>
      <w:bookmarkStart w:id="371" w:name="_Toc32216"/>
      <w:bookmarkStart w:id="372" w:name="_Toc16589"/>
      <w:bookmarkStart w:id="373" w:name="_Toc29212"/>
      <w:bookmarkStart w:id="374" w:name="_Toc863"/>
      <w:r>
        <w:rPr>
          <w:rFonts w:hint="eastAsia" w:ascii="宋体" w:hAnsi="宋体" w:eastAsia="宋体" w:cs="宋体"/>
          <w:color w:val="auto"/>
          <w:sz w:val="28"/>
          <w:highlight w:val="none"/>
        </w:rPr>
        <w:t>八、</w:t>
      </w:r>
      <w:bookmarkStart w:id="375" w:name="_Toc497920544"/>
      <w:bookmarkStart w:id="376" w:name="_Toc500170705"/>
      <w:r>
        <w:rPr>
          <w:rFonts w:hint="eastAsia" w:ascii="宋体" w:hAnsi="宋体" w:eastAsia="宋体" w:cs="宋体"/>
          <w:color w:val="auto"/>
          <w:highlight w:val="none"/>
        </w:rPr>
        <w:t>政府采购执行政策相关证明材料</w:t>
      </w:r>
      <w:bookmarkEnd w:id="370"/>
      <w:bookmarkEnd w:id="371"/>
      <w:bookmarkEnd w:id="372"/>
      <w:bookmarkEnd w:id="373"/>
      <w:bookmarkEnd w:id="374"/>
    </w:p>
    <w:bookmarkEnd w:id="375"/>
    <w:bookmarkEnd w:id="376"/>
    <w:p w14:paraId="35F32B79">
      <w:pPr>
        <w:jc w:val="center"/>
        <w:rPr>
          <w:rFonts w:hint="eastAsia" w:ascii="宋体" w:hAnsi="宋体" w:eastAsia="宋体" w:cs="宋体"/>
          <w:b/>
          <w:color w:val="auto"/>
          <w:sz w:val="28"/>
          <w:szCs w:val="28"/>
          <w:highlight w:val="none"/>
        </w:rPr>
      </w:pPr>
      <w:bookmarkStart w:id="377" w:name="_Hlk492844196"/>
      <w:bookmarkStart w:id="378" w:name="_Toc500170706"/>
      <w:bookmarkStart w:id="379" w:name="_Toc497920545"/>
    </w:p>
    <w:bookmarkEnd w:id="377"/>
    <w:bookmarkEnd w:id="378"/>
    <w:bookmarkEnd w:id="379"/>
    <w:p w14:paraId="4C883FD8">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（一）中小企业声明函（</w:t>
      </w:r>
      <w:r>
        <w:rPr>
          <w:rFonts w:hint="eastAsia" w:ascii="宋体" w:hAnsi="宋体" w:eastAsia="宋体" w:cs="宋体"/>
          <w:b/>
          <w:color w:val="auto"/>
          <w:sz w:val="28"/>
          <w:szCs w:val="28"/>
          <w:highlight w:val="none"/>
          <w:lang w:val="en-US" w:eastAsia="zh-CN"/>
        </w:rPr>
        <w:t>服务</w:t>
      </w:r>
      <w:r>
        <w:rPr>
          <w:rFonts w:hint="eastAsia" w:ascii="宋体" w:hAnsi="宋体" w:eastAsia="宋体" w:cs="宋体"/>
          <w:b/>
          <w:color w:val="auto"/>
          <w:sz w:val="28"/>
          <w:szCs w:val="28"/>
          <w:highlight w:val="none"/>
        </w:rPr>
        <w:t>）</w:t>
      </w:r>
    </w:p>
    <w:p w14:paraId="7A76CBD4">
      <w:pPr>
        <w:pStyle w:val="22"/>
        <w:rPr>
          <w:rFonts w:hint="eastAsia" w:ascii="宋体" w:hAnsi="宋体" w:eastAsia="宋体" w:cs="宋体"/>
          <w:color w:val="auto"/>
          <w:highlight w:val="none"/>
        </w:rPr>
      </w:pPr>
    </w:p>
    <w:p w14:paraId="76F11F66">
      <w:pPr>
        <w:widowControl/>
        <w:spacing w:after="120" w:line="360" w:lineRule="auto"/>
        <w:ind w:firstLine="480" w:firstLineChars="20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bCs/>
          <w:color w:val="auto"/>
          <w:sz w:val="24"/>
          <w:szCs w:val="24"/>
          <w:highlight w:val="none"/>
          <w:u w:val="single"/>
        </w:rPr>
        <w:t>（单位名称）</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u w:val="single"/>
        </w:rPr>
        <w:t>（项目名称）</w:t>
      </w:r>
      <w:r>
        <w:rPr>
          <w:rFonts w:hint="eastAsia" w:ascii="宋体" w:hAnsi="宋体" w:eastAsia="宋体" w:cs="宋体"/>
          <w:bCs/>
          <w:color w:val="auto"/>
          <w:sz w:val="24"/>
          <w:szCs w:val="24"/>
          <w:highlight w:val="none"/>
        </w:rPr>
        <w:t>采购活动，服务全部由符合政策要求的中小企业承接。相关企业（含联合体中的中小企业、签订分包意向协议的中小企业）的具体情况如下：</w:t>
      </w:r>
    </w:p>
    <w:p w14:paraId="43BAFCA8">
      <w:pPr>
        <w:widowControl/>
        <w:spacing w:after="120" w:line="360" w:lineRule="auto"/>
        <w:ind w:firstLine="48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 </w:t>
      </w:r>
      <w:r>
        <w:rPr>
          <w:rFonts w:hint="eastAsia" w:ascii="宋体" w:hAnsi="宋体" w:eastAsia="宋体" w:cs="宋体"/>
          <w:bCs/>
          <w:color w:val="auto"/>
          <w:sz w:val="24"/>
          <w:szCs w:val="24"/>
          <w:highlight w:val="none"/>
          <w:u w:val="single"/>
        </w:rPr>
        <w:t xml:space="preserve">（标的名称） </w:t>
      </w:r>
      <w:r>
        <w:rPr>
          <w:rFonts w:hint="eastAsia" w:ascii="宋体" w:hAnsi="宋体" w:eastAsia="宋体" w:cs="宋体"/>
          <w:bCs/>
          <w:color w:val="auto"/>
          <w:sz w:val="24"/>
          <w:szCs w:val="24"/>
          <w:highlight w:val="none"/>
        </w:rPr>
        <w:t>，属于</w:t>
      </w:r>
      <w:r>
        <w:rPr>
          <w:rFonts w:hint="eastAsia" w:ascii="宋体" w:hAnsi="宋体" w:eastAsia="宋体" w:cs="宋体"/>
          <w:bCs/>
          <w:color w:val="auto"/>
          <w:sz w:val="24"/>
          <w:szCs w:val="24"/>
          <w:highlight w:val="none"/>
          <w:u w:val="single"/>
        </w:rPr>
        <w:t>（</w:t>
      </w:r>
      <w:r>
        <w:rPr>
          <w:rFonts w:hint="eastAsia" w:ascii="宋体" w:hAnsi="宋体" w:eastAsia="宋体" w:cs="宋体"/>
          <w:bCs/>
          <w:i/>
          <w:color w:val="auto"/>
          <w:sz w:val="24"/>
          <w:szCs w:val="28"/>
          <w:highlight w:val="none"/>
          <w:u w:val="single"/>
        </w:rPr>
        <w:t>采购文件中明确的所属行业</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；承建（承接）企业为</w:t>
      </w:r>
      <w:r>
        <w:rPr>
          <w:rFonts w:hint="eastAsia" w:ascii="宋体" w:hAnsi="宋体" w:eastAsia="宋体" w:cs="宋体"/>
          <w:bCs/>
          <w:color w:val="auto"/>
          <w:sz w:val="24"/>
          <w:szCs w:val="24"/>
          <w:highlight w:val="none"/>
          <w:u w:val="single"/>
        </w:rPr>
        <w:t>（企业名称）</w:t>
      </w:r>
      <w:r>
        <w:rPr>
          <w:rFonts w:hint="eastAsia" w:ascii="宋体" w:hAnsi="宋体" w:eastAsia="宋体" w:cs="宋体"/>
          <w:bCs/>
          <w:color w:val="auto"/>
          <w:sz w:val="24"/>
          <w:szCs w:val="24"/>
          <w:highlight w:val="none"/>
        </w:rPr>
        <w:t>，从业人员</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人，营业收入为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万元（从业人员、营业收入、资产总额填报上一年度数据，无上一年度数据的新成立企业可不填报），资产总额为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万元，属于</w:t>
      </w:r>
      <w:r>
        <w:rPr>
          <w:rFonts w:hint="eastAsia" w:ascii="宋体" w:hAnsi="宋体" w:eastAsia="宋体" w:cs="宋体"/>
          <w:bCs/>
          <w:color w:val="auto"/>
          <w:sz w:val="24"/>
          <w:szCs w:val="24"/>
          <w:highlight w:val="none"/>
          <w:u w:val="single"/>
        </w:rPr>
        <w:t>（中型企业、小型企业、微型企业）</w:t>
      </w:r>
      <w:r>
        <w:rPr>
          <w:rFonts w:hint="eastAsia" w:ascii="宋体" w:hAnsi="宋体" w:eastAsia="宋体" w:cs="宋体"/>
          <w:bCs/>
          <w:color w:val="auto"/>
          <w:sz w:val="24"/>
          <w:szCs w:val="24"/>
          <w:highlight w:val="none"/>
        </w:rPr>
        <w:t>；</w:t>
      </w:r>
    </w:p>
    <w:p w14:paraId="57D2F9F5">
      <w:pPr>
        <w:widowControl/>
        <w:spacing w:after="120" w:line="360" w:lineRule="auto"/>
        <w:ind w:firstLine="48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2. </w:t>
      </w:r>
      <w:r>
        <w:rPr>
          <w:rFonts w:hint="eastAsia" w:ascii="宋体" w:hAnsi="宋体" w:eastAsia="宋体" w:cs="宋体"/>
          <w:bCs/>
          <w:color w:val="auto"/>
          <w:sz w:val="24"/>
          <w:szCs w:val="24"/>
          <w:highlight w:val="none"/>
          <w:u w:val="single"/>
        </w:rPr>
        <w:t xml:space="preserve">（标的名称） </w:t>
      </w:r>
      <w:r>
        <w:rPr>
          <w:rFonts w:hint="eastAsia" w:ascii="宋体" w:hAnsi="宋体" w:eastAsia="宋体" w:cs="宋体"/>
          <w:bCs/>
          <w:color w:val="auto"/>
          <w:sz w:val="24"/>
          <w:szCs w:val="24"/>
          <w:highlight w:val="none"/>
        </w:rPr>
        <w:t>，属于</w:t>
      </w:r>
      <w:r>
        <w:rPr>
          <w:rFonts w:hint="eastAsia" w:ascii="宋体" w:hAnsi="宋体" w:eastAsia="宋体" w:cs="宋体"/>
          <w:bCs/>
          <w:color w:val="auto"/>
          <w:sz w:val="24"/>
          <w:szCs w:val="24"/>
          <w:highlight w:val="none"/>
          <w:u w:val="single"/>
        </w:rPr>
        <w:t>（</w:t>
      </w:r>
      <w:r>
        <w:rPr>
          <w:rFonts w:hint="eastAsia" w:ascii="宋体" w:hAnsi="宋体" w:eastAsia="宋体" w:cs="宋体"/>
          <w:bCs/>
          <w:i/>
          <w:color w:val="auto"/>
          <w:sz w:val="24"/>
          <w:szCs w:val="28"/>
          <w:highlight w:val="none"/>
          <w:u w:val="single"/>
        </w:rPr>
        <w:t>采购文件中明确的所属行业</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；承建（承接）企业为</w:t>
      </w:r>
      <w:r>
        <w:rPr>
          <w:rFonts w:hint="eastAsia" w:ascii="宋体" w:hAnsi="宋体" w:eastAsia="宋体" w:cs="宋体"/>
          <w:bCs/>
          <w:color w:val="auto"/>
          <w:sz w:val="24"/>
          <w:szCs w:val="24"/>
          <w:highlight w:val="none"/>
          <w:u w:val="single"/>
        </w:rPr>
        <w:t>（企业名称）</w:t>
      </w:r>
      <w:r>
        <w:rPr>
          <w:rFonts w:hint="eastAsia" w:ascii="宋体" w:hAnsi="宋体" w:eastAsia="宋体" w:cs="宋体"/>
          <w:bCs/>
          <w:color w:val="auto"/>
          <w:sz w:val="24"/>
          <w:szCs w:val="24"/>
          <w:highlight w:val="none"/>
        </w:rPr>
        <w:t>，从业人员</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人，营业收入为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万元（从业人员、营业收入、资产总额填报上一年度数据，无上一年度数据的新成立企业可不填报），资产总额为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万元，属于</w:t>
      </w:r>
      <w:r>
        <w:rPr>
          <w:rFonts w:hint="eastAsia" w:ascii="宋体" w:hAnsi="宋体" w:eastAsia="宋体" w:cs="宋体"/>
          <w:bCs/>
          <w:color w:val="auto"/>
          <w:sz w:val="24"/>
          <w:szCs w:val="24"/>
          <w:highlight w:val="none"/>
          <w:u w:val="single"/>
        </w:rPr>
        <w:t>（中型企业、小型企业、微型企业）</w:t>
      </w:r>
      <w:r>
        <w:rPr>
          <w:rFonts w:hint="eastAsia" w:ascii="宋体" w:hAnsi="宋体" w:eastAsia="宋体" w:cs="宋体"/>
          <w:bCs/>
          <w:color w:val="auto"/>
          <w:sz w:val="24"/>
          <w:szCs w:val="24"/>
          <w:highlight w:val="none"/>
        </w:rPr>
        <w:t>；</w:t>
      </w:r>
    </w:p>
    <w:p w14:paraId="077A0A33">
      <w:pPr>
        <w:widowControl/>
        <w:spacing w:after="120" w:line="360" w:lineRule="auto"/>
        <w:ind w:firstLine="48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5FEE21DD">
      <w:pPr>
        <w:widowControl/>
        <w:spacing w:after="120" w:line="360" w:lineRule="auto"/>
        <w:ind w:firstLine="48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以上企业，不属于大企业的分支机构，不存在控股股东为大企业的情形，也不存在与大企业的负责人为同一人的情形。</w:t>
      </w:r>
    </w:p>
    <w:p w14:paraId="7E596507">
      <w:pPr>
        <w:widowControl/>
        <w:spacing w:after="120" w:line="360" w:lineRule="auto"/>
        <w:ind w:firstLine="48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本企业对上述声明内容的真实性负责。如有虚假，将依法承担相应责任。</w:t>
      </w:r>
    </w:p>
    <w:p w14:paraId="2B470E61">
      <w:pPr>
        <w:widowControl/>
        <w:spacing w:after="120" w:line="360" w:lineRule="auto"/>
        <w:ind w:right="480" w:firstLine="480" w:firstLineChars="200"/>
        <w:jc w:val="right"/>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企业名称（公章）：</w:t>
      </w:r>
    </w:p>
    <w:p w14:paraId="35B97E64">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日 期：</w:t>
      </w:r>
    </w:p>
    <w:p w14:paraId="104AD031">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47329D64">
      <w:pPr>
        <w:numPr>
          <w:ilvl w:val="0"/>
          <w:numId w:val="7"/>
        </w:num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从业人员、营业收入、资产总额填报上一年度数据，无上一年度数据的新企业可不填报。</w:t>
      </w:r>
    </w:p>
    <w:p w14:paraId="6A27D80F">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Cs/>
          <w:color w:val="auto"/>
          <w:highlight w:val="none"/>
        </w:rPr>
        <w:t>中标人如为小型和微型企业的，随中标结果公开中标人的《中小企业声明函》。</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提供声明函内容不实的，属于提供虚假材料谋取中标。</w:t>
      </w:r>
    </w:p>
    <w:p w14:paraId="297DF345">
      <w:pPr>
        <w:pStyle w:val="46"/>
        <w:spacing w:line="400" w:lineRule="exact"/>
        <w:ind w:firstLine="0" w:firstLineChars="0"/>
        <w:rPr>
          <w:rFonts w:hint="eastAsia" w:ascii="宋体" w:hAnsi="宋体" w:eastAsia="宋体" w:cs="宋体"/>
          <w:bCs/>
          <w:color w:val="auto"/>
          <w:highlight w:val="none"/>
        </w:rPr>
      </w:pPr>
      <w:r>
        <w:rPr>
          <w:rFonts w:hint="eastAsia" w:ascii="宋体" w:hAnsi="宋体" w:eastAsia="宋体" w:cs="宋体"/>
          <w:color w:val="auto"/>
          <w:szCs w:val="21"/>
          <w:highlight w:val="none"/>
        </w:rPr>
        <w:t>3、</w:t>
      </w:r>
      <w:r>
        <w:rPr>
          <w:rFonts w:hint="eastAsia" w:ascii="宋体" w:hAnsi="宋体" w:eastAsia="宋体" w:cs="宋体"/>
          <w:bCs/>
          <w:color w:val="auto"/>
          <w:highlight w:val="none"/>
        </w:rPr>
        <w:t>依据《政府采购促进中小企业发展管理办法》（财库[2020]46 号）规定享受扶持政策获得政府采购合同的，小微企业不得将合同分包给大中型企业，中型企业不得将合同分包给大型企业。</w:t>
      </w:r>
    </w:p>
    <w:p w14:paraId="4F52E312">
      <w:pPr>
        <w:pStyle w:val="21"/>
        <w:spacing w:line="400" w:lineRule="exact"/>
        <w:ind w:firstLine="0" w:firstLineChars="0"/>
        <w:rPr>
          <w:rFonts w:hint="eastAsia" w:ascii="宋体" w:hAnsi="宋体" w:eastAsia="宋体" w:cs="宋体"/>
          <w:color w:val="auto"/>
          <w:highlight w:val="none"/>
        </w:rPr>
      </w:pPr>
      <w:r>
        <w:rPr>
          <w:rFonts w:hint="eastAsia" w:ascii="宋体" w:hAnsi="宋体" w:eastAsia="宋体" w:cs="宋体"/>
          <w:color w:val="auto"/>
          <w:szCs w:val="21"/>
          <w:highlight w:val="none"/>
        </w:rPr>
        <w:t>4、</w:t>
      </w:r>
      <w:r>
        <w:rPr>
          <w:rFonts w:hint="eastAsia" w:ascii="宋体" w:hAnsi="宋体" w:eastAsia="宋体" w:cs="宋体"/>
          <w:b/>
          <w:color w:val="auto"/>
          <w:highlight w:val="none"/>
        </w:rPr>
        <w:t>本次采购标的对应的中小企业划分标准所属行业均为零售业</w:t>
      </w:r>
      <w:r>
        <w:rPr>
          <w:rFonts w:hint="eastAsia" w:ascii="宋体" w:hAnsi="宋体" w:eastAsia="宋体" w:cs="宋体"/>
          <w:bCs/>
          <w:color w:val="auto"/>
          <w:highlight w:val="none"/>
        </w:rPr>
        <w:t>。</w:t>
      </w:r>
    </w:p>
    <w:p w14:paraId="2A23FE00">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根据《政府采购促进中小企业发展管理办法》（财库〔2020〕46号）、《关于进一步加大政府采购支持中小企业力度的通知》（财库〔2022〕19号）规定，对符合本办法规定的小微企业报价给予10%的扣除，用扣除后的价格参与评审。</w:t>
      </w:r>
    </w:p>
    <w:p w14:paraId="22A17745">
      <w:pPr>
        <w:spacing w:line="400" w:lineRule="exact"/>
        <w:rPr>
          <w:rFonts w:hint="eastAsia" w:ascii="宋体" w:hAnsi="宋体" w:eastAsia="宋体" w:cs="宋体"/>
          <w:color w:val="auto"/>
          <w:szCs w:val="21"/>
          <w:highlight w:val="none"/>
        </w:rPr>
      </w:pPr>
    </w:p>
    <w:p w14:paraId="7564A445">
      <w:pPr>
        <w:spacing w:line="460" w:lineRule="exact"/>
        <w:rPr>
          <w:rFonts w:hint="eastAsia" w:ascii="宋体" w:hAnsi="宋体" w:eastAsia="宋体" w:cs="宋体"/>
          <w:color w:val="auto"/>
          <w:szCs w:val="21"/>
          <w:highlight w:val="none"/>
        </w:rPr>
      </w:pPr>
    </w:p>
    <w:p w14:paraId="2596867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7A4AE85E">
      <w:pPr>
        <w:rPr>
          <w:rFonts w:hint="eastAsia" w:ascii="宋体" w:hAnsi="宋体" w:eastAsia="宋体" w:cs="宋体"/>
          <w:color w:val="auto"/>
          <w:highlight w:val="none"/>
        </w:rPr>
      </w:pPr>
    </w:p>
    <w:p w14:paraId="7022872B">
      <w:pPr>
        <w:rPr>
          <w:rFonts w:hint="eastAsia" w:ascii="宋体" w:hAnsi="宋体" w:eastAsia="宋体" w:cs="宋体"/>
          <w:color w:val="auto"/>
          <w:szCs w:val="21"/>
          <w:highlight w:val="none"/>
        </w:rPr>
      </w:pPr>
    </w:p>
    <w:p w14:paraId="448190C3">
      <w:pPr>
        <w:pStyle w:val="20"/>
        <w:shd w:val="clear" w:color="auto" w:fill="FFFFFF"/>
        <w:spacing w:before="0" w:beforeAutospacing="0" w:after="0" w:afterAutospacing="0" w:line="330" w:lineRule="atLeast"/>
        <w:jc w:val="center"/>
        <w:rPr>
          <w:rFonts w:hint="eastAsia" w:ascii="宋体" w:hAnsi="宋体" w:eastAsia="宋体" w:cs="宋体"/>
          <w:b/>
          <w:bCs/>
          <w:color w:val="auto"/>
          <w:spacing w:val="8"/>
          <w:sz w:val="28"/>
          <w:szCs w:val="28"/>
          <w:highlight w:val="none"/>
          <w:shd w:val="clear" w:color="auto" w:fill="FFFFFF"/>
        </w:rPr>
      </w:pPr>
      <w:r>
        <w:rPr>
          <w:rFonts w:hint="eastAsia" w:ascii="宋体" w:hAnsi="宋体" w:eastAsia="宋体" w:cs="宋体"/>
          <w:b/>
          <w:bCs/>
          <w:color w:val="auto"/>
          <w:spacing w:val="8"/>
          <w:sz w:val="28"/>
          <w:szCs w:val="28"/>
          <w:highlight w:val="none"/>
          <w:shd w:val="clear" w:color="auto" w:fill="FFFFFF"/>
        </w:rPr>
        <w:t>工信部联企业[2011]300号 大中小微型企业划分标准</w:t>
      </w:r>
    </w:p>
    <w:tbl>
      <w:tblPr>
        <w:tblStyle w:val="23"/>
        <w:tblW w:w="10155" w:type="dxa"/>
        <w:jc w:val="center"/>
        <w:shd w:val="clear" w:color="auto" w:fill="FFFFFF"/>
        <w:tblLayout w:type="autofit"/>
        <w:tblCellMar>
          <w:top w:w="0" w:type="dxa"/>
          <w:left w:w="0" w:type="dxa"/>
          <w:bottom w:w="0" w:type="dxa"/>
          <w:right w:w="0" w:type="dxa"/>
        </w:tblCellMar>
      </w:tblPr>
      <w:tblGrid>
        <w:gridCol w:w="2280"/>
        <w:gridCol w:w="1472"/>
        <w:gridCol w:w="760"/>
        <w:gridCol w:w="1213"/>
        <w:gridCol w:w="1827"/>
        <w:gridCol w:w="1536"/>
        <w:gridCol w:w="1067"/>
      </w:tblGrid>
      <w:tr w14:paraId="3DFF7B55">
        <w:tblPrEx>
          <w:tblCellMar>
            <w:top w:w="0" w:type="dxa"/>
            <w:left w:w="0" w:type="dxa"/>
            <w:bottom w:w="0" w:type="dxa"/>
            <w:right w:w="0" w:type="dxa"/>
          </w:tblCellMar>
        </w:tblPrEx>
        <w:trPr>
          <w:trHeight w:val="615" w:hRule="atLeast"/>
          <w:jc w:val="center"/>
        </w:trPr>
        <w:tc>
          <w:tcPr>
            <w:tcW w:w="2115" w:type="dxa"/>
            <w:tcBorders>
              <w:top w:val="single" w:color="4F81BD" w:sz="6" w:space="0"/>
              <w:left w:val="single" w:color="4F81BD" w:sz="6" w:space="0"/>
              <w:bottom w:val="single" w:color="FFFFFF" w:sz="18" w:space="0"/>
              <w:right w:val="single" w:color="4F81BD" w:sz="6" w:space="0"/>
            </w:tcBorders>
            <w:shd w:val="clear" w:color="auto" w:fill="4F81BD"/>
            <w:tcMar>
              <w:left w:w="105" w:type="dxa"/>
              <w:right w:w="105" w:type="dxa"/>
            </w:tcMar>
            <w:vAlign w:val="center"/>
          </w:tcPr>
          <w:p w14:paraId="25D1D050">
            <w:pPr>
              <w:pStyle w:val="20"/>
              <w:wordWrap w:val="0"/>
              <w:spacing w:before="0" w:beforeAutospacing="0" w:after="0" w:afterAutospacing="0" w:line="240" w:lineRule="atLeast"/>
              <w:jc w:val="center"/>
              <w:rPr>
                <w:rFonts w:hint="eastAsia" w:ascii="宋体" w:hAnsi="宋体" w:eastAsia="宋体" w:cs="宋体"/>
                <w:color w:val="auto"/>
                <w:sz w:val="21"/>
                <w:szCs w:val="21"/>
                <w:highlight w:val="none"/>
              </w:rPr>
            </w:pPr>
            <w:r>
              <w:rPr>
                <w:rStyle w:val="26"/>
                <w:rFonts w:hint="eastAsia" w:ascii="宋体" w:hAnsi="宋体" w:eastAsia="宋体" w:cs="宋体"/>
                <w:color w:val="auto"/>
                <w:spacing w:val="8"/>
                <w:sz w:val="21"/>
                <w:szCs w:val="21"/>
                <w:highlight w:val="none"/>
              </w:rPr>
              <w:t>行业名称</w:t>
            </w:r>
          </w:p>
        </w:tc>
        <w:tc>
          <w:tcPr>
            <w:tcW w:w="1365"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66147120">
            <w:pPr>
              <w:pStyle w:val="20"/>
              <w:wordWrap w:val="0"/>
              <w:spacing w:before="0" w:beforeAutospacing="0" w:after="0" w:afterAutospacing="0"/>
              <w:jc w:val="center"/>
              <w:rPr>
                <w:rFonts w:hint="eastAsia" w:ascii="宋体" w:hAnsi="宋体" w:eastAsia="宋体" w:cs="宋体"/>
                <w:color w:val="auto"/>
                <w:sz w:val="21"/>
                <w:szCs w:val="21"/>
                <w:highlight w:val="none"/>
              </w:rPr>
            </w:pPr>
            <w:r>
              <w:rPr>
                <w:rStyle w:val="26"/>
                <w:rFonts w:hint="eastAsia" w:ascii="宋体" w:hAnsi="宋体" w:eastAsia="宋体" w:cs="宋体"/>
                <w:color w:val="auto"/>
                <w:spacing w:val="8"/>
                <w:sz w:val="21"/>
                <w:szCs w:val="21"/>
                <w:highlight w:val="none"/>
              </w:rPr>
              <w:t>指标名称</w:t>
            </w:r>
          </w:p>
        </w:tc>
        <w:tc>
          <w:tcPr>
            <w:tcW w:w="705"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3F9A870D">
            <w:pPr>
              <w:pStyle w:val="20"/>
              <w:wordWrap w:val="0"/>
              <w:spacing w:before="0" w:beforeAutospacing="0" w:after="0" w:afterAutospacing="0"/>
              <w:jc w:val="center"/>
              <w:rPr>
                <w:rFonts w:hint="eastAsia" w:ascii="宋体" w:hAnsi="宋体" w:eastAsia="宋体" w:cs="宋体"/>
                <w:color w:val="auto"/>
                <w:sz w:val="21"/>
                <w:szCs w:val="21"/>
                <w:highlight w:val="none"/>
              </w:rPr>
            </w:pPr>
            <w:r>
              <w:rPr>
                <w:rStyle w:val="26"/>
                <w:rFonts w:hint="eastAsia" w:ascii="宋体" w:hAnsi="宋体" w:eastAsia="宋体" w:cs="宋体"/>
                <w:color w:val="auto"/>
                <w:spacing w:val="8"/>
                <w:sz w:val="21"/>
                <w:szCs w:val="21"/>
                <w:highlight w:val="none"/>
              </w:rPr>
              <w:t>计量单位</w:t>
            </w:r>
          </w:p>
        </w:tc>
        <w:tc>
          <w:tcPr>
            <w:tcW w:w="1125"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239F3E23">
            <w:pPr>
              <w:pStyle w:val="20"/>
              <w:wordWrap w:val="0"/>
              <w:spacing w:before="0" w:beforeAutospacing="0" w:after="0" w:afterAutospacing="0"/>
              <w:jc w:val="center"/>
              <w:rPr>
                <w:rFonts w:hint="eastAsia" w:ascii="宋体" w:hAnsi="宋体" w:eastAsia="宋体" w:cs="宋体"/>
                <w:color w:val="auto"/>
                <w:sz w:val="21"/>
                <w:szCs w:val="21"/>
                <w:highlight w:val="none"/>
              </w:rPr>
            </w:pPr>
            <w:r>
              <w:rPr>
                <w:rStyle w:val="26"/>
                <w:rFonts w:hint="eastAsia" w:ascii="宋体" w:hAnsi="宋体" w:eastAsia="宋体" w:cs="宋体"/>
                <w:color w:val="auto"/>
                <w:spacing w:val="8"/>
                <w:sz w:val="21"/>
                <w:szCs w:val="21"/>
                <w:highlight w:val="none"/>
              </w:rPr>
              <w:t>大型</w:t>
            </w:r>
          </w:p>
        </w:tc>
        <w:tc>
          <w:tcPr>
            <w:tcW w:w="1695"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6E895744">
            <w:pPr>
              <w:pStyle w:val="20"/>
              <w:wordWrap w:val="0"/>
              <w:spacing w:before="0" w:beforeAutospacing="0" w:after="0" w:afterAutospacing="0"/>
              <w:jc w:val="center"/>
              <w:rPr>
                <w:rFonts w:hint="eastAsia" w:ascii="宋体" w:hAnsi="宋体" w:eastAsia="宋体" w:cs="宋体"/>
                <w:color w:val="auto"/>
                <w:sz w:val="21"/>
                <w:szCs w:val="21"/>
                <w:highlight w:val="none"/>
              </w:rPr>
            </w:pPr>
            <w:r>
              <w:rPr>
                <w:rStyle w:val="26"/>
                <w:rFonts w:hint="eastAsia" w:ascii="宋体" w:hAnsi="宋体" w:eastAsia="宋体" w:cs="宋体"/>
                <w:color w:val="auto"/>
                <w:spacing w:val="8"/>
                <w:sz w:val="21"/>
                <w:szCs w:val="21"/>
                <w:highlight w:val="none"/>
              </w:rPr>
              <w:t>中型</w:t>
            </w:r>
          </w:p>
        </w:tc>
        <w:tc>
          <w:tcPr>
            <w:tcW w:w="1425"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2E604745">
            <w:pPr>
              <w:pStyle w:val="20"/>
              <w:wordWrap w:val="0"/>
              <w:spacing w:before="0" w:beforeAutospacing="0" w:after="0" w:afterAutospacing="0"/>
              <w:jc w:val="center"/>
              <w:rPr>
                <w:rFonts w:hint="eastAsia" w:ascii="宋体" w:hAnsi="宋体" w:eastAsia="宋体" w:cs="宋体"/>
                <w:color w:val="auto"/>
                <w:sz w:val="21"/>
                <w:szCs w:val="21"/>
                <w:highlight w:val="none"/>
              </w:rPr>
            </w:pPr>
            <w:r>
              <w:rPr>
                <w:rStyle w:val="26"/>
                <w:rFonts w:hint="eastAsia" w:ascii="宋体" w:hAnsi="宋体" w:eastAsia="宋体" w:cs="宋体"/>
                <w:color w:val="auto"/>
                <w:spacing w:val="8"/>
                <w:sz w:val="21"/>
                <w:szCs w:val="21"/>
                <w:highlight w:val="none"/>
              </w:rPr>
              <w:t>小型</w:t>
            </w:r>
          </w:p>
        </w:tc>
        <w:tc>
          <w:tcPr>
            <w:tcW w:w="990"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06B3BB2F">
            <w:pPr>
              <w:pStyle w:val="20"/>
              <w:wordWrap w:val="0"/>
              <w:spacing w:before="0" w:beforeAutospacing="0" w:after="0" w:afterAutospacing="0"/>
              <w:jc w:val="center"/>
              <w:rPr>
                <w:rFonts w:hint="eastAsia" w:ascii="宋体" w:hAnsi="宋体" w:eastAsia="宋体" w:cs="宋体"/>
                <w:color w:val="auto"/>
                <w:sz w:val="21"/>
                <w:szCs w:val="21"/>
                <w:highlight w:val="none"/>
              </w:rPr>
            </w:pPr>
            <w:r>
              <w:rPr>
                <w:rStyle w:val="26"/>
                <w:rFonts w:hint="eastAsia" w:ascii="宋体" w:hAnsi="宋体" w:eastAsia="宋体" w:cs="宋体"/>
                <w:color w:val="auto"/>
                <w:spacing w:val="8"/>
                <w:sz w:val="21"/>
                <w:szCs w:val="21"/>
                <w:highlight w:val="none"/>
              </w:rPr>
              <w:t>微型</w:t>
            </w:r>
          </w:p>
        </w:tc>
      </w:tr>
      <w:tr w14:paraId="2EDC9C40">
        <w:tblPrEx>
          <w:tblCellMar>
            <w:top w:w="0" w:type="dxa"/>
            <w:left w:w="0" w:type="dxa"/>
            <w:bottom w:w="0" w:type="dxa"/>
            <w:right w:w="0" w:type="dxa"/>
          </w:tblCellMar>
        </w:tblPrEx>
        <w:trPr>
          <w:trHeight w:val="390" w:hRule="atLeast"/>
          <w:jc w:val="center"/>
        </w:trPr>
        <w:tc>
          <w:tcPr>
            <w:tcW w:w="2115" w:type="dxa"/>
            <w:tcBorders>
              <w:top w:val="nil"/>
              <w:left w:val="single" w:color="4F81BD" w:sz="6" w:space="0"/>
              <w:bottom w:val="single" w:color="4F81BD" w:sz="6" w:space="0"/>
              <w:right w:val="single" w:color="4F81BD" w:sz="6" w:space="0"/>
            </w:tcBorders>
            <w:shd w:val="clear" w:color="auto" w:fill="B8CCE4"/>
            <w:tcMar>
              <w:left w:w="105" w:type="dxa"/>
              <w:right w:w="105" w:type="dxa"/>
            </w:tcMar>
            <w:vAlign w:val="center"/>
          </w:tcPr>
          <w:p w14:paraId="6C319BD1">
            <w:pPr>
              <w:pStyle w:val="20"/>
              <w:wordWrap w:val="0"/>
              <w:spacing w:before="0" w:beforeAutospacing="0" w:after="0" w:afterAutospacing="0" w:line="24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农、林、牧、渔业</w:t>
            </w: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BB46347">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620355E">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0857439">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Y≥20000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3481387">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500≤Y＜20000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EAFCCEE">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50≤Y＜500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3B14911">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Y＜50</w:t>
            </w:r>
          </w:p>
        </w:tc>
      </w:tr>
      <w:tr w14:paraId="72C73E83">
        <w:tblPrEx>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60B2CCB">
            <w:pPr>
              <w:pStyle w:val="20"/>
              <w:wordWrap w:val="0"/>
              <w:spacing w:before="0" w:beforeAutospacing="0" w:after="0" w:afterAutospacing="0" w:line="24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工业 *</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45A6BE6">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A0B1A78">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F610B8C">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X≥1000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6EC0CC3">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300≤X＜1000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0A4078F">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20≤X＜300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940E9D4">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X＜20</w:t>
            </w:r>
          </w:p>
        </w:tc>
      </w:tr>
      <w:tr w14:paraId="2780D936">
        <w:tblPrEx>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70D60A1">
            <w:pPr>
              <w:rPr>
                <w:rFonts w:hint="eastAsia" w:ascii="宋体" w:hAnsi="宋体" w:eastAsia="宋体" w:cs="宋体"/>
                <w:color w:val="auto"/>
                <w:spacing w:val="8"/>
                <w:szCs w:val="21"/>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BC5F59E">
            <w:pPr>
              <w:pStyle w:val="20"/>
              <w:wordWrap w:val="0"/>
              <w:spacing w:before="0" w:beforeAutospacing="0" w:after="0" w:afterAutospacing="0"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493A0C1">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B98E19D">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Y≥40000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F7D9712">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2000≤Y＜40000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58175F4">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300≤Y＜2000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417650C">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Y＜300</w:t>
            </w:r>
          </w:p>
        </w:tc>
      </w:tr>
      <w:tr w14:paraId="4337B2B3">
        <w:tblPrEx>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5651F11">
            <w:pPr>
              <w:pStyle w:val="20"/>
              <w:wordWrap w:val="0"/>
              <w:spacing w:before="0" w:beforeAutospacing="0" w:after="0" w:afterAutospacing="0" w:line="24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建筑业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4F0173E">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营业收入（Y)</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A959CE3">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AB29269">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Y≥80000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BF1A800">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6000≤Y＜80000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D53BFCE">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300≤Y＜6000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B457062">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Y＜300</w:t>
            </w:r>
          </w:p>
        </w:tc>
      </w:tr>
      <w:tr w14:paraId="357371D7">
        <w:tblPrEx>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FA2FBBD">
            <w:pPr>
              <w:rPr>
                <w:rFonts w:hint="eastAsia" w:ascii="宋体" w:hAnsi="宋体" w:eastAsia="宋体" w:cs="宋体"/>
                <w:color w:val="auto"/>
                <w:spacing w:val="8"/>
                <w:szCs w:val="21"/>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88F2378">
            <w:pPr>
              <w:pStyle w:val="20"/>
              <w:wordWrap w:val="0"/>
              <w:spacing w:before="0" w:beforeAutospacing="0" w:after="0" w:afterAutospacing="0"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资产总额（Z)</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2B86DB8">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5FBA907">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Z≥80000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EB7A161">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5000≤Z＜80000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83D74A3">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300≤Z＜5000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B149D8F">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Z＜300</w:t>
            </w:r>
          </w:p>
        </w:tc>
      </w:tr>
      <w:tr w14:paraId="45003C4E">
        <w:tblPrEx>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217E4E8">
            <w:pPr>
              <w:pStyle w:val="20"/>
              <w:wordWrap w:val="0"/>
              <w:spacing w:before="0" w:beforeAutospacing="0" w:after="0" w:afterAutospacing="0" w:line="24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批发业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994DB0D">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B11EA6D">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6210FF3">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X≥200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CA5DB78">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20≤X＜200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8D9A1C9">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5≤X＜20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BE7A2E4">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X＜5</w:t>
            </w:r>
          </w:p>
        </w:tc>
      </w:tr>
      <w:tr w14:paraId="15A27763">
        <w:tblPrEx>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AE815B2">
            <w:pPr>
              <w:rPr>
                <w:rFonts w:hint="eastAsia" w:ascii="宋体" w:hAnsi="宋体" w:eastAsia="宋体" w:cs="宋体"/>
                <w:color w:val="auto"/>
                <w:spacing w:val="8"/>
                <w:szCs w:val="21"/>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DBA3C8C">
            <w:pPr>
              <w:pStyle w:val="20"/>
              <w:wordWrap w:val="0"/>
              <w:spacing w:before="0" w:beforeAutospacing="0" w:after="0" w:afterAutospacing="0"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BC4FEBF">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2C904EE">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Y≥40000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19C5FD8">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5000≤Y＜40000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9C7932E">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1000≤Y＜5000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4EDFAA8">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Y＜1000</w:t>
            </w:r>
          </w:p>
        </w:tc>
      </w:tr>
      <w:tr w14:paraId="3815075F">
        <w:tblPrEx>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23AC179">
            <w:pPr>
              <w:pStyle w:val="20"/>
              <w:wordWrap w:val="0"/>
              <w:spacing w:before="0" w:beforeAutospacing="0" w:after="0" w:afterAutospacing="0" w:line="24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零售业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5072B27">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D685AD7">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6728872">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X≥300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AB9F6D0">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50≤X＜300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67CF70C">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10≤X＜50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7E83269">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X＜10</w:t>
            </w:r>
          </w:p>
        </w:tc>
      </w:tr>
      <w:tr w14:paraId="2E95575E">
        <w:tblPrEx>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1DFFFFC">
            <w:pPr>
              <w:rPr>
                <w:rFonts w:hint="eastAsia" w:ascii="宋体" w:hAnsi="宋体" w:eastAsia="宋体" w:cs="宋体"/>
                <w:color w:val="auto"/>
                <w:spacing w:val="8"/>
                <w:szCs w:val="21"/>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E45604A">
            <w:pPr>
              <w:pStyle w:val="20"/>
              <w:wordWrap w:val="0"/>
              <w:spacing w:before="0" w:beforeAutospacing="0" w:after="0" w:afterAutospacing="0"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F76962C">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A3CD919">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Y≥20000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7537E5C">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500≤Y＜20000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C291902">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100≤Y＜500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F3F276A">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Y＜100</w:t>
            </w:r>
          </w:p>
        </w:tc>
      </w:tr>
      <w:tr w14:paraId="1B67478C">
        <w:tblPrEx>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9818A49">
            <w:pPr>
              <w:pStyle w:val="20"/>
              <w:wordWrap w:val="0"/>
              <w:spacing w:before="0" w:beforeAutospacing="0" w:after="0" w:afterAutospacing="0" w:line="24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交通运输业 *</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13D24CD">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D4B44BF">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C701D1B">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X≥1000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A48A182">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300≤X＜1000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F1AB2BF">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20≤X＜300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6AE95FF">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X＜20</w:t>
            </w:r>
          </w:p>
        </w:tc>
      </w:tr>
      <w:tr w14:paraId="4AA62DB3">
        <w:tblPrEx>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9160E31">
            <w:pPr>
              <w:rPr>
                <w:rFonts w:hint="eastAsia" w:ascii="宋体" w:hAnsi="宋体" w:eastAsia="宋体" w:cs="宋体"/>
                <w:color w:val="auto"/>
                <w:spacing w:val="8"/>
                <w:szCs w:val="21"/>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4079D34">
            <w:pPr>
              <w:pStyle w:val="20"/>
              <w:wordWrap w:val="0"/>
              <w:spacing w:before="0" w:beforeAutospacing="0" w:after="0" w:afterAutospacing="0"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9D96AB7">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6325006">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Y≥30000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3D766C9">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3000≤Y＜30000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EEB660E">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200≤Y＜3000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A8E40FF">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Y＜200</w:t>
            </w:r>
          </w:p>
        </w:tc>
      </w:tr>
      <w:tr w14:paraId="104A9DF0">
        <w:tblPrEx>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3D65349">
            <w:pPr>
              <w:pStyle w:val="20"/>
              <w:wordWrap w:val="0"/>
              <w:spacing w:before="0" w:beforeAutospacing="0" w:after="0" w:afterAutospacing="0" w:line="24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仓储业*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1F217C8">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2441E28">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7E95FAB">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X≥200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8C857FE">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100≤X＜200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9DFFABF">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20≤X＜100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227EAF0">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X＜20</w:t>
            </w:r>
          </w:p>
        </w:tc>
      </w:tr>
      <w:tr w14:paraId="20ACBA10">
        <w:tblPrEx>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07BE8DD">
            <w:pPr>
              <w:rPr>
                <w:rFonts w:hint="eastAsia" w:ascii="宋体" w:hAnsi="宋体" w:eastAsia="宋体" w:cs="宋体"/>
                <w:color w:val="auto"/>
                <w:spacing w:val="8"/>
                <w:szCs w:val="21"/>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7A17601">
            <w:pPr>
              <w:pStyle w:val="20"/>
              <w:wordWrap w:val="0"/>
              <w:spacing w:before="0" w:beforeAutospacing="0" w:after="0" w:afterAutospacing="0"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1C676E1">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A20EF73">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Y≥30000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00D3AE8">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1000≤Y＜30000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696C1E6">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100≤Y＜1000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8F1A0E4">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Y＜100</w:t>
            </w:r>
          </w:p>
        </w:tc>
      </w:tr>
      <w:tr w14:paraId="680D4FCF">
        <w:tblPrEx>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94A20E0">
            <w:pPr>
              <w:pStyle w:val="20"/>
              <w:wordWrap w:val="0"/>
              <w:spacing w:before="0" w:beforeAutospacing="0" w:after="0" w:afterAutospacing="0" w:line="24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邮政业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FFFDF27">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A99727C">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C2D0D7C">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X≥1000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DBF4163">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300≤X＜1000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F8293BB">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20≤X＜300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4DB8264">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X＜20</w:t>
            </w:r>
          </w:p>
        </w:tc>
      </w:tr>
      <w:tr w14:paraId="50AEAD55">
        <w:tblPrEx>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9C86A47">
            <w:pPr>
              <w:rPr>
                <w:rFonts w:hint="eastAsia" w:ascii="宋体" w:hAnsi="宋体" w:eastAsia="宋体" w:cs="宋体"/>
                <w:color w:val="auto"/>
                <w:spacing w:val="8"/>
                <w:szCs w:val="21"/>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832C4B8">
            <w:pPr>
              <w:pStyle w:val="20"/>
              <w:wordWrap w:val="0"/>
              <w:spacing w:before="0" w:beforeAutospacing="0" w:after="0" w:afterAutospacing="0"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A23AD85">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54DCE47">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Y≥30000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6E715AF">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2000≤Y＜30000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EEE9463">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100≤Y＜2000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6A727DE">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Y＜100</w:t>
            </w:r>
          </w:p>
        </w:tc>
      </w:tr>
      <w:tr w14:paraId="0214C336">
        <w:tblPrEx>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E7DE588">
            <w:pPr>
              <w:pStyle w:val="20"/>
              <w:wordWrap w:val="0"/>
              <w:spacing w:before="0" w:beforeAutospacing="0" w:after="0" w:afterAutospacing="0" w:line="24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住宿业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50A0DB0">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17644CF">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DC46E28">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X≥300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05402B8">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100≤X＜300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7CAE0C9">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10≤X＜100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F64A9C3">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X＜10</w:t>
            </w:r>
          </w:p>
        </w:tc>
      </w:tr>
      <w:tr w14:paraId="68A3EEF7">
        <w:tblPrEx>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C19B482">
            <w:pPr>
              <w:rPr>
                <w:rFonts w:hint="eastAsia" w:ascii="宋体" w:hAnsi="宋体" w:eastAsia="宋体" w:cs="宋体"/>
                <w:color w:val="auto"/>
                <w:spacing w:val="8"/>
                <w:szCs w:val="21"/>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2FDCE24">
            <w:pPr>
              <w:pStyle w:val="20"/>
              <w:wordWrap w:val="0"/>
              <w:spacing w:before="0" w:beforeAutospacing="0" w:after="0" w:afterAutospacing="0"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4BC004F">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E88B06F">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Y≥10000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3099C25">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2000≤Y＜10000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E2BDCC2">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100≤Y＜2000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1E51DEC">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Y＜100</w:t>
            </w:r>
          </w:p>
        </w:tc>
      </w:tr>
      <w:tr w14:paraId="50650DAE">
        <w:tblPrEx>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D36D18B">
            <w:pPr>
              <w:pStyle w:val="20"/>
              <w:wordWrap w:val="0"/>
              <w:spacing w:before="0" w:beforeAutospacing="0" w:after="0" w:afterAutospacing="0" w:line="24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餐饮业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8514FCA">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6F7E6CE">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155C4C1">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X≥300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01B4FEB">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100≤X＜300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E666B2A">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10≤X＜100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D341A1D">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X＜10</w:t>
            </w:r>
          </w:p>
        </w:tc>
      </w:tr>
      <w:tr w14:paraId="3681B467">
        <w:tblPrEx>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0576789">
            <w:pPr>
              <w:rPr>
                <w:rFonts w:hint="eastAsia" w:ascii="宋体" w:hAnsi="宋体" w:eastAsia="宋体" w:cs="宋体"/>
                <w:color w:val="auto"/>
                <w:spacing w:val="8"/>
                <w:szCs w:val="21"/>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9C2FDCA">
            <w:pPr>
              <w:pStyle w:val="20"/>
              <w:wordWrap w:val="0"/>
              <w:spacing w:before="0" w:beforeAutospacing="0" w:after="0" w:afterAutospacing="0"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CB12C61">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ED04BDC">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Y≥10000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A48C658">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2000≤Y＜10000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73D620E">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100≤Y＜2000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E53E056">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Y＜100</w:t>
            </w:r>
          </w:p>
        </w:tc>
      </w:tr>
      <w:tr w14:paraId="521F0A71">
        <w:tblPrEx>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EB37B6B">
            <w:pPr>
              <w:pStyle w:val="20"/>
              <w:wordWrap w:val="0"/>
              <w:spacing w:before="0" w:beforeAutospacing="0" w:after="0" w:afterAutospacing="0" w:line="24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信息传输业 *</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892C115">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4311305">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5F622FA">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X≥2000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1CE6C41">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100≤X＜2000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F177C09">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10≤X＜100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6E7C294">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X＜10</w:t>
            </w:r>
          </w:p>
        </w:tc>
      </w:tr>
      <w:tr w14:paraId="2C638BEE">
        <w:tblPrEx>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87E1537">
            <w:pPr>
              <w:rPr>
                <w:rFonts w:hint="eastAsia" w:ascii="宋体" w:hAnsi="宋体" w:eastAsia="宋体" w:cs="宋体"/>
                <w:color w:val="auto"/>
                <w:spacing w:val="8"/>
                <w:szCs w:val="21"/>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0E2F366">
            <w:pPr>
              <w:pStyle w:val="20"/>
              <w:wordWrap w:val="0"/>
              <w:spacing w:before="0" w:beforeAutospacing="0" w:after="0" w:afterAutospacing="0"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5E2E035">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4518D0B">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Y≥100000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1128890">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1000≤Y＜100000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C323A67">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100≤Y＜1000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A4AAFCA">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Y＜100</w:t>
            </w:r>
          </w:p>
        </w:tc>
      </w:tr>
      <w:tr w14:paraId="615DEE19">
        <w:tblPrEx>
          <w:tblCellMar>
            <w:top w:w="0" w:type="dxa"/>
            <w:left w:w="0" w:type="dxa"/>
            <w:bottom w:w="0" w:type="dxa"/>
            <w:right w:w="0" w:type="dxa"/>
          </w:tblCellMar>
        </w:tblPrEx>
        <w:trPr>
          <w:trHeight w:val="345"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F0EEFAB">
            <w:pPr>
              <w:pStyle w:val="20"/>
              <w:wordWrap w:val="0"/>
              <w:spacing w:before="0" w:beforeAutospacing="0" w:after="0" w:afterAutospacing="0" w:line="24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软件和信息技术服</w:t>
            </w:r>
            <w:r>
              <w:rPr>
                <w:rFonts w:hint="eastAsia" w:ascii="宋体" w:hAnsi="宋体" w:eastAsia="宋体" w:cs="宋体"/>
                <w:color w:val="auto"/>
                <w:spacing w:val="8"/>
                <w:sz w:val="21"/>
                <w:szCs w:val="21"/>
                <w:highlight w:val="none"/>
              </w:rPr>
              <w:t>务业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F3DEDA6">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5429E09">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28835D0">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X≥300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965190B">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100≤X＜300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1A344C4">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10≤X＜100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8FB7EAE">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X＜10</w:t>
            </w:r>
          </w:p>
        </w:tc>
      </w:tr>
      <w:tr w14:paraId="7FD5EFCE">
        <w:tblPrEx>
          <w:tblCellMar>
            <w:top w:w="0" w:type="dxa"/>
            <w:left w:w="0" w:type="dxa"/>
            <w:bottom w:w="0" w:type="dxa"/>
            <w:right w:w="0" w:type="dxa"/>
          </w:tblCellMar>
        </w:tblPrEx>
        <w:trPr>
          <w:trHeight w:val="345"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6133FFD">
            <w:pPr>
              <w:rPr>
                <w:rFonts w:hint="eastAsia" w:ascii="宋体" w:hAnsi="宋体" w:eastAsia="宋体" w:cs="宋体"/>
                <w:color w:val="auto"/>
                <w:spacing w:val="8"/>
                <w:szCs w:val="21"/>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5F7FB95">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58CAC2A">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FEDDFA5">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Y≥10000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72BDA33">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1000≤Y＜10000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CA61A73">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50≤Y＜1000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8C396F2">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Y＜50</w:t>
            </w:r>
          </w:p>
        </w:tc>
      </w:tr>
      <w:tr w14:paraId="3AC6977C">
        <w:tblPrEx>
          <w:tblCellMar>
            <w:top w:w="0" w:type="dxa"/>
            <w:left w:w="0" w:type="dxa"/>
            <w:bottom w:w="0" w:type="dxa"/>
            <w:right w:w="0" w:type="dxa"/>
          </w:tblCellMar>
        </w:tblPrEx>
        <w:trPr>
          <w:trHeight w:val="345"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595C89C">
            <w:pPr>
              <w:pStyle w:val="20"/>
              <w:wordWrap w:val="0"/>
              <w:spacing w:before="0" w:beforeAutospacing="0" w:after="0" w:afterAutospacing="0" w:line="24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房地产开发经营</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EE516C4">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营业收入（Y)</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FB61835">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0A65ECA">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Y≥200000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C8BD2AD">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1000≤Y＜200000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5F9C342">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100≤Y＜1000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A983E59">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Y＜100</w:t>
            </w:r>
          </w:p>
        </w:tc>
      </w:tr>
      <w:tr w14:paraId="5EAFE496">
        <w:tblPrEx>
          <w:tblCellMar>
            <w:top w:w="0" w:type="dxa"/>
            <w:left w:w="0" w:type="dxa"/>
            <w:bottom w:w="0" w:type="dxa"/>
            <w:right w:w="0" w:type="dxa"/>
          </w:tblCellMar>
        </w:tblPrEx>
        <w:trPr>
          <w:trHeight w:val="345"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4699AF1">
            <w:pPr>
              <w:rPr>
                <w:rFonts w:hint="eastAsia" w:ascii="宋体" w:hAnsi="宋体" w:eastAsia="宋体" w:cs="宋体"/>
                <w:color w:val="auto"/>
                <w:spacing w:val="8"/>
                <w:szCs w:val="21"/>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4231D34">
            <w:pPr>
              <w:pStyle w:val="20"/>
              <w:wordWrap w:val="0"/>
              <w:spacing w:before="0" w:beforeAutospacing="0" w:after="0" w:afterAutospacing="0"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资产总额（Z)</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406194E">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5AF278A">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Z≥10000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9E5A82A">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5000≤Z＜10000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0845C6B">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2000≤Z＜5000   </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11829EE">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Z＜2000</w:t>
            </w:r>
          </w:p>
        </w:tc>
      </w:tr>
      <w:tr w14:paraId="2AEB796E">
        <w:tblPrEx>
          <w:tblCellMar>
            <w:top w:w="0" w:type="dxa"/>
            <w:left w:w="0" w:type="dxa"/>
            <w:bottom w:w="0" w:type="dxa"/>
            <w:right w:w="0" w:type="dxa"/>
          </w:tblCellMar>
        </w:tblPrEx>
        <w:trPr>
          <w:trHeight w:val="345"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F43F09A">
            <w:pPr>
              <w:pStyle w:val="20"/>
              <w:wordWrap w:val="0"/>
              <w:spacing w:before="0" w:beforeAutospacing="0" w:after="0" w:afterAutospacing="0" w:line="24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物业管理</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FA2EFBB">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8B6EB73">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229C220">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X≥1000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7739DA1">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300≤X＜1000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B1365C8">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100≤X＜300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0C7B230">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X＜100</w:t>
            </w:r>
          </w:p>
        </w:tc>
      </w:tr>
      <w:tr w14:paraId="4934F5A7">
        <w:tblPrEx>
          <w:tblCellMar>
            <w:top w:w="0" w:type="dxa"/>
            <w:left w:w="0" w:type="dxa"/>
            <w:bottom w:w="0" w:type="dxa"/>
            <w:right w:w="0" w:type="dxa"/>
          </w:tblCellMar>
        </w:tblPrEx>
        <w:trPr>
          <w:trHeight w:val="345"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B5772A0">
            <w:pPr>
              <w:rPr>
                <w:rFonts w:hint="eastAsia" w:ascii="宋体" w:hAnsi="宋体" w:eastAsia="宋体" w:cs="宋体"/>
                <w:color w:val="auto"/>
                <w:spacing w:val="8"/>
                <w:szCs w:val="21"/>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891BCB2">
            <w:pPr>
              <w:pStyle w:val="20"/>
              <w:wordWrap w:val="0"/>
              <w:spacing w:before="0" w:beforeAutospacing="0" w:after="0" w:afterAutospacing="0"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B4807E9">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1CDBD6C">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Y≥5000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F5F301C">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1000≤Y＜5000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A9F8D7E">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500≤Y＜1000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1EDD1DD">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Y＜500</w:t>
            </w:r>
          </w:p>
        </w:tc>
      </w:tr>
      <w:tr w14:paraId="0E506D56">
        <w:tblPrEx>
          <w:tblCellMar>
            <w:top w:w="0" w:type="dxa"/>
            <w:left w:w="0" w:type="dxa"/>
            <w:bottom w:w="0" w:type="dxa"/>
            <w:right w:w="0" w:type="dxa"/>
          </w:tblCellMar>
        </w:tblPrEx>
        <w:trPr>
          <w:trHeight w:val="345"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8B61C7D">
            <w:pPr>
              <w:pStyle w:val="20"/>
              <w:wordWrap w:val="0"/>
              <w:spacing w:before="0" w:beforeAutospacing="0" w:after="0" w:afterAutospacing="0" w:line="24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租赁和商务服务业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7736098">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545848F">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42BDC34">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X≥300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3DEBBE8">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100≤X＜300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BED8BF8">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10≤X＜100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ABD29C1">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X＜10</w:t>
            </w:r>
          </w:p>
        </w:tc>
      </w:tr>
      <w:tr w14:paraId="15D937E9">
        <w:tblPrEx>
          <w:tblCellMar>
            <w:top w:w="0" w:type="dxa"/>
            <w:left w:w="0" w:type="dxa"/>
            <w:bottom w:w="0" w:type="dxa"/>
            <w:right w:w="0" w:type="dxa"/>
          </w:tblCellMar>
        </w:tblPrEx>
        <w:trPr>
          <w:trHeight w:val="345"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01F1BEA">
            <w:pPr>
              <w:rPr>
                <w:rFonts w:hint="eastAsia" w:ascii="宋体" w:hAnsi="宋体" w:eastAsia="宋体" w:cs="宋体"/>
                <w:color w:val="auto"/>
                <w:spacing w:val="8"/>
                <w:szCs w:val="21"/>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E628F6E">
            <w:pPr>
              <w:pStyle w:val="20"/>
              <w:wordWrap w:val="0"/>
              <w:spacing w:before="0" w:beforeAutospacing="0" w:after="0" w:afterAutospacing="0"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资产总额（Z)</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8F43046">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BC58A4B">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Z≥120000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AFC0C2C">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8000≤Z＜120000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107291C">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100≤Z＜8000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796D3F1">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Z＜100</w:t>
            </w:r>
          </w:p>
        </w:tc>
      </w:tr>
      <w:tr w14:paraId="340157A0">
        <w:tblPrEx>
          <w:tblCellMar>
            <w:top w:w="0" w:type="dxa"/>
            <w:left w:w="0" w:type="dxa"/>
            <w:bottom w:w="0" w:type="dxa"/>
            <w:right w:w="0" w:type="dxa"/>
          </w:tblCellMar>
        </w:tblPrEx>
        <w:trPr>
          <w:trHeight w:val="390" w:hRule="atLeast"/>
          <w:jc w:val="center"/>
        </w:trPr>
        <w:tc>
          <w:tcPr>
            <w:tcW w:w="2115" w:type="dxa"/>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F545E3E">
            <w:pPr>
              <w:pStyle w:val="20"/>
              <w:wordWrap w:val="0"/>
              <w:spacing w:before="0" w:beforeAutospacing="0" w:after="0" w:afterAutospacing="0" w:line="240" w:lineRule="atLeast"/>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其他未列明行业 *</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16848F0">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95EA674">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F6135B5">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X≥300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72736C2">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100≤X＜300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FDC9B83">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10≤X＜100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B5B8387">
            <w:pPr>
              <w:pStyle w:val="20"/>
              <w:wordWrap w:val="0"/>
              <w:spacing w:before="0" w:beforeAutospacing="0" w:after="0" w:afterAutospacing="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X＜10</w:t>
            </w:r>
          </w:p>
        </w:tc>
      </w:tr>
    </w:tbl>
    <w:p w14:paraId="769D3760">
      <w:pPr>
        <w:rPr>
          <w:rFonts w:hint="eastAsia" w:ascii="宋体" w:hAnsi="宋体" w:eastAsia="宋体" w:cs="宋体"/>
          <w:color w:val="auto"/>
          <w:spacing w:val="15"/>
          <w:szCs w:val="21"/>
          <w:highlight w:val="none"/>
        </w:rPr>
      </w:pPr>
    </w:p>
    <w:p w14:paraId="2839C3F5">
      <w:pPr>
        <w:spacing w:line="360" w:lineRule="auto"/>
        <w:ind w:firstLine="480" w:firstLineChars="200"/>
        <w:rPr>
          <w:rFonts w:hint="eastAsia" w:ascii="宋体" w:hAnsi="宋体" w:eastAsia="宋体" w:cs="宋体"/>
          <w:color w:val="auto"/>
          <w:spacing w:val="15"/>
          <w:szCs w:val="21"/>
          <w:highlight w:val="none"/>
        </w:rPr>
      </w:pPr>
      <w:r>
        <w:rPr>
          <w:rFonts w:hint="eastAsia" w:ascii="宋体" w:hAnsi="宋体" w:eastAsia="宋体" w:cs="宋体"/>
          <w:color w:val="auto"/>
          <w:spacing w:val="15"/>
          <w:szCs w:val="21"/>
          <w:highlight w:val="none"/>
        </w:rPr>
        <w:t>说明：1.大型、中型和小型企业须同时满足所列指标的下限，否则下划一档；微型企业只须满足所列指标中的一项即可。</w:t>
      </w:r>
    </w:p>
    <w:p w14:paraId="4069A095">
      <w:pPr>
        <w:numPr>
          <w:ilvl w:val="0"/>
          <w:numId w:val="8"/>
        </w:numPr>
        <w:spacing w:line="360" w:lineRule="auto"/>
        <w:ind w:firstLine="480" w:firstLineChars="200"/>
        <w:rPr>
          <w:rFonts w:hint="eastAsia" w:ascii="宋体" w:hAnsi="宋体" w:eastAsia="宋体" w:cs="宋体"/>
          <w:color w:val="auto"/>
          <w:spacing w:val="15"/>
          <w:szCs w:val="21"/>
          <w:highlight w:val="none"/>
        </w:rPr>
      </w:pPr>
      <w:r>
        <w:rPr>
          <w:rFonts w:hint="eastAsia" w:ascii="宋体" w:hAnsi="宋体" w:eastAsia="宋体" w:cs="宋体"/>
          <w:color w:val="auto"/>
          <w:spacing w:val="15"/>
          <w:szCs w:val="21"/>
          <w:highlight w:val="none"/>
        </w:rPr>
        <w:t>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F753ACB">
      <w:pPr>
        <w:numPr>
          <w:ilvl w:val="0"/>
          <w:numId w:val="8"/>
        </w:numPr>
        <w:spacing w:line="360" w:lineRule="auto"/>
        <w:ind w:firstLine="480" w:firstLineChars="200"/>
        <w:rPr>
          <w:rFonts w:hint="eastAsia" w:ascii="宋体" w:hAnsi="宋体" w:eastAsia="宋体" w:cs="宋体"/>
          <w:color w:val="auto"/>
          <w:spacing w:val="15"/>
          <w:szCs w:val="21"/>
          <w:highlight w:val="none"/>
        </w:rPr>
      </w:pPr>
      <w:r>
        <w:rPr>
          <w:rFonts w:hint="eastAsia" w:ascii="宋体" w:hAnsi="宋体" w:eastAsia="宋体" w:cs="宋体"/>
          <w:color w:val="auto"/>
          <w:spacing w:val="15"/>
          <w:szCs w:val="21"/>
          <w:highlight w:val="none"/>
        </w:rPr>
        <w:t>企业划分指标以现行统计制度为准。</w:t>
      </w:r>
    </w:p>
    <w:p w14:paraId="4BCC5E32">
      <w:pPr>
        <w:spacing w:line="360" w:lineRule="auto"/>
        <w:ind w:firstLine="480" w:firstLineChars="200"/>
        <w:rPr>
          <w:rFonts w:hint="eastAsia" w:ascii="宋体" w:hAnsi="宋体" w:eastAsia="宋体" w:cs="宋体"/>
          <w:color w:val="auto"/>
          <w:spacing w:val="15"/>
          <w:szCs w:val="21"/>
          <w:highlight w:val="none"/>
        </w:rPr>
      </w:pPr>
      <w:r>
        <w:rPr>
          <w:rFonts w:hint="eastAsia" w:ascii="宋体" w:hAnsi="宋体" w:eastAsia="宋体" w:cs="宋体"/>
          <w:color w:val="auto"/>
          <w:spacing w:val="15"/>
          <w:szCs w:val="21"/>
          <w:highlight w:val="none"/>
        </w:rPr>
        <w:t>（1）从业人员，是指期末从业人员数，没有期末从业人员数的，采用全年平均人员数代替。</w:t>
      </w:r>
    </w:p>
    <w:p w14:paraId="19E83A1B">
      <w:pPr>
        <w:spacing w:line="360" w:lineRule="auto"/>
        <w:ind w:firstLine="480" w:firstLineChars="200"/>
        <w:rPr>
          <w:rFonts w:hint="eastAsia" w:ascii="宋体" w:hAnsi="宋体" w:eastAsia="宋体" w:cs="宋体"/>
          <w:color w:val="auto"/>
          <w:spacing w:val="15"/>
          <w:szCs w:val="21"/>
          <w:highlight w:val="none"/>
        </w:rPr>
      </w:pPr>
      <w:r>
        <w:rPr>
          <w:rFonts w:hint="eastAsia" w:ascii="宋体" w:hAnsi="宋体" w:eastAsia="宋体" w:cs="宋体"/>
          <w:color w:val="auto"/>
          <w:spacing w:val="15"/>
          <w:szCs w:val="21"/>
          <w:highlight w:val="none"/>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5321C2A7">
      <w:pPr>
        <w:spacing w:line="360" w:lineRule="auto"/>
        <w:ind w:firstLine="480" w:firstLineChars="200"/>
        <w:rPr>
          <w:rFonts w:hint="eastAsia" w:ascii="宋体" w:hAnsi="宋体" w:eastAsia="宋体" w:cs="宋体"/>
          <w:color w:val="auto"/>
          <w:highlight w:val="none"/>
        </w:rPr>
        <w:sectPr>
          <w:pgSz w:w="11910" w:h="16840"/>
          <w:pgMar w:top="1520" w:right="1380" w:bottom="1380" w:left="1580" w:header="1135" w:footer="841" w:gutter="0"/>
          <w:cols w:space="720" w:num="1"/>
        </w:sectPr>
      </w:pPr>
      <w:r>
        <w:rPr>
          <w:rFonts w:hint="eastAsia" w:ascii="宋体" w:hAnsi="宋体" w:eastAsia="宋体" w:cs="宋体"/>
          <w:color w:val="auto"/>
          <w:spacing w:val="15"/>
          <w:szCs w:val="21"/>
          <w:highlight w:val="none"/>
        </w:rPr>
        <w:t>（3）资产总额，采用资产总计代替。</w:t>
      </w:r>
    </w:p>
    <w:p w14:paraId="47098EA6">
      <w:pPr>
        <w:spacing w:line="360" w:lineRule="auto"/>
        <w:rPr>
          <w:rFonts w:hint="eastAsia" w:ascii="宋体" w:hAnsi="宋体" w:eastAsia="宋体" w:cs="宋体"/>
          <w:b/>
          <w:color w:val="auto"/>
          <w:szCs w:val="21"/>
          <w:highlight w:val="none"/>
        </w:rPr>
      </w:pPr>
      <w:bookmarkStart w:id="380" w:name="_Hlk84944905"/>
    </w:p>
    <w:bookmarkEnd w:id="380"/>
    <w:p w14:paraId="64FF939E">
      <w:pPr>
        <w:numPr>
          <w:ilvl w:val="0"/>
          <w:numId w:val="9"/>
        </w:num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残疾人福利企业声明函</w:t>
      </w:r>
    </w:p>
    <w:p w14:paraId="0511F5E0">
      <w:pPr>
        <w:pStyle w:val="5"/>
        <w:spacing w:line="360" w:lineRule="auto"/>
        <w:ind w:firstLine="480"/>
        <w:rPr>
          <w:rFonts w:hint="eastAsia" w:ascii="宋体" w:hAnsi="宋体" w:eastAsia="宋体" w:cs="宋体"/>
          <w:color w:val="auto"/>
          <w:sz w:val="24"/>
          <w:szCs w:val="24"/>
          <w:highlight w:val="none"/>
        </w:rPr>
      </w:pPr>
    </w:p>
    <w:p w14:paraId="20B323E8">
      <w:pPr>
        <w:spacing w:line="360" w:lineRule="auto"/>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本单位郑重声明，根据《财政部民政部中国残疾人联合会关于促进残疾人就业政府采购政策的通知》（财库</w:t>
      </w:r>
      <w:r>
        <w:rPr>
          <w:rFonts w:hint="eastAsia" w:ascii="宋体" w:hAnsi="宋体" w:eastAsia="宋体" w:cs="宋体"/>
          <w:color w:val="auto"/>
          <w:sz w:val="24"/>
          <w:highlight w:val="none"/>
        </w:rPr>
        <w:t>〔2017〕141</w:t>
      </w:r>
      <w:r>
        <w:rPr>
          <w:rFonts w:hint="eastAsia" w:ascii="宋体" w:hAnsi="宋体" w:eastAsia="宋体" w:cs="宋体"/>
          <w:color w:val="auto"/>
          <w:spacing w:val="6"/>
          <w:sz w:val="24"/>
          <w:highlight w:val="none"/>
        </w:rPr>
        <w:t>号）的规定，本单位为符合条件的残疾人福利性单位，且本单位参加</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单位的</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项目采购活动提供本单位制造的货物</w:t>
      </w:r>
      <w:r>
        <w:rPr>
          <w:rFonts w:hint="eastAsia" w:ascii="宋体" w:hAnsi="宋体" w:eastAsia="宋体" w:cs="宋体"/>
          <w:color w:val="auto"/>
          <w:spacing w:val="6"/>
          <w:sz w:val="24"/>
          <w:highlight w:val="none"/>
          <w:u w:val="single"/>
        </w:rPr>
        <w:t>（由本单位承担工程/提供服务）</w:t>
      </w:r>
      <w:r>
        <w:rPr>
          <w:rFonts w:hint="eastAsia" w:ascii="宋体" w:hAnsi="宋体" w:eastAsia="宋体" w:cs="宋体"/>
          <w:color w:val="auto"/>
          <w:spacing w:val="6"/>
          <w:sz w:val="24"/>
          <w:highlight w:val="none"/>
        </w:rPr>
        <w:t>，或者提供其他残疾人福利性单位制造的货物</w:t>
      </w:r>
      <w:r>
        <w:rPr>
          <w:rFonts w:hint="eastAsia" w:ascii="宋体" w:hAnsi="宋体" w:eastAsia="宋体" w:cs="宋体"/>
          <w:color w:val="auto"/>
          <w:spacing w:val="6"/>
          <w:sz w:val="24"/>
          <w:highlight w:val="none"/>
          <w:u w:val="single"/>
        </w:rPr>
        <w:t>（不包括使用非残疾人福利性单位注册商标的货物）</w:t>
      </w:r>
      <w:r>
        <w:rPr>
          <w:rFonts w:hint="eastAsia" w:ascii="宋体" w:hAnsi="宋体" w:eastAsia="宋体" w:cs="宋体"/>
          <w:color w:val="auto"/>
          <w:spacing w:val="6"/>
          <w:sz w:val="24"/>
          <w:highlight w:val="none"/>
        </w:rPr>
        <w:t>。</w:t>
      </w:r>
    </w:p>
    <w:p w14:paraId="099C7200">
      <w:pPr>
        <w:spacing w:line="360" w:lineRule="auto"/>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本单位对上述声明的真实性负责。如有虚假，将依法承担相应责任。</w:t>
      </w:r>
    </w:p>
    <w:p w14:paraId="3A082EFC">
      <w:pPr>
        <w:spacing w:line="360" w:lineRule="auto"/>
        <w:ind w:firstLine="504" w:firstLineChars="200"/>
        <w:rPr>
          <w:rFonts w:hint="eastAsia" w:ascii="宋体" w:hAnsi="宋体" w:eastAsia="宋体" w:cs="宋体"/>
          <w:color w:val="auto"/>
          <w:spacing w:val="6"/>
          <w:sz w:val="24"/>
          <w:highlight w:val="none"/>
        </w:rPr>
      </w:pPr>
    </w:p>
    <w:p w14:paraId="2E52B3D0">
      <w:pPr>
        <w:tabs>
          <w:tab w:val="left" w:pos="4860"/>
        </w:tabs>
        <w:spacing w:line="360" w:lineRule="auto"/>
        <w:ind w:right="1560" w:firstLine="504" w:firstLineChars="200"/>
        <w:jc w:val="left"/>
        <w:rPr>
          <w:rFonts w:hint="eastAsia" w:ascii="宋体" w:hAnsi="宋体" w:eastAsia="宋体" w:cs="宋体"/>
          <w:color w:val="auto"/>
          <w:spacing w:val="6"/>
          <w:sz w:val="24"/>
          <w:highlight w:val="none"/>
        </w:rPr>
      </w:pPr>
    </w:p>
    <w:p w14:paraId="1657DEED">
      <w:pPr>
        <w:tabs>
          <w:tab w:val="left" w:pos="4860"/>
        </w:tabs>
        <w:spacing w:line="360" w:lineRule="auto"/>
        <w:ind w:right="1560" w:firstLine="504" w:firstLineChars="200"/>
        <w:jc w:val="lef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单位名称（加盖公章）：</w:t>
      </w:r>
    </w:p>
    <w:p w14:paraId="3FDC6BF7">
      <w:pPr>
        <w:tabs>
          <w:tab w:val="left" w:pos="4860"/>
        </w:tabs>
        <w:spacing w:line="360" w:lineRule="auto"/>
        <w:ind w:right="1560" w:firstLine="504" w:firstLineChars="200"/>
        <w:jc w:val="center"/>
        <w:rPr>
          <w:rFonts w:hint="eastAsia" w:ascii="宋体" w:hAnsi="宋体" w:eastAsia="宋体" w:cs="宋体"/>
          <w:color w:val="auto"/>
          <w:spacing w:val="6"/>
          <w:sz w:val="24"/>
          <w:highlight w:val="none"/>
        </w:rPr>
      </w:pPr>
    </w:p>
    <w:p w14:paraId="65DC77D3">
      <w:pPr>
        <w:tabs>
          <w:tab w:val="left" w:pos="4860"/>
        </w:tabs>
        <w:spacing w:line="360" w:lineRule="auto"/>
        <w:ind w:right="1560" w:firstLine="504" w:firstLineChars="200"/>
        <w:jc w:val="lef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日  期：</w:t>
      </w:r>
    </w:p>
    <w:p w14:paraId="6E9F053B">
      <w:pPr>
        <w:tabs>
          <w:tab w:val="left" w:pos="840"/>
        </w:tabs>
        <w:autoSpaceDE w:val="0"/>
        <w:autoSpaceDN w:val="0"/>
        <w:adjustRightInd w:val="0"/>
        <w:spacing w:line="360" w:lineRule="auto"/>
        <w:jc w:val="center"/>
        <w:rPr>
          <w:rFonts w:hint="eastAsia" w:ascii="宋体" w:hAnsi="宋体" w:eastAsia="宋体" w:cs="宋体"/>
          <w:b/>
          <w:color w:val="auto"/>
          <w:sz w:val="24"/>
          <w:highlight w:val="none"/>
        </w:rPr>
      </w:pPr>
    </w:p>
    <w:p w14:paraId="2E9C6477">
      <w:pPr>
        <w:tabs>
          <w:tab w:val="left" w:pos="840"/>
        </w:tabs>
        <w:autoSpaceDE w:val="0"/>
        <w:autoSpaceDN w:val="0"/>
        <w:adjustRightInd w:val="0"/>
        <w:spacing w:line="360" w:lineRule="auto"/>
        <w:jc w:val="center"/>
        <w:rPr>
          <w:rFonts w:hint="eastAsia" w:ascii="宋体" w:hAnsi="宋体" w:eastAsia="宋体" w:cs="宋体"/>
          <w:b/>
          <w:color w:val="auto"/>
          <w:sz w:val="24"/>
          <w:highlight w:val="none"/>
        </w:rPr>
      </w:pPr>
    </w:p>
    <w:p w14:paraId="1F38EA1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《财政部民政部中国残疾人联合会关于促进残疾人就业政府采购政策的通知》（财库（2017〔141〕号）的规定：</w:t>
      </w:r>
    </w:p>
    <w:p w14:paraId="2DA8946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享受政府采购支持政策的残疾人福利性单位应当同时满足以下条件：</w:t>
      </w:r>
    </w:p>
    <w:p w14:paraId="5BA7105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（1）安置的残疾人占本单位在职职工人数的比例不低于25%（含25%），并且安置的残疾人人数不少于10人（含10人）；</w:t>
      </w:r>
    </w:p>
    <w:p w14:paraId="426813A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（2）依法与安置的每位残疾人签订了一年以上（含一年）的劳动合同或服务协议；</w:t>
      </w:r>
    </w:p>
    <w:p w14:paraId="00AFD3F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（3）为安置的每位残疾人按月足额缴纳了基本养老保险、基本医疗保险、失业保险、工伤保险和生育保险等社会保险费；</w:t>
      </w:r>
    </w:p>
    <w:p w14:paraId="6AA7537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（4）通过银行等金融机构向安置的每位残疾人，按月支付了不低于单位所在区县适用的经省级人民政府批准的月最低工资标准的工资；</w:t>
      </w:r>
    </w:p>
    <w:p w14:paraId="2367162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（5）提供本单位制造的货物、承担的工程或者服务（以下简称产品），或者提供其他残疾人福利性单位制造的货物（不包括使用非残疾人福利性单位注册商标的货物）。</w:t>
      </w:r>
    </w:p>
    <w:p w14:paraId="16488B9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中标人为残疾人福利性单位的，采购人或者其委托的采购代理机构应当随中标、成交结果同时公告其《残疾人福利性单位声明函》，接受社会监督。</w:t>
      </w:r>
    </w:p>
    <w:p w14:paraId="4952A072">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3、残疾人福利性单位属于小型、微型企业的，不重复享受政策。</w:t>
      </w:r>
    </w:p>
    <w:p w14:paraId="6A5CD86E">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4、残疾人福利性单位评审中享受10%的价格扣除。</w:t>
      </w:r>
    </w:p>
    <w:p w14:paraId="74FD3C1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8C36724">
      <w:pPr>
        <w:spacing w:line="360" w:lineRule="auto"/>
        <w:rPr>
          <w:rFonts w:hint="eastAsia" w:ascii="宋体" w:hAnsi="宋体" w:eastAsia="宋体" w:cs="宋体"/>
          <w:b/>
          <w:color w:val="auto"/>
          <w:szCs w:val="21"/>
          <w:highlight w:val="none"/>
        </w:rPr>
      </w:pPr>
    </w:p>
    <w:p w14:paraId="1432D2A5">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（三）监狱企业证明文件</w:t>
      </w:r>
    </w:p>
    <w:p w14:paraId="080E45F5">
      <w:pPr>
        <w:rPr>
          <w:rFonts w:hint="eastAsia" w:ascii="宋体" w:hAnsi="宋体" w:eastAsia="宋体" w:cs="宋体"/>
          <w:color w:val="auto"/>
          <w:highlight w:val="none"/>
        </w:rPr>
      </w:pPr>
    </w:p>
    <w:p w14:paraId="167029DE">
      <w:pPr>
        <w:spacing w:line="46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监狱企业参加政府采购活动时，应当提供由省级以上监狱管理局、戒毒管理局（含新疆生产建设兵团）出具的属于监狱企业的证明文件，视同小型、微型企业，享受评审中价格扣除等政府采购促进中小企业发展的政府采购政策。</w:t>
      </w:r>
    </w:p>
    <w:p w14:paraId="0477EBE5">
      <w:pPr>
        <w:spacing w:line="460" w:lineRule="exact"/>
        <w:ind w:firstLine="720" w:firstLineChars="300"/>
        <w:rPr>
          <w:rFonts w:hint="eastAsia" w:ascii="宋体" w:hAnsi="宋体" w:eastAsia="宋体" w:cs="宋体"/>
          <w:color w:val="auto"/>
          <w:sz w:val="24"/>
          <w:highlight w:val="none"/>
        </w:rPr>
      </w:pPr>
    </w:p>
    <w:p w14:paraId="51CAF5E7">
      <w:pPr>
        <w:pStyle w:val="5"/>
        <w:spacing w:line="360" w:lineRule="auto"/>
        <w:ind w:firstLine="6000" w:firstLineChars="2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（加盖公章）：</w:t>
      </w:r>
    </w:p>
    <w:p w14:paraId="125DE497">
      <w:pPr>
        <w:spacing w:line="460" w:lineRule="exact"/>
        <w:ind w:firstLine="6000" w:firstLineChars="25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60686D1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备注： </w:t>
      </w:r>
    </w:p>
    <w:p w14:paraId="419FD8E8">
      <w:pPr>
        <w:spacing w:line="360" w:lineRule="auto"/>
        <w:rPr>
          <w:rFonts w:hint="eastAsia" w:ascii="宋体" w:hAnsi="宋体" w:eastAsia="宋体" w:cs="宋体"/>
          <w:color w:val="auto"/>
          <w:sz w:val="24"/>
          <w:highlight w:val="none"/>
        </w:rPr>
      </w:pPr>
    </w:p>
    <w:p w14:paraId="468AE423">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1、监狱企业属于小型、微型企业的，不重复享受政策。</w:t>
      </w:r>
    </w:p>
    <w:p w14:paraId="6D842082">
      <w:pPr>
        <w:spacing w:line="460" w:lineRule="exact"/>
        <w:ind w:firstLine="480" w:firstLineChars="200"/>
        <w:rPr>
          <w:rFonts w:hint="eastAsia" w:ascii="宋体" w:hAnsi="宋体" w:eastAsia="宋体" w:cs="宋体"/>
          <w:color w:val="auto"/>
          <w:sz w:val="24"/>
          <w:szCs w:val="24"/>
          <w:highlight w:val="none"/>
        </w:rPr>
        <w:sectPr>
          <w:pgSz w:w="11906" w:h="16838"/>
          <w:pgMar w:top="1418" w:right="1418" w:bottom="1418" w:left="1418" w:header="851" w:footer="992" w:gutter="0"/>
          <w:cols w:space="720" w:num="1"/>
          <w:docGrid w:type="lines" w:linePitch="312" w:charSpace="0"/>
        </w:sectPr>
      </w:pPr>
      <w:r>
        <w:rPr>
          <w:rFonts w:hint="eastAsia" w:ascii="宋体" w:hAnsi="宋体" w:eastAsia="宋体" w:cs="宋体"/>
          <w:color w:val="auto"/>
          <w:sz w:val="24"/>
          <w:highlight w:val="none"/>
        </w:rPr>
        <w:t>2、监狱企业评审中享受10%的价格扣除。</w:t>
      </w:r>
    </w:p>
    <w:p w14:paraId="75F08E4A">
      <w:pPr>
        <w:jc w:val="center"/>
        <w:rPr>
          <w:rFonts w:hint="eastAsia" w:ascii="宋体" w:hAnsi="宋体" w:eastAsia="宋体" w:cs="宋体"/>
          <w:b/>
          <w:color w:val="auto"/>
          <w:sz w:val="28"/>
          <w:szCs w:val="28"/>
          <w:highlight w:val="none"/>
        </w:rPr>
      </w:pPr>
      <w:bookmarkStart w:id="381" w:name="_Toc2876"/>
      <w:r>
        <w:rPr>
          <w:rFonts w:hint="eastAsia" w:ascii="宋体" w:hAnsi="宋体" w:eastAsia="宋体" w:cs="宋体"/>
          <w:b/>
          <w:color w:val="auto"/>
          <w:sz w:val="28"/>
          <w:szCs w:val="28"/>
          <w:highlight w:val="none"/>
        </w:rPr>
        <w:t>（四）节能产品、环境标志产品明细表</w:t>
      </w:r>
      <w:bookmarkEnd w:id="381"/>
    </w:p>
    <w:p w14:paraId="5036D32A">
      <w:pPr>
        <w:pStyle w:val="5"/>
        <w:ind w:firstLine="562"/>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节能产品明细表</w:t>
      </w:r>
    </w:p>
    <w:p w14:paraId="6D82E759">
      <w:pPr>
        <w:pStyle w:val="5"/>
        <w:spacing w:line="360" w:lineRule="auto"/>
        <w:ind w:firstLine="480"/>
        <w:rPr>
          <w:rFonts w:hint="eastAsia" w:ascii="宋体" w:hAnsi="宋体" w:eastAsia="宋体" w:cs="宋体"/>
          <w:color w:val="auto"/>
          <w:sz w:val="24"/>
          <w:szCs w:val="24"/>
          <w:highlight w:val="none"/>
        </w:rPr>
      </w:pPr>
    </w:p>
    <w:tbl>
      <w:tblPr>
        <w:tblStyle w:val="23"/>
        <w:tblW w:w="8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916"/>
        <w:gridCol w:w="916"/>
        <w:gridCol w:w="916"/>
        <w:gridCol w:w="917"/>
        <w:gridCol w:w="917"/>
        <w:gridCol w:w="917"/>
        <w:gridCol w:w="917"/>
        <w:gridCol w:w="917"/>
      </w:tblGrid>
      <w:tr w14:paraId="4B6AD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vAlign w:val="center"/>
          </w:tcPr>
          <w:p w14:paraId="5294B627">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序号</w:t>
            </w:r>
          </w:p>
        </w:tc>
        <w:tc>
          <w:tcPr>
            <w:tcW w:w="916" w:type="dxa"/>
            <w:vAlign w:val="center"/>
          </w:tcPr>
          <w:p w14:paraId="2D16F0BD">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设备名称</w:t>
            </w:r>
          </w:p>
        </w:tc>
        <w:tc>
          <w:tcPr>
            <w:tcW w:w="916" w:type="dxa"/>
            <w:vAlign w:val="center"/>
          </w:tcPr>
          <w:p w14:paraId="5025D39F">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w:t>
            </w:r>
          </w:p>
          <w:p w14:paraId="1A7A9D1E">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型号</w:t>
            </w:r>
          </w:p>
        </w:tc>
        <w:tc>
          <w:tcPr>
            <w:tcW w:w="916" w:type="dxa"/>
            <w:vAlign w:val="center"/>
          </w:tcPr>
          <w:p w14:paraId="6A5BE058">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制造商名称</w:t>
            </w:r>
          </w:p>
        </w:tc>
        <w:tc>
          <w:tcPr>
            <w:tcW w:w="917" w:type="dxa"/>
            <w:vAlign w:val="center"/>
          </w:tcPr>
          <w:p w14:paraId="45A5DE3D">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节字标志认证证书号</w:t>
            </w:r>
          </w:p>
        </w:tc>
        <w:tc>
          <w:tcPr>
            <w:tcW w:w="917" w:type="dxa"/>
            <w:vAlign w:val="center"/>
          </w:tcPr>
          <w:p w14:paraId="6EB37F49">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国家节能产品认证证书有效截止日期</w:t>
            </w:r>
          </w:p>
        </w:tc>
        <w:tc>
          <w:tcPr>
            <w:tcW w:w="917" w:type="dxa"/>
            <w:vAlign w:val="center"/>
          </w:tcPr>
          <w:p w14:paraId="2C0B13C1">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数量</w:t>
            </w:r>
          </w:p>
        </w:tc>
        <w:tc>
          <w:tcPr>
            <w:tcW w:w="917" w:type="dxa"/>
            <w:vAlign w:val="center"/>
          </w:tcPr>
          <w:p w14:paraId="21ED6126">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单价</w:t>
            </w:r>
          </w:p>
        </w:tc>
        <w:tc>
          <w:tcPr>
            <w:tcW w:w="917" w:type="dxa"/>
            <w:vAlign w:val="center"/>
          </w:tcPr>
          <w:p w14:paraId="23989DEE">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总价</w:t>
            </w:r>
          </w:p>
        </w:tc>
      </w:tr>
      <w:tr w14:paraId="7A8D4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tcPr>
          <w:p w14:paraId="159254DA">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6" w:type="dxa"/>
          </w:tcPr>
          <w:p w14:paraId="19531AFA">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6" w:type="dxa"/>
          </w:tcPr>
          <w:p w14:paraId="3183F136">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6" w:type="dxa"/>
          </w:tcPr>
          <w:p w14:paraId="10F1A18B">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7" w:type="dxa"/>
          </w:tcPr>
          <w:p w14:paraId="66B02718">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7" w:type="dxa"/>
          </w:tcPr>
          <w:p w14:paraId="1CF20B4A">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7" w:type="dxa"/>
          </w:tcPr>
          <w:p w14:paraId="288AE60D">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7" w:type="dxa"/>
          </w:tcPr>
          <w:p w14:paraId="265FB112">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7" w:type="dxa"/>
          </w:tcPr>
          <w:p w14:paraId="76D93BA4">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r>
      <w:tr w14:paraId="3C07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tcPr>
          <w:p w14:paraId="00B40F95">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6" w:type="dxa"/>
          </w:tcPr>
          <w:p w14:paraId="64AC54CE">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6" w:type="dxa"/>
          </w:tcPr>
          <w:p w14:paraId="315788F6">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6" w:type="dxa"/>
          </w:tcPr>
          <w:p w14:paraId="7A87812E">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7" w:type="dxa"/>
          </w:tcPr>
          <w:p w14:paraId="51D0987C">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7" w:type="dxa"/>
          </w:tcPr>
          <w:p w14:paraId="603F6E22">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7" w:type="dxa"/>
          </w:tcPr>
          <w:p w14:paraId="5996503F">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7" w:type="dxa"/>
          </w:tcPr>
          <w:p w14:paraId="005FFEA5">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7" w:type="dxa"/>
          </w:tcPr>
          <w:p w14:paraId="4566E38E">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r>
      <w:tr w14:paraId="3C96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tcPr>
          <w:p w14:paraId="6D72A814">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6" w:type="dxa"/>
          </w:tcPr>
          <w:p w14:paraId="190FAB92">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6" w:type="dxa"/>
          </w:tcPr>
          <w:p w14:paraId="01EC1126">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6" w:type="dxa"/>
          </w:tcPr>
          <w:p w14:paraId="00FBD5E2">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7" w:type="dxa"/>
          </w:tcPr>
          <w:p w14:paraId="2C2A90F0">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7" w:type="dxa"/>
          </w:tcPr>
          <w:p w14:paraId="2F0277B2">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7" w:type="dxa"/>
          </w:tcPr>
          <w:p w14:paraId="74DC6015">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7" w:type="dxa"/>
          </w:tcPr>
          <w:p w14:paraId="0198903A">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7" w:type="dxa"/>
          </w:tcPr>
          <w:p w14:paraId="37555666">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r>
      <w:tr w14:paraId="2FEC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tcPr>
          <w:p w14:paraId="39BDF964">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6" w:type="dxa"/>
          </w:tcPr>
          <w:p w14:paraId="7FC8F2F7">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6" w:type="dxa"/>
          </w:tcPr>
          <w:p w14:paraId="228E16E6">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6" w:type="dxa"/>
          </w:tcPr>
          <w:p w14:paraId="519FE076">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7" w:type="dxa"/>
          </w:tcPr>
          <w:p w14:paraId="25B088EF">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7" w:type="dxa"/>
          </w:tcPr>
          <w:p w14:paraId="0DCCED62">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7" w:type="dxa"/>
          </w:tcPr>
          <w:p w14:paraId="26FFAF47">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7" w:type="dxa"/>
          </w:tcPr>
          <w:p w14:paraId="633EB805">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7" w:type="dxa"/>
          </w:tcPr>
          <w:p w14:paraId="0A19B105">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r>
    </w:tbl>
    <w:p w14:paraId="7303308B">
      <w:pPr>
        <w:rPr>
          <w:rFonts w:hint="eastAsia" w:ascii="宋体" w:hAnsi="宋体" w:eastAsia="宋体" w:cs="宋体"/>
          <w:color w:val="auto"/>
          <w:szCs w:val="21"/>
          <w:highlight w:val="none"/>
        </w:rPr>
      </w:pPr>
    </w:p>
    <w:p w14:paraId="5050608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法定代表人或被授权人（签字或盖章）：</w:t>
      </w:r>
    </w:p>
    <w:p w14:paraId="79629948">
      <w:pPr>
        <w:rPr>
          <w:rFonts w:hint="eastAsia" w:ascii="宋体" w:hAnsi="宋体" w:eastAsia="宋体" w:cs="宋体"/>
          <w:color w:val="auto"/>
          <w:szCs w:val="21"/>
          <w:highlight w:val="none"/>
        </w:rPr>
      </w:pPr>
    </w:p>
    <w:p w14:paraId="6B2358D3">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（加盖公章）：</w:t>
      </w:r>
    </w:p>
    <w:p w14:paraId="59EE5525">
      <w:pPr>
        <w:rPr>
          <w:rFonts w:hint="eastAsia" w:ascii="宋体" w:hAnsi="宋体" w:eastAsia="宋体" w:cs="宋体"/>
          <w:color w:val="auto"/>
          <w:szCs w:val="21"/>
          <w:highlight w:val="none"/>
        </w:rPr>
      </w:pPr>
    </w:p>
    <w:p w14:paraId="7F83A56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14:paraId="0875F81B">
      <w:pPr>
        <w:tabs>
          <w:tab w:val="left" w:pos="840"/>
        </w:tabs>
        <w:autoSpaceDE w:val="0"/>
        <w:autoSpaceDN w:val="0"/>
        <w:adjustRightInd w:val="0"/>
        <w:spacing w:line="360" w:lineRule="auto"/>
        <w:rPr>
          <w:rFonts w:hint="eastAsia" w:ascii="宋体" w:hAnsi="宋体" w:eastAsia="宋体" w:cs="宋体"/>
          <w:b/>
          <w:color w:val="auto"/>
          <w:szCs w:val="21"/>
          <w:highlight w:val="none"/>
        </w:rPr>
      </w:pPr>
    </w:p>
    <w:p w14:paraId="74DA5065">
      <w:pPr>
        <w:tabs>
          <w:tab w:val="left" w:pos="840"/>
        </w:tabs>
        <w:autoSpaceDE w:val="0"/>
        <w:autoSpaceDN w:val="0"/>
        <w:adjustRightIn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 w:val="24"/>
          <w:highlight w:val="none"/>
        </w:rPr>
        <w:t>环境标志产品明细表</w:t>
      </w:r>
    </w:p>
    <w:tbl>
      <w:tblPr>
        <w:tblStyle w:val="23"/>
        <w:tblW w:w="8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916"/>
        <w:gridCol w:w="916"/>
        <w:gridCol w:w="916"/>
        <w:gridCol w:w="917"/>
        <w:gridCol w:w="917"/>
        <w:gridCol w:w="917"/>
        <w:gridCol w:w="917"/>
        <w:gridCol w:w="917"/>
      </w:tblGrid>
      <w:tr w14:paraId="501AC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vAlign w:val="center"/>
          </w:tcPr>
          <w:p w14:paraId="54069AD2">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序号</w:t>
            </w:r>
          </w:p>
        </w:tc>
        <w:tc>
          <w:tcPr>
            <w:tcW w:w="916" w:type="dxa"/>
            <w:vAlign w:val="center"/>
          </w:tcPr>
          <w:p w14:paraId="78C60EDB">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设备名称</w:t>
            </w:r>
          </w:p>
        </w:tc>
        <w:tc>
          <w:tcPr>
            <w:tcW w:w="916" w:type="dxa"/>
            <w:vAlign w:val="center"/>
          </w:tcPr>
          <w:p w14:paraId="4AB37734">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w:t>
            </w:r>
          </w:p>
          <w:p w14:paraId="1C936504">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型号</w:t>
            </w:r>
          </w:p>
        </w:tc>
        <w:tc>
          <w:tcPr>
            <w:tcW w:w="916" w:type="dxa"/>
            <w:vAlign w:val="center"/>
          </w:tcPr>
          <w:p w14:paraId="58E913F7">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制造商名称</w:t>
            </w:r>
          </w:p>
        </w:tc>
        <w:tc>
          <w:tcPr>
            <w:tcW w:w="917" w:type="dxa"/>
            <w:vAlign w:val="center"/>
          </w:tcPr>
          <w:p w14:paraId="7DDDDB3F">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中国环境标志认证证书编号</w:t>
            </w:r>
          </w:p>
        </w:tc>
        <w:tc>
          <w:tcPr>
            <w:tcW w:w="917" w:type="dxa"/>
            <w:vAlign w:val="center"/>
          </w:tcPr>
          <w:p w14:paraId="45325561">
            <w:pPr>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认证证书有效</w:t>
            </w:r>
          </w:p>
          <w:p w14:paraId="1FFB2A41">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截止日期</w:t>
            </w:r>
          </w:p>
        </w:tc>
        <w:tc>
          <w:tcPr>
            <w:tcW w:w="917" w:type="dxa"/>
            <w:vAlign w:val="center"/>
          </w:tcPr>
          <w:p w14:paraId="27692B33">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数量</w:t>
            </w:r>
          </w:p>
        </w:tc>
        <w:tc>
          <w:tcPr>
            <w:tcW w:w="917" w:type="dxa"/>
            <w:vAlign w:val="center"/>
          </w:tcPr>
          <w:p w14:paraId="45C28DFC">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单价</w:t>
            </w:r>
          </w:p>
        </w:tc>
        <w:tc>
          <w:tcPr>
            <w:tcW w:w="917" w:type="dxa"/>
            <w:vAlign w:val="center"/>
          </w:tcPr>
          <w:p w14:paraId="54FA407B">
            <w:pPr>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总价</w:t>
            </w:r>
          </w:p>
        </w:tc>
      </w:tr>
      <w:tr w14:paraId="5A69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tcPr>
          <w:p w14:paraId="0ABFF054">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6" w:type="dxa"/>
          </w:tcPr>
          <w:p w14:paraId="06D4FE01">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6" w:type="dxa"/>
          </w:tcPr>
          <w:p w14:paraId="007571D1">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6" w:type="dxa"/>
          </w:tcPr>
          <w:p w14:paraId="5421584C">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7" w:type="dxa"/>
          </w:tcPr>
          <w:p w14:paraId="4505E7D1">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7" w:type="dxa"/>
          </w:tcPr>
          <w:p w14:paraId="2289EA66">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7" w:type="dxa"/>
          </w:tcPr>
          <w:p w14:paraId="20C8CFDE">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7" w:type="dxa"/>
          </w:tcPr>
          <w:p w14:paraId="4EC8DCAE">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7" w:type="dxa"/>
          </w:tcPr>
          <w:p w14:paraId="346840A5">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r>
      <w:tr w14:paraId="0CF09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tcPr>
          <w:p w14:paraId="7074EF17">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6" w:type="dxa"/>
          </w:tcPr>
          <w:p w14:paraId="01D770B2">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6" w:type="dxa"/>
          </w:tcPr>
          <w:p w14:paraId="50C809C4">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6" w:type="dxa"/>
          </w:tcPr>
          <w:p w14:paraId="52737879">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7" w:type="dxa"/>
          </w:tcPr>
          <w:p w14:paraId="4D139BFF">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7" w:type="dxa"/>
          </w:tcPr>
          <w:p w14:paraId="6835D395">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7" w:type="dxa"/>
          </w:tcPr>
          <w:p w14:paraId="24A94686">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7" w:type="dxa"/>
          </w:tcPr>
          <w:p w14:paraId="6F26339E">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7" w:type="dxa"/>
          </w:tcPr>
          <w:p w14:paraId="114AFDAD">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r>
      <w:tr w14:paraId="0D79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tcPr>
          <w:p w14:paraId="7E61D7DE">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6" w:type="dxa"/>
          </w:tcPr>
          <w:p w14:paraId="0586323A">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6" w:type="dxa"/>
          </w:tcPr>
          <w:p w14:paraId="6800F848">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6" w:type="dxa"/>
          </w:tcPr>
          <w:p w14:paraId="53B2F9FF">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7" w:type="dxa"/>
          </w:tcPr>
          <w:p w14:paraId="1F8C2EEE">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7" w:type="dxa"/>
          </w:tcPr>
          <w:p w14:paraId="1547CDCC">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7" w:type="dxa"/>
          </w:tcPr>
          <w:p w14:paraId="6178211D">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7" w:type="dxa"/>
          </w:tcPr>
          <w:p w14:paraId="5081D622">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c>
          <w:tcPr>
            <w:tcW w:w="917" w:type="dxa"/>
          </w:tcPr>
          <w:p w14:paraId="1B1E1E49">
            <w:pPr>
              <w:tabs>
                <w:tab w:val="left" w:pos="840"/>
              </w:tabs>
              <w:autoSpaceDE w:val="0"/>
              <w:autoSpaceDN w:val="0"/>
              <w:adjustRightInd w:val="0"/>
              <w:spacing w:line="360" w:lineRule="auto"/>
              <w:rPr>
                <w:rFonts w:hint="eastAsia" w:ascii="宋体" w:hAnsi="宋体" w:eastAsia="宋体" w:cs="宋体"/>
                <w:b/>
                <w:color w:val="auto"/>
                <w:szCs w:val="21"/>
                <w:highlight w:val="none"/>
              </w:rPr>
            </w:pPr>
          </w:p>
        </w:tc>
      </w:tr>
    </w:tbl>
    <w:p w14:paraId="6366A4D9">
      <w:pPr>
        <w:tabs>
          <w:tab w:val="left" w:pos="840"/>
        </w:tabs>
        <w:autoSpaceDE w:val="0"/>
        <w:autoSpaceDN w:val="0"/>
        <w:adjustRightInd w:val="0"/>
        <w:spacing w:line="360" w:lineRule="auto"/>
        <w:rPr>
          <w:rFonts w:hint="eastAsia" w:ascii="宋体" w:hAnsi="宋体" w:eastAsia="宋体" w:cs="宋体"/>
          <w:b/>
          <w:color w:val="auto"/>
          <w:szCs w:val="21"/>
          <w:highlight w:val="none"/>
        </w:rPr>
      </w:pPr>
    </w:p>
    <w:p w14:paraId="2DD7307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法定代表人或被授权人（签字或盖章）：</w:t>
      </w:r>
    </w:p>
    <w:p w14:paraId="63CD7BFD">
      <w:pPr>
        <w:rPr>
          <w:rFonts w:hint="eastAsia" w:ascii="宋体" w:hAnsi="宋体" w:eastAsia="宋体" w:cs="宋体"/>
          <w:color w:val="auto"/>
          <w:szCs w:val="21"/>
          <w:highlight w:val="none"/>
        </w:rPr>
      </w:pPr>
    </w:p>
    <w:p w14:paraId="70BF7F1E">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（加盖公章）：</w:t>
      </w:r>
    </w:p>
    <w:p w14:paraId="3ABFBA9F">
      <w:pPr>
        <w:rPr>
          <w:rFonts w:hint="eastAsia" w:ascii="宋体" w:hAnsi="宋体" w:eastAsia="宋体" w:cs="宋体"/>
          <w:color w:val="auto"/>
          <w:szCs w:val="21"/>
          <w:highlight w:val="none"/>
        </w:rPr>
      </w:pPr>
    </w:p>
    <w:p w14:paraId="70DE839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14:paraId="077F3159">
      <w:pPr>
        <w:pStyle w:val="47"/>
        <w:spacing w:line="360" w:lineRule="auto"/>
        <w:ind w:left="718" w:hanging="718" w:hangingChars="342"/>
        <w:rPr>
          <w:rFonts w:hint="eastAsia" w:ascii="宋体" w:hAnsi="宋体" w:eastAsia="宋体" w:cs="宋体"/>
          <w:color w:val="auto"/>
          <w:highlight w:val="none"/>
        </w:rPr>
      </w:pPr>
    </w:p>
    <w:p w14:paraId="3F64E356">
      <w:pPr>
        <w:pStyle w:val="47"/>
        <w:spacing w:line="360" w:lineRule="auto"/>
        <w:ind w:left="718" w:hanging="718" w:hangingChars="342"/>
        <w:rPr>
          <w:rFonts w:hint="eastAsia" w:ascii="宋体" w:hAnsi="宋体" w:eastAsia="宋体" w:cs="宋体"/>
          <w:color w:val="auto"/>
          <w:highlight w:val="none"/>
        </w:rPr>
      </w:pPr>
      <w:r>
        <w:rPr>
          <w:rFonts w:hint="eastAsia" w:ascii="宋体" w:hAnsi="宋体" w:eastAsia="宋体" w:cs="宋体"/>
          <w:color w:val="auto"/>
          <w:highlight w:val="none"/>
        </w:rPr>
        <w:t>填报要求：</w:t>
      </w:r>
    </w:p>
    <w:p w14:paraId="01C2C5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本表的设备名称、品牌型号、金额应与</w:t>
      </w:r>
      <w:r>
        <w:rPr>
          <w:rFonts w:hint="eastAsia" w:ascii="宋体" w:hAnsi="宋体" w:eastAsia="宋体" w:cs="宋体"/>
          <w:bCs/>
          <w:color w:val="auto"/>
          <w:szCs w:val="21"/>
          <w:highlight w:val="none"/>
        </w:rPr>
        <w:t>货物分项报价一览表</w:t>
      </w:r>
      <w:r>
        <w:rPr>
          <w:rFonts w:hint="eastAsia" w:ascii="宋体" w:hAnsi="宋体" w:eastAsia="宋体" w:cs="宋体"/>
          <w:color w:val="auto"/>
          <w:szCs w:val="21"/>
          <w:highlight w:val="none"/>
        </w:rPr>
        <w:t>一致。</w:t>
      </w:r>
    </w:p>
    <w:p w14:paraId="03EAEEED">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须在投标文件中附该产品经国家确定的认证机构出具的、处于有效期之内的《中国环境标志产品认证证书》复印件，否则评委委员会有权不予认可。</w:t>
      </w:r>
    </w:p>
    <w:p w14:paraId="62657D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请</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正确填写本表，所填内容将作为评审的依据。其内容或数据应与对应的证明资料相符。</w:t>
      </w:r>
    </w:p>
    <w:p w14:paraId="773A13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没有相关产品可不提供本表。</w:t>
      </w:r>
    </w:p>
    <w:p w14:paraId="2BDA305E">
      <w:pPr>
        <w:rPr>
          <w:rFonts w:hint="eastAsia" w:ascii="宋体" w:hAnsi="宋体" w:eastAsia="宋体" w:cs="宋体"/>
          <w:color w:val="auto"/>
          <w:highlight w:val="none"/>
        </w:rPr>
      </w:pPr>
      <w:r>
        <w:rPr>
          <w:rFonts w:hint="eastAsia" w:ascii="宋体" w:hAnsi="宋体" w:eastAsia="宋体" w:cs="宋体"/>
          <w:b/>
          <w:color w:val="auto"/>
          <w:sz w:val="28"/>
          <w:szCs w:val="28"/>
          <w:highlight w:val="none"/>
        </w:rPr>
        <w:br w:type="page"/>
      </w:r>
    </w:p>
    <w:p w14:paraId="4F906FF3">
      <w:pPr>
        <w:pStyle w:val="3"/>
        <w:spacing w:before="0" w:after="0"/>
        <w:jc w:val="center"/>
        <w:outlineLvl w:val="9"/>
        <w:rPr>
          <w:rFonts w:hint="eastAsia" w:ascii="宋体" w:hAnsi="宋体" w:eastAsia="宋体" w:cs="宋体"/>
          <w:color w:val="auto"/>
          <w:sz w:val="28"/>
          <w:highlight w:val="none"/>
        </w:rPr>
      </w:pPr>
      <w:bookmarkStart w:id="382" w:name="_Toc13069"/>
      <w:bookmarkStart w:id="383" w:name="_Toc2125"/>
      <w:bookmarkStart w:id="384" w:name="_Toc26219"/>
      <w:bookmarkStart w:id="385" w:name="_Toc676"/>
      <w:bookmarkStart w:id="386" w:name="_Toc17597"/>
      <w:r>
        <w:rPr>
          <w:rFonts w:hint="eastAsia" w:ascii="宋体" w:hAnsi="宋体" w:eastAsia="宋体" w:cs="宋体"/>
          <w:color w:val="auto"/>
          <w:sz w:val="28"/>
          <w:highlight w:val="none"/>
        </w:rPr>
        <w:t>九、</w:t>
      </w:r>
      <w:r>
        <w:rPr>
          <w:rFonts w:hint="eastAsia" w:ascii="宋体" w:hAnsi="宋体" w:eastAsia="宋体" w:cs="宋体"/>
          <w:color w:val="auto"/>
          <w:sz w:val="28"/>
          <w:highlight w:val="none"/>
          <w:lang w:eastAsia="zh-CN"/>
        </w:rPr>
        <w:t>供应商</w:t>
      </w:r>
      <w:r>
        <w:rPr>
          <w:rFonts w:hint="eastAsia" w:ascii="宋体" w:hAnsi="宋体" w:eastAsia="宋体" w:cs="宋体"/>
          <w:color w:val="auto"/>
          <w:sz w:val="28"/>
          <w:highlight w:val="none"/>
        </w:rPr>
        <w:t>认为需要提供的其他资料</w:t>
      </w:r>
      <w:bookmarkEnd w:id="382"/>
      <w:bookmarkEnd w:id="383"/>
      <w:bookmarkEnd w:id="384"/>
      <w:bookmarkEnd w:id="385"/>
      <w:bookmarkEnd w:id="386"/>
    </w:p>
    <w:p w14:paraId="721F9263">
      <w:pPr>
        <w:widowControl/>
        <w:jc w:val="left"/>
        <w:rPr>
          <w:rFonts w:hint="eastAsia" w:ascii="宋体" w:hAnsi="宋体" w:eastAsia="宋体" w:cs="宋体"/>
          <w:color w:val="auto"/>
          <w:highlight w:val="none"/>
        </w:rPr>
      </w:pPr>
    </w:p>
    <w:p w14:paraId="2EA72691">
      <w:pPr>
        <w:rPr>
          <w:rFonts w:hint="eastAsia" w:ascii="宋体" w:hAnsi="宋体" w:eastAsia="宋体" w:cs="宋体"/>
          <w:color w:val="auto"/>
          <w:highlight w:val="none"/>
        </w:rPr>
      </w:pPr>
    </w:p>
    <w:sectPr>
      <w:footerReference r:id="rId11"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Arial"/>
    <w:panose1 w:val="020B0604020202020204"/>
    <w:charset w:val="80"/>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auto"/>
    <w:pitch w:val="default"/>
    <w:sig w:usb0="E00006FF" w:usb1="0000FCFF" w:usb2="00000001" w:usb3="00000000" w:csb0="6000019F" w:csb1="DFD7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85CCC">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AE9F4E">
                          <w:pPr>
                            <w:pStyle w:val="1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JUR0j8QBAACQAwAADgAAAAAAAAABACAAAAAeAQAAZHJzL2Uyb0RvYy54bWxQ&#10;SwUGAAAAAAYABgBZAQAAVAUAAAAA&#10;">
              <v:fill on="f" focussize="0,0"/>
              <v:stroke on="f"/>
              <v:imagedata o:title=""/>
              <o:lock v:ext="edit" aspectratio="f"/>
              <v:textbox inset="0mm,0mm,0mm,0mm" style="mso-fit-shape-to-text:t;">
                <w:txbxContent>
                  <w:p w14:paraId="54AE9F4E">
                    <w:pPr>
                      <w:pStyle w:val="1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A1716">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AE409">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36AE409">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1CB01">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369F8">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28369F8">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ED49F">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BFD55A">
                          <w:pPr>
                            <w:pStyle w:val="11"/>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5BFD55A">
                    <w:pPr>
                      <w:pStyle w:val="11"/>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874A">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7FCF26">
                          <w:pPr>
                            <w:pStyle w:val="11"/>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27FCF26">
                    <w:pPr>
                      <w:pStyle w:val="11"/>
                    </w:pPr>
                    <w:r>
                      <w:fldChar w:fldCharType="begin"/>
                    </w:r>
                    <w:r>
                      <w:instrText xml:space="preserve"> PAGE  \* MERGEFORMAT </w:instrText>
                    </w:r>
                    <w:r>
                      <w:fldChar w:fldCharType="separate"/>
                    </w:r>
                    <w:r>
                      <w:t>75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5A861">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604A8">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48104">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78BB6">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872E6"/>
    <w:multiLevelType w:val="singleLevel"/>
    <w:tmpl w:val="8ED872E6"/>
    <w:lvl w:ilvl="0" w:tentative="0">
      <w:start w:val="1"/>
      <w:numFmt w:val="decimal"/>
      <w:suff w:val="nothing"/>
      <w:lvlText w:val="%1、"/>
      <w:lvlJc w:val="left"/>
    </w:lvl>
  </w:abstractNum>
  <w:abstractNum w:abstractNumId="1">
    <w:nsid w:val="A8889EFC"/>
    <w:multiLevelType w:val="singleLevel"/>
    <w:tmpl w:val="A8889EFC"/>
    <w:lvl w:ilvl="0" w:tentative="0">
      <w:start w:val="2"/>
      <w:numFmt w:val="chineseCounting"/>
      <w:suff w:val="nothing"/>
      <w:lvlText w:val="（%1）"/>
      <w:lvlJc w:val="left"/>
      <w:rPr>
        <w:rFonts w:hint="eastAsia"/>
      </w:rPr>
    </w:lvl>
  </w:abstractNum>
  <w:abstractNum w:abstractNumId="2">
    <w:nsid w:val="D58D7868"/>
    <w:multiLevelType w:val="singleLevel"/>
    <w:tmpl w:val="D58D7868"/>
    <w:lvl w:ilvl="0" w:tentative="0">
      <w:start w:val="4"/>
      <w:numFmt w:val="chineseCounting"/>
      <w:suff w:val="nothing"/>
      <w:lvlText w:val="（%1）"/>
      <w:lvlJc w:val="left"/>
      <w:rPr>
        <w:rFonts w:hint="eastAsia"/>
      </w:rPr>
    </w:lvl>
  </w:abstractNum>
  <w:abstractNum w:abstractNumId="3">
    <w:nsid w:val="0C810DB4"/>
    <w:multiLevelType w:val="singleLevel"/>
    <w:tmpl w:val="0C810DB4"/>
    <w:lvl w:ilvl="0" w:tentative="0">
      <w:start w:val="5"/>
      <w:numFmt w:val="chineseCounting"/>
      <w:suff w:val="space"/>
      <w:lvlText w:val="第%1章"/>
      <w:lvlJc w:val="left"/>
      <w:rPr>
        <w:rFonts w:hint="eastAsia"/>
      </w:rPr>
    </w:lvl>
  </w:abstractNum>
  <w:abstractNum w:abstractNumId="4">
    <w:nsid w:val="2EA4B810"/>
    <w:multiLevelType w:val="singleLevel"/>
    <w:tmpl w:val="2EA4B810"/>
    <w:lvl w:ilvl="0" w:tentative="0">
      <w:start w:val="1"/>
      <w:numFmt w:val="chineseCounting"/>
      <w:suff w:val="nothing"/>
      <w:lvlText w:val="（%1）"/>
      <w:lvlJc w:val="left"/>
      <w:rPr>
        <w:rFonts w:hint="eastAsia"/>
      </w:rPr>
    </w:lvl>
  </w:abstractNum>
  <w:abstractNum w:abstractNumId="5">
    <w:nsid w:val="33577DBD"/>
    <w:multiLevelType w:val="singleLevel"/>
    <w:tmpl w:val="33577DBD"/>
    <w:lvl w:ilvl="0" w:tentative="0">
      <w:start w:val="1"/>
      <w:numFmt w:val="decimal"/>
      <w:suff w:val="nothing"/>
      <w:lvlText w:val="（%1）"/>
      <w:lvlJc w:val="left"/>
    </w:lvl>
  </w:abstractNum>
  <w:abstractNum w:abstractNumId="6">
    <w:nsid w:val="4F3FF634"/>
    <w:multiLevelType w:val="singleLevel"/>
    <w:tmpl w:val="4F3FF634"/>
    <w:lvl w:ilvl="0" w:tentative="0">
      <w:start w:val="2"/>
      <w:numFmt w:val="decimal"/>
      <w:lvlText w:val="%1."/>
      <w:lvlJc w:val="left"/>
      <w:pPr>
        <w:tabs>
          <w:tab w:val="left" w:pos="312"/>
        </w:tabs>
      </w:pPr>
    </w:lvl>
  </w:abstractNum>
  <w:abstractNum w:abstractNumId="7">
    <w:nsid w:val="5A14F169"/>
    <w:multiLevelType w:val="singleLevel"/>
    <w:tmpl w:val="5A14F169"/>
    <w:lvl w:ilvl="0" w:tentative="0">
      <w:start w:val="5"/>
      <w:numFmt w:val="chineseCounting"/>
      <w:suff w:val="nothing"/>
      <w:lvlText w:val="%1、"/>
      <w:lvlJc w:val="left"/>
      <w:rPr>
        <w:rFonts w:hint="eastAsia"/>
      </w:rPr>
    </w:lvl>
  </w:abstractNum>
  <w:abstractNum w:abstractNumId="8">
    <w:nsid w:val="653E8D09"/>
    <w:multiLevelType w:val="singleLevel"/>
    <w:tmpl w:val="653E8D09"/>
    <w:lvl w:ilvl="0" w:tentative="0">
      <w:start w:val="1"/>
      <w:numFmt w:val="decimal"/>
      <w:suff w:val="nothing"/>
      <w:lvlText w:val="（%1）"/>
      <w:lvlJc w:val="left"/>
    </w:lvl>
  </w:abstractNum>
  <w:num w:numId="1">
    <w:abstractNumId w:val="5"/>
  </w:num>
  <w:num w:numId="2">
    <w:abstractNumId w:val="2"/>
  </w:num>
  <w:num w:numId="3">
    <w:abstractNumId w:val="3"/>
  </w:num>
  <w:num w:numId="4">
    <w:abstractNumId w:val="7"/>
  </w:num>
  <w:num w:numId="5">
    <w:abstractNumId w:val="4"/>
  </w:num>
  <w:num w:numId="6">
    <w:abstractNumId w:val="8"/>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lMjA5Mzg0NWM5NzcwNDMxMjQyN2EzY2NlNmE0ZDkifQ=="/>
  </w:docVars>
  <w:rsids>
    <w:rsidRoot w:val="00000000"/>
    <w:rsid w:val="02293D79"/>
    <w:rsid w:val="024B5A70"/>
    <w:rsid w:val="03F053CD"/>
    <w:rsid w:val="0D701457"/>
    <w:rsid w:val="0D957C98"/>
    <w:rsid w:val="0E6D573A"/>
    <w:rsid w:val="0F0E7B3C"/>
    <w:rsid w:val="0F4C27CC"/>
    <w:rsid w:val="10F37004"/>
    <w:rsid w:val="13556FD4"/>
    <w:rsid w:val="13781CCD"/>
    <w:rsid w:val="13785584"/>
    <w:rsid w:val="137E7AF3"/>
    <w:rsid w:val="15E45152"/>
    <w:rsid w:val="17255A22"/>
    <w:rsid w:val="17E5497F"/>
    <w:rsid w:val="19120228"/>
    <w:rsid w:val="1BA62EAA"/>
    <w:rsid w:val="1BD75D60"/>
    <w:rsid w:val="220B1CB9"/>
    <w:rsid w:val="221943ED"/>
    <w:rsid w:val="22EB1B4F"/>
    <w:rsid w:val="22F17100"/>
    <w:rsid w:val="24B16B47"/>
    <w:rsid w:val="24E93042"/>
    <w:rsid w:val="251765CB"/>
    <w:rsid w:val="267566C7"/>
    <w:rsid w:val="26A61FB0"/>
    <w:rsid w:val="272E0FFE"/>
    <w:rsid w:val="27EB411E"/>
    <w:rsid w:val="29003BF9"/>
    <w:rsid w:val="29FC67FF"/>
    <w:rsid w:val="2AAF3101"/>
    <w:rsid w:val="2C9F5E1F"/>
    <w:rsid w:val="2D872B3B"/>
    <w:rsid w:val="2D885422"/>
    <w:rsid w:val="2DD11064"/>
    <w:rsid w:val="34723A52"/>
    <w:rsid w:val="349D2C44"/>
    <w:rsid w:val="35467823"/>
    <w:rsid w:val="35887450"/>
    <w:rsid w:val="360067A3"/>
    <w:rsid w:val="39E34348"/>
    <w:rsid w:val="3A2C0CAF"/>
    <w:rsid w:val="3B284D9C"/>
    <w:rsid w:val="3E5720B6"/>
    <w:rsid w:val="3F1A2A0D"/>
    <w:rsid w:val="3FC36380"/>
    <w:rsid w:val="413A6DCA"/>
    <w:rsid w:val="430F5343"/>
    <w:rsid w:val="43421586"/>
    <w:rsid w:val="440920A4"/>
    <w:rsid w:val="44C06F71"/>
    <w:rsid w:val="452627E2"/>
    <w:rsid w:val="453942C3"/>
    <w:rsid w:val="45854DE0"/>
    <w:rsid w:val="463E4184"/>
    <w:rsid w:val="46A9191C"/>
    <w:rsid w:val="48233CFE"/>
    <w:rsid w:val="4949473D"/>
    <w:rsid w:val="49D3732F"/>
    <w:rsid w:val="4A9F003B"/>
    <w:rsid w:val="4D5C782D"/>
    <w:rsid w:val="4D994B3D"/>
    <w:rsid w:val="516635D3"/>
    <w:rsid w:val="51B31176"/>
    <w:rsid w:val="5265261A"/>
    <w:rsid w:val="53F06C44"/>
    <w:rsid w:val="54127C8A"/>
    <w:rsid w:val="57237E6B"/>
    <w:rsid w:val="58592953"/>
    <w:rsid w:val="58EB66FD"/>
    <w:rsid w:val="59433201"/>
    <w:rsid w:val="5A712179"/>
    <w:rsid w:val="5BAC0A45"/>
    <w:rsid w:val="5C296994"/>
    <w:rsid w:val="5CCB16C4"/>
    <w:rsid w:val="5E6654D7"/>
    <w:rsid w:val="5E806DCD"/>
    <w:rsid w:val="5F0E551D"/>
    <w:rsid w:val="5F361CEE"/>
    <w:rsid w:val="60A42E1E"/>
    <w:rsid w:val="64524F4A"/>
    <w:rsid w:val="64B07925"/>
    <w:rsid w:val="64BF7663"/>
    <w:rsid w:val="6678373D"/>
    <w:rsid w:val="66D25ECE"/>
    <w:rsid w:val="686B65DA"/>
    <w:rsid w:val="6A072332"/>
    <w:rsid w:val="6C4B6506"/>
    <w:rsid w:val="6CA0460C"/>
    <w:rsid w:val="6CB178DD"/>
    <w:rsid w:val="6E777A9D"/>
    <w:rsid w:val="6F1654F2"/>
    <w:rsid w:val="70051CD0"/>
    <w:rsid w:val="71D56D84"/>
    <w:rsid w:val="72C2329A"/>
    <w:rsid w:val="735C724B"/>
    <w:rsid w:val="7430188C"/>
    <w:rsid w:val="757840E4"/>
    <w:rsid w:val="76FD0D45"/>
    <w:rsid w:val="78D779CE"/>
    <w:rsid w:val="7AEC5358"/>
    <w:rsid w:val="7B6D72EC"/>
    <w:rsid w:val="7B975062"/>
    <w:rsid w:val="7F124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5"/>
    <w:qFormat/>
    <w:uiPriority w:val="9"/>
    <w:pPr>
      <w:keepNext/>
      <w:keepLines/>
      <w:spacing w:before="340" w:after="330" w:line="578" w:lineRule="auto"/>
      <w:outlineLvl w:val="0"/>
    </w:pPr>
    <w:rPr>
      <w:b/>
      <w:bCs/>
      <w:kern w:val="44"/>
      <w:sz w:val="44"/>
      <w:szCs w:val="44"/>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0"/>
    <w:pPr>
      <w:ind w:firstLine="420" w:firstLineChars="200"/>
    </w:pPr>
  </w:style>
  <w:style w:type="paragraph" w:styleId="6">
    <w:name w:val="Body Text"/>
    <w:basedOn w:val="1"/>
    <w:next w:val="7"/>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sz w:val="24"/>
    </w:rPr>
  </w:style>
  <w:style w:type="paragraph" w:styleId="8">
    <w:name w:val="Body Text Indent"/>
    <w:basedOn w:val="1"/>
    <w:semiHidden/>
    <w:unhideWhenUsed/>
    <w:qFormat/>
    <w:uiPriority w:val="99"/>
    <w:pPr>
      <w:spacing w:after="120"/>
      <w:ind w:left="420" w:leftChars="200"/>
    </w:pPr>
  </w:style>
  <w:style w:type="paragraph" w:styleId="9">
    <w:name w:val="toc 3"/>
    <w:basedOn w:val="1"/>
    <w:next w:val="1"/>
    <w:unhideWhenUsed/>
    <w:qFormat/>
    <w:uiPriority w:val="39"/>
    <w:pPr>
      <w:widowControl/>
      <w:spacing w:after="100" w:line="276" w:lineRule="auto"/>
      <w:ind w:left="440"/>
      <w:jc w:val="left"/>
    </w:pPr>
    <w:rPr>
      <w:kern w:val="0"/>
      <w:sz w:val="22"/>
    </w:rPr>
  </w:style>
  <w:style w:type="paragraph" w:styleId="10">
    <w:name w:val="Plain Text"/>
    <w:basedOn w:val="1"/>
    <w:qFormat/>
    <w:uiPriority w:val="0"/>
    <w:rPr>
      <w:rFonts w:ascii="宋体" w:hAnsi="Courier New"/>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spacing w:after="100" w:line="276" w:lineRule="auto"/>
      <w:jc w:val="left"/>
    </w:pPr>
    <w:rPr>
      <w:kern w:val="0"/>
      <w:sz w:val="22"/>
    </w:rPr>
  </w:style>
  <w:style w:type="paragraph" w:styleId="14">
    <w:name w:val="Subtitle"/>
    <w:basedOn w:val="1"/>
    <w:next w:val="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5">
    <w:name w:val="toc 2"/>
    <w:basedOn w:val="1"/>
    <w:next w:val="1"/>
    <w:qFormat/>
    <w:uiPriority w:val="0"/>
    <w:pPr>
      <w:ind w:left="420" w:leftChars="200"/>
    </w:pPr>
  </w:style>
  <w:style w:type="paragraph" w:styleId="16">
    <w:name w:val="Body Text 2"/>
    <w:basedOn w:val="1"/>
    <w:next w:val="17"/>
    <w:qFormat/>
    <w:uiPriority w:val="0"/>
    <w:pPr>
      <w:spacing w:after="120" w:line="480" w:lineRule="auto"/>
    </w:pPr>
    <w:rPr>
      <w:rFonts w:ascii="Times New Roman" w:eastAsia="宋体"/>
    </w:rPr>
  </w:style>
  <w:style w:type="paragraph" w:customStyle="1" w:styleId="17">
    <w:name w:val="标书正文居左"/>
    <w:next w:val="18"/>
    <w:qFormat/>
    <w:uiPriority w:val="0"/>
    <w:pPr>
      <w:widowControl w:val="0"/>
      <w:spacing w:before="50" w:line="480" w:lineRule="exact"/>
      <w:jc w:val="both"/>
    </w:pPr>
    <w:rPr>
      <w:rFonts w:ascii="Calibri" w:hAnsi="Calibri" w:eastAsia="黑体" w:cs="Times New Roman"/>
      <w:b/>
      <w:sz w:val="28"/>
      <w:lang w:val="en-US" w:eastAsia="zh-CN" w:bidi="ar-SA"/>
    </w:rPr>
  </w:style>
  <w:style w:type="paragraph" w:customStyle="1" w:styleId="18">
    <w:name w:val="xl63"/>
    <w:basedOn w:val="1"/>
    <w:next w:val="19"/>
    <w:qFormat/>
    <w:uiPriority w:val="0"/>
    <w:pPr>
      <w:widowControl/>
      <w:shd w:val="clear" w:color="000000" w:fill="FFFFFF"/>
      <w:spacing w:before="280" w:after="280"/>
      <w:jc w:val="center"/>
    </w:pPr>
    <w:rPr>
      <w:rFonts w:ascii="宋体"/>
      <w:color w:val="000000"/>
      <w:sz w:val="24"/>
    </w:rPr>
  </w:style>
  <w:style w:type="paragraph" w:customStyle="1" w:styleId="19">
    <w:name w:val="xl64"/>
    <w:basedOn w:val="1"/>
    <w:next w:val="1"/>
    <w:qFormat/>
    <w:uiPriority w:val="0"/>
    <w:pPr>
      <w:widowControl/>
      <w:shd w:val="clear" w:color="000000" w:fill="FFFFFF"/>
      <w:spacing w:before="280" w:after="280"/>
    </w:pPr>
    <w:rPr>
      <w:rFonts w:ascii="宋体"/>
      <w:color w:val="000000"/>
      <w:sz w:val="24"/>
    </w:rPr>
  </w:style>
  <w:style w:type="paragraph" w:styleId="20">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1">
    <w:name w:val="Body Text First Indent"/>
    <w:basedOn w:val="6"/>
    <w:next w:val="22"/>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22">
    <w:name w:val="Body Text First Indent 2"/>
    <w:basedOn w:val="8"/>
    <w:qFormat/>
    <w:uiPriority w:val="0"/>
    <w:pPr>
      <w:ind w:firstLine="420" w:firstLineChars="200"/>
    </w:pPr>
    <w:rPr>
      <w:rFonts w:ascii="Times New Roman" w:hAnsi="Times New Roman" w:eastAsia="宋体" w:cs="Times New Roman"/>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22"/>
    <w:rPr>
      <w:b/>
      <w:bCs/>
    </w:rPr>
  </w:style>
  <w:style w:type="character" w:styleId="27">
    <w:name w:val="FollowedHyperlink"/>
    <w:basedOn w:val="25"/>
    <w:qFormat/>
    <w:uiPriority w:val="0"/>
    <w:rPr>
      <w:color w:val="333333"/>
      <w:u w:val="none"/>
    </w:rPr>
  </w:style>
  <w:style w:type="character" w:styleId="28">
    <w:name w:val="Emphasis"/>
    <w:basedOn w:val="25"/>
    <w:qFormat/>
    <w:uiPriority w:val="0"/>
    <w:rPr>
      <w:b/>
      <w:bCs/>
    </w:rPr>
  </w:style>
  <w:style w:type="character" w:styleId="29">
    <w:name w:val="HTML Definition"/>
    <w:basedOn w:val="25"/>
    <w:qFormat/>
    <w:uiPriority w:val="0"/>
    <w:rPr>
      <w:i/>
      <w:iCs/>
    </w:rPr>
  </w:style>
  <w:style w:type="character" w:styleId="30">
    <w:name w:val="HTML Typewriter"/>
    <w:basedOn w:val="25"/>
    <w:qFormat/>
    <w:uiPriority w:val="0"/>
    <w:rPr>
      <w:rFonts w:hint="default" w:ascii="monospace" w:hAnsi="monospace" w:eastAsia="monospace" w:cs="monospace"/>
      <w:sz w:val="20"/>
    </w:rPr>
  </w:style>
  <w:style w:type="character" w:styleId="31">
    <w:name w:val="HTML Acronym"/>
    <w:basedOn w:val="25"/>
    <w:qFormat/>
    <w:uiPriority w:val="0"/>
  </w:style>
  <w:style w:type="character" w:styleId="32">
    <w:name w:val="HTML Variable"/>
    <w:basedOn w:val="25"/>
    <w:qFormat/>
    <w:uiPriority w:val="0"/>
  </w:style>
  <w:style w:type="character" w:styleId="33">
    <w:name w:val="Hyperlink"/>
    <w:basedOn w:val="25"/>
    <w:qFormat/>
    <w:uiPriority w:val="0"/>
    <w:rPr>
      <w:color w:val="333333"/>
      <w:u w:val="none"/>
    </w:rPr>
  </w:style>
  <w:style w:type="character" w:styleId="34">
    <w:name w:val="HTML Code"/>
    <w:basedOn w:val="25"/>
    <w:qFormat/>
    <w:uiPriority w:val="0"/>
    <w:rPr>
      <w:rFonts w:ascii="Consolas" w:hAnsi="Consolas" w:eastAsia="Consolas" w:cs="Consolas"/>
      <w:color w:val="C7254E"/>
      <w:sz w:val="21"/>
      <w:szCs w:val="21"/>
      <w:shd w:val="clear" w:fill="F9F2F4"/>
    </w:rPr>
  </w:style>
  <w:style w:type="character" w:styleId="35">
    <w:name w:val="HTML Cite"/>
    <w:basedOn w:val="25"/>
    <w:qFormat/>
    <w:uiPriority w:val="0"/>
  </w:style>
  <w:style w:type="character" w:styleId="36">
    <w:name w:val="HTML Keyboard"/>
    <w:basedOn w:val="25"/>
    <w:qFormat/>
    <w:uiPriority w:val="0"/>
    <w:rPr>
      <w:rFonts w:hint="default" w:ascii="Consolas" w:hAnsi="Consolas" w:eastAsia="Consolas" w:cs="Consolas"/>
      <w:color w:val="FFFFFF"/>
      <w:sz w:val="21"/>
      <w:szCs w:val="21"/>
      <w:shd w:val="clear" w:fill="333333"/>
    </w:rPr>
  </w:style>
  <w:style w:type="character" w:styleId="37">
    <w:name w:val="HTML Sample"/>
    <w:basedOn w:val="25"/>
    <w:qFormat/>
    <w:uiPriority w:val="0"/>
    <w:rPr>
      <w:rFonts w:hint="default" w:ascii="Consolas" w:hAnsi="Consolas" w:eastAsia="Consolas" w:cs="Consolas"/>
      <w:sz w:val="21"/>
      <w:szCs w:val="21"/>
    </w:rPr>
  </w:style>
  <w:style w:type="paragraph" w:customStyle="1" w:styleId="38">
    <w:name w:val="无间隔1"/>
    <w:basedOn w:val="39"/>
    <w:qFormat/>
    <w:uiPriority w:val="99"/>
    <w:pPr>
      <w:spacing w:line="400" w:lineRule="exact"/>
    </w:pPr>
  </w:style>
  <w:style w:type="paragraph" w:customStyle="1" w:styleId="39">
    <w:name w:val="正文_0"/>
    <w:next w:val="38"/>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0">
    <w:name w:val="List Paragraph"/>
    <w:basedOn w:val="1"/>
    <w:qFormat/>
    <w:uiPriority w:val="34"/>
    <w:pPr>
      <w:ind w:firstLine="420" w:firstLineChars="200"/>
    </w:pPr>
  </w:style>
  <w:style w:type="paragraph" w:customStyle="1" w:styleId="41">
    <w:name w:val="四号正文"/>
    <w:qFormat/>
    <w:uiPriority w:val="0"/>
    <w:pPr>
      <w:widowControl w:val="0"/>
      <w:spacing w:line="360" w:lineRule="auto"/>
      <w:ind w:firstLine="560"/>
    </w:pPr>
    <w:rPr>
      <w:rFonts w:ascii="Times New Roman" w:hAnsi="Times New Roman" w:eastAsia="宋体" w:cs="Times New Roman"/>
      <w:kern w:val="2"/>
      <w:sz w:val="28"/>
      <w:szCs w:val="28"/>
      <w:lang w:val="en-US" w:eastAsia="zh-CN" w:bidi="ar-SA"/>
    </w:rPr>
  </w:style>
  <w:style w:type="paragraph" w:customStyle="1" w:styleId="4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4">
    <w:name w:val="style4"/>
    <w:basedOn w:val="1"/>
    <w:next w:val="45"/>
    <w:qFormat/>
    <w:uiPriority w:val="0"/>
    <w:pPr>
      <w:widowControl/>
      <w:spacing w:before="280" w:after="280"/>
    </w:pPr>
    <w:rPr>
      <w:rFonts w:ascii="宋体"/>
      <w:sz w:val="18"/>
    </w:rPr>
  </w:style>
  <w:style w:type="paragraph" w:customStyle="1" w:styleId="4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6">
    <w:name w:val="列表段落1"/>
    <w:basedOn w:val="1"/>
    <w:unhideWhenUsed/>
    <w:qFormat/>
    <w:uiPriority w:val="34"/>
    <w:pPr>
      <w:ind w:firstLine="420" w:firstLineChars="200"/>
    </w:pPr>
  </w:style>
  <w:style w:type="paragraph" w:customStyle="1" w:styleId="47">
    <w:name w:val="正文_13_0"/>
    <w:basedOn w:val="1"/>
    <w:qFormat/>
    <w:uiPriority w:val="0"/>
    <w:rPr>
      <w:szCs w:val="21"/>
    </w:rPr>
  </w:style>
  <w:style w:type="character" w:customStyle="1" w:styleId="48">
    <w:name w:val="xiadan"/>
    <w:basedOn w:val="25"/>
    <w:qFormat/>
    <w:uiPriority w:val="0"/>
    <w:rPr>
      <w:shd w:val="clear" w:fill="E4393C"/>
    </w:rPr>
  </w:style>
  <w:style w:type="character" w:customStyle="1" w:styleId="49">
    <w:name w:val="icon_gys"/>
    <w:basedOn w:val="25"/>
    <w:qFormat/>
    <w:uiPriority w:val="0"/>
    <w:rPr>
      <w:sz w:val="21"/>
      <w:szCs w:val="21"/>
    </w:rPr>
  </w:style>
  <w:style w:type="character" w:customStyle="1" w:styleId="50">
    <w:name w:val="color-yellow"/>
    <w:basedOn w:val="25"/>
    <w:qFormat/>
    <w:uiPriority w:val="0"/>
    <w:rPr>
      <w:color w:val="FAAD14"/>
      <w:sz w:val="18"/>
      <w:szCs w:val="18"/>
      <w:bdr w:val="single" w:color="FAAD14" w:sz="6" w:space="0"/>
    </w:rPr>
  </w:style>
  <w:style w:type="character" w:customStyle="1" w:styleId="51">
    <w:name w:val="color-yellow1"/>
    <w:basedOn w:val="25"/>
    <w:qFormat/>
    <w:uiPriority w:val="0"/>
    <w:rPr>
      <w:color w:val="1F3149"/>
      <w:sz w:val="21"/>
      <w:szCs w:val="21"/>
      <w:bdr w:val="single" w:color="FAAD14" w:sz="6" w:space="0"/>
    </w:rPr>
  </w:style>
  <w:style w:type="character" w:customStyle="1" w:styleId="52">
    <w:name w:val="first-child"/>
    <w:basedOn w:val="25"/>
    <w:qFormat/>
    <w:uiPriority w:val="0"/>
    <w:rPr>
      <w:color w:val="1F3149"/>
      <w:sz w:val="24"/>
      <w:szCs w:val="24"/>
    </w:rPr>
  </w:style>
  <w:style w:type="character" w:customStyle="1" w:styleId="53">
    <w:name w:val="first-child1"/>
    <w:basedOn w:val="25"/>
    <w:qFormat/>
    <w:uiPriority w:val="0"/>
    <w:rPr>
      <w:color w:val="1F3149"/>
      <w:sz w:val="24"/>
      <w:szCs w:val="24"/>
    </w:rPr>
  </w:style>
  <w:style w:type="character" w:customStyle="1" w:styleId="54">
    <w:name w:val="first-child2"/>
    <w:basedOn w:val="25"/>
    <w:qFormat/>
    <w:uiPriority w:val="0"/>
  </w:style>
  <w:style w:type="character" w:customStyle="1" w:styleId="55">
    <w:name w:val="first-child3"/>
    <w:basedOn w:val="25"/>
    <w:qFormat/>
    <w:uiPriority w:val="0"/>
  </w:style>
  <w:style w:type="character" w:customStyle="1" w:styleId="56">
    <w:name w:val="icon_ds"/>
    <w:basedOn w:val="25"/>
    <w:qFormat/>
    <w:uiPriority w:val="0"/>
  </w:style>
  <w:style w:type="character" w:customStyle="1" w:styleId="57">
    <w:name w:val="icon_ds1"/>
    <w:basedOn w:val="25"/>
    <w:qFormat/>
    <w:uiPriority w:val="0"/>
    <w:rPr>
      <w:sz w:val="21"/>
      <w:szCs w:val="21"/>
    </w:rPr>
  </w:style>
  <w:style w:type="character" w:customStyle="1" w:styleId="58">
    <w:name w:val="fr2"/>
    <w:basedOn w:val="25"/>
    <w:qFormat/>
    <w:uiPriority w:val="0"/>
  </w:style>
  <w:style w:type="character" w:customStyle="1" w:styleId="59">
    <w:name w:val="color-blue"/>
    <w:basedOn w:val="25"/>
    <w:qFormat/>
    <w:uiPriority w:val="0"/>
    <w:rPr>
      <w:color w:val="3F88CA"/>
      <w:sz w:val="18"/>
      <w:szCs w:val="18"/>
      <w:bdr w:val="single" w:color="3F88CA" w:sz="6" w:space="0"/>
    </w:rPr>
  </w:style>
  <w:style w:type="character" w:customStyle="1" w:styleId="60">
    <w:name w:val="fr"/>
    <w:basedOn w:val="25"/>
    <w:qFormat/>
    <w:uiPriority w:val="0"/>
  </w:style>
  <w:style w:type="character" w:customStyle="1" w:styleId="61">
    <w:name w:val="hover"/>
    <w:basedOn w:val="25"/>
    <w:qFormat/>
    <w:uiPriority w:val="0"/>
    <w:rPr>
      <w:color w:val="2590EB"/>
    </w:rPr>
  </w:style>
  <w:style w:type="character" w:customStyle="1" w:styleId="62">
    <w:name w:val="hover1"/>
    <w:basedOn w:val="25"/>
    <w:qFormat/>
    <w:uiPriority w:val="0"/>
    <w:rPr>
      <w:color w:val="2590EB"/>
    </w:rPr>
  </w:style>
  <w:style w:type="character" w:customStyle="1" w:styleId="63">
    <w:name w:val="hover2"/>
    <w:basedOn w:val="25"/>
    <w:qFormat/>
    <w:uiPriority w:val="0"/>
  </w:style>
  <w:style w:type="character" w:customStyle="1" w:styleId="64">
    <w:name w:val="hover3"/>
    <w:basedOn w:val="25"/>
    <w:qFormat/>
    <w:uiPriority w:val="0"/>
    <w:rPr>
      <w:color w:val="2590EB"/>
      <w:shd w:val="clear" w:fill="E9F4FD"/>
    </w:rPr>
  </w:style>
  <w:style w:type="character" w:customStyle="1" w:styleId="65">
    <w:name w:val="标题 1 Char"/>
    <w:link w:val="2"/>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25086</Words>
  <Characters>26913</Characters>
  <Lines>0</Lines>
  <Paragraphs>0</Paragraphs>
  <TotalTime>0</TotalTime>
  <ScaleCrop>false</ScaleCrop>
  <LinksUpToDate>false</LinksUpToDate>
  <CharactersWithSpaces>27286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晴空</cp:lastModifiedBy>
  <cp:lastPrinted>2024-08-30T04:25:00Z</cp:lastPrinted>
  <dcterms:modified xsi:type="dcterms:W3CDTF">2025-11-06T06:44:26Z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F52AB4A6EA684966A418B8B718314EC5_13</vt:lpwstr>
  </property>
  <property fmtid="{D5CDD505-2E9C-101B-9397-08002B2CF9AE}" pid="4" name="KSOTemplateDocerSaveRecord">
    <vt:lpwstr>eyJoZGlkIjoiNzg4ZTI2YWRmMjBiZTNiMzUzZDI5NTVlNGRmYzY0YWYiLCJ1c2VySWQiOiIzOTI0NTk4OTgifQ==</vt:lpwstr>
  </property>
</Properties>
</file>