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C89AF">
      <w:pPr>
        <w:pStyle w:val="5"/>
        <w:spacing w:line="480" w:lineRule="auto"/>
        <w:ind w:left="0" w:leftChars="0" w:firstLine="0" w:firstLineChars="0"/>
        <w:jc w:val="center"/>
        <w:rPr>
          <w:rFonts w:hint="eastAsia" w:ascii="黑体" w:hAnsi="黑体" w:eastAsia="黑体" w:cs="黑体"/>
          <w:b/>
          <w:spacing w:val="-20"/>
          <w:sz w:val="44"/>
          <w:szCs w:val="44"/>
          <w:lang w:eastAsia="zh-CN"/>
        </w:rPr>
      </w:pPr>
    </w:p>
    <w:p w14:paraId="3DADD868">
      <w:pPr>
        <w:pStyle w:val="5"/>
        <w:spacing w:line="480" w:lineRule="auto"/>
        <w:ind w:left="0" w:leftChars="0" w:firstLine="0" w:firstLineChars="0"/>
        <w:jc w:val="center"/>
        <w:rPr>
          <w:rFonts w:hint="eastAsia" w:ascii="黑体" w:hAnsi="黑体" w:eastAsia="黑体" w:cs="黑体"/>
          <w:b/>
          <w:spacing w:val="-20"/>
          <w:sz w:val="44"/>
          <w:szCs w:val="44"/>
          <w:lang w:eastAsia="zh-CN"/>
        </w:rPr>
      </w:pPr>
      <w:r>
        <w:rPr>
          <w:rFonts w:hint="eastAsia" w:ascii="黑体" w:hAnsi="黑体" w:eastAsia="黑体" w:cs="黑体"/>
          <w:b/>
          <w:spacing w:val="-20"/>
          <w:sz w:val="44"/>
          <w:szCs w:val="44"/>
          <w:lang w:eastAsia="zh-CN"/>
        </w:rPr>
        <w:t>安阳市文峰区宝莲寺镇人民政府文峰区2025年宝莲寺镇郭村集村道路硬化项目</w:t>
      </w:r>
    </w:p>
    <w:p w14:paraId="772E6928">
      <w:pPr>
        <w:pStyle w:val="5"/>
        <w:ind w:left="0" w:leftChars="0" w:firstLine="0" w:firstLineChars="0"/>
        <w:rPr>
          <w:rFonts w:hint="eastAsia" w:ascii="宋体" w:hAnsi="宋体" w:eastAsia="宋体" w:cs="宋体"/>
        </w:rPr>
      </w:pPr>
    </w:p>
    <w:p w14:paraId="7B64EB72">
      <w:pPr>
        <w:pStyle w:val="5"/>
        <w:ind w:left="0" w:leftChars="0" w:firstLine="0" w:firstLineChars="0"/>
        <w:rPr>
          <w:rFonts w:hint="eastAsia" w:ascii="宋体" w:hAnsi="宋体" w:eastAsia="宋体" w:cs="宋体"/>
        </w:rPr>
      </w:pPr>
    </w:p>
    <w:p w14:paraId="0241DB8F">
      <w:pPr>
        <w:pStyle w:val="5"/>
        <w:ind w:left="0" w:leftChars="0" w:firstLine="0" w:firstLineChars="0"/>
        <w:rPr>
          <w:rFonts w:hint="eastAsia" w:ascii="宋体" w:hAnsi="宋体" w:eastAsia="宋体" w:cs="宋体"/>
        </w:rPr>
      </w:pPr>
    </w:p>
    <w:p w14:paraId="0EE697E0">
      <w:pPr>
        <w:pStyle w:val="5"/>
        <w:ind w:left="0" w:leftChars="0" w:firstLine="0" w:firstLineChars="0"/>
        <w:rPr>
          <w:rFonts w:hint="eastAsia" w:ascii="宋体" w:hAnsi="宋体" w:eastAsia="宋体" w:cs="宋体"/>
        </w:rPr>
      </w:pPr>
    </w:p>
    <w:p w14:paraId="50CCA82B">
      <w:pPr>
        <w:keepNext w:val="0"/>
        <w:keepLines w:val="0"/>
        <w:pageBreakBefore w:val="0"/>
        <w:widowControl/>
        <w:kinsoku w:val="0"/>
        <w:wordWrap/>
        <w:overflowPunct/>
        <w:topLinePunct w:val="0"/>
        <w:autoSpaceDE w:val="0"/>
        <w:autoSpaceDN w:val="0"/>
        <w:bidi w:val="0"/>
        <w:adjustRightInd w:val="0"/>
        <w:snapToGrid w:val="0"/>
        <w:spacing w:before="240" w:beforeLines="100" w:line="360" w:lineRule="auto"/>
        <w:jc w:val="center"/>
        <w:textAlignment w:val="baseline"/>
        <w:rPr>
          <w:rFonts w:hint="eastAsia" w:ascii="宋体" w:hAnsi="宋体" w:eastAsia="宋体" w:cs="宋体"/>
          <w:b/>
          <w:bCs w:val="0"/>
          <w:spacing w:val="-20"/>
          <w:sz w:val="84"/>
          <w:szCs w:val="84"/>
        </w:rPr>
      </w:pPr>
      <w:r>
        <w:rPr>
          <w:rFonts w:hint="eastAsia" w:ascii="宋体" w:hAnsi="宋体" w:eastAsia="宋体" w:cs="宋体"/>
          <w:b/>
          <w:bCs w:val="0"/>
          <w:spacing w:val="-20"/>
          <w:sz w:val="84"/>
          <w:szCs w:val="84"/>
        </w:rPr>
        <w:t>磋 商</w:t>
      </w:r>
      <w:r>
        <w:rPr>
          <w:rFonts w:hint="eastAsia" w:ascii="宋体" w:hAnsi="宋体" w:eastAsia="宋体" w:cs="宋体"/>
          <w:b/>
          <w:bCs w:val="0"/>
          <w:spacing w:val="-20"/>
          <w:sz w:val="84"/>
          <w:szCs w:val="84"/>
          <w:lang w:val="en-US" w:eastAsia="zh-CN"/>
        </w:rPr>
        <w:t xml:space="preserve"> </w:t>
      </w:r>
      <w:r>
        <w:rPr>
          <w:rFonts w:hint="eastAsia" w:ascii="宋体" w:hAnsi="宋体" w:eastAsia="宋体" w:cs="宋体"/>
          <w:b/>
          <w:bCs w:val="0"/>
          <w:spacing w:val="-20"/>
          <w:sz w:val="84"/>
          <w:szCs w:val="84"/>
        </w:rPr>
        <w:t>文 件</w:t>
      </w:r>
    </w:p>
    <w:p w14:paraId="2D987225">
      <w:pPr>
        <w:pStyle w:val="13"/>
        <w:keepNext w:val="0"/>
        <w:keepLines w:val="0"/>
        <w:pageBreakBefore w:val="0"/>
        <w:widowControl/>
        <w:kinsoku w:val="0"/>
        <w:wordWrap/>
        <w:overflowPunct/>
        <w:topLinePunct w:val="0"/>
        <w:autoSpaceDE w:val="0"/>
        <w:autoSpaceDN w:val="0"/>
        <w:bidi w:val="0"/>
        <w:adjustRightInd w:val="0"/>
        <w:spacing w:line="360" w:lineRule="auto"/>
        <w:ind w:left="0" w:leftChars="0" w:firstLine="0" w:firstLineChars="0"/>
        <w:jc w:val="center"/>
        <w:textAlignment w:val="baseline"/>
        <w:rPr>
          <w:rFonts w:hint="eastAsia" w:ascii="宋体" w:hAnsi="宋体" w:eastAsia="宋体" w:cs="宋体"/>
          <w:b/>
          <w:bCs w:val="0"/>
          <w:sz w:val="44"/>
          <w:lang w:eastAsia="zh-CN"/>
        </w:rPr>
      </w:pPr>
      <w:r>
        <w:rPr>
          <w:rFonts w:hint="eastAsia" w:ascii="宋体" w:hAnsi="宋体" w:eastAsia="宋体" w:cs="宋体"/>
          <w:b/>
          <w:bCs w:val="0"/>
          <w:sz w:val="44"/>
          <w:lang w:eastAsia="zh-CN"/>
        </w:rPr>
        <w:drawing>
          <wp:inline distT="0" distB="0" distL="114300" distR="114300">
            <wp:extent cx="2552700" cy="2171700"/>
            <wp:effectExtent l="0" t="0" r="0" b="0"/>
            <wp:docPr id="1" name="图片 1" descr="wechat_2025-09-27_005730_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_2025-09-27_005730_497"/>
                    <pic:cNvPicPr>
                      <a:picLocks noChangeAspect="1"/>
                    </pic:cNvPicPr>
                  </pic:nvPicPr>
                  <pic:blipFill>
                    <a:blip r:embed="rId26">
                      <a:clrChange>
                        <a:clrFrom>
                          <a:srgbClr val="FDFDFD">
                            <a:alpha val="100000"/>
                          </a:srgbClr>
                        </a:clrFrom>
                        <a:clrTo>
                          <a:srgbClr val="FDFDFD">
                            <a:alpha val="100000"/>
                            <a:alpha val="0"/>
                          </a:srgbClr>
                        </a:clrTo>
                      </a:clrChange>
                    </a:blip>
                    <a:stretch>
                      <a:fillRect/>
                    </a:stretch>
                  </pic:blipFill>
                  <pic:spPr>
                    <a:xfrm>
                      <a:off x="0" y="0"/>
                      <a:ext cx="2552700" cy="2171700"/>
                    </a:xfrm>
                    <a:prstGeom prst="rect">
                      <a:avLst/>
                    </a:prstGeom>
                  </pic:spPr>
                </pic:pic>
              </a:graphicData>
            </a:graphic>
          </wp:inline>
        </w:drawing>
      </w:r>
    </w:p>
    <w:p w14:paraId="66BB9486">
      <w:pPr>
        <w:pStyle w:val="2"/>
        <w:rPr>
          <w:rFonts w:hint="eastAsia" w:ascii="宋体" w:hAnsi="宋体" w:eastAsia="宋体" w:cs="宋体"/>
          <w:b/>
          <w:sz w:val="28"/>
          <w:szCs w:val="28"/>
          <w:lang w:eastAsia="zh-CN"/>
        </w:rPr>
      </w:pPr>
    </w:p>
    <w:p w14:paraId="22DEC343">
      <w:pPr>
        <w:pStyle w:val="2"/>
        <w:rPr>
          <w:rFonts w:hint="eastAsia" w:ascii="宋体" w:hAnsi="宋体" w:eastAsia="宋体" w:cs="宋体"/>
          <w:b/>
          <w:sz w:val="28"/>
          <w:szCs w:val="28"/>
          <w:lang w:eastAsia="zh-CN"/>
        </w:rPr>
      </w:pPr>
    </w:p>
    <w:p w14:paraId="551FDB3C">
      <w:pPr>
        <w:pStyle w:val="13"/>
        <w:spacing w:line="360" w:lineRule="auto"/>
        <w:ind w:left="0" w:leftChars="0" w:firstLine="843" w:firstLineChars="300"/>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采</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购</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编</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号：安文磋商采购-2025-27</w:t>
      </w:r>
      <w:bookmarkStart w:id="560" w:name="_GoBack"/>
      <w:bookmarkEnd w:id="560"/>
    </w:p>
    <w:p w14:paraId="17B8F1BF">
      <w:pPr>
        <w:pStyle w:val="13"/>
        <w:spacing w:line="360" w:lineRule="auto"/>
        <w:ind w:left="0" w:leftChars="0" w:firstLine="843" w:firstLineChars="300"/>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采</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购</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单</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位</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：安阳市文峰区宝莲寺镇人民政府</w:t>
      </w:r>
    </w:p>
    <w:p w14:paraId="650305D3">
      <w:pPr>
        <w:pStyle w:val="13"/>
        <w:spacing w:line="360" w:lineRule="auto"/>
        <w:ind w:firstLine="0" w:firstLineChars="0"/>
        <w:jc w:val="left"/>
        <w:rPr>
          <w:rFonts w:hint="eastAsia" w:ascii="宋体" w:hAnsi="宋体" w:eastAsia="宋体" w:cs="宋体"/>
          <w:b/>
          <w:sz w:val="28"/>
          <w:szCs w:val="28"/>
          <w:lang w:eastAsia="zh-CN"/>
        </w:rPr>
      </w:pPr>
      <w:r>
        <w:rPr>
          <w:rFonts w:hint="eastAsia" w:ascii="宋体" w:hAnsi="宋体" w:eastAsia="宋体" w:cs="宋体"/>
          <w:b/>
          <w:sz w:val="28"/>
          <w:szCs w:val="28"/>
        </w:rPr>
        <w:t xml:space="preserve">   </w:t>
      </w:r>
      <w:r>
        <w:rPr>
          <w:rFonts w:hint="eastAsia" w:ascii="宋体" w:hAnsi="宋体" w:eastAsia="宋体" w:cs="宋体"/>
          <w:b/>
          <w:sz w:val="28"/>
          <w:szCs w:val="28"/>
          <w:lang w:eastAsia="zh-CN"/>
        </w:rPr>
        <w:t>采购代理机构：之京城市管理集团有限责任公司　</w:t>
      </w:r>
    </w:p>
    <w:p w14:paraId="4E74ED54">
      <w:pPr>
        <w:pStyle w:val="13"/>
        <w:spacing w:line="360" w:lineRule="auto"/>
        <w:ind w:firstLine="0" w:firstLineChars="0"/>
        <w:rPr>
          <w:rFonts w:hint="eastAsia" w:ascii="宋体" w:hAnsi="宋体" w:eastAsia="宋体" w:cs="宋体"/>
          <w:b/>
          <w:sz w:val="28"/>
          <w:szCs w:val="28"/>
          <w:lang w:val="en-US" w:eastAsia="zh-CN"/>
        </w:rPr>
        <w:sectPr>
          <w:headerReference r:id="rId6" w:type="first"/>
          <w:footerReference r:id="rId8" w:type="first"/>
          <w:headerReference r:id="rId5" w:type="default"/>
          <w:footerReference r:id="rId7" w:type="default"/>
          <w:pgSz w:w="11905" w:h="16837"/>
          <w:pgMar w:top="1474" w:right="1106" w:bottom="1474" w:left="1418" w:header="567" w:footer="567" w:gutter="0"/>
          <w:pgNumType w:start="0"/>
          <w:cols w:space="720" w:num="1"/>
          <w:titlePg/>
        </w:sectPr>
      </w:pPr>
      <w:r>
        <w:rPr>
          <w:rFonts w:hint="eastAsia" w:ascii="宋体" w:hAnsi="宋体" w:eastAsia="宋体" w:cs="宋体"/>
          <w:b/>
          <w:sz w:val="28"/>
          <w:szCs w:val="28"/>
        </w:rPr>
        <w:t xml:space="preserve">   </w:t>
      </w:r>
      <w:r>
        <w:rPr>
          <w:rFonts w:hint="eastAsia" w:ascii="宋体" w:hAnsi="宋体" w:eastAsia="宋体" w:cs="宋体"/>
          <w:b/>
          <w:sz w:val="28"/>
          <w:szCs w:val="28"/>
          <w:lang w:eastAsia="zh-CN"/>
        </w:rPr>
        <w:t>日</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期：</w:t>
      </w:r>
      <w:r>
        <w:rPr>
          <w:rFonts w:hint="eastAsia" w:ascii="宋体" w:hAnsi="宋体" w:eastAsia="宋体" w:cs="宋体"/>
          <w:b/>
          <w:sz w:val="28"/>
          <w:szCs w:val="28"/>
          <w:lang w:val="en-US" w:eastAsia="zh-CN"/>
        </w:rPr>
        <w:t>二〇二五年九月</w:t>
      </w:r>
    </w:p>
    <w:p w14:paraId="2E70ABBF">
      <w:pPr>
        <w:keepNext w:val="0"/>
        <w:keepLines w:val="0"/>
        <w:pageBreakBefore w:val="0"/>
        <w:widowControl/>
        <w:kinsoku/>
        <w:wordWrap/>
        <w:overflowPunct/>
        <w:topLinePunct w:val="0"/>
        <w:autoSpaceDE w:val="0"/>
        <w:autoSpaceDN w:val="0"/>
        <w:bidi w:val="0"/>
        <w:adjustRightInd w:val="0"/>
        <w:snapToGrid w:val="0"/>
        <w:spacing w:line="267" w:lineRule="auto"/>
        <w:outlineLvl w:val="9"/>
        <w:rPr>
          <w:rFonts w:hint="eastAsia" w:ascii="宋体" w:hAnsi="宋体" w:eastAsia="宋体" w:cs="宋体"/>
          <w:sz w:val="21"/>
        </w:rPr>
      </w:pPr>
    </w:p>
    <w:p w14:paraId="2E733F37">
      <w:pPr>
        <w:keepNext w:val="0"/>
        <w:keepLines w:val="0"/>
        <w:pageBreakBefore w:val="0"/>
        <w:widowControl/>
        <w:kinsoku/>
        <w:wordWrap/>
        <w:overflowPunct/>
        <w:topLinePunct w:val="0"/>
        <w:autoSpaceDE w:val="0"/>
        <w:autoSpaceDN w:val="0"/>
        <w:bidi w:val="0"/>
        <w:adjustRightInd w:val="0"/>
        <w:snapToGrid w:val="0"/>
        <w:spacing w:line="360" w:lineRule="auto"/>
        <w:ind w:firstLine="0"/>
        <w:jc w:val="center"/>
        <w:textAlignment w:val="baseline"/>
        <w:outlineLvl w:val="9"/>
        <w:rPr>
          <w:rFonts w:hint="eastAsia" w:ascii="宋体" w:hAnsi="宋体" w:eastAsia="宋体" w:cs="宋体"/>
          <w:sz w:val="72"/>
          <w:szCs w:val="72"/>
        </w:rPr>
      </w:pPr>
      <w:r>
        <w:rPr>
          <w:rFonts w:hint="eastAsia" w:ascii="宋体" w:hAnsi="宋体" w:eastAsia="宋体" w:cs="宋体"/>
          <w:spacing w:val="-35"/>
          <w:w w:val="97"/>
          <w:sz w:val="72"/>
          <w:szCs w:val="72"/>
          <w14:textOutline w14:w="6531" w14:cap="flat" w14:cmpd="sng">
            <w14:solidFill>
              <w14:srgbClr w14:val="000000"/>
            </w14:solidFill>
            <w14:prstDash w14:val="solid"/>
            <w14:miter w14:val="0"/>
          </w14:textOutline>
        </w:rPr>
        <w:t>目录</w:t>
      </w:r>
    </w:p>
    <w:p w14:paraId="43ABF07C">
      <w:pPr>
        <w:pStyle w:val="8"/>
        <w:tabs>
          <w:tab w:val="right" w:leader="dot" w:pos="9916"/>
        </w:tabs>
        <w:spacing w:line="48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TOC \o "1-1" \h \u </w:instrText>
      </w:r>
      <w:r>
        <w:rPr>
          <w:rFonts w:hint="eastAsia" w:ascii="宋体" w:hAnsi="宋体" w:eastAsia="宋体" w:cs="宋体"/>
          <w:sz w:val="36"/>
          <w:szCs w:val="36"/>
        </w:rPr>
        <w:fldChar w:fldCharType="separate"/>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_Toc32148 </w:instrText>
      </w:r>
      <w:r>
        <w:rPr>
          <w:rFonts w:hint="eastAsia" w:ascii="宋体" w:hAnsi="宋体" w:eastAsia="宋体" w:cs="宋体"/>
          <w:sz w:val="36"/>
          <w:szCs w:val="36"/>
        </w:rPr>
        <w:fldChar w:fldCharType="separate"/>
      </w:r>
      <w:r>
        <w:rPr>
          <w:rFonts w:hint="eastAsia" w:ascii="宋体" w:hAnsi="宋体" w:eastAsia="宋体" w:cs="宋体"/>
          <w:spacing w:val="-7"/>
          <w:position w:val="11"/>
          <w:sz w:val="36"/>
          <w:szCs w:val="36"/>
          <w14:textOutline w14:w="6531" w14:cap="flat" w14:cmpd="sng">
            <w14:solidFill>
              <w14:srgbClr w14:val="000000"/>
            </w14:solidFill>
            <w14:prstDash w14:val="solid"/>
            <w14:miter w14:val="0"/>
          </w14:textOutline>
        </w:rPr>
        <w:t>第一章</w:t>
      </w:r>
      <w:r>
        <w:rPr>
          <w:rFonts w:hint="eastAsia" w:ascii="宋体" w:hAnsi="宋体" w:eastAsia="宋体" w:cs="宋体"/>
          <w:spacing w:val="21"/>
          <w:position w:val="11"/>
          <w:sz w:val="36"/>
          <w:szCs w:val="36"/>
        </w:rPr>
        <w:t xml:space="preserve">  </w:t>
      </w:r>
      <w:r>
        <w:rPr>
          <w:rFonts w:hint="eastAsia" w:ascii="宋体" w:hAnsi="宋体" w:eastAsia="宋体" w:cs="宋体"/>
          <w:spacing w:val="-7"/>
          <w:position w:val="11"/>
          <w:sz w:val="36"/>
          <w:szCs w:val="36"/>
          <w14:textOutline w14:w="6531" w14:cap="flat" w14:cmpd="sng">
            <w14:solidFill>
              <w14:srgbClr w14:val="000000"/>
            </w14:solidFill>
            <w14:prstDash w14:val="solid"/>
            <w14:miter w14:val="0"/>
          </w14:textOutline>
        </w:rPr>
        <w:t>竞争性磋商公告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_Toc32148 \h </w:instrText>
      </w:r>
      <w:r>
        <w:rPr>
          <w:rFonts w:hint="eastAsia" w:ascii="宋体" w:hAnsi="宋体" w:eastAsia="宋体" w:cs="宋体"/>
          <w:sz w:val="36"/>
          <w:szCs w:val="36"/>
        </w:rPr>
        <w:fldChar w:fldCharType="separate"/>
      </w:r>
      <w:r>
        <w:rPr>
          <w:rFonts w:hint="eastAsia" w:ascii="宋体" w:hAnsi="宋体" w:eastAsia="宋体" w:cs="宋体"/>
          <w:sz w:val="36"/>
          <w:szCs w:val="36"/>
        </w:rPr>
        <w:t>2</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4B47AC1E">
      <w:pPr>
        <w:pStyle w:val="8"/>
        <w:tabs>
          <w:tab w:val="right" w:leader="dot" w:pos="9916"/>
        </w:tabs>
        <w:spacing w:line="48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_Toc20235 </w:instrText>
      </w:r>
      <w:r>
        <w:rPr>
          <w:rFonts w:hint="eastAsia" w:ascii="宋体" w:hAnsi="宋体" w:eastAsia="宋体" w:cs="宋体"/>
          <w:sz w:val="36"/>
          <w:szCs w:val="36"/>
        </w:rPr>
        <w:fldChar w:fldCharType="separate"/>
      </w:r>
      <w:r>
        <w:rPr>
          <w:rFonts w:hint="eastAsia" w:ascii="宋体" w:hAnsi="宋体" w:eastAsia="宋体" w:cs="宋体"/>
          <w:spacing w:val="-7"/>
          <w:sz w:val="36"/>
          <w:szCs w:val="36"/>
          <w14:textOutline w14:w="6531" w14:cap="flat" w14:cmpd="sng">
            <w14:solidFill>
              <w14:srgbClr w14:val="000000"/>
            </w14:solidFill>
            <w14:prstDash w14:val="solid"/>
            <w14:miter w14:val="0"/>
          </w14:textOutline>
        </w:rPr>
        <w:t>第二章</w:t>
      </w:r>
      <w:r>
        <w:rPr>
          <w:rFonts w:hint="eastAsia" w:ascii="宋体" w:hAnsi="宋体" w:eastAsia="宋体" w:cs="宋体"/>
          <w:spacing w:val="17"/>
          <w:sz w:val="36"/>
          <w:szCs w:val="36"/>
        </w:rPr>
        <w:t xml:space="preserve">  </w:t>
      </w:r>
      <w:r>
        <w:rPr>
          <w:rFonts w:hint="eastAsia" w:ascii="宋体" w:hAnsi="宋体" w:eastAsia="宋体" w:cs="宋体"/>
          <w:spacing w:val="-7"/>
          <w:sz w:val="36"/>
          <w:szCs w:val="36"/>
          <w14:textOutline w14:w="6531" w14:cap="flat" w14:cmpd="sng">
            <w14:solidFill>
              <w14:srgbClr w14:val="000000"/>
            </w14:solidFill>
            <w14:prstDash w14:val="solid"/>
            <w14:miter w14:val="0"/>
          </w14:textOutline>
        </w:rPr>
        <w:t>采购项目要求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_Toc20235 \h </w:instrText>
      </w:r>
      <w:r>
        <w:rPr>
          <w:rFonts w:hint="eastAsia" w:ascii="宋体" w:hAnsi="宋体" w:eastAsia="宋体" w:cs="宋体"/>
          <w:sz w:val="36"/>
          <w:szCs w:val="36"/>
        </w:rPr>
        <w:fldChar w:fldCharType="separate"/>
      </w:r>
      <w:r>
        <w:rPr>
          <w:rFonts w:hint="eastAsia" w:ascii="宋体" w:hAnsi="宋体" w:eastAsia="宋体" w:cs="宋体"/>
          <w:sz w:val="36"/>
          <w:szCs w:val="36"/>
        </w:rPr>
        <w:t>6</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6ED9A9A0">
      <w:pPr>
        <w:pStyle w:val="8"/>
        <w:tabs>
          <w:tab w:val="right" w:leader="dot" w:pos="9916"/>
        </w:tabs>
        <w:spacing w:line="48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_Toc14518 </w:instrText>
      </w:r>
      <w:r>
        <w:rPr>
          <w:rFonts w:hint="eastAsia" w:ascii="宋体" w:hAnsi="宋体" w:eastAsia="宋体" w:cs="宋体"/>
          <w:sz w:val="36"/>
          <w:szCs w:val="36"/>
        </w:rPr>
        <w:fldChar w:fldCharType="separate"/>
      </w:r>
      <w:r>
        <w:rPr>
          <w:rFonts w:hint="eastAsia" w:ascii="宋体" w:hAnsi="宋体" w:eastAsia="宋体" w:cs="宋体"/>
          <w:spacing w:val="-2"/>
          <w:sz w:val="36"/>
          <w:szCs w:val="36"/>
          <w:lang w:val="en-US" w:eastAsia="zh-CN"/>
          <w14:textOutline w14:w="5080" w14:cap="flat" w14:cmpd="sng">
            <w14:solidFill>
              <w14:srgbClr w14:val="000000"/>
            </w14:solidFill>
            <w14:prstDash w14:val="solid"/>
            <w14:miter w14:val="0"/>
          </w14:textOutline>
        </w:rPr>
        <w:t>第三章  投标人须知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_Toc14518 \h </w:instrText>
      </w:r>
      <w:r>
        <w:rPr>
          <w:rFonts w:hint="eastAsia" w:ascii="宋体" w:hAnsi="宋体" w:eastAsia="宋体" w:cs="宋体"/>
          <w:sz w:val="36"/>
          <w:szCs w:val="36"/>
        </w:rPr>
        <w:fldChar w:fldCharType="separate"/>
      </w:r>
      <w:r>
        <w:rPr>
          <w:rFonts w:hint="eastAsia" w:ascii="宋体" w:hAnsi="宋体" w:eastAsia="宋体" w:cs="宋体"/>
          <w:sz w:val="36"/>
          <w:szCs w:val="36"/>
        </w:rPr>
        <w:t>8</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6D48ED94">
      <w:pPr>
        <w:pStyle w:val="8"/>
        <w:tabs>
          <w:tab w:val="right" w:leader="dot" w:pos="9916"/>
        </w:tabs>
        <w:spacing w:line="48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_Toc21298 </w:instrText>
      </w:r>
      <w:r>
        <w:rPr>
          <w:rFonts w:hint="eastAsia" w:ascii="宋体" w:hAnsi="宋体" w:eastAsia="宋体" w:cs="宋体"/>
          <w:sz w:val="36"/>
          <w:szCs w:val="36"/>
        </w:rPr>
        <w:fldChar w:fldCharType="separate"/>
      </w:r>
      <w:r>
        <w:rPr>
          <w:rFonts w:hint="eastAsia" w:ascii="宋体" w:hAnsi="宋体" w:eastAsia="宋体" w:cs="宋体"/>
          <w:spacing w:val="-9"/>
          <w:sz w:val="36"/>
          <w:szCs w:val="36"/>
          <w14:textOutline w14:w="6531" w14:cap="flat" w14:cmpd="sng">
            <w14:solidFill>
              <w14:srgbClr w14:val="000000"/>
            </w14:solidFill>
            <w14:prstDash w14:val="solid"/>
            <w14:miter w14:val="0"/>
          </w14:textOutline>
        </w:rPr>
        <w:t>第四章</w:t>
      </w:r>
      <w:r>
        <w:rPr>
          <w:rFonts w:hint="eastAsia" w:ascii="宋体" w:hAnsi="宋体" w:eastAsia="宋体" w:cs="宋体"/>
          <w:spacing w:val="16"/>
          <w:sz w:val="36"/>
          <w:szCs w:val="36"/>
        </w:rPr>
        <w:t xml:space="preserve">  </w:t>
      </w:r>
      <w:r>
        <w:rPr>
          <w:rFonts w:hint="eastAsia" w:ascii="宋体" w:hAnsi="宋体" w:eastAsia="宋体" w:cs="宋体"/>
          <w:spacing w:val="-9"/>
          <w:sz w:val="36"/>
          <w:szCs w:val="36"/>
          <w14:textOutline w14:w="6531" w14:cap="flat" w14:cmpd="sng">
            <w14:solidFill>
              <w14:srgbClr w14:val="000000"/>
            </w14:solidFill>
            <w14:prstDash w14:val="solid"/>
            <w14:miter w14:val="0"/>
          </w14:textOutline>
        </w:rPr>
        <w:t>评审办法</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_Toc21298 \h </w:instrText>
      </w:r>
      <w:r>
        <w:rPr>
          <w:rFonts w:hint="eastAsia" w:ascii="宋体" w:hAnsi="宋体" w:eastAsia="宋体" w:cs="宋体"/>
          <w:sz w:val="36"/>
          <w:szCs w:val="36"/>
        </w:rPr>
        <w:fldChar w:fldCharType="separate"/>
      </w:r>
      <w:r>
        <w:rPr>
          <w:rFonts w:hint="eastAsia" w:ascii="宋体" w:hAnsi="宋体" w:eastAsia="宋体" w:cs="宋体"/>
          <w:sz w:val="36"/>
          <w:szCs w:val="36"/>
        </w:rPr>
        <w:t>24</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1F14A0ED">
      <w:pPr>
        <w:pStyle w:val="8"/>
        <w:tabs>
          <w:tab w:val="right" w:leader="dot" w:pos="9916"/>
        </w:tabs>
        <w:spacing w:line="48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_Toc26677 </w:instrText>
      </w:r>
      <w:r>
        <w:rPr>
          <w:rFonts w:hint="eastAsia" w:ascii="宋体" w:hAnsi="宋体" w:eastAsia="宋体" w:cs="宋体"/>
          <w:sz w:val="36"/>
          <w:szCs w:val="36"/>
        </w:rPr>
        <w:fldChar w:fldCharType="separate"/>
      </w:r>
      <w:r>
        <w:rPr>
          <w:rFonts w:hint="eastAsia" w:ascii="宋体" w:hAnsi="宋体" w:eastAsia="宋体" w:cs="宋体"/>
          <w:spacing w:val="-7"/>
          <w:sz w:val="36"/>
          <w:szCs w:val="36"/>
          <w14:textOutline w14:w="6531" w14:cap="flat" w14:cmpd="sng">
            <w14:solidFill>
              <w14:srgbClr w14:val="000000"/>
            </w14:solidFill>
            <w14:prstDash w14:val="solid"/>
            <w14:miter w14:val="0"/>
          </w14:textOutline>
        </w:rPr>
        <w:t>第五章</w:t>
      </w:r>
      <w:r>
        <w:rPr>
          <w:rFonts w:hint="eastAsia" w:ascii="宋体" w:hAnsi="宋体" w:eastAsia="宋体" w:cs="宋体"/>
          <w:spacing w:val="17"/>
          <w:sz w:val="36"/>
          <w:szCs w:val="36"/>
        </w:rPr>
        <w:t xml:space="preserve">  </w:t>
      </w:r>
      <w:r>
        <w:rPr>
          <w:rFonts w:hint="eastAsia" w:ascii="宋体" w:hAnsi="宋体" w:eastAsia="宋体" w:cs="宋体"/>
          <w:spacing w:val="-7"/>
          <w:sz w:val="36"/>
          <w:szCs w:val="36"/>
          <w14:textOutline w14:w="6531" w14:cap="flat" w14:cmpd="sng">
            <w14:solidFill>
              <w14:srgbClr w14:val="000000"/>
            </w14:solidFill>
            <w14:prstDash w14:val="solid"/>
            <w14:miter w14:val="0"/>
          </w14:textOutline>
        </w:rPr>
        <w:t>合同主要条款</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_Toc26677 \h </w:instrText>
      </w:r>
      <w:r>
        <w:rPr>
          <w:rFonts w:hint="eastAsia" w:ascii="宋体" w:hAnsi="宋体" w:eastAsia="宋体" w:cs="宋体"/>
          <w:sz w:val="36"/>
          <w:szCs w:val="36"/>
        </w:rPr>
        <w:fldChar w:fldCharType="separate"/>
      </w:r>
      <w:r>
        <w:rPr>
          <w:rFonts w:hint="eastAsia" w:ascii="宋体" w:hAnsi="宋体" w:eastAsia="宋体" w:cs="宋体"/>
          <w:sz w:val="36"/>
          <w:szCs w:val="36"/>
        </w:rPr>
        <w:t>34</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681695A9">
      <w:pPr>
        <w:pStyle w:val="8"/>
        <w:tabs>
          <w:tab w:val="right" w:leader="dot" w:pos="9916"/>
        </w:tabs>
        <w:spacing w:line="48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_Toc31482 </w:instrText>
      </w:r>
      <w:r>
        <w:rPr>
          <w:rFonts w:hint="eastAsia" w:ascii="宋体" w:hAnsi="宋体" w:eastAsia="宋体" w:cs="宋体"/>
          <w:sz w:val="36"/>
          <w:szCs w:val="36"/>
        </w:rPr>
        <w:fldChar w:fldCharType="separate"/>
      </w:r>
      <w:r>
        <w:rPr>
          <w:rFonts w:hint="eastAsia" w:ascii="宋体" w:hAnsi="宋体" w:eastAsia="宋体" w:cs="宋体"/>
          <w:spacing w:val="-3"/>
          <w:sz w:val="36"/>
          <w:szCs w:val="36"/>
          <w14:textOutline w14:w="6531" w14:cap="flat" w14:cmpd="sng">
            <w14:solidFill>
              <w14:srgbClr w14:val="000000"/>
            </w14:solidFill>
            <w14:prstDash w14:val="solid"/>
            <w14:miter w14:val="0"/>
          </w14:textOutline>
        </w:rPr>
        <w:t>第六章</w:t>
      </w:r>
      <w:r>
        <w:rPr>
          <w:rFonts w:hint="eastAsia" w:ascii="宋体" w:hAnsi="宋体" w:eastAsia="宋体" w:cs="宋体"/>
          <w:spacing w:val="3"/>
          <w:sz w:val="36"/>
          <w:szCs w:val="36"/>
        </w:rPr>
        <w:t xml:space="preserve">  </w:t>
      </w:r>
      <w:r>
        <w:rPr>
          <w:rFonts w:hint="eastAsia" w:ascii="宋体" w:hAnsi="宋体" w:eastAsia="宋体" w:cs="宋体"/>
          <w:spacing w:val="-3"/>
          <w:sz w:val="36"/>
          <w:szCs w:val="36"/>
          <w14:textOutline w14:w="6531" w14:cap="flat" w14:cmpd="sng">
            <w14:solidFill>
              <w14:srgbClr w14:val="000000"/>
            </w14:solidFill>
            <w14:prstDash w14:val="solid"/>
            <w14:miter w14:val="0"/>
          </w14:textOutline>
        </w:rPr>
        <w:t>《响应文件》格式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_Toc31482 \h </w:instrText>
      </w:r>
      <w:r>
        <w:rPr>
          <w:rFonts w:hint="eastAsia" w:ascii="宋体" w:hAnsi="宋体" w:eastAsia="宋体" w:cs="宋体"/>
          <w:sz w:val="36"/>
          <w:szCs w:val="36"/>
        </w:rPr>
        <w:fldChar w:fldCharType="separate"/>
      </w:r>
      <w:r>
        <w:rPr>
          <w:rFonts w:hint="eastAsia" w:ascii="宋体" w:hAnsi="宋体" w:eastAsia="宋体" w:cs="宋体"/>
          <w:sz w:val="36"/>
          <w:szCs w:val="36"/>
        </w:rPr>
        <w:t>53</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089748F3">
      <w:pPr>
        <w:keepNext w:val="0"/>
        <w:keepLines w:val="0"/>
        <w:pageBreakBefore w:val="0"/>
        <w:widowControl/>
        <w:kinsoku/>
        <w:wordWrap/>
        <w:overflowPunct/>
        <w:topLinePunct w:val="0"/>
        <w:autoSpaceDE w:val="0"/>
        <w:autoSpaceDN w:val="0"/>
        <w:bidi w:val="0"/>
        <w:adjustRightInd w:val="0"/>
        <w:snapToGrid w:val="0"/>
        <w:spacing w:line="480" w:lineRule="auto"/>
        <w:outlineLvl w:val="9"/>
        <w:rPr>
          <w:rFonts w:hint="eastAsia" w:ascii="宋体" w:hAnsi="宋体" w:eastAsia="宋体" w:cs="宋体"/>
          <w:sz w:val="21"/>
        </w:rPr>
      </w:pPr>
      <w:r>
        <w:rPr>
          <w:rFonts w:hint="eastAsia" w:ascii="宋体" w:hAnsi="宋体" w:eastAsia="宋体" w:cs="宋体"/>
          <w:sz w:val="36"/>
          <w:szCs w:val="36"/>
        </w:rPr>
        <w:fldChar w:fldCharType="end"/>
      </w:r>
    </w:p>
    <w:p w14:paraId="73F0B3FF">
      <w:pPr>
        <w:keepNext w:val="0"/>
        <w:keepLines w:val="0"/>
        <w:pageBreakBefore w:val="0"/>
        <w:widowControl/>
        <w:kinsoku/>
        <w:wordWrap/>
        <w:overflowPunct/>
        <w:topLinePunct w:val="0"/>
        <w:autoSpaceDE w:val="0"/>
        <w:autoSpaceDN w:val="0"/>
        <w:bidi w:val="0"/>
        <w:adjustRightInd w:val="0"/>
        <w:snapToGrid w:val="0"/>
        <w:spacing w:before="147" w:after="0" w:afterLines="50" w:line="535" w:lineRule="exact"/>
        <w:ind w:firstLine="2954"/>
        <w:textAlignment w:val="baseline"/>
        <w:outlineLvl w:val="0"/>
        <w:rPr>
          <w:rFonts w:hint="eastAsia" w:ascii="宋体" w:hAnsi="宋体" w:eastAsia="宋体" w:cs="宋体"/>
          <w:spacing w:val="-7"/>
          <w:position w:val="11"/>
          <w:sz w:val="36"/>
          <w:szCs w:val="36"/>
          <w14:textOutline w14:w="6531" w14:cap="flat" w14:cmpd="sng">
            <w14:solidFill>
              <w14:srgbClr w14:val="000000"/>
            </w14:solidFill>
            <w14:prstDash w14:val="solid"/>
            <w14:miter w14:val="0"/>
          </w14:textOutline>
        </w:rPr>
      </w:pPr>
      <w:bookmarkStart w:id="0" w:name="_bookmark1"/>
      <w:bookmarkEnd w:id="0"/>
    </w:p>
    <w:p w14:paraId="4D28D6B1">
      <w:pPr>
        <w:pStyle w:val="13"/>
        <w:rPr>
          <w:rFonts w:hint="eastAsia" w:ascii="宋体" w:hAnsi="宋体" w:eastAsia="宋体" w:cs="宋体"/>
          <w:spacing w:val="-7"/>
          <w:position w:val="11"/>
          <w:sz w:val="36"/>
          <w:szCs w:val="36"/>
          <w14:textOutline w14:w="6531" w14:cap="flat" w14:cmpd="sng">
            <w14:solidFill>
              <w14:srgbClr w14:val="000000"/>
            </w14:solidFill>
            <w14:prstDash w14:val="solid"/>
            <w14:miter w14:val="0"/>
          </w14:textOutline>
        </w:rPr>
      </w:pPr>
    </w:p>
    <w:p w14:paraId="4B7966D7">
      <w:pPr>
        <w:pStyle w:val="13"/>
        <w:rPr>
          <w:rFonts w:hint="eastAsia" w:ascii="宋体" w:hAnsi="宋体" w:eastAsia="宋体" w:cs="宋体"/>
          <w:spacing w:val="-7"/>
          <w:position w:val="11"/>
          <w:sz w:val="36"/>
          <w:szCs w:val="36"/>
          <w14:textOutline w14:w="6531" w14:cap="flat" w14:cmpd="sng">
            <w14:solidFill>
              <w14:srgbClr w14:val="000000"/>
            </w14:solidFill>
            <w14:prstDash w14:val="solid"/>
            <w14:miter w14:val="0"/>
          </w14:textOutline>
        </w:rPr>
      </w:pPr>
    </w:p>
    <w:p w14:paraId="26EC433A">
      <w:pPr>
        <w:rPr>
          <w:rFonts w:hint="eastAsia" w:ascii="宋体" w:hAnsi="宋体" w:eastAsia="宋体" w:cs="宋体"/>
          <w:spacing w:val="-7"/>
          <w:position w:val="11"/>
          <w:sz w:val="36"/>
          <w:szCs w:val="36"/>
          <w14:textOutline w14:w="6531" w14:cap="flat" w14:cmpd="sng">
            <w14:solidFill>
              <w14:srgbClr w14:val="000000"/>
            </w14:solidFill>
            <w14:prstDash w14:val="solid"/>
            <w14:miter w14:val="0"/>
          </w14:textOutline>
        </w:rPr>
      </w:pPr>
      <w:r>
        <w:rPr>
          <w:rFonts w:hint="eastAsia" w:ascii="宋体" w:hAnsi="宋体" w:eastAsia="宋体" w:cs="宋体"/>
          <w:spacing w:val="-7"/>
          <w:position w:val="11"/>
          <w:sz w:val="36"/>
          <w:szCs w:val="36"/>
          <w14:textOutline w14:w="6531" w14:cap="flat" w14:cmpd="sng">
            <w14:solidFill>
              <w14:srgbClr w14:val="000000"/>
            </w14:solidFill>
            <w14:prstDash w14:val="solid"/>
            <w14:miter w14:val="0"/>
          </w14:textOutline>
        </w:rPr>
        <w:br w:type="page"/>
      </w:r>
    </w:p>
    <w:p w14:paraId="73190485">
      <w:pPr>
        <w:keepNext w:val="0"/>
        <w:keepLines w:val="0"/>
        <w:pageBreakBefore w:val="0"/>
        <w:widowControl/>
        <w:numPr>
          <w:ilvl w:val="0"/>
          <w:numId w:val="1"/>
        </w:numPr>
        <w:kinsoku/>
        <w:wordWrap/>
        <w:overflowPunct/>
        <w:topLinePunct w:val="0"/>
        <w:autoSpaceDE w:val="0"/>
        <w:autoSpaceDN w:val="0"/>
        <w:bidi w:val="0"/>
        <w:adjustRightInd w:val="0"/>
        <w:snapToGrid w:val="0"/>
        <w:spacing w:before="147" w:after="0" w:afterLines="50" w:line="535" w:lineRule="exact"/>
        <w:ind w:firstLine="2954"/>
        <w:textAlignment w:val="baseline"/>
        <w:outlineLvl w:val="0"/>
        <w:rPr>
          <w:rFonts w:hint="eastAsia" w:ascii="宋体" w:hAnsi="宋体" w:eastAsia="宋体" w:cs="宋体"/>
          <w:spacing w:val="-7"/>
          <w:position w:val="11"/>
          <w:sz w:val="36"/>
          <w:szCs w:val="36"/>
          <w14:textOutline w14:w="6531" w14:cap="flat" w14:cmpd="sng">
            <w14:solidFill>
              <w14:srgbClr w14:val="000000"/>
            </w14:solidFill>
            <w14:prstDash w14:val="solid"/>
            <w14:miter w14:val="0"/>
          </w14:textOutline>
        </w:rPr>
      </w:pPr>
      <w:bookmarkStart w:id="1" w:name="_Toc32148"/>
      <w:r>
        <w:rPr>
          <w:rFonts w:hint="eastAsia" w:ascii="宋体" w:hAnsi="宋体" w:eastAsia="宋体" w:cs="宋体"/>
          <w:spacing w:val="21"/>
          <w:position w:val="11"/>
          <w:sz w:val="36"/>
          <w:szCs w:val="36"/>
        </w:rPr>
        <w:t xml:space="preserve"> </w:t>
      </w:r>
      <w:r>
        <w:rPr>
          <w:rFonts w:hint="eastAsia" w:ascii="宋体" w:hAnsi="宋体" w:eastAsia="宋体" w:cs="宋体"/>
          <w:spacing w:val="-7"/>
          <w:position w:val="11"/>
          <w:sz w:val="36"/>
          <w:szCs w:val="36"/>
          <w14:textOutline w14:w="6531" w14:cap="flat" w14:cmpd="sng">
            <w14:solidFill>
              <w14:srgbClr w14:val="000000"/>
            </w14:solidFill>
            <w14:prstDash w14:val="solid"/>
            <w14:miter w14:val="0"/>
          </w14:textOutline>
        </w:rPr>
        <w:t>竞争性磋商公告</w:t>
      </w:r>
      <w:bookmarkEnd w:id="1"/>
    </w:p>
    <w:p w14:paraId="44F4C6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项目概况</w:t>
      </w:r>
    </w:p>
    <w:p w14:paraId="1E38B4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安阳市文峰区宝莲寺镇人民政府文峰区 2025 年宝莲寺镇郭村集村道路硬化项目招标项目的潜在投标人应在安阳市限额以下公共资源交易平台（https://anyang.etrading.cn/）。获取招标文件，并于2025年10月24日09时00分（北京时间）前递交响应文件。</w:t>
      </w:r>
    </w:p>
    <w:p w14:paraId="56D49C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一、项目基本情况</w:t>
      </w:r>
    </w:p>
    <w:p w14:paraId="7ADF8A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1、项目编号：安文磋商采购-2025-27</w:t>
      </w:r>
    </w:p>
    <w:p w14:paraId="5D03B4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2、项目名称：安阳市文峰区宝莲寺镇人民政府文峰区 2025 年宝莲寺镇郭村集村道路硬化项目</w:t>
      </w:r>
    </w:p>
    <w:p w14:paraId="33577A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3、采购方式：竞争性磋商</w:t>
      </w:r>
    </w:p>
    <w:p w14:paraId="3A2942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4、预算金额：253,698.06元</w:t>
      </w:r>
    </w:p>
    <w:p w14:paraId="78FECF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最高限价：253698.06元</w:t>
      </w:r>
    </w:p>
    <w:tbl>
      <w:tblPr>
        <w:tblStyle w:val="14"/>
        <w:tblpPr w:leftFromText="180" w:rightFromText="180" w:vertAnchor="text" w:horzAnchor="page" w:tblpXSpec="center" w:tblpY="59"/>
        <w:tblOverlap w:val="never"/>
        <w:tblW w:w="102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fixed"/>
        <w:tblCellMar>
          <w:top w:w="0" w:type="dxa"/>
          <w:left w:w="0" w:type="dxa"/>
          <w:bottom w:w="0" w:type="dxa"/>
          <w:right w:w="0" w:type="dxa"/>
        </w:tblCellMar>
      </w:tblPr>
      <w:tblGrid>
        <w:gridCol w:w="692"/>
        <w:gridCol w:w="1292"/>
        <w:gridCol w:w="3750"/>
        <w:gridCol w:w="2441"/>
        <w:gridCol w:w="2100"/>
      </w:tblGrid>
      <w:tr w14:paraId="2A230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rPr>
          <w:tblCellSpacing w:w="0" w:type="dxa"/>
          <w:jc w:val="center"/>
        </w:trPr>
        <w:tc>
          <w:tcPr>
            <w:tcW w:w="692" w:type="dxa"/>
            <w:shd w:val="clear" w:color="auto" w:fill="F9F9F9"/>
            <w:vAlign w:val="center"/>
          </w:tcPr>
          <w:p w14:paraId="585B091D">
            <w:pPr>
              <w:keepNext w:val="0"/>
              <w:keepLines w:val="0"/>
              <w:widowControl/>
              <w:suppressLineNumbers w:val="0"/>
              <w:spacing w:before="120" w:beforeAutospacing="0" w:after="120" w:afterAutospacing="0" w:line="480" w:lineRule="atLeast"/>
              <w:jc w:val="center"/>
              <w:rPr>
                <w:rFonts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snapToGrid w:val="0"/>
                <w:color w:val="000000"/>
                <w:spacing w:val="0"/>
                <w:kern w:val="0"/>
                <w:sz w:val="24"/>
                <w:szCs w:val="24"/>
                <w:lang w:val="en-US" w:eastAsia="zh-CN" w:bidi="ar"/>
              </w:rPr>
              <w:t>序号</w:t>
            </w:r>
          </w:p>
        </w:tc>
        <w:tc>
          <w:tcPr>
            <w:tcW w:w="1292" w:type="dxa"/>
            <w:shd w:val="clear" w:color="auto" w:fill="F9F9F9"/>
            <w:vAlign w:val="center"/>
          </w:tcPr>
          <w:p w14:paraId="21B313C9">
            <w:pPr>
              <w:keepNext w:val="0"/>
              <w:keepLines w:val="0"/>
              <w:widowControl/>
              <w:suppressLineNumbers w:val="0"/>
              <w:spacing w:before="120" w:beforeAutospacing="0" w:after="120" w:afterAutospacing="0" w:line="480" w:lineRule="atLeast"/>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snapToGrid w:val="0"/>
                <w:color w:val="000000"/>
                <w:spacing w:val="0"/>
                <w:kern w:val="0"/>
                <w:sz w:val="24"/>
                <w:szCs w:val="24"/>
                <w:lang w:val="en-US" w:eastAsia="zh-CN" w:bidi="ar"/>
              </w:rPr>
              <w:t>包号</w:t>
            </w:r>
          </w:p>
        </w:tc>
        <w:tc>
          <w:tcPr>
            <w:tcW w:w="3750" w:type="dxa"/>
            <w:shd w:val="clear" w:color="auto" w:fill="F9F9F9"/>
            <w:vAlign w:val="center"/>
          </w:tcPr>
          <w:p w14:paraId="1F460037">
            <w:pPr>
              <w:keepNext w:val="0"/>
              <w:keepLines w:val="0"/>
              <w:widowControl/>
              <w:suppressLineNumbers w:val="0"/>
              <w:spacing w:before="120" w:beforeAutospacing="0" w:after="120" w:afterAutospacing="0" w:line="480" w:lineRule="atLeast"/>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snapToGrid w:val="0"/>
                <w:color w:val="000000"/>
                <w:spacing w:val="0"/>
                <w:kern w:val="0"/>
                <w:sz w:val="24"/>
                <w:szCs w:val="24"/>
                <w:lang w:val="en-US" w:eastAsia="zh-CN" w:bidi="ar"/>
              </w:rPr>
              <w:t>包名称</w:t>
            </w:r>
          </w:p>
        </w:tc>
        <w:tc>
          <w:tcPr>
            <w:tcW w:w="2441" w:type="dxa"/>
            <w:shd w:val="clear" w:color="auto" w:fill="F9F9F9"/>
            <w:vAlign w:val="center"/>
          </w:tcPr>
          <w:p w14:paraId="19E16DF7">
            <w:pPr>
              <w:keepNext w:val="0"/>
              <w:keepLines w:val="0"/>
              <w:widowControl/>
              <w:suppressLineNumbers w:val="0"/>
              <w:spacing w:before="120" w:beforeAutospacing="0" w:after="120" w:afterAutospacing="0" w:line="480" w:lineRule="atLeast"/>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snapToGrid w:val="0"/>
                <w:color w:val="000000"/>
                <w:spacing w:val="0"/>
                <w:kern w:val="0"/>
                <w:sz w:val="24"/>
                <w:szCs w:val="24"/>
                <w:lang w:val="en-US" w:eastAsia="zh-CN" w:bidi="ar"/>
              </w:rPr>
              <w:t>包预算（元）</w:t>
            </w:r>
          </w:p>
        </w:tc>
        <w:tc>
          <w:tcPr>
            <w:tcW w:w="2100" w:type="dxa"/>
            <w:shd w:val="clear" w:color="auto" w:fill="F9F9F9"/>
            <w:vAlign w:val="center"/>
          </w:tcPr>
          <w:p w14:paraId="31A36570">
            <w:pPr>
              <w:keepNext w:val="0"/>
              <w:keepLines w:val="0"/>
              <w:widowControl/>
              <w:suppressLineNumbers w:val="0"/>
              <w:spacing w:before="120" w:beforeAutospacing="0" w:after="120" w:afterAutospacing="0" w:line="480" w:lineRule="atLeast"/>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snapToGrid w:val="0"/>
                <w:color w:val="000000"/>
                <w:spacing w:val="0"/>
                <w:kern w:val="0"/>
                <w:sz w:val="24"/>
                <w:szCs w:val="24"/>
                <w:lang w:val="en-US" w:eastAsia="zh-CN" w:bidi="ar"/>
              </w:rPr>
              <w:t>包最高限价（元）</w:t>
            </w:r>
          </w:p>
        </w:tc>
      </w:tr>
      <w:tr w14:paraId="6FAA43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11" w:hRule="atLeast"/>
          <w:tblCellSpacing w:w="0" w:type="dxa"/>
          <w:jc w:val="center"/>
        </w:trPr>
        <w:tc>
          <w:tcPr>
            <w:tcW w:w="692" w:type="dxa"/>
            <w:shd w:val="clear" w:color="auto" w:fill="F9F9F9"/>
            <w:vAlign w:val="center"/>
          </w:tcPr>
          <w:p w14:paraId="2E5678E9">
            <w:pPr>
              <w:keepNext w:val="0"/>
              <w:keepLines w:val="0"/>
              <w:widowControl/>
              <w:suppressLineNumbers w:val="0"/>
              <w:spacing w:before="120" w:beforeAutospacing="0" w:after="120" w:afterAutospacing="0" w:line="480" w:lineRule="atLeast"/>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snapToGrid w:val="0"/>
                <w:color w:val="000000"/>
                <w:spacing w:val="0"/>
                <w:kern w:val="0"/>
                <w:sz w:val="24"/>
                <w:szCs w:val="24"/>
                <w:lang w:val="en-US" w:eastAsia="zh-CN" w:bidi="ar"/>
              </w:rPr>
              <w:t>1</w:t>
            </w:r>
          </w:p>
        </w:tc>
        <w:tc>
          <w:tcPr>
            <w:tcW w:w="1292" w:type="dxa"/>
            <w:shd w:val="clear" w:color="auto" w:fill="F9F9F9"/>
            <w:vAlign w:val="center"/>
          </w:tcPr>
          <w:p w14:paraId="46C7CE0A">
            <w:pPr>
              <w:keepNext w:val="0"/>
              <w:keepLines w:val="0"/>
              <w:widowControl/>
              <w:suppressLineNumbers w:val="0"/>
              <w:spacing w:before="120" w:beforeAutospacing="0" w:after="120" w:afterAutospacing="0" w:line="480" w:lineRule="atLeast"/>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snapToGrid w:val="0"/>
                <w:color w:val="000000"/>
                <w:spacing w:val="0"/>
                <w:kern w:val="0"/>
                <w:sz w:val="24"/>
                <w:szCs w:val="24"/>
                <w:lang w:val="en-US" w:eastAsia="zh-CN" w:bidi="ar"/>
              </w:rPr>
              <w:t>安文磋商采购-2025-27-1</w:t>
            </w:r>
          </w:p>
        </w:tc>
        <w:tc>
          <w:tcPr>
            <w:tcW w:w="3750" w:type="dxa"/>
            <w:shd w:val="clear" w:color="auto" w:fill="F9F9F9"/>
            <w:vAlign w:val="center"/>
          </w:tcPr>
          <w:p w14:paraId="2CD0E45D">
            <w:pPr>
              <w:keepNext w:val="0"/>
              <w:keepLines w:val="0"/>
              <w:widowControl/>
              <w:suppressLineNumbers w:val="0"/>
              <w:spacing w:before="120" w:beforeAutospacing="0" w:after="120" w:afterAutospacing="0" w:line="480" w:lineRule="atLeast"/>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snapToGrid w:val="0"/>
                <w:color w:val="000000"/>
                <w:spacing w:val="0"/>
                <w:kern w:val="0"/>
                <w:sz w:val="24"/>
                <w:szCs w:val="24"/>
                <w:lang w:val="en-US" w:eastAsia="zh-CN" w:bidi="ar"/>
              </w:rPr>
              <w:t>安阳市文峰区宝莲寺镇人民政府文峰区 2025 年宝莲寺镇郭村集村道路硬化项目</w:t>
            </w:r>
          </w:p>
        </w:tc>
        <w:tc>
          <w:tcPr>
            <w:tcW w:w="2441" w:type="dxa"/>
            <w:shd w:val="clear" w:color="auto" w:fill="F9F9F9"/>
            <w:vAlign w:val="center"/>
          </w:tcPr>
          <w:p w14:paraId="65B5F90F">
            <w:pPr>
              <w:keepNext w:val="0"/>
              <w:keepLines w:val="0"/>
              <w:widowControl/>
              <w:suppressLineNumbers w:val="0"/>
              <w:spacing w:before="120" w:beforeAutospacing="0" w:after="120" w:afterAutospacing="0" w:line="480" w:lineRule="atLeast"/>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snapToGrid w:val="0"/>
                <w:color w:val="000000"/>
                <w:spacing w:val="0"/>
                <w:kern w:val="0"/>
                <w:sz w:val="24"/>
                <w:szCs w:val="24"/>
                <w:lang w:val="en-US" w:eastAsia="zh-CN" w:bidi="ar"/>
              </w:rPr>
              <w:t>253698.06</w:t>
            </w:r>
          </w:p>
        </w:tc>
        <w:tc>
          <w:tcPr>
            <w:tcW w:w="2100" w:type="dxa"/>
            <w:shd w:val="clear" w:color="auto" w:fill="F9F9F9"/>
            <w:vAlign w:val="center"/>
          </w:tcPr>
          <w:p w14:paraId="5ABCDEE3">
            <w:pPr>
              <w:keepNext w:val="0"/>
              <w:keepLines w:val="0"/>
              <w:widowControl/>
              <w:suppressLineNumbers w:val="0"/>
              <w:spacing w:before="120" w:beforeAutospacing="0" w:after="120" w:afterAutospacing="0" w:line="480" w:lineRule="atLeast"/>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snapToGrid w:val="0"/>
                <w:color w:val="000000"/>
                <w:spacing w:val="0"/>
                <w:kern w:val="0"/>
                <w:sz w:val="24"/>
                <w:szCs w:val="24"/>
                <w:lang w:val="en-US" w:eastAsia="zh-CN" w:bidi="ar"/>
              </w:rPr>
              <w:t>253698.06</w:t>
            </w:r>
          </w:p>
        </w:tc>
      </w:tr>
    </w:tbl>
    <w:p w14:paraId="4CCA63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702C70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14:paraId="440DEF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5.1采购内容：主要建设内容：铺设20cm厚C25水泥混凝土路面，具体内容详见图纸及工程量清单；</w:t>
      </w:r>
    </w:p>
    <w:p w14:paraId="42A0CE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5.2建设地点：安阳市文峰区宝莲寺镇郭村集村村内</w:t>
      </w:r>
    </w:p>
    <w:p w14:paraId="6CF1C9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5.3工程质量：合格；</w:t>
      </w:r>
    </w:p>
    <w:p w14:paraId="6DCFFE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5.4工期： 30 日历天</w:t>
      </w:r>
    </w:p>
    <w:p w14:paraId="35CF57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5.5是否面向中小企业：是</w:t>
      </w:r>
    </w:p>
    <w:p w14:paraId="42B61E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6、合同履行期限：同工期</w:t>
      </w:r>
    </w:p>
    <w:p w14:paraId="73814F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4066AE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8、是否接受进口产品：否</w:t>
      </w:r>
    </w:p>
    <w:p w14:paraId="0E0F5C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二、申请人资格要求：</w:t>
      </w:r>
    </w:p>
    <w:p w14:paraId="6427B3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B7442A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2、落实政府采购政策满足的资格要求：</w:t>
      </w:r>
    </w:p>
    <w:p w14:paraId="4929B8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本项目专门面向中小企业采购，■提供《中小企业声明函》。</w:t>
      </w:r>
    </w:p>
    <w:p w14:paraId="220C2A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7540E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3.1满足《中华人民共和国政府采购法》第二十二条第一款规定的供应商基础性资格要求，供应商自行承诺并承担后果，承诺书不实的，按《政府采购法》有关提供虚假材料的有关规定给予处罚。</w:t>
      </w:r>
    </w:p>
    <w:p w14:paraId="1B32CD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投标人须具备市政公用工程施工总承包三级及以上资质，具备有效的安全生产许可证。■提供资质证书及安全生产许可证；■项目拟派项目经理须在本单位注册，提供在本单位缴纳社保证明，具备市政工程专业二级及以上建造师（不含临时二级），具备有效的安全生产考核合格证书，且未担任其他在施建设工程项目的项目经理，投标人自行承诺。</w:t>
      </w:r>
    </w:p>
    <w:p w14:paraId="41141D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3.3对供应商的限制性规定</w:t>
      </w:r>
    </w:p>
    <w:p w14:paraId="029E60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应当无不良信用记录。（均未列入“信用中国”〈www.creditchina.gov.cn〉网站的“失信被执行人”和“重大税收违法失信主体”及“中国政府采购网”〈www.ccgp.gov.cn〉网站的“政府采购严重违法失信行为记录名单”）</w:t>
      </w:r>
    </w:p>
    <w:p w14:paraId="3E90EA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w:t>
      </w:r>
    </w:p>
    <w:p w14:paraId="4B5707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2596BA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52CEA4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注：（1）资格证明材料（文件）应附于响应文件中并经供应商电子签章。供应商对资格证明文件真实性有效合规承担责任，提供虚假材料的为无效投标并将进一步追究其责任。</w:t>
      </w:r>
    </w:p>
    <w:p w14:paraId="25A66C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（2）本项目采取资格后审，由磋商小组进行文件审查，未按要求逐一提供、或资格审查不合格的为无效投标，供应商应自负其风险费用。</w:t>
      </w:r>
    </w:p>
    <w:p w14:paraId="585578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三、获取采购文件</w:t>
      </w:r>
    </w:p>
    <w:p w14:paraId="3E9246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1.时间：2025年10月14日 至 2025年10月20日，每天上午00:00至12:00，下午12:00至23:59（北京时间，法定节假日除外。）</w:t>
      </w:r>
    </w:p>
    <w:p w14:paraId="30C316B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2.地点：安阳市限额以下公共资源交易平台（https://anyang.etrading.cn/）。</w:t>
      </w:r>
    </w:p>
    <w:p w14:paraId="1939F6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方式：本次采购文件在网上获取，供应商登陆安阳市限额以下公共资源交易平台站，凭企业数字证书点击登录“政府采购”系统，获取采购文件及其它资料（具体办理流程请查询安阳市限额以下公共资源交易平台站-服务指南-操作手册-《安阳市限额以下公共资源交易系统投标人（供应商）操作手册》）。</w:t>
      </w:r>
    </w:p>
    <w:p w14:paraId="76D98C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4.售价：0元</w:t>
      </w:r>
    </w:p>
    <w:p w14:paraId="427517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四、响应文件提交</w:t>
      </w:r>
    </w:p>
    <w:p w14:paraId="679E6D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1.截止时间：2025年10月24日09时00分（北京时间）</w:t>
      </w:r>
    </w:p>
    <w:p w14:paraId="23F0CF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2.地点：供应商应在响应文件提交截止时间前到安阳市限额以下公共资源交易系统平台，凭企业数字证书点击登录“政府采购”系统，上传加密的电子响应文件。</w:t>
      </w:r>
    </w:p>
    <w:p w14:paraId="498E22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五、响应文件开启</w:t>
      </w:r>
    </w:p>
    <w:p w14:paraId="3116D5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1.时间：2025年10月24日09时00分（北京时间）</w:t>
      </w:r>
    </w:p>
    <w:p w14:paraId="0DE4F4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安阳市市民之家四楼开标大厅。本项目采用远程不见面交易的模式，开标当日，供应商无需到开标现场参加开标会议。供应商应当在投标截止时间前，进入到安阳市限额以下公共资源交易平台网站（https://anyang.etrading.cn/），以投标人的身份进行登录，在“我的项目”中找到对应项目，点击项目流程，点击开标签到解密进入不见面开标大厅。因供应商原因未能解密、解密失败或解密超时的将被拒绝。</w:t>
      </w:r>
    </w:p>
    <w:p w14:paraId="45FFBF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六、发布公告的媒介及招标公告期限</w:t>
      </w:r>
    </w:p>
    <w:p w14:paraId="2259BC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本次招标公告在《河南省政府采购网》、《安阳市政府采购网》、《安阳市限额以下公共资源交易平台》等网站上发布， 招标公告期限为三个工作日 。</w:t>
      </w:r>
    </w:p>
    <w:p w14:paraId="636CCC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七、其他补充事宜</w:t>
      </w:r>
    </w:p>
    <w:p w14:paraId="22915E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14:paraId="3667DE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2.政府采购合同融资</w:t>
      </w:r>
    </w:p>
    <w:p w14:paraId="1442C4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1A7A66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八、凡对本次招标提出询问，请按照以下方式联系</w:t>
      </w:r>
    </w:p>
    <w:p w14:paraId="57E7AB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采购人信息</w:t>
      </w:r>
    </w:p>
    <w:p w14:paraId="4BB87C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名称：安阳市文峰区宝莲寺镇人民政府</w:t>
      </w:r>
    </w:p>
    <w:p w14:paraId="6BCD07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地址：安阳市文峰区宝莲寺镇郭村集村内</w:t>
      </w:r>
    </w:p>
    <w:p w14:paraId="4D6B44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联系人：赵志远</w:t>
      </w:r>
    </w:p>
    <w:p w14:paraId="0CDAF1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联系方式：13837260322</w:t>
      </w:r>
    </w:p>
    <w:p w14:paraId="3EB8A7C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2.采购代理机构信息（如有）</w:t>
      </w:r>
    </w:p>
    <w:p w14:paraId="29B31C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名称：之京城市管理集团有限责任公司</w:t>
      </w:r>
    </w:p>
    <w:p w14:paraId="463043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地址：安阳市文峰区解放大道108号院（原安阳市社保中心）5楼</w:t>
      </w:r>
    </w:p>
    <w:p w14:paraId="7B848B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联系人：张姣姣</w:t>
      </w:r>
    </w:p>
    <w:p w14:paraId="092D53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联系方式：17630551988</w:t>
      </w:r>
    </w:p>
    <w:p w14:paraId="3D9F1B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14:paraId="27ABF5B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项目联系人：张姣姣</w:t>
      </w:r>
    </w:p>
    <w:p w14:paraId="573181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联系方式：17630551988</w:t>
      </w:r>
    </w:p>
    <w:p w14:paraId="674D579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9" w:type="default"/>
          <w:pgSz w:w="11906" w:h="16838"/>
          <w:pgMar w:top="1431" w:right="901" w:bottom="1427" w:left="1093" w:header="0" w:footer="1303" w:gutter="0"/>
          <w:pgNumType w:fmt="decimal" w:start="1"/>
          <w:cols w:space="720" w:num="1"/>
        </w:sectPr>
      </w:pPr>
    </w:p>
    <w:p w14:paraId="0C0E89AC">
      <w:pPr>
        <w:keepNext w:val="0"/>
        <w:keepLines w:val="0"/>
        <w:pageBreakBefore w:val="0"/>
        <w:widowControl/>
        <w:kinsoku/>
        <w:wordWrap/>
        <w:overflowPunct/>
        <w:topLinePunct w:val="0"/>
        <w:autoSpaceDE w:val="0"/>
        <w:autoSpaceDN w:val="0"/>
        <w:bidi w:val="0"/>
        <w:adjustRightInd w:val="0"/>
        <w:snapToGrid w:val="0"/>
        <w:spacing w:before="73" w:after="0" w:afterLines="50" w:line="190" w:lineRule="auto"/>
        <w:ind w:firstLine="3220"/>
        <w:textAlignment w:val="baseline"/>
        <w:outlineLvl w:val="0"/>
        <w:rPr>
          <w:rFonts w:hint="eastAsia" w:ascii="宋体" w:hAnsi="宋体" w:eastAsia="宋体" w:cs="宋体"/>
          <w:sz w:val="36"/>
          <w:szCs w:val="36"/>
        </w:rPr>
      </w:pPr>
      <w:bookmarkStart w:id="2" w:name="_Toc20235"/>
      <w:r>
        <w:rPr>
          <w:rFonts w:hint="eastAsia" w:ascii="宋体" w:hAnsi="宋体" w:eastAsia="宋体" w:cs="宋体"/>
          <w:b w:val="0"/>
          <w:bCs w:val="0"/>
          <w:spacing w:val="-7"/>
          <w:sz w:val="36"/>
          <w:szCs w:val="36"/>
          <w14:textOutline w14:w="6531" w14:cap="flat" w14:cmpd="sng">
            <w14:solidFill>
              <w14:srgbClr w14:val="000000"/>
            </w14:solidFill>
            <w14:prstDash w14:val="solid"/>
            <w14:miter w14:val="0"/>
          </w14:textOutline>
        </w:rPr>
        <w:t>第二章</w:t>
      </w:r>
      <w:r>
        <w:rPr>
          <w:rFonts w:hint="eastAsia" w:ascii="宋体" w:hAnsi="宋体" w:eastAsia="宋体" w:cs="宋体"/>
          <w:b w:val="0"/>
          <w:bCs w:val="0"/>
          <w:spacing w:val="17"/>
          <w:sz w:val="36"/>
          <w:szCs w:val="36"/>
        </w:rPr>
        <w:t xml:space="preserve">  </w:t>
      </w:r>
      <w:r>
        <w:rPr>
          <w:rFonts w:hint="eastAsia" w:ascii="宋体" w:hAnsi="宋体" w:eastAsia="宋体" w:cs="宋体"/>
          <w:b w:val="0"/>
          <w:bCs w:val="0"/>
          <w:spacing w:val="-7"/>
          <w:sz w:val="36"/>
          <w:szCs w:val="36"/>
          <w14:textOutline w14:w="6531" w14:cap="flat" w14:cmpd="sng">
            <w14:solidFill>
              <w14:srgbClr w14:val="000000"/>
            </w14:solidFill>
            <w14:prstDash w14:val="solid"/>
            <w14:miter w14:val="0"/>
          </w14:textOutline>
        </w:rPr>
        <w:t>采购项目要求</w:t>
      </w:r>
      <w:bookmarkEnd w:id="2"/>
    </w:p>
    <w:p w14:paraId="6412A44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 采购项目、标段划分、响应报价</w:t>
      </w:r>
    </w:p>
    <w:p w14:paraId="5A54054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1.1 采购项目名称：</w:t>
      </w:r>
      <w:r>
        <w:rPr>
          <w:rFonts w:hint="eastAsia" w:ascii="宋体" w:hAnsi="宋体" w:eastAsia="宋体" w:cs="宋体"/>
          <w:color w:val="auto"/>
          <w:sz w:val="24"/>
          <w:szCs w:val="24"/>
          <w:lang w:eastAsia="zh-CN"/>
        </w:rPr>
        <w:t>安阳市文峰区宝莲寺镇人民政府文峰区2025年宝莲寺镇郭村集村道路硬化项目</w:t>
      </w:r>
    </w:p>
    <w:p w14:paraId="097089C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1.2 标段划分及工期施工地点：</w:t>
      </w:r>
      <w:r>
        <w:rPr>
          <w:rFonts w:hint="eastAsia" w:ascii="宋体" w:hAnsi="宋体" w:eastAsia="宋体" w:cs="宋体"/>
          <w:sz w:val="24"/>
          <w:szCs w:val="24"/>
        </w:rPr>
        <w:t>本次采购项目划分为1个标段。</w:t>
      </w:r>
    </w:p>
    <w:p w14:paraId="1AB90F66">
      <w:pPr>
        <w:keepNext w:val="0"/>
        <w:keepLines w:val="0"/>
        <w:pageBreakBefore w:val="0"/>
        <w:widowControl/>
        <w:kinsoku/>
        <w:wordWrap/>
        <w:overflowPunct/>
        <w:topLinePunct w:val="0"/>
        <w:autoSpaceDE w:val="0"/>
        <w:autoSpaceDN w:val="0"/>
        <w:bidi w:val="0"/>
        <w:adjustRightInd w:val="0"/>
        <w:snapToGrid w:val="0"/>
        <w:spacing w:line="183" w:lineRule="exact"/>
        <w:outlineLvl w:val="9"/>
        <w:rPr>
          <w:rFonts w:hint="eastAsia" w:ascii="宋体" w:hAnsi="宋体" w:eastAsia="宋体" w:cs="宋体"/>
        </w:rPr>
      </w:pPr>
    </w:p>
    <w:tbl>
      <w:tblPr>
        <w:tblStyle w:val="30"/>
        <w:tblW w:w="97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0"/>
        <w:gridCol w:w="1615"/>
        <w:gridCol w:w="2331"/>
        <w:gridCol w:w="1650"/>
        <w:gridCol w:w="1751"/>
      </w:tblGrid>
      <w:tr w14:paraId="27C4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747" w:type="dxa"/>
            <w:gridSpan w:val="5"/>
            <w:vAlign w:val="center"/>
          </w:tcPr>
          <w:p w14:paraId="6ED23BF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标段一览表</w:t>
            </w:r>
          </w:p>
        </w:tc>
      </w:tr>
      <w:tr w14:paraId="5F502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400" w:type="dxa"/>
            <w:vAlign w:val="center"/>
          </w:tcPr>
          <w:p w14:paraId="0146041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1615" w:type="dxa"/>
            <w:vAlign w:val="center"/>
          </w:tcPr>
          <w:p w14:paraId="27602EA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标段名称</w:t>
            </w:r>
          </w:p>
        </w:tc>
        <w:tc>
          <w:tcPr>
            <w:tcW w:w="2331" w:type="dxa"/>
            <w:vAlign w:val="center"/>
          </w:tcPr>
          <w:p w14:paraId="0D57898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标段内容（范围）</w:t>
            </w:r>
          </w:p>
        </w:tc>
        <w:tc>
          <w:tcPr>
            <w:tcW w:w="1650" w:type="dxa"/>
            <w:shd w:val="clear" w:color="auto" w:fill="auto"/>
            <w:vAlign w:val="center"/>
          </w:tcPr>
          <w:p w14:paraId="69B808E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合同履行期限</w:t>
            </w:r>
          </w:p>
          <w:p w14:paraId="324DFFC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工期</w:t>
            </w:r>
            <w:r>
              <w:rPr>
                <w:rFonts w:hint="eastAsia" w:ascii="宋体" w:hAnsi="宋体" w:eastAsia="宋体" w:cs="宋体"/>
                <w:b w:val="0"/>
                <w:bCs w:val="0"/>
                <w:color w:val="auto"/>
                <w:sz w:val="24"/>
                <w:szCs w:val="24"/>
                <w:lang w:val="en-US" w:eastAsia="zh-CN"/>
              </w:rPr>
              <w:t>）</w:t>
            </w:r>
          </w:p>
        </w:tc>
        <w:tc>
          <w:tcPr>
            <w:tcW w:w="1751" w:type="dxa"/>
            <w:vAlign w:val="center"/>
          </w:tcPr>
          <w:p w14:paraId="70EE145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lang w:eastAsia="zh-CN"/>
              </w:rPr>
              <w:t>建设</w:t>
            </w:r>
            <w:r>
              <w:rPr>
                <w:rFonts w:hint="eastAsia" w:ascii="宋体" w:hAnsi="宋体" w:eastAsia="宋体" w:cs="宋体"/>
                <w:b/>
                <w:bCs/>
                <w:sz w:val="24"/>
                <w:szCs w:val="24"/>
              </w:rPr>
              <w:t>地点</w:t>
            </w:r>
          </w:p>
        </w:tc>
      </w:tr>
      <w:tr w14:paraId="234CA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2400" w:type="dxa"/>
            <w:vAlign w:val="center"/>
          </w:tcPr>
          <w:p w14:paraId="11B1D373">
            <w:pPr>
              <w:spacing w:line="360" w:lineRule="auto"/>
              <w:jc w:val="center"/>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安阳市文峰区宝莲寺镇人民政府文峰区2025年宝莲寺镇郭村集村道路硬化项目</w:t>
            </w:r>
          </w:p>
        </w:tc>
        <w:tc>
          <w:tcPr>
            <w:tcW w:w="1615" w:type="dxa"/>
            <w:vAlign w:val="center"/>
          </w:tcPr>
          <w:p w14:paraId="766A4B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同项目名称</w:t>
            </w:r>
          </w:p>
        </w:tc>
        <w:tc>
          <w:tcPr>
            <w:tcW w:w="2331" w:type="dxa"/>
            <w:shd w:val="clear" w:color="auto" w:fill="auto"/>
            <w:vAlign w:val="center"/>
          </w:tcPr>
          <w:p w14:paraId="4B632B8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见“第二章第 2 条：标段（包）内容（范围）及服务要求”</w:t>
            </w:r>
          </w:p>
        </w:tc>
        <w:tc>
          <w:tcPr>
            <w:tcW w:w="1650" w:type="dxa"/>
            <w:shd w:val="clear" w:color="auto" w:fill="auto"/>
            <w:vAlign w:val="center"/>
          </w:tcPr>
          <w:p w14:paraId="4DCD603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shd w:val="clear"/>
                <w:lang w:val="en-US" w:eastAsia="zh-CN"/>
              </w:rPr>
              <w:t>30日历天</w:t>
            </w:r>
          </w:p>
        </w:tc>
        <w:tc>
          <w:tcPr>
            <w:tcW w:w="1751" w:type="dxa"/>
            <w:shd w:val="clear" w:color="auto" w:fill="auto"/>
            <w:vAlign w:val="center"/>
          </w:tcPr>
          <w:p w14:paraId="4308FEC6">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详见磋商公告</w:t>
            </w:r>
          </w:p>
        </w:tc>
      </w:tr>
    </w:tbl>
    <w:p w14:paraId="7EF8158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1.3 响应报价（价格构成）</w:t>
      </w:r>
    </w:p>
    <w:p w14:paraId="4F5043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投标人的响应报价应为达到项目要求的总包价，包括人工费、交通费、材料费等、相关税款、专用工具价费等与采购项目相关的、必须的款项及费用（包括未列明而完成交验所必须的所有设备、材料、工具、费用）。二次报价时，投标人应注意投标总报价中应包含安全文明施工费、税金、暂估价等不可竞争费用。</w:t>
      </w:r>
    </w:p>
    <w:p w14:paraId="52D7E81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本次竞争性磋商共二次报价（含系统中开标一览表报价共二次价格磋商）。磋商小组未对《磋商文件》作优化变更增加的，磋商中的报价均不应超过前次报价，投标人擅自调高报价的，磋商小组将按二次报价中的最低报价作为有效报价。投标人拒绝接受上述意见的，磋商小组将视为变相在提交《响应文件》截止时间后撤回《响应文件》，并评定其为无效投标，提交由同级财政局政府采购监督管理部门对其违规行为进行处理。</w:t>
      </w:r>
    </w:p>
    <w:p w14:paraId="59B40B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价格磋商规则详见第四章“评审办法”第“3.4.7 价格磋商”条款。</w:t>
      </w:r>
    </w:p>
    <w:p w14:paraId="73B70E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 如投标人的投标报价未超过采购预算（见竞争性磋商公告1.5）的投标人不足三家的，该标段做废标处理。</w:t>
      </w:r>
    </w:p>
    <w:p w14:paraId="01EE09E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1.3.4 遵循第三章投标人须知3.7.5项规定。</w:t>
      </w:r>
    </w:p>
    <w:p w14:paraId="5C11DEFA">
      <w:pPr>
        <w:spacing w:line="360" w:lineRule="auto"/>
        <w:ind w:firstLine="480" w:firstLineChars="200"/>
        <w:contextualSpacing/>
        <w:rPr>
          <w:rFonts w:ascii="宋体" w:hAnsi="宋体"/>
          <w:b/>
          <w:color w:val="auto"/>
          <w:sz w:val="24"/>
          <w:szCs w:val="24"/>
        </w:rPr>
      </w:pPr>
      <w:bookmarkStart w:id="3" w:name="_Toc511138794"/>
      <w:r>
        <w:rPr>
          <w:rFonts w:ascii="宋体" w:hAnsi="宋体"/>
          <w:b/>
          <w:color w:val="auto"/>
          <w:sz w:val="24"/>
          <w:szCs w:val="24"/>
        </w:rPr>
        <w:t xml:space="preserve">2. </w:t>
      </w:r>
      <w:r>
        <w:rPr>
          <w:rFonts w:hint="eastAsia" w:ascii="宋体" w:hAnsi="宋体"/>
          <w:b/>
          <w:color w:val="auto"/>
          <w:sz w:val="24"/>
          <w:szCs w:val="24"/>
        </w:rPr>
        <w:t>标段内容（范围）及基本技术要求</w:t>
      </w:r>
      <w:bookmarkEnd w:id="3"/>
    </w:p>
    <w:p w14:paraId="30FB8D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工程概况</w:t>
      </w:r>
    </w:p>
    <w:p w14:paraId="4C095F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项目（</w:t>
      </w:r>
      <w:r>
        <w:rPr>
          <w:rFonts w:hint="eastAsia" w:ascii="宋体" w:hAnsi="宋体" w:eastAsia="宋体" w:cs="宋体"/>
          <w:sz w:val="24"/>
          <w:szCs w:val="24"/>
        </w:rPr>
        <w:t>工程</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名称: </w:t>
      </w:r>
      <w:r>
        <w:rPr>
          <w:rFonts w:hint="eastAsia" w:ascii="宋体" w:hAnsi="宋体" w:eastAsia="宋体" w:cs="宋体"/>
          <w:color w:val="auto"/>
          <w:sz w:val="24"/>
          <w:szCs w:val="24"/>
          <w:lang w:eastAsia="zh-CN"/>
        </w:rPr>
        <w:t>安阳市文峰区宝莲寺镇人民政府文峰区2025年宝莲寺镇郭村集村道路硬化项目</w:t>
      </w:r>
    </w:p>
    <w:p w14:paraId="532617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建设单位:安阳</w:t>
      </w:r>
      <w:r>
        <w:rPr>
          <w:rFonts w:hint="eastAsia" w:ascii="宋体" w:hAnsi="宋体" w:eastAsia="宋体" w:cs="宋体"/>
          <w:sz w:val="24"/>
          <w:szCs w:val="24"/>
          <w:lang w:eastAsia="zh-CN"/>
        </w:rPr>
        <w:t>市文峰区宝莲寺镇人民政府</w:t>
      </w:r>
      <w:r>
        <w:rPr>
          <w:rFonts w:hint="eastAsia" w:ascii="宋体" w:hAnsi="宋体" w:eastAsia="宋体" w:cs="宋体"/>
          <w:sz w:val="24"/>
          <w:szCs w:val="24"/>
        </w:rPr>
        <w:t xml:space="preserve"> </w:t>
      </w:r>
    </w:p>
    <w:p w14:paraId="5F0474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主要</w:t>
      </w:r>
      <w:r>
        <w:rPr>
          <w:rFonts w:hint="eastAsia" w:ascii="宋体" w:hAnsi="宋体" w:eastAsia="宋体" w:cs="宋体"/>
          <w:sz w:val="24"/>
          <w:szCs w:val="24"/>
          <w:lang w:eastAsia="zh-CN"/>
        </w:rPr>
        <w:t>建设</w:t>
      </w:r>
      <w:r>
        <w:rPr>
          <w:rFonts w:hint="eastAsia" w:ascii="宋体" w:hAnsi="宋体" w:eastAsia="宋体" w:cs="宋体"/>
          <w:sz w:val="24"/>
          <w:szCs w:val="24"/>
        </w:rPr>
        <w:t>内容包括:</w:t>
      </w:r>
      <w:r>
        <w:rPr>
          <w:rFonts w:hint="eastAsia" w:ascii="宋体" w:hAnsi="宋体" w:eastAsia="宋体" w:cs="宋体"/>
          <w:sz w:val="24"/>
          <w:szCs w:val="24"/>
          <w:lang w:eastAsia="zh-CN"/>
        </w:rPr>
        <w:t>铺设</w:t>
      </w:r>
      <w:r>
        <w:rPr>
          <w:rFonts w:hint="eastAsia" w:ascii="宋体" w:hAnsi="宋体" w:eastAsia="宋体" w:cs="宋体"/>
          <w:sz w:val="24"/>
          <w:szCs w:val="24"/>
          <w:lang w:val="en-US" w:eastAsia="zh-CN"/>
        </w:rPr>
        <w:t>20cm厚C25水泥混凝土路面</w:t>
      </w:r>
    </w:p>
    <w:p w14:paraId="26E76C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rPr>
        <w:t>2.2</w:t>
      </w:r>
      <w:r>
        <w:rPr>
          <w:rFonts w:hint="eastAsia" w:ascii="宋体" w:hAnsi="宋体" w:eastAsia="宋体" w:cs="宋体"/>
          <w:b/>
          <w:bCs/>
          <w:sz w:val="24"/>
          <w:szCs w:val="24"/>
        </w:rPr>
        <w:t xml:space="preserve">编制依据 </w:t>
      </w:r>
    </w:p>
    <w:p w14:paraId="4F1256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审核过程所涉及的国家、地方或行业的法律、法规和规范性文件；</w:t>
      </w:r>
      <w:r>
        <w:rPr>
          <w:rFonts w:hint="eastAsia" w:ascii="宋体" w:hAnsi="宋体" w:eastAsia="宋体" w:cs="宋体"/>
          <w:sz w:val="24"/>
          <w:szCs w:val="24"/>
          <w:highlight w:val="none"/>
        </w:rPr>
        <w:t xml:space="preserve"> </w:t>
      </w:r>
    </w:p>
    <w:p w14:paraId="17CD13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2.《建设项目招标控制价编审规程》CECA/GC6-2011；</w:t>
      </w:r>
    </w:p>
    <w:p w14:paraId="4013D2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3.《建设工程工程量清单计价规范》GB50500-2013；</w:t>
      </w:r>
    </w:p>
    <w:p w14:paraId="13F92D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4.《河南省市政工程预算定额》（HAA1-31-2016）及综合解释等相关配套文件；</w:t>
      </w:r>
    </w:p>
    <w:p w14:paraId="569E86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5.材料费按《安阳市建设工程价格信息》2025年第3期指导价及其他有关的市场信息；</w:t>
      </w:r>
    </w:p>
    <w:p w14:paraId="0AF79E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6.人工费、机械费、管理费价格指数按第17期价格指数（2025年1~6月）计取；</w:t>
      </w:r>
    </w:p>
    <w:p w14:paraId="715296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7.税金按照豫建办标【2019】193号文执行；</w:t>
      </w:r>
    </w:p>
    <w:p w14:paraId="53E873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8.送审预算书、施工图、关于2025年第二批财政衔接资金建设项目的批复（文农领【2025】6号文）；</w:t>
      </w:r>
    </w:p>
    <w:p w14:paraId="7A2431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9.其他相关资料。</w:t>
      </w:r>
    </w:p>
    <w:p w14:paraId="067196D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2.4</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eastAsia="zh-CN"/>
        </w:rPr>
        <w:t>技术要求</w:t>
      </w:r>
    </w:p>
    <w:p w14:paraId="17E0CD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cs="宋体"/>
          <w:snapToGrid w:val="0"/>
          <w:color w:val="000000"/>
          <w:kern w:val="0"/>
          <w:sz w:val="24"/>
          <w:szCs w:val="24"/>
          <w:highlight w:val="none"/>
          <w:lang w:val="en-US" w:eastAsia="zh-CN"/>
        </w:rPr>
        <w:t>1.</w:t>
      </w:r>
      <w:r>
        <w:rPr>
          <w:rFonts w:hint="eastAsia" w:ascii="宋体" w:hAnsi="宋体" w:eastAsia="宋体" w:cs="宋体"/>
          <w:snapToGrid w:val="0"/>
          <w:color w:val="000000"/>
          <w:kern w:val="0"/>
          <w:sz w:val="24"/>
          <w:szCs w:val="24"/>
          <w:highlight w:val="none"/>
          <w:lang w:val="en-US" w:eastAsia="zh-CN"/>
        </w:rPr>
        <w:t>依据设计施工图纸和技术文件要求，本工程项目的材料、设备、施工必须达到现行中华人民共和国及省、市、行业的一切法规、规范的要求。</w:t>
      </w:r>
    </w:p>
    <w:p w14:paraId="56E7E5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cs="宋体"/>
          <w:snapToGrid w:val="0"/>
          <w:color w:val="000000"/>
          <w:kern w:val="0"/>
          <w:sz w:val="24"/>
          <w:szCs w:val="24"/>
          <w:highlight w:val="none"/>
          <w:lang w:val="en-US" w:eastAsia="zh-CN"/>
        </w:rPr>
        <w:t>2.工程质量：合格</w:t>
      </w:r>
    </w:p>
    <w:p w14:paraId="3064239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snapToGrid w:val="0"/>
          <w:color w:val="000000"/>
          <w:kern w:val="0"/>
          <w:sz w:val="24"/>
          <w:szCs w:val="24"/>
          <w:highlight w:val="none"/>
          <w:lang w:val="en-US" w:eastAsia="zh-CN"/>
        </w:rPr>
      </w:pPr>
      <w:r>
        <w:rPr>
          <w:rFonts w:hint="eastAsia" w:ascii="宋体" w:hAnsi="宋体" w:cs="宋体"/>
          <w:snapToGrid w:val="0"/>
          <w:color w:val="000000"/>
          <w:kern w:val="0"/>
          <w:sz w:val="24"/>
          <w:szCs w:val="24"/>
          <w:highlight w:val="none"/>
          <w:lang w:val="en-US" w:eastAsia="zh-CN"/>
        </w:rPr>
        <w:t>3.项目缺陷责任期：1年</w:t>
      </w:r>
    </w:p>
    <w:p w14:paraId="1DF579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cs="宋体"/>
          <w:snapToGrid w:val="0"/>
          <w:color w:val="000000"/>
          <w:kern w:val="0"/>
          <w:sz w:val="24"/>
          <w:szCs w:val="24"/>
          <w:highlight w:val="none"/>
          <w:lang w:val="en-US" w:eastAsia="zh-CN"/>
        </w:rPr>
        <w:t>4.工程质量保证期：1年</w:t>
      </w:r>
    </w:p>
    <w:p w14:paraId="5B0C161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 工程量清单</w:t>
      </w:r>
      <w:r>
        <w:rPr>
          <w:rFonts w:hint="eastAsia" w:ascii="宋体" w:hAnsi="宋体" w:eastAsia="宋体" w:cs="宋体"/>
          <w:b/>
          <w:bCs/>
          <w:sz w:val="24"/>
          <w:szCs w:val="24"/>
          <w:lang w:val="en-US" w:eastAsia="zh-CN"/>
        </w:rPr>
        <w:t>及图纸</w:t>
      </w:r>
    </w:p>
    <w:p w14:paraId="723E7A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工程量</w:t>
      </w:r>
      <w:r>
        <w:rPr>
          <w:rFonts w:hint="eastAsia" w:ascii="宋体" w:hAnsi="宋体" w:eastAsia="宋体" w:cs="宋体"/>
          <w:sz w:val="24"/>
          <w:szCs w:val="24"/>
          <w:highlight w:val="none"/>
          <w:lang w:val="en-US" w:eastAsia="zh-CN"/>
        </w:rPr>
        <w:t>清单详见电子版（后附）</w:t>
      </w:r>
      <w:r>
        <w:rPr>
          <w:rFonts w:hint="eastAsia" w:ascii="宋体" w:hAnsi="宋体" w:eastAsia="宋体" w:cs="宋体"/>
          <w:sz w:val="24"/>
          <w:szCs w:val="24"/>
          <w:highlight w:val="none"/>
        </w:rPr>
        <w:t>。</w:t>
      </w:r>
    </w:p>
    <w:p w14:paraId="4FA9283C">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b/>
          <w:bCs/>
          <w:sz w:val="32"/>
          <w:szCs w:val="32"/>
          <w:highlight w:val="none"/>
          <w:lang w:val="en-US" w:eastAsia="zh-CN"/>
        </w:rPr>
        <w:sectPr>
          <w:footerReference r:id="rId10" w:type="default"/>
          <w:pgSz w:w="11910" w:h="16840"/>
          <w:pgMar w:top="1422" w:right="1028" w:bottom="1427" w:left="966" w:header="0" w:footer="1305" w:gutter="0"/>
          <w:pgNumType w:fmt="decimal"/>
          <w:cols w:space="720" w:num="1"/>
        </w:sectPr>
      </w:pPr>
      <w:r>
        <w:rPr>
          <w:rFonts w:hint="eastAsia" w:ascii="宋体" w:hAnsi="宋体" w:cs="宋体"/>
          <w:snapToGrid w:val="0"/>
          <w:color w:val="000000"/>
          <w:kern w:val="0"/>
          <w:sz w:val="24"/>
          <w:szCs w:val="24"/>
          <w:highlight w:val="none"/>
          <w:lang w:val="en-US" w:eastAsia="zh-CN"/>
        </w:rPr>
        <w:t>2.图纸（详见附件）</w:t>
      </w:r>
      <w:bookmarkStart w:id="4" w:name="_bookmark3"/>
      <w:bookmarkEnd w:id="4"/>
    </w:p>
    <w:p w14:paraId="79AE41B8">
      <w:pPr>
        <w:keepNext w:val="0"/>
        <w:keepLines w:val="0"/>
        <w:pageBreakBefore w:val="0"/>
        <w:widowControl/>
        <w:kinsoku/>
        <w:wordWrap/>
        <w:overflowPunct/>
        <w:topLinePunct w:val="0"/>
        <w:autoSpaceDE w:val="0"/>
        <w:autoSpaceDN w:val="0"/>
        <w:bidi w:val="0"/>
        <w:adjustRightInd w:val="0"/>
        <w:snapToGrid w:val="0"/>
        <w:spacing w:line="360" w:lineRule="auto"/>
        <w:ind w:firstLine="0"/>
        <w:jc w:val="center"/>
        <w:textAlignment w:val="baseline"/>
        <w:outlineLvl w:val="0"/>
        <w:rPr>
          <w:rFonts w:hint="eastAsia" w:ascii="宋体" w:hAnsi="宋体" w:eastAsia="宋体" w:cs="宋体"/>
          <w:spacing w:val="-2"/>
          <w:sz w:val="36"/>
          <w:szCs w:val="36"/>
          <w:lang w:val="en-US" w:eastAsia="zh-CN"/>
          <w14:textOutline w14:w="5080" w14:cap="flat" w14:cmpd="sng">
            <w14:solidFill>
              <w14:srgbClr w14:val="000000"/>
            </w14:solidFill>
            <w14:prstDash w14:val="solid"/>
            <w14:miter w14:val="0"/>
          </w14:textOutline>
        </w:rPr>
      </w:pPr>
      <w:bookmarkStart w:id="5" w:name="_Toc14518"/>
      <w:r>
        <w:rPr>
          <w:rFonts w:hint="eastAsia" w:ascii="宋体" w:hAnsi="宋体" w:eastAsia="宋体" w:cs="宋体"/>
          <w:spacing w:val="-2"/>
          <w:sz w:val="36"/>
          <w:szCs w:val="36"/>
          <w:lang w:val="en-US" w:eastAsia="zh-CN"/>
          <w14:textOutline w14:w="5080" w14:cap="flat" w14:cmpd="sng">
            <w14:solidFill>
              <w14:srgbClr w14:val="000000"/>
            </w14:solidFill>
            <w14:prstDash w14:val="solid"/>
            <w14:miter w14:val="0"/>
          </w14:textOutline>
        </w:rPr>
        <w:t>第三章  投标人须知</w:t>
      </w:r>
      <w:bookmarkEnd w:id="5"/>
    </w:p>
    <w:p w14:paraId="2F0FF508">
      <w:pPr>
        <w:keepNext w:val="0"/>
        <w:keepLines w:val="0"/>
        <w:pageBreakBefore w:val="0"/>
        <w:widowControl/>
        <w:kinsoku/>
        <w:wordWrap/>
        <w:overflowPunct/>
        <w:topLinePunct w:val="0"/>
        <w:autoSpaceDE w:val="0"/>
        <w:autoSpaceDN w:val="0"/>
        <w:bidi w:val="0"/>
        <w:adjustRightInd w:val="0"/>
        <w:snapToGrid w:val="0"/>
        <w:spacing w:before="1" w:line="360" w:lineRule="auto"/>
        <w:ind w:firstLine="3973"/>
        <w:outlineLvl w:val="9"/>
        <w:rPr>
          <w:rFonts w:hint="eastAsia" w:ascii="宋体" w:hAnsi="宋体" w:eastAsia="宋体" w:cs="宋体"/>
          <w:sz w:val="28"/>
          <w:szCs w:val="28"/>
        </w:rPr>
      </w:pPr>
      <w:r>
        <w:rPr>
          <w:rFonts w:hint="eastAsia" w:ascii="宋体" w:hAnsi="宋体" w:eastAsia="宋体" w:cs="宋体"/>
          <w:b/>
          <w:bCs/>
        </w:rPr>
        <w:t>投标人须知前附表</w:t>
      </w:r>
    </w:p>
    <w:p w14:paraId="350EE7E7">
      <w:pPr>
        <w:keepNext w:val="0"/>
        <w:keepLines w:val="0"/>
        <w:pageBreakBefore w:val="0"/>
        <w:widowControl/>
        <w:kinsoku/>
        <w:wordWrap/>
        <w:overflowPunct/>
        <w:topLinePunct w:val="0"/>
        <w:autoSpaceDE w:val="0"/>
        <w:autoSpaceDN w:val="0"/>
        <w:bidi w:val="0"/>
        <w:adjustRightInd w:val="0"/>
        <w:snapToGrid w:val="0"/>
        <w:spacing w:line="190" w:lineRule="exact"/>
        <w:outlineLvl w:val="9"/>
        <w:rPr>
          <w:rFonts w:hint="eastAsia" w:ascii="宋体" w:hAnsi="宋体" w:eastAsia="宋体" w:cs="宋体"/>
        </w:rPr>
      </w:pPr>
    </w:p>
    <w:tbl>
      <w:tblPr>
        <w:tblStyle w:val="30"/>
        <w:tblW w:w="10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9"/>
        <w:gridCol w:w="1069"/>
        <w:gridCol w:w="1937"/>
        <w:gridCol w:w="6234"/>
      </w:tblGrid>
      <w:tr w14:paraId="7F7D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909" w:type="dxa"/>
            <w:vAlign w:val="center"/>
          </w:tcPr>
          <w:p w14:paraId="49C8C63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章节</w:t>
            </w:r>
          </w:p>
        </w:tc>
        <w:tc>
          <w:tcPr>
            <w:tcW w:w="1069" w:type="dxa"/>
            <w:vAlign w:val="center"/>
          </w:tcPr>
          <w:p w14:paraId="26B007F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条款号</w:t>
            </w:r>
          </w:p>
        </w:tc>
        <w:tc>
          <w:tcPr>
            <w:tcW w:w="1937" w:type="dxa"/>
            <w:vAlign w:val="center"/>
          </w:tcPr>
          <w:p w14:paraId="147871F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条款名称</w:t>
            </w:r>
          </w:p>
        </w:tc>
        <w:tc>
          <w:tcPr>
            <w:tcW w:w="6234" w:type="dxa"/>
            <w:vAlign w:val="center"/>
          </w:tcPr>
          <w:p w14:paraId="7F2A40AB">
            <w:pPr>
              <w:keepNext w:val="0"/>
              <w:keepLines w:val="0"/>
              <w:pageBreakBefore w:val="0"/>
              <w:widowControl/>
              <w:kinsoku/>
              <w:wordWrap/>
              <w:overflowPunct/>
              <w:topLinePunct w:val="0"/>
              <w:autoSpaceDE w:val="0"/>
              <w:autoSpaceDN w:val="0"/>
              <w:bidi w:val="0"/>
              <w:adjustRightInd w:val="0"/>
              <w:snapToGrid w:val="0"/>
              <w:spacing w:before="168" w:line="189" w:lineRule="auto"/>
              <w:ind w:firstLine="2647"/>
              <w:outlineLvl w:val="9"/>
              <w:rPr>
                <w:rFonts w:hint="eastAsia" w:ascii="宋体" w:hAnsi="宋体" w:eastAsia="宋体" w:cs="宋体"/>
                <w:sz w:val="24"/>
                <w:szCs w:val="24"/>
              </w:rPr>
            </w:pPr>
            <w:r>
              <w:rPr>
                <w:rFonts w:hint="eastAsia" w:ascii="宋体" w:hAnsi="宋体" w:eastAsia="宋体" w:cs="宋体"/>
                <w:b/>
                <w:bCs/>
                <w:sz w:val="24"/>
                <w:szCs w:val="24"/>
              </w:rPr>
              <w:t>编列内容</w:t>
            </w:r>
          </w:p>
        </w:tc>
      </w:tr>
      <w:tr w14:paraId="3344F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09" w:type="dxa"/>
            <w:vMerge w:val="restart"/>
            <w:tcBorders>
              <w:bottom w:val="nil"/>
            </w:tcBorders>
            <w:textDirection w:val="tbRlV"/>
            <w:vAlign w:val="center"/>
          </w:tcPr>
          <w:p w14:paraId="3A8F1B7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第 一 章</w:t>
            </w:r>
          </w:p>
        </w:tc>
        <w:tc>
          <w:tcPr>
            <w:tcW w:w="1069" w:type="dxa"/>
            <w:vAlign w:val="center"/>
          </w:tcPr>
          <w:p w14:paraId="1DBFABF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1.1</w:t>
            </w:r>
          </w:p>
        </w:tc>
        <w:tc>
          <w:tcPr>
            <w:tcW w:w="1937" w:type="dxa"/>
            <w:vAlign w:val="center"/>
          </w:tcPr>
          <w:p w14:paraId="5D62A1B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采购项目名称</w:t>
            </w:r>
          </w:p>
        </w:tc>
        <w:tc>
          <w:tcPr>
            <w:tcW w:w="6234" w:type="dxa"/>
            <w:vAlign w:val="center"/>
          </w:tcPr>
          <w:p w14:paraId="1CEA6B5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见“第一章竞争性磋商公告”相应条款</w:t>
            </w:r>
          </w:p>
        </w:tc>
      </w:tr>
      <w:tr w14:paraId="4161C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09" w:type="dxa"/>
            <w:vMerge w:val="continue"/>
            <w:tcBorders>
              <w:top w:val="nil"/>
              <w:bottom w:val="nil"/>
            </w:tcBorders>
            <w:textDirection w:val="tbRlV"/>
            <w:vAlign w:val="center"/>
          </w:tcPr>
          <w:p w14:paraId="2BC81FA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vAlign w:val="center"/>
          </w:tcPr>
          <w:p w14:paraId="33E0DDC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1.2</w:t>
            </w:r>
          </w:p>
        </w:tc>
        <w:tc>
          <w:tcPr>
            <w:tcW w:w="1937" w:type="dxa"/>
            <w:vAlign w:val="center"/>
          </w:tcPr>
          <w:p w14:paraId="7C8343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项目编号</w:t>
            </w:r>
          </w:p>
        </w:tc>
        <w:tc>
          <w:tcPr>
            <w:tcW w:w="6234" w:type="dxa"/>
            <w:vAlign w:val="center"/>
          </w:tcPr>
          <w:p w14:paraId="7FB507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见“第一章竞争性磋商公告”相应条款</w:t>
            </w:r>
          </w:p>
        </w:tc>
      </w:tr>
      <w:tr w14:paraId="5B94A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09" w:type="dxa"/>
            <w:vMerge w:val="continue"/>
            <w:tcBorders>
              <w:top w:val="nil"/>
              <w:bottom w:val="nil"/>
            </w:tcBorders>
            <w:textDirection w:val="tbRlV"/>
            <w:vAlign w:val="center"/>
          </w:tcPr>
          <w:p w14:paraId="1DC37A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vAlign w:val="center"/>
          </w:tcPr>
          <w:p w14:paraId="059EF4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1.3</w:t>
            </w:r>
          </w:p>
        </w:tc>
        <w:tc>
          <w:tcPr>
            <w:tcW w:w="1937" w:type="dxa"/>
            <w:vAlign w:val="center"/>
          </w:tcPr>
          <w:p w14:paraId="78F4379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采购方式</w:t>
            </w:r>
          </w:p>
        </w:tc>
        <w:tc>
          <w:tcPr>
            <w:tcW w:w="6234" w:type="dxa"/>
            <w:vAlign w:val="center"/>
          </w:tcPr>
          <w:p w14:paraId="60FE50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竞争性磋商</w:t>
            </w:r>
          </w:p>
        </w:tc>
      </w:tr>
      <w:tr w14:paraId="5985B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09" w:type="dxa"/>
            <w:vMerge w:val="continue"/>
            <w:tcBorders>
              <w:top w:val="nil"/>
              <w:bottom w:val="nil"/>
            </w:tcBorders>
            <w:textDirection w:val="tbRlV"/>
            <w:vAlign w:val="center"/>
          </w:tcPr>
          <w:p w14:paraId="48CD960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vAlign w:val="center"/>
          </w:tcPr>
          <w:p w14:paraId="65458E0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1.5</w:t>
            </w:r>
          </w:p>
        </w:tc>
        <w:tc>
          <w:tcPr>
            <w:tcW w:w="1937" w:type="dxa"/>
            <w:vAlign w:val="center"/>
          </w:tcPr>
          <w:p w14:paraId="3A799CD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采购预算</w:t>
            </w:r>
          </w:p>
        </w:tc>
        <w:tc>
          <w:tcPr>
            <w:tcW w:w="6234" w:type="dxa"/>
            <w:vAlign w:val="center"/>
          </w:tcPr>
          <w:p w14:paraId="31CC8F1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14"/>
                <w:sz w:val="24"/>
                <w:szCs w:val="24"/>
              </w:rPr>
              <w:t>见“第一章竞争性磋商公告”相应条款。</w:t>
            </w:r>
            <w:r>
              <w:rPr>
                <w:rFonts w:hint="eastAsia" w:ascii="宋体" w:hAnsi="宋体" w:eastAsia="宋体" w:cs="宋体"/>
                <w:b/>
                <w:bCs/>
                <w:sz w:val="24"/>
                <w:szCs w:val="24"/>
                <w:highlight w:val="none"/>
              </w:rPr>
              <w:t>注：投标人的响应报价未超过采购预算的不足三家时，该项目（标段）终止。</w:t>
            </w:r>
          </w:p>
        </w:tc>
      </w:tr>
      <w:tr w14:paraId="70B5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09" w:type="dxa"/>
            <w:vMerge w:val="continue"/>
            <w:tcBorders>
              <w:top w:val="nil"/>
              <w:bottom w:val="nil"/>
            </w:tcBorders>
            <w:textDirection w:val="tbRlV"/>
            <w:vAlign w:val="center"/>
          </w:tcPr>
          <w:p w14:paraId="177A67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vAlign w:val="center"/>
          </w:tcPr>
          <w:p w14:paraId="790FDFD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2</w:t>
            </w:r>
          </w:p>
        </w:tc>
        <w:tc>
          <w:tcPr>
            <w:tcW w:w="1937" w:type="dxa"/>
            <w:vAlign w:val="center"/>
          </w:tcPr>
          <w:p w14:paraId="7656F03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投标人资格要求及相关证明材料要求</w:t>
            </w:r>
          </w:p>
        </w:tc>
        <w:tc>
          <w:tcPr>
            <w:tcW w:w="6234" w:type="dxa"/>
            <w:vAlign w:val="center"/>
          </w:tcPr>
          <w:p w14:paraId="7F3099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highlight w:val="yellow"/>
                <w:lang w:eastAsia="zh-CN"/>
              </w:rPr>
            </w:pPr>
            <w:r>
              <w:rPr>
                <w:rFonts w:hint="eastAsia" w:ascii="宋体" w:hAnsi="宋体" w:eastAsia="宋体" w:cs="宋体"/>
                <w:sz w:val="24"/>
                <w:szCs w:val="24"/>
                <w:lang w:val="en-US" w:eastAsia="zh-CN"/>
              </w:rPr>
              <w:t>1.提供</w:t>
            </w:r>
            <w:r>
              <w:rPr>
                <w:rFonts w:hint="eastAsia" w:ascii="宋体" w:hAnsi="宋体" w:eastAsia="宋体" w:cs="宋体"/>
                <w:sz w:val="24"/>
                <w:szCs w:val="24"/>
                <w:lang w:val="zh-CN"/>
              </w:rPr>
              <w:t>满足《中华人民共和国政府采购法》第二十二条规定的承诺函。见磋商文件“</w:t>
            </w:r>
            <w:r>
              <w:rPr>
                <w:rFonts w:hint="eastAsia" w:ascii="宋体" w:hAnsi="宋体" w:eastAsia="宋体" w:cs="宋体"/>
                <w:sz w:val="24"/>
                <w:szCs w:val="24"/>
                <w:highlight w:val="none"/>
                <w:lang w:val="zh-CN"/>
              </w:rPr>
              <w:t>第六章——响应文件格式”</w:t>
            </w:r>
            <w:r>
              <w:rPr>
                <w:rFonts w:hint="eastAsia" w:ascii="宋体" w:hAnsi="宋体" w:eastAsia="宋体" w:cs="宋体"/>
                <w:sz w:val="24"/>
                <w:szCs w:val="24"/>
                <w:highlight w:val="none"/>
                <w:lang w:val="zh-CN" w:eastAsia="zh-CN"/>
              </w:rPr>
              <w:t>。</w:t>
            </w:r>
          </w:p>
          <w:p w14:paraId="235B3A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落实政府采购政策满足的资格要求及本项目的特定资格要求。</w:t>
            </w:r>
            <w:r>
              <w:rPr>
                <w:rFonts w:hint="eastAsia" w:ascii="宋体" w:hAnsi="宋体" w:eastAsia="宋体" w:cs="宋体"/>
                <w:sz w:val="24"/>
                <w:szCs w:val="24"/>
                <w:lang w:val="en-US" w:eastAsia="zh-CN"/>
              </w:rPr>
              <w:t>见</w:t>
            </w:r>
            <w:r>
              <w:rPr>
                <w:rFonts w:hint="eastAsia" w:ascii="宋体" w:hAnsi="宋体" w:eastAsia="宋体" w:cs="宋体"/>
                <w:sz w:val="24"/>
                <w:szCs w:val="24"/>
                <w:lang w:eastAsia="zh-CN"/>
              </w:rPr>
              <w:t>“第一</w:t>
            </w:r>
            <w:r>
              <w:rPr>
                <w:rFonts w:hint="eastAsia" w:ascii="宋体" w:hAnsi="宋体" w:eastAsia="宋体" w:cs="宋体"/>
                <w:sz w:val="24"/>
                <w:szCs w:val="24"/>
              </w:rPr>
              <w:t>部分</w:t>
            </w:r>
            <w:r>
              <w:rPr>
                <w:rFonts w:hint="eastAsia" w:ascii="宋体" w:hAnsi="宋体" w:eastAsia="宋体" w:cs="宋体"/>
                <w:sz w:val="24"/>
                <w:szCs w:val="24"/>
                <w:lang w:eastAsia="zh-CN"/>
              </w:rPr>
              <w:t>竞争性磋商公告”相应条款。</w:t>
            </w:r>
          </w:p>
          <w:p w14:paraId="774EAE2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lang w:eastAsia="zh-CN"/>
              </w:rPr>
              <w:t>说明：</w:t>
            </w:r>
            <w:r>
              <w:rPr>
                <w:rFonts w:hint="eastAsia" w:ascii="宋体" w:hAnsi="宋体" w:eastAsia="宋体" w:cs="宋体"/>
                <w:sz w:val="24"/>
                <w:szCs w:val="24"/>
                <w:lang w:val="zh-CN"/>
              </w:rPr>
              <w:t>供应商未提供有效的资格证明文件的，视为供应商不具备招标文件中规定的资格要求，投标无效。</w:t>
            </w:r>
          </w:p>
        </w:tc>
      </w:tr>
      <w:tr w14:paraId="6AEC9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09" w:type="dxa"/>
            <w:vMerge w:val="continue"/>
            <w:tcBorders>
              <w:top w:val="nil"/>
              <w:bottom w:val="nil"/>
            </w:tcBorders>
            <w:textDirection w:val="tbRlV"/>
            <w:vAlign w:val="center"/>
          </w:tcPr>
          <w:p w14:paraId="402A336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vAlign w:val="center"/>
          </w:tcPr>
          <w:p w14:paraId="4F8F2D1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9</w:t>
            </w:r>
          </w:p>
        </w:tc>
        <w:tc>
          <w:tcPr>
            <w:tcW w:w="1937" w:type="dxa"/>
            <w:vAlign w:val="center"/>
          </w:tcPr>
          <w:p w14:paraId="7ECC2F3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采购人</w:t>
            </w:r>
          </w:p>
        </w:tc>
        <w:tc>
          <w:tcPr>
            <w:tcW w:w="6234" w:type="dxa"/>
            <w:vAlign w:val="center"/>
          </w:tcPr>
          <w:p w14:paraId="5A84ABC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见“第一章竞争性磋商公告”相应条款</w:t>
            </w:r>
          </w:p>
        </w:tc>
      </w:tr>
      <w:tr w14:paraId="7DCFD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09" w:type="dxa"/>
            <w:vMerge w:val="continue"/>
            <w:tcBorders>
              <w:top w:val="nil"/>
            </w:tcBorders>
            <w:textDirection w:val="tbRlV"/>
            <w:vAlign w:val="center"/>
          </w:tcPr>
          <w:p w14:paraId="00BD522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vAlign w:val="center"/>
          </w:tcPr>
          <w:p w14:paraId="2C30960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9</w:t>
            </w:r>
          </w:p>
        </w:tc>
        <w:tc>
          <w:tcPr>
            <w:tcW w:w="1937" w:type="dxa"/>
            <w:vAlign w:val="center"/>
          </w:tcPr>
          <w:p w14:paraId="5B7311E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采购代理机构</w:t>
            </w:r>
          </w:p>
        </w:tc>
        <w:tc>
          <w:tcPr>
            <w:tcW w:w="6234" w:type="dxa"/>
            <w:vAlign w:val="center"/>
          </w:tcPr>
          <w:p w14:paraId="217D13C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见“第一章竞争性磋商公告”相应条款</w:t>
            </w:r>
          </w:p>
        </w:tc>
      </w:tr>
      <w:tr w14:paraId="22116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09" w:type="dxa"/>
            <w:vMerge w:val="restart"/>
            <w:tcBorders>
              <w:bottom w:val="nil"/>
            </w:tcBorders>
            <w:textDirection w:val="tbRlV"/>
            <w:vAlign w:val="center"/>
          </w:tcPr>
          <w:p w14:paraId="1BBC81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第 二 章</w:t>
            </w:r>
          </w:p>
        </w:tc>
        <w:tc>
          <w:tcPr>
            <w:tcW w:w="1069" w:type="dxa"/>
            <w:vAlign w:val="center"/>
          </w:tcPr>
          <w:p w14:paraId="2ED4CFC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1.2</w:t>
            </w:r>
          </w:p>
        </w:tc>
        <w:tc>
          <w:tcPr>
            <w:tcW w:w="1937" w:type="dxa"/>
            <w:vAlign w:val="center"/>
          </w:tcPr>
          <w:p w14:paraId="2885894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标段划分</w:t>
            </w:r>
          </w:p>
        </w:tc>
        <w:tc>
          <w:tcPr>
            <w:tcW w:w="6234" w:type="dxa"/>
            <w:vAlign w:val="center"/>
          </w:tcPr>
          <w:p w14:paraId="0C79786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见“第二章采购项目要求”相应条款</w:t>
            </w:r>
          </w:p>
        </w:tc>
      </w:tr>
      <w:tr w14:paraId="659B6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09" w:type="dxa"/>
            <w:vMerge w:val="continue"/>
            <w:tcBorders>
              <w:top w:val="nil"/>
              <w:bottom w:val="nil"/>
            </w:tcBorders>
            <w:textDirection w:val="tbRlV"/>
            <w:vAlign w:val="center"/>
          </w:tcPr>
          <w:p w14:paraId="7D4C889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vAlign w:val="center"/>
          </w:tcPr>
          <w:p w14:paraId="01063A4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1.2</w:t>
            </w:r>
          </w:p>
        </w:tc>
        <w:tc>
          <w:tcPr>
            <w:tcW w:w="1937" w:type="dxa"/>
            <w:vAlign w:val="center"/>
          </w:tcPr>
          <w:p w14:paraId="328462C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工期</w:t>
            </w:r>
          </w:p>
        </w:tc>
        <w:tc>
          <w:tcPr>
            <w:tcW w:w="6234" w:type="dxa"/>
            <w:vAlign w:val="center"/>
          </w:tcPr>
          <w:p w14:paraId="33A29CA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见“第二部分采购项目要求”相应条款</w:t>
            </w:r>
          </w:p>
        </w:tc>
      </w:tr>
      <w:tr w14:paraId="4490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09" w:type="dxa"/>
            <w:vMerge w:val="continue"/>
            <w:tcBorders>
              <w:top w:val="nil"/>
              <w:bottom w:val="nil"/>
            </w:tcBorders>
            <w:textDirection w:val="tbRlV"/>
            <w:vAlign w:val="center"/>
          </w:tcPr>
          <w:p w14:paraId="53246C7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vAlign w:val="center"/>
          </w:tcPr>
          <w:p w14:paraId="7BA1BED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1.2</w:t>
            </w:r>
          </w:p>
        </w:tc>
        <w:tc>
          <w:tcPr>
            <w:tcW w:w="1937" w:type="dxa"/>
            <w:vAlign w:val="center"/>
          </w:tcPr>
          <w:p w14:paraId="1130812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eastAsia="zh-CN"/>
              </w:rPr>
              <w:t>建设</w:t>
            </w:r>
            <w:r>
              <w:rPr>
                <w:rFonts w:hint="eastAsia" w:ascii="宋体" w:hAnsi="宋体" w:eastAsia="宋体" w:cs="宋体"/>
                <w:spacing w:val="-1"/>
                <w:sz w:val="24"/>
                <w:szCs w:val="24"/>
              </w:rPr>
              <w:t>地点</w:t>
            </w:r>
          </w:p>
        </w:tc>
        <w:tc>
          <w:tcPr>
            <w:tcW w:w="6234" w:type="dxa"/>
            <w:vAlign w:val="center"/>
          </w:tcPr>
          <w:p w14:paraId="073EAB2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见“第二章采购项目要求”相应条款</w:t>
            </w:r>
          </w:p>
        </w:tc>
      </w:tr>
      <w:tr w14:paraId="639D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09" w:type="dxa"/>
            <w:vMerge w:val="continue"/>
            <w:tcBorders>
              <w:top w:val="nil"/>
              <w:bottom w:val="nil"/>
            </w:tcBorders>
            <w:textDirection w:val="tbRlV"/>
            <w:vAlign w:val="center"/>
          </w:tcPr>
          <w:p w14:paraId="20AC202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vAlign w:val="center"/>
          </w:tcPr>
          <w:p w14:paraId="1DA0A68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1.3</w:t>
            </w:r>
          </w:p>
        </w:tc>
        <w:tc>
          <w:tcPr>
            <w:tcW w:w="1937" w:type="dxa"/>
            <w:vAlign w:val="center"/>
          </w:tcPr>
          <w:p w14:paraId="00F90C3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响应报价</w:t>
            </w:r>
          </w:p>
        </w:tc>
        <w:tc>
          <w:tcPr>
            <w:tcW w:w="6234" w:type="dxa"/>
            <w:vAlign w:val="center"/>
          </w:tcPr>
          <w:p w14:paraId="6A3E116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见“第二章采购项目要求”相应条款</w:t>
            </w:r>
          </w:p>
        </w:tc>
      </w:tr>
      <w:tr w14:paraId="1683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909" w:type="dxa"/>
            <w:vMerge w:val="continue"/>
            <w:tcBorders>
              <w:top w:val="nil"/>
              <w:bottom w:val="nil"/>
            </w:tcBorders>
            <w:textDirection w:val="tbRlV"/>
            <w:vAlign w:val="center"/>
          </w:tcPr>
          <w:p w14:paraId="54CEC5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vAlign w:val="center"/>
          </w:tcPr>
          <w:p w14:paraId="12DC107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2</w:t>
            </w:r>
          </w:p>
        </w:tc>
        <w:tc>
          <w:tcPr>
            <w:tcW w:w="1937" w:type="dxa"/>
            <w:vAlign w:val="center"/>
          </w:tcPr>
          <w:p w14:paraId="70BEEB0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磋商内容及范围</w:t>
            </w:r>
          </w:p>
        </w:tc>
        <w:tc>
          <w:tcPr>
            <w:tcW w:w="6234" w:type="dxa"/>
            <w:vAlign w:val="center"/>
          </w:tcPr>
          <w:p w14:paraId="064CE16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见“第二章采购项目要求”相应条款</w:t>
            </w:r>
          </w:p>
        </w:tc>
      </w:tr>
      <w:tr w14:paraId="58E8A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09" w:type="dxa"/>
            <w:vMerge w:val="continue"/>
            <w:tcBorders>
              <w:top w:val="nil"/>
              <w:bottom w:val="single" w:color="auto" w:sz="4" w:space="0"/>
            </w:tcBorders>
            <w:textDirection w:val="tbRlV"/>
            <w:vAlign w:val="center"/>
          </w:tcPr>
          <w:p w14:paraId="21461A7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bottom w:val="single" w:color="auto" w:sz="4" w:space="0"/>
            </w:tcBorders>
            <w:vAlign w:val="center"/>
          </w:tcPr>
          <w:p w14:paraId="1C69A39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2.2</w:t>
            </w:r>
          </w:p>
        </w:tc>
        <w:tc>
          <w:tcPr>
            <w:tcW w:w="1937" w:type="dxa"/>
            <w:vAlign w:val="center"/>
          </w:tcPr>
          <w:p w14:paraId="36688E6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质量</w:t>
            </w:r>
          </w:p>
        </w:tc>
        <w:tc>
          <w:tcPr>
            <w:tcW w:w="6234" w:type="dxa"/>
            <w:vAlign w:val="center"/>
          </w:tcPr>
          <w:p w14:paraId="38FDB4E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6"/>
                <w:sz w:val="24"/>
                <w:szCs w:val="24"/>
              </w:rPr>
              <w:t>合格</w:t>
            </w:r>
          </w:p>
        </w:tc>
      </w:tr>
      <w:tr w14:paraId="4C7BB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909" w:type="dxa"/>
            <w:vMerge w:val="restart"/>
            <w:tcBorders>
              <w:top w:val="single" w:color="auto" w:sz="4" w:space="0"/>
              <w:left w:val="single" w:color="auto" w:sz="4" w:space="0"/>
            </w:tcBorders>
            <w:textDirection w:val="tbRlV"/>
            <w:vAlign w:val="center"/>
          </w:tcPr>
          <w:p w14:paraId="0DB16A7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第 三 章</w:t>
            </w:r>
          </w:p>
        </w:tc>
        <w:tc>
          <w:tcPr>
            <w:tcW w:w="1069" w:type="dxa"/>
            <w:tcBorders>
              <w:top w:val="single" w:color="auto" w:sz="4" w:space="0"/>
              <w:right w:val="single" w:color="auto" w:sz="4" w:space="0"/>
            </w:tcBorders>
            <w:vAlign w:val="center"/>
          </w:tcPr>
          <w:p w14:paraId="39DC986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1.4</w:t>
            </w:r>
          </w:p>
        </w:tc>
        <w:tc>
          <w:tcPr>
            <w:tcW w:w="1937" w:type="dxa"/>
            <w:tcBorders>
              <w:left w:val="single" w:color="auto" w:sz="4" w:space="0"/>
            </w:tcBorders>
            <w:vAlign w:val="center"/>
          </w:tcPr>
          <w:p w14:paraId="0300928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联合体投标</w:t>
            </w:r>
          </w:p>
        </w:tc>
        <w:tc>
          <w:tcPr>
            <w:tcW w:w="6234" w:type="dxa"/>
            <w:vAlign w:val="center"/>
          </w:tcPr>
          <w:p w14:paraId="596BB3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不接受</w:t>
            </w:r>
          </w:p>
        </w:tc>
      </w:tr>
      <w:tr w14:paraId="6073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9" w:type="dxa"/>
            <w:vMerge w:val="continue"/>
            <w:tcBorders>
              <w:left w:val="single" w:color="auto" w:sz="4" w:space="0"/>
            </w:tcBorders>
            <w:textDirection w:val="tbRlV"/>
            <w:vAlign w:val="center"/>
          </w:tcPr>
          <w:p w14:paraId="757E11F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1F52FAB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1.10</w:t>
            </w:r>
          </w:p>
        </w:tc>
        <w:tc>
          <w:tcPr>
            <w:tcW w:w="1937" w:type="dxa"/>
            <w:tcBorders>
              <w:left w:val="single" w:color="auto" w:sz="4" w:space="0"/>
            </w:tcBorders>
            <w:vAlign w:val="center"/>
          </w:tcPr>
          <w:p w14:paraId="1732DB6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踏勘现场</w:t>
            </w:r>
          </w:p>
        </w:tc>
        <w:tc>
          <w:tcPr>
            <w:tcW w:w="6234" w:type="dxa"/>
            <w:vAlign w:val="center"/>
          </w:tcPr>
          <w:p w14:paraId="35A01B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不组织，投标人可自行踏勘并负责踏勘现场所产生的费用</w:t>
            </w:r>
          </w:p>
        </w:tc>
      </w:tr>
      <w:tr w14:paraId="141D0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9" w:type="dxa"/>
            <w:vMerge w:val="continue"/>
            <w:tcBorders>
              <w:left w:val="single" w:color="auto" w:sz="4" w:space="0"/>
            </w:tcBorders>
            <w:textDirection w:val="tbRlV"/>
            <w:vAlign w:val="center"/>
          </w:tcPr>
          <w:p w14:paraId="5FB4B8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3E24327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1.11</w:t>
            </w:r>
          </w:p>
        </w:tc>
        <w:tc>
          <w:tcPr>
            <w:tcW w:w="1937" w:type="dxa"/>
            <w:tcBorders>
              <w:left w:val="single" w:color="auto" w:sz="4" w:space="0"/>
            </w:tcBorders>
            <w:vAlign w:val="center"/>
          </w:tcPr>
          <w:p w14:paraId="25BF84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投标预备会</w:t>
            </w:r>
          </w:p>
        </w:tc>
        <w:tc>
          <w:tcPr>
            <w:tcW w:w="6234" w:type="dxa"/>
            <w:vAlign w:val="center"/>
          </w:tcPr>
          <w:p w14:paraId="57C7586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不召开</w:t>
            </w:r>
          </w:p>
        </w:tc>
      </w:tr>
      <w:tr w14:paraId="1C768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909" w:type="dxa"/>
            <w:vMerge w:val="continue"/>
            <w:tcBorders>
              <w:left w:val="single" w:color="auto" w:sz="4" w:space="0"/>
            </w:tcBorders>
            <w:textDirection w:val="tbRlV"/>
            <w:vAlign w:val="center"/>
          </w:tcPr>
          <w:p w14:paraId="2B23AB1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22BFCB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1.12</w:t>
            </w:r>
          </w:p>
        </w:tc>
        <w:tc>
          <w:tcPr>
            <w:tcW w:w="1937" w:type="dxa"/>
            <w:tcBorders>
              <w:left w:val="single" w:color="auto" w:sz="4" w:space="0"/>
            </w:tcBorders>
            <w:vAlign w:val="center"/>
          </w:tcPr>
          <w:p w14:paraId="586E2AD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分包</w:t>
            </w:r>
          </w:p>
        </w:tc>
        <w:tc>
          <w:tcPr>
            <w:tcW w:w="6234" w:type="dxa"/>
            <w:vAlign w:val="center"/>
          </w:tcPr>
          <w:p w14:paraId="121682B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不允许</w:t>
            </w:r>
          </w:p>
        </w:tc>
      </w:tr>
      <w:tr w14:paraId="425FE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909" w:type="dxa"/>
            <w:vMerge w:val="continue"/>
            <w:tcBorders>
              <w:left w:val="single" w:color="auto" w:sz="4" w:space="0"/>
            </w:tcBorders>
            <w:textDirection w:val="tbRlV"/>
            <w:vAlign w:val="center"/>
          </w:tcPr>
          <w:p w14:paraId="2102092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1A4B420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2.1</w:t>
            </w:r>
          </w:p>
        </w:tc>
        <w:tc>
          <w:tcPr>
            <w:tcW w:w="1937" w:type="dxa"/>
            <w:tcBorders>
              <w:left w:val="single" w:color="auto" w:sz="4" w:space="0"/>
            </w:tcBorders>
            <w:vAlign w:val="center"/>
          </w:tcPr>
          <w:p w14:paraId="216FA57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构成《磋商文件》的其他材料</w:t>
            </w:r>
          </w:p>
        </w:tc>
        <w:tc>
          <w:tcPr>
            <w:tcW w:w="6234" w:type="dxa"/>
            <w:vAlign w:val="center"/>
          </w:tcPr>
          <w:p w14:paraId="317A083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见“第三章</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投标人须知”相应条款</w:t>
            </w:r>
          </w:p>
        </w:tc>
      </w:tr>
      <w:tr w14:paraId="21D0B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09" w:type="dxa"/>
            <w:vMerge w:val="continue"/>
            <w:tcBorders>
              <w:left w:val="single" w:color="auto" w:sz="4" w:space="0"/>
            </w:tcBorders>
            <w:textDirection w:val="tbRlV"/>
            <w:vAlign w:val="center"/>
          </w:tcPr>
          <w:p w14:paraId="5AA45EF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7A0AEF4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2.2.1</w:t>
            </w:r>
          </w:p>
        </w:tc>
        <w:tc>
          <w:tcPr>
            <w:tcW w:w="1937" w:type="dxa"/>
            <w:tcBorders>
              <w:left w:val="single" w:color="auto" w:sz="4" w:space="0"/>
            </w:tcBorders>
            <w:vAlign w:val="center"/>
          </w:tcPr>
          <w:p w14:paraId="72C432B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投标人提出问题的截止时间</w:t>
            </w:r>
          </w:p>
        </w:tc>
        <w:tc>
          <w:tcPr>
            <w:tcW w:w="6234" w:type="dxa"/>
            <w:vAlign w:val="center"/>
          </w:tcPr>
          <w:p w14:paraId="0C20AAD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6"/>
                <w:sz w:val="24"/>
                <w:szCs w:val="24"/>
              </w:rPr>
              <w:t>投标截止时间2日前</w:t>
            </w:r>
          </w:p>
        </w:tc>
      </w:tr>
      <w:tr w14:paraId="65132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909" w:type="dxa"/>
            <w:vMerge w:val="continue"/>
            <w:tcBorders>
              <w:left w:val="single" w:color="auto" w:sz="4" w:space="0"/>
            </w:tcBorders>
            <w:textDirection w:val="tbRlV"/>
            <w:vAlign w:val="center"/>
          </w:tcPr>
          <w:p w14:paraId="08742F9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2ED6F23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2.3</w:t>
            </w:r>
          </w:p>
        </w:tc>
        <w:tc>
          <w:tcPr>
            <w:tcW w:w="1937" w:type="dxa"/>
            <w:tcBorders>
              <w:left w:val="single" w:color="auto" w:sz="4" w:space="0"/>
            </w:tcBorders>
            <w:vAlign w:val="center"/>
          </w:tcPr>
          <w:p w14:paraId="57C7339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《磋商文件》澄清修改补充时间</w:t>
            </w:r>
          </w:p>
        </w:tc>
        <w:tc>
          <w:tcPr>
            <w:tcW w:w="6234" w:type="dxa"/>
            <w:vAlign w:val="center"/>
          </w:tcPr>
          <w:p w14:paraId="36415FD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6"/>
                <w:sz w:val="24"/>
                <w:szCs w:val="24"/>
              </w:rPr>
              <w:t>投标截止时间5日前</w:t>
            </w:r>
          </w:p>
        </w:tc>
      </w:tr>
      <w:tr w14:paraId="79E03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909" w:type="dxa"/>
            <w:vMerge w:val="continue"/>
            <w:tcBorders>
              <w:left w:val="single" w:color="auto" w:sz="4" w:space="0"/>
            </w:tcBorders>
            <w:textDirection w:val="tbRlV"/>
            <w:vAlign w:val="center"/>
          </w:tcPr>
          <w:p w14:paraId="07BCEF1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62B7A09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2.4</w:t>
            </w:r>
          </w:p>
        </w:tc>
        <w:tc>
          <w:tcPr>
            <w:tcW w:w="1937" w:type="dxa"/>
            <w:tcBorders>
              <w:left w:val="single" w:color="auto" w:sz="4" w:space="0"/>
            </w:tcBorders>
            <w:vAlign w:val="center"/>
          </w:tcPr>
          <w:p w14:paraId="799D552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《磋商文件》的澄清修改补充告知方式</w:t>
            </w:r>
          </w:p>
        </w:tc>
        <w:tc>
          <w:tcPr>
            <w:tcW w:w="6234" w:type="dxa"/>
            <w:vAlign w:val="center"/>
          </w:tcPr>
          <w:p w14:paraId="7BF48FE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见“第三章</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投标人须知”相应条款</w:t>
            </w:r>
          </w:p>
        </w:tc>
      </w:tr>
      <w:tr w14:paraId="2928B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909" w:type="dxa"/>
            <w:vMerge w:val="continue"/>
            <w:tcBorders>
              <w:left w:val="single" w:color="auto" w:sz="4" w:space="0"/>
            </w:tcBorders>
            <w:textDirection w:val="tbRlV"/>
            <w:vAlign w:val="center"/>
          </w:tcPr>
          <w:p w14:paraId="7E4F0B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3F0D92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3.2</w:t>
            </w:r>
          </w:p>
        </w:tc>
        <w:tc>
          <w:tcPr>
            <w:tcW w:w="1937" w:type="dxa"/>
            <w:tcBorders>
              <w:left w:val="single" w:color="auto" w:sz="4" w:space="0"/>
            </w:tcBorders>
            <w:vAlign w:val="center"/>
          </w:tcPr>
          <w:p w14:paraId="6055E7F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构成《响应文件》的其他材料</w:t>
            </w:r>
          </w:p>
        </w:tc>
        <w:tc>
          <w:tcPr>
            <w:tcW w:w="6234" w:type="dxa"/>
            <w:vAlign w:val="center"/>
          </w:tcPr>
          <w:p w14:paraId="094CE1B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见“第三章</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投标人须知”相应条款</w:t>
            </w:r>
          </w:p>
        </w:tc>
      </w:tr>
      <w:tr w14:paraId="366A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09" w:type="dxa"/>
            <w:vMerge w:val="continue"/>
            <w:tcBorders>
              <w:left w:val="single" w:color="auto" w:sz="4" w:space="0"/>
            </w:tcBorders>
            <w:vAlign w:val="center"/>
          </w:tcPr>
          <w:p w14:paraId="0D115FA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02DAFF6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3.4.1</w:t>
            </w:r>
          </w:p>
        </w:tc>
        <w:tc>
          <w:tcPr>
            <w:tcW w:w="1937" w:type="dxa"/>
            <w:tcBorders>
              <w:left w:val="single" w:color="auto" w:sz="4" w:space="0"/>
            </w:tcBorders>
            <w:vAlign w:val="center"/>
          </w:tcPr>
          <w:p w14:paraId="6925011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响应有效期</w:t>
            </w:r>
          </w:p>
        </w:tc>
        <w:tc>
          <w:tcPr>
            <w:tcW w:w="6234" w:type="dxa"/>
            <w:vAlign w:val="center"/>
          </w:tcPr>
          <w:p w14:paraId="5757903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从《响应文件》开启之日起，响应有效期为90</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日历天</w:t>
            </w:r>
          </w:p>
        </w:tc>
      </w:tr>
      <w:tr w14:paraId="26A75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7C3EDC0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0249C3C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3.7.3</w:t>
            </w:r>
          </w:p>
        </w:tc>
        <w:tc>
          <w:tcPr>
            <w:tcW w:w="1937" w:type="dxa"/>
            <w:tcBorders>
              <w:left w:val="single" w:color="auto" w:sz="4" w:space="0"/>
            </w:tcBorders>
            <w:vAlign w:val="center"/>
          </w:tcPr>
          <w:p w14:paraId="5877A4E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偏差描述</w:t>
            </w:r>
          </w:p>
        </w:tc>
        <w:tc>
          <w:tcPr>
            <w:tcW w:w="6234" w:type="dxa"/>
            <w:vAlign w:val="center"/>
          </w:tcPr>
          <w:p w14:paraId="7224CF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不允许负偏差</w:t>
            </w:r>
          </w:p>
        </w:tc>
      </w:tr>
      <w:tr w14:paraId="46977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3558160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5E5E664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3.7.4</w:t>
            </w:r>
          </w:p>
        </w:tc>
        <w:tc>
          <w:tcPr>
            <w:tcW w:w="1937" w:type="dxa"/>
            <w:tcBorders>
              <w:left w:val="single" w:color="auto" w:sz="4" w:space="0"/>
            </w:tcBorders>
            <w:vAlign w:val="center"/>
          </w:tcPr>
          <w:p w14:paraId="6088949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签字或盖章要求</w:t>
            </w:r>
          </w:p>
        </w:tc>
        <w:tc>
          <w:tcPr>
            <w:tcW w:w="6234" w:type="dxa"/>
            <w:vAlign w:val="center"/>
          </w:tcPr>
          <w:p w14:paraId="72BABE7A">
            <w:pPr>
              <w:keepNext w:val="0"/>
              <w:keepLines w:val="0"/>
              <w:pageBreakBefore w:val="0"/>
              <w:widowControl/>
              <w:kinsoku/>
              <w:wordWrap/>
              <w:overflowPunct/>
              <w:topLinePunct w:val="0"/>
              <w:autoSpaceDE w:val="0"/>
              <w:autoSpaceDN w:val="0"/>
              <w:bidi w:val="0"/>
              <w:adjustRightInd w:val="0"/>
              <w:snapToGrid w:val="0"/>
              <w:spacing w:before="33" w:line="189" w:lineRule="auto"/>
              <w:ind w:firstLine="119" w:firstLineChars="0"/>
              <w:outlineLvl w:val="9"/>
              <w:rPr>
                <w:rFonts w:hint="eastAsia" w:ascii="宋体" w:hAnsi="宋体" w:eastAsia="宋体" w:cs="宋体"/>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4"/>
                <w:sz w:val="24"/>
                <w:szCs w:val="24"/>
              </w:rPr>
              <w:t>见“第三章</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投标人须知”相应条款</w:t>
            </w:r>
          </w:p>
        </w:tc>
      </w:tr>
      <w:tr w14:paraId="4351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7939E3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0ED94EE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4.2.4</w:t>
            </w:r>
          </w:p>
        </w:tc>
        <w:tc>
          <w:tcPr>
            <w:tcW w:w="1937" w:type="dxa"/>
            <w:tcBorders>
              <w:left w:val="single" w:color="auto" w:sz="4" w:space="0"/>
            </w:tcBorders>
            <w:vAlign w:val="center"/>
          </w:tcPr>
          <w:p w14:paraId="5E21331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是否退还《响应文件》</w:t>
            </w:r>
          </w:p>
        </w:tc>
        <w:tc>
          <w:tcPr>
            <w:tcW w:w="6234" w:type="dxa"/>
            <w:vAlign w:val="center"/>
          </w:tcPr>
          <w:p w14:paraId="3D548823">
            <w:pPr>
              <w:keepNext w:val="0"/>
              <w:keepLines w:val="0"/>
              <w:pageBreakBefore w:val="0"/>
              <w:widowControl/>
              <w:kinsoku/>
              <w:wordWrap/>
              <w:overflowPunct/>
              <w:topLinePunct w:val="0"/>
              <w:autoSpaceDE w:val="0"/>
              <w:autoSpaceDN w:val="0"/>
              <w:bidi w:val="0"/>
              <w:adjustRightInd w:val="0"/>
              <w:snapToGrid w:val="0"/>
              <w:spacing w:before="189" w:line="189" w:lineRule="auto"/>
              <w:ind w:firstLine="123" w:firstLineChars="0"/>
              <w:outlineLvl w:val="9"/>
              <w:rPr>
                <w:rFonts w:hint="eastAsia" w:ascii="宋体" w:hAnsi="宋体" w:eastAsia="宋体" w:cs="宋体"/>
                <w:sz w:val="24"/>
                <w:szCs w:val="24"/>
                <w14:textOutline w14:w="4354" w14:cap="flat" w14:cmpd="sng">
                  <w14:solidFill>
                    <w14:srgbClr w14:val="000000"/>
                  </w14:solidFill>
                  <w14:prstDash w14:val="solid"/>
                  <w14:miter w14:val="0"/>
                </w14:textOutline>
              </w:rPr>
            </w:pPr>
            <w:r>
              <w:rPr>
                <w:rFonts w:hint="eastAsia" w:ascii="宋体" w:hAnsi="宋体" w:eastAsia="宋体" w:cs="宋体"/>
                <w:sz w:val="24"/>
                <w:szCs w:val="24"/>
              </w:rPr>
              <w:t>否</w:t>
            </w:r>
          </w:p>
        </w:tc>
      </w:tr>
      <w:tr w14:paraId="77752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6AD774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222B997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6.1</w:t>
            </w:r>
          </w:p>
        </w:tc>
        <w:tc>
          <w:tcPr>
            <w:tcW w:w="1937" w:type="dxa"/>
            <w:tcBorders>
              <w:left w:val="single" w:color="auto" w:sz="4" w:space="0"/>
            </w:tcBorders>
            <w:vAlign w:val="center"/>
          </w:tcPr>
          <w:p w14:paraId="38505CE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磋商小组的组建</w:t>
            </w:r>
          </w:p>
        </w:tc>
        <w:tc>
          <w:tcPr>
            <w:tcW w:w="6234" w:type="dxa"/>
            <w:vAlign w:val="center"/>
          </w:tcPr>
          <w:p w14:paraId="38909FDF">
            <w:pPr>
              <w:keepNext w:val="0"/>
              <w:keepLines w:val="0"/>
              <w:pageBreakBefore w:val="0"/>
              <w:widowControl/>
              <w:kinsoku/>
              <w:wordWrap/>
              <w:overflowPunct/>
              <w:topLinePunct w:val="0"/>
              <w:autoSpaceDE w:val="0"/>
              <w:autoSpaceDN w:val="0"/>
              <w:bidi w:val="0"/>
              <w:adjustRightInd w:val="0"/>
              <w:snapToGrid w:val="0"/>
              <w:spacing w:before="132" w:line="189" w:lineRule="auto"/>
              <w:ind w:firstLine="119" w:firstLineChars="0"/>
              <w:outlineLvl w:val="9"/>
              <w:rPr>
                <w:rFonts w:hint="eastAsia" w:ascii="宋体" w:hAnsi="宋体" w:eastAsia="宋体" w:cs="宋体"/>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4"/>
                <w:sz w:val="24"/>
                <w:szCs w:val="24"/>
              </w:rPr>
              <w:t>见“第三章</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投标人须知”相应条款</w:t>
            </w:r>
          </w:p>
        </w:tc>
      </w:tr>
      <w:tr w14:paraId="63EFC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66F8AC6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54B49F0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7.1</w:t>
            </w:r>
          </w:p>
        </w:tc>
        <w:tc>
          <w:tcPr>
            <w:tcW w:w="1937" w:type="dxa"/>
            <w:tcBorders>
              <w:left w:val="single" w:color="auto" w:sz="4" w:space="0"/>
            </w:tcBorders>
            <w:vAlign w:val="center"/>
          </w:tcPr>
          <w:p w14:paraId="4B57AF6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是否授权磋商小组确定成交投标人</w:t>
            </w:r>
          </w:p>
        </w:tc>
        <w:tc>
          <w:tcPr>
            <w:tcW w:w="6234" w:type="dxa"/>
            <w:vAlign w:val="center"/>
          </w:tcPr>
          <w:p w14:paraId="30E8C858">
            <w:pPr>
              <w:keepNext w:val="0"/>
              <w:keepLines w:val="0"/>
              <w:pageBreakBefore w:val="0"/>
              <w:widowControl/>
              <w:kinsoku/>
              <w:wordWrap/>
              <w:overflowPunct/>
              <w:topLinePunct w:val="0"/>
              <w:autoSpaceDE w:val="0"/>
              <w:autoSpaceDN w:val="0"/>
              <w:bidi w:val="0"/>
              <w:adjustRightInd w:val="0"/>
              <w:snapToGrid w:val="0"/>
              <w:spacing w:before="32" w:line="223" w:lineRule="auto"/>
              <w:ind w:left="117" w:leftChars="0" w:right="102" w:rightChars="0" w:firstLine="1" w:firstLineChars="0"/>
              <w:outlineLvl w:val="9"/>
              <w:rPr>
                <w:rFonts w:hint="eastAsia" w:ascii="宋体" w:hAnsi="宋体" w:eastAsia="宋体" w:cs="宋体"/>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2"/>
                <w:sz w:val="24"/>
                <w:szCs w:val="24"/>
              </w:rPr>
              <w:t>是。磋商小组按照最终评分由高到低的顺序提出</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名中</w:t>
            </w:r>
            <w:r>
              <w:rPr>
                <w:rFonts w:hint="eastAsia" w:ascii="宋体" w:hAnsi="宋体" w:eastAsia="宋体" w:cs="宋体"/>
                <w:sz w:val="24"/>
                <w:szCs w:val="24"/>
              </w:rPr>
              <w:t xml:space="preserve"> </w:t>
            </w:r>
            <w:r>
              <w:rPr>
                <w:rFonts w:hint="eastAsia" w:ascii="宋体" w:hAnsi="宋体" w:eastAsia="宋体" w:cs="宋体"/>
                <w:spacing w:val="-18"/>
                <w:sz w:val="24"/>
                <w:szCs w:val="24"/>
              </w:rPr>
              <w:t>标（成交）候选人，并确定排名第一的中标（成交）</w:t>
            </w:r>
            <w:r>
              <w:rPr>
                <w:rFonts w:hint="eastAsia" w:ascii="宋体" w:hAnsi="宋体" w:eastAsia="宋体" w:cs="宋体"/>
                <w:spacing w:val="17"/>
                <w:sz w:val="24"/>
                <w:szCs w:val="24"/>
              </w:rPr>
              <w:t xml:space="preserve"> </w:t>
            </w:r>
            <w:r>
              <w:rPr>
                <w:rFonts w:hint="eastAsia" w:ascii="宋体" w:hAnsi="宋体" w:eastAsia="宋体" w:cs="宋体"/>
                <w:spacing w:val="-18"/>
                <w:sz w:val="24"/>
                <w:szCs w:val="24"/>
              </w:rPr>
              <w:t>候选</w:t>
            </w:r>
            <w:r>
              <w:rPr>
                <w:rFonts w:hint="eastAsia" w:ascii="宋体" w:hAnsi="宋体" w:eastAsia="宋体" w:cs="宋体"/>
                <w:spacing w:val="-5"/>
                <w:sz w:val="24"/>
                <w:szCs w:val="24"/>
              </w:rPr>
              <w:t>人为中标（成交）人。</w:t>
            </w:r>
          </w:p>
        </w:tc>
      </w:tr>
      <w:tr w14:paraId="22610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2B721F9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4CA7074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7.2</w:t>
            </w:r>
          </w:p>
        </w:tc>
        <w:tc>
          <w:tcPr>
            <w:tcW w:w="1937" w:type="dxa"/>
            <w:tcBorders>
              <w:left w:val="single" w:color="auto" w:sz="4" w:space="0"/>
            </w:tcBorders>
            <w:vAlign w:val="center"/>
          </w:tcPr>
          <w:p w14:paraId="43454D5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成交结果公告</w:t>
            </w:r>
          </w:p>
        </w:tc>
        <w:tc>
          <w:tcPr>
            <w:tcW w:w="6234" w:type="dxa"/>
            <w:vAlign w:val="center"/>
          </w:tcPr>
          <w:p w14:paraId="312953E4">
            <w:pPr>
              <w:keepNext w:val="0"/>
              <w:keepLines w:val="0"/>
              <w:pageBreakBefore w:val="0"/>
              <w:widowControl/>
              <w:kinsoku/>
              <w:wordWrap/>
              <w:overflowPunct/>
              <w:topLinePunct w:val="0"/>
              <w:autoSpaceDE w:val="0"/>
              <w:autoSpaceDN w:val="0"/>
              <w:bidi w:val="0"/>
              <w:adjustRightInd w:val="0"/>
              <w:snapToGrid w:val="0"/>
              <w:spacing w:before="33" w:line="223" w:lineRule="auto"/>
              <w:ind w:left="118" w:leftChars="0" w:right="102" w:rightChars="0"/>
              <w:outlineLvl w:val="9"/>
              <w:rPr>
                <w:rFonts w:hint="eastAsia" w:ascii="宋体" w:hAnsi="宋体" w:eastAsia="宋体" w:cs="宋体"/>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6"/>
                <w:sz w:val="24"/>
                <w:szCs w:val="24"/>
              </w:rPr>
              <w:t>本次竞争性磋商的成交结果将在中标（成交）人确定</w:t>
            </w:r>
            <w:r>
              <w:rPr>
                <w:rFonts w:hint="eastAsia" w:ascii="宋体" w:hAnsi="宋体" w:eastAsia="宋体" w:cs="宋体"/>
                <w:spacing w:val="-6"/>
                <w:sz w:val="24"/>
                <w:szCs w:val="24"/>
                <w:lang w:val="en-US" w:eastAsia="zh-CN"/>
              </w:rPr>
              <w:t>当日</w:t>
            </w:r>
            <w:r>
              <w:rPr>
                <w:rFonts w:hint="eastAsia" w:ascii="宋体" w:hAnsi="宋体" w:eastAsia="宋体" w:cs="宋体"/>
                <w:spacing w:val="-9"/>
                <w:sz w:val="24"/>
                <w:szCs w:val="24"/>
              </w:rPr>
              <w:t>，在竞争性磋商公告所述媒介公告1个工</w:t>
            </w:r>
            <w:r>
              <w:rPr>
                <w:rFonts w:hint="eastAsia" w:ascii="宋体" w:hAnsi="宋体" w:eastAsia="宋体" w:cs="宋体"/>
                <w:spacing w:val="-11"/>
                <w:sz w:val="24"/>
                <w:szCs w:val="24"/>
              </w:rPr>
              <w:t>作日。</w:t>
            </w:r>
          </w:p>
        </w:tc>
      </w:tr>
      <w:tr w14:paraId="6158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4BB6404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212D4C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7.3</w:t>
            </w:r>
          </w:p>
        </w:tc>
        <w:tc>
          <w:tcPr>
            <w:tcW w:w="1937" w:type="dxa"/>
            <w:tcBorders>
              <w:left w:val="single" w:color="auto" w:sz="4" w:space="0"/>
            </w:tcBorders>
            <w:vAlign w:val="center"/>
          </w:tcPr>
          <w:p w14:paraId="4D569AD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p w14:paraId="41B600C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p w14:paraId="37A3BBD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p w14:paraId="6DE02F2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质疑</w:t>
            </w:r>
          </w:p>
        </w:tc>
        <w:tc>
          <w:tcPr>
            <w:tcW w:w="6234" w:type="dxa"/>
            <w:vAlign w:val="center"/>
          </w:tcPr>
          <w:p w14:paraId="6C989533">
            <w:pPr>
              <w:keepNext w:val="0"/>
              <w:keepLines w:val="0"/>
              <w:pageBreakBefore w:val="0"/>
              <w:widowControl/>
              <w:kinsoku/>
              <w:wordWrap/>
              <w:overflowPunct/>
              <w:topLinePunct w:val="0"/>
              <w:autoSpaceDE w:val="0"/>
              <w:autoSpaceDN w:val="0"/>
              <w:bidi w:val="0"/>
              <w:adjustRightInd w:val="0"/>
              <w:snapToGrid w:val="0"/>
              <w:spacing w:before="90" w:line="268" w:lineRule="auto"/>
              <w:ind w:left="112" w:leftChars="0" w:right="34" w:rightChars="0" w:firstLine="9" w:firstLineChars="0"/>
              <w:jc w:val="both"/>
              <w:outlineLvl w:val="9"/>
              <w:rPr>
                <w:rFonts w:hint="eastAsia" w:ascii="宋体" w:hAnsi="宋体" w:eastAsia="宋体" w:cs="宋体"/>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7"/>
                <w:sz w:val="24"/>
                <w:szCs w:val="24"/>
              </w:rPr>
              <w:t>参与本次采购活动的投标人如有异议，可在各环节法定质</w:t>
            </w:r>
            <w:r>
              <w:rPr>
                <w:rFonts w:hint="eastAsia" w:ascii="宋体" w:hAnsi="宋体" w:eastAsia="宋体" w:cs="宋体"/>
                <w:sz w:val="24"/>
                <w:szCs w:val="24"/>
              </w:rPr>
              <w:t>疑期内向采购代理机构一次性提出针对该采购程序环节的</w:t>
            </w:r>
            <w:r>
              <w:rPr>
                <w:rFonts w:hint="eastAsia" w:ascii="宋体" w:hAnsi="宋体" w:eastAsia="宋体" w:cs="宋体"/>
                <w:spacing w:val="-8"/>
                <w:sz w:val="24"/>
                <w:szCs w:val="24"/>
              </w:rPr>
              <w:t>书面质疑函，书面原件送达至磋商文件列示的采购代理机</w:t>
            </w:r>
            <w:r>
              <w:rPr>
                <w:rFonts w:hint="eastAsia" w:ascii="宋体" w:hAnsi="宋体" w:eastAsia="宋体" w:cs="宋体"/>
                <w:spacing w:val="-14"/>
                <w:sz w:val="24"/>
                <w:szCs w:val="24"/>
              </w:rPr>
              <w:t>构及采购单位联系人处；依据法规规定，质疑函应当有明</w:t>
            </w:r>
            <w:r>
              <w:rPr>
                <w:rFonts w:hint="eastAsia" w:ascii="宋体" w:hAnsi="宋体" w:eastAsia="宋体" w:cs="宋体"/>
                <w:spacing w:val="-11"/>
                <w:sz w:val="24"/>
                <w:szCs w:val="24"/>
              </w:rPr>
              <w:t>确的请求和必要的证明材料，应当包括下列内容：1</w:t>
            </w:r>
            <w:r>
              <w:rPr>
                <w:rFonts w:hint="eastAsia" w:ascii="宋体" w:hAnsi="宋体" w:eastAsia="宋体" w:cs="宋体"/>
                <w:spacing w:val="-14"/>
                <w:sz w:val="24"/>
                <w:szCs w:val="24"/>
              </w:rPr>
              <w:t>、投标人的姓名或者名称、地址、邮编、联系人及联系电话；2、质疑项目的名称、编号；3、具体、明确的质疑事项和与质疑事项相关的请求；4、事实依据；5、必要的法律依据；6、提出质疑的日期。投标人为自然人的，应当由本人签字；投标人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1724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3A3DCA9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7B832D5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7.4</w:t>
            </w:r>
          </w:p>
        </w:tc>
        <w:tc>
          <w:tcPr>
            <w:tcW w:w="1937" w:type="dxa"/>
            <w:tcBorders>
              <w:left w:val="single" w:color="auto" w:sz="4" w:space="0"/>
            </w:tcBorders>
            <w:vAlign w:val="center"/>
          </w:tcPr>
          <w:p w14:paraId="27A3E2C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成交通知书</w:t>
            </w:r>
          </w:p>
        </w:tc>
        <w:tc>
          <w:tcPr>
            <w:tcW w:w="6234" w:type="dxa"/>
            <w:vAlign w:val="center"/>
          </w:tcPr>
          <w:p w14:paraId="1CADE375">
            <w:pPr>
              <w:keepNext w:val="0"/>
              <w:keepLines w:val="0"/>
              <w:pageBreakBefore w:val="0"/>
              <w:widowControl/>
              <w:kinsoku/>
              <w:wordWrap/>
              <w:overflowPunct/>
              <w:topLinePunct w:val="0"/>
              <w:autoSpaceDE w:val="0"/>
              <w:autoSpaceDN w:val="0"/>
              <w:bidi w:val="0"/>
              <w:adjustRightInd w:val="0"/>
              <w:snapToGrid w:val="0"/>
              <w:spacing w:before="40" w:line="214" w:lineRule="auto"/>
              <w:ind w:left="148" w:leftChars="0" w:right="102" w:rightChars="0" w:hanging="29" w:firstLineChars="0"/>
              <w:outlineLvl w:val="9"/>
              <w:rPr>
                <w:rFonts w:hint="eastAsia" w:ascii="宋体" w:hAnsi="宋体" w:eastAsia="宋体" w:cs="宋体"/>
                <w:sz w:val="24"/>
                <w:szCs w:val="24"/>
                <w14:textOutline w14:w="4354" w14:cap="flat" w14:cmpd="sng">
                  <w14:solidFill>
                    <w14:srgbClr w14:val="000000"/>
                  </w14:solidFill>
                  <w14:prstDash w14:val="solid"/>
                  <w14:miter w14:val="0"/>
                </w14:textOutline>
              </w:rPr>
            </w:pPr>
            <w:r>
              <w:rPr>
                <w:rFonts w:hint="eastAsia" w:ascii="宋体" w:hAnsi="宋体" w:eastAsia="宋体" w:cs="宋体"/>
                <w:sz w:val="24"/>
                <w:szCs w:val="24"/>
              </w:rPr>
              <w:t>采购代理机构在中标（成交）人确定</w:t>
            </w:r>
            <w:r>
              <w:rPr>
                <w:rFonts w:hint="eastAsia" w:ascii="宋体" w:hAnsi="宋体" w:eastAsia="宋体" w:cs="宋体"/>
                <w:sz w:val="24"/>
                <w:szCs w:val="24"/>
                <w:lang w:val="en-US" w:eastAsia="zh-CN"/>
              </w:rPr>
              <w:t>后当日内</w:t>
            </w:r>
            <w:r>
              <w:rPr>
                <w:rFonts w:hint="eastAsia" w:ascii="宋体" w:hAnsi="宋体" w:eastAsia="宋体" w:cs="宋体"/>
                <w:sz w:val="24"/>
                <w:szCs w:val="24"/>
              </w:rPr>
              <w:t>，向中标（成交）人发出成交通知书。</w:t>
            </w:r>
          </w:p>
        </w:tc>
      </w:tr>
      <w:tr w14:paraId="4AA20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1AAFBD2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74D3A5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7.5</w:t>
            </w:r>
          </w:p>
        </w:tc>
        <w:tc>
          <w:tcPr>
            <w:tcW w:w="1937" w:type="dxa"/>
            <w:tcBorders>
              <w:left w:val="single" w:color="auto" w:sz="4" w:space="0"/>
            </w:tcBorders>
            <w:vAlign w:val="center"/>
          </w:tcPr>
          <w:p w14:paraId="1C838CD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履约保证金</w:t>
            </w:r>
          </w:p>
        </w:tc>
        <w:tc>
          <w:tcPr>
            <w:tcW w:w="6234" w:type="dxa"/>
            <w:vAlign w:val="center"/>
          </w:tcPr>
          <w:p w14:paraId="43D3C6D2">
            <w:pPr>
              <w:keepNext w:val="0"/>
              <w:keepLines w:val="0"/>
              <w:pageBreakBefore w:val="0"/>
              <w:widowControl/>
              <w:kinsoku/>
              <w:wordWrap/>
              <w:overflowPunct/>
              <w:topLinePunct w:val="0"/>
              <w:autoSpaceDE w:val="0"/>
              <w:autoSpaceDN w:val="0"/>
              <w:bidi w:val="0"/>
              <w:adjustRightInd w:val="0"/>
              <w:snapToGrid w:val="0"/>
              <w:spacing w:before="110" w:line="189" w:lineRule="auto"/>
              <w:ind w:firstLine="120" w:firstLineChars="0"/>
              <w:outlineLvl w:val="9"/>
              <w:rPr>
                <w:rFonts w:hint="eastAsia" w:ascii="宋体" w:hAnsi="宋体" w:eastAsia="宋体" w:cs="宋体"/>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4"/>
                <w:sz w:val="24"/>
                <w:szCs w:val="24"/>
              </w:rPr>
              <w:t>无需缴纳</w:t>
            </w:r>
          </w:p>
        </w:tc>
      </w:tr>
      <w:tr w14:paraId="3609A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909" w:type="dxa"/>
            <w:vMerge w:val="continue"/>
            <w:tcBorders>
              <w:left w:val="single" w:color="auto" w:sz="4" w:space="0"/>
            </w:tcBorders>
            <w:vAlign w:val="center"/>
          </w:tcPr>
          <w:p w14:paraId="5B7BAE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2432170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8</w:t>
            </w:r>
          </w:p>
        </w:tc>
        <w:tc>
          <w:tcPr>
            <w:tcW w:w="1937" w:type="dxa"/>
            <w:tcBorders>
              <w:left w:val="single" w:color="auto" w:sz="4" w:space="0"/>
            </w:tcBorders>
            <w:vAlign w:val="center"/>
          </w:tcPr>
          <w:p w14:paraId="5774996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验收</w:t>
            </w:r>
          </w:p>
        </w:tc>
        <w:tc>
          <w:tcPr>
            <w:tcW w:w="6234" w:type="dxa"/>
            <w:vAlign w:val="center"/>
          </w:tcPr>
          <w:p w14:paraId="4621F182">
            <w:pPr>
              <w:keepNext w:val="0"/>
              <w:keepLines w:val="0"/>
              <w:pageBreakBefore w:val="0"/>
              <w:widowControl/>
              <w:kinsoku/>
              <w:wordWrap/>
              <w:overflowPunct/>
              <w:topLinePunct w:val="0"/>
              <w:autoSpaceDE w:val="0"/>
              <w:autoSpaceDN w:val="0"/>
              <w:bidi w:val="0"/>
              <w:adjustRightInd w:val="0"/>
              <w:snapToGrid w:val="0"/>
              <w:spacing w:before="110" w:line="189" w:lineRule="auto"/>
              <w:ind w:firstLine="119" w:firstLineChars="0"/>
              <w:outlineLvl w:val="9"/>
              <w:rPr>
                <w:rFonts w:hint="eastAsia" w:ascii="宋体" w:hAnsi="宋体" w:eastAsia="宋体" w:cs="宋体"/>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2"/>
                <w:sz w:val="24"/>
                <w:szCs w:val="24"/>
              </w:rPr>
              <w:t>见“第三章投标人须知”相应条款</w:t>
            </w:r>
          </w:p>
        </w:tc>
      </w:tr>
      <w:tr w14:paraId="01A6F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6CEA05D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69A3FAB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9</w:t>
            </w:r>
          </w:p>
        </w:tc>
        <w:tc>
          <w:tcPr>
            <w:tcW w:w="1937" w:type="dxa"/>
            <w:tcBorders>
              <w:left w:val="single" w:color="auto" w:sz="4" w:space="0"/>
            </w:tcBorders>
            <w:shd w:val="clear" w:color="auto" w:fill="auto"/>
            <w:vAlign w:val="center"/>
          </w:tcPr>
          <w:p w14:paraId="119A0B6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color w:val="0000FF"/>
                <w:spacing w:val="-1"/>
                <w:sz w:val="24"/>
                <w:szCs w:val="24"/>
              </w:rPr>
            </w:pPr>
            <w:r>
              <w:rPr>
                <w:rFonts w:hint="eastAsia" w:ascii="宋体" w:hAnsi="宋体" w:eastAsia="宋体" w:cs="宋体"/>
                <w:color w:val="auto"/>
                <w:spacing w:val="-1"/>
                <w:sz w:val="24"/>
                <w:szCs w:val="24"/>
              </w:rPr>
              <w:t>付款</w:t>
            </w:r>
          </w:p>
        </w:tc>
        <w:tc>
          <w:tcPr>
            <w:tcW w:w="6234" w:type="dxa"/>
            <w:shd w:val="clear" w:color="auto" w:fill="auto"/>
            <w:vAlign w:val="center"/>
          </w:tcPr>
          <w:p w14:paraId="61EAFEB4">
            <w:pPr>
              <w:keepNext w:val="0"/>
              <w:keepLines w:val="0"/>
              <w:pageBreakBefore w:val="0"/>
              <w:widowControl/>
              <w:kinsoku/>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进一步优化营商环境，根据安财购(2022)8号文件落实政府采购中小企业预付款的规定，采购人可在政府采购合同签订后，向成交供应商原则上预付不低于年度合同金额50%的预付款，成交供应商应向采购人提交预付款保函，未提供保函的，视同其放弃项目预付款的支付。</w:t>
            </w:r>
          </w:p>
          <w:p w14:paraId="75980CE6">
            <w:pPr>
              <w:keepNext w:val="0"/>
              <w:keepLines w:val="0"/>
              <w:pageBreakBefore w:val="0"/>
              <w:widowControl/>
              <w:kinsoku/>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中标单位持采购单位及专家等出具的《政府采购验收报告》及中标单位填写的《政府采购资金支付申请书》，作为付款依据，报同级财政局政府采购管理办公室审核确认。</w:t>
            </w:r>
          </w:p>
          <w:p w14:paraId="4D2A795E">
            <w:pPr>
              <w:keepNext w:val="0"/>
              <w:keepLines w:val="0"/>
              <w:pageBreakBefore w:val="0"/>
              <w:widowControl/>
              <w:kinsoku/>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按月进度付款，每月上报工程量经甲方验收合格后，乙方开具正规增值税普通发票后，支付工程量的50%，工程竣工验收后付不超合同价款的90%，剩余工程款按照财政评审审定金额支付至 97%。剩余3</w:t>
            </w:r>
            <w:r>
              <w:rPr>
                <w:rFonts w:hint="eastAsia" w:ascii="宋体" w:hAnsi="宋体" w:eastAsia="宋体" w:cs="宋体"/>
                <w:color w:val="auto"/>
                <w:sz w:val="24"/>
                <w:szCs w:val="24"/>
                <w:highlight w:val="none"/>
                <w:lang w:val="en-US" w:eastAsia="zh-CN"/>
              </w:rPr>
              <w:t>%作为质保金，质保期一年，到期复验合格后一次性无息付清。</w:t>
            </w:r>
          </w:p>
          <w:p w14:paraId="516FC96C">
            <w:pPr>
              <w:keepNext w:val="0"/>
              <w:keepLines w:val="0"/>
              <w:pageBreakBefore w:val="0"/>
              <w:widowControl/>
              <w:kinsoku/>
              <w:wordWrap/>
              <w:overflowPunct/>
              <w:topLinePunct w:val="0"/>
              <w:autoSpaceDE w:val="0"/>
              <w:autoSpaceDN w:val="0"/>
              <w:bidi w:val="0"/>
              <w:adjustRightInd w:val="0"/>
              <w:snapToGrid w:val="0"/>
              <w:spacing w:line="240" w:lineRule="auto"/>
              <w:ind w:firstLine="480" w:firstLineChars="200"/>
              <w:jc w:val="both"/>
              <w:textAlignment w:val="baseline"/>
              <w:rPr>
                <w:rFonts w:hint="default" w:ascii="宋体" w:hAnsi="宋体" w:eastAsia="宋体" w:cs="宋体"/>
                <w:color w:val="0000FF"/>
                <w:sz w:val="24"/>
                <w:szCs w:val="24"/>
                <w:lang w:val="en-US" w:eastAsia="zh-CN"/>
                <w14:textOutline w14:w="4354"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lang w:val="en-US" w:eastAsia="zh-CN"/>
              </w:rPr>
              <w:t>如财政资金不到位，由施工方全额垫资，不拖欠农民工工资，待财政资金到位后一次性无息付清工程款。施工方案中提供承诺函。</w:t>
            </w:r>
          </w:p>
        </w:tc>
      </w:tr>
      <w:tr w14:paraId="7CAA3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7C7754A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785C3CD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10.1</w:t>
            </w:r>
          </w:p>
        </w:tc>
        <w:tc>
          <w:tcPr>
            <w:tcW w:w="1937" w:type="dxa"/>
            <w:tcBorders>
              <w:left w:val="single" w:color="auto" w:sz="4" w:space="0"/>
            </w:tcBorders>
            <w:vAlign w:val="center"/>
          </w:tcPr>
          <w:p w14:paraId="719A90DB">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代理服务费</w:t>
            </w:r>
          </w:p>
        </w:tc>
        <w:tc>
          <w:tcPr>
            <w:tcW w:w="6234" w:type="dxa"/>
            <w:vAlign w:val="center"/>
          </w:tcPr>
          <w:p w14:paraId="120F56D2">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参照《河南省招标代理服务收费指导意见》豫招办[2023]002号文件中招标代理服务收费标准收取，中标（成交）供应商在领取中标（成交）通知书前向采购代理机构一次性交纳¥3500代理服务费。</w:t>
            </w:r>
          </w:p>
        </w:tc>
      </w:tr>
      <w:tr w14:paraId="11A2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tcBorders>
            <w:vAlign w:val="center"/>
          </w:tcPr>
          <w:p w14:paraId="2191560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right w:val="single" w:color="auto" w:sz="4" w:space="0"/>
            </w:tcBorders>
            <w:vAlign w:val="center"/>
          </w:tcPr>
          <w:p w14:paraId="79A255A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11</w:t>
            </w:r>
          </w:p>
        </w:tc>
        <w:tc>
          <w:tcPr>
            <w:tcW w:w="1937" w:type="dxa"/>
            <w:tcBorders>
              <w:left w:val="single" w:color="auto" w:sz="4" w:space="0"/>
            </w:tcBorders>
            <w:vAlign w:val="center"/>
          </w:tcPr>
          <w:p w14:paraId="69B9816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color w:val="0000FF"/>
                <w:spacing w:val="-1"/>
                <w:sz w:val="24"/>
                <w:szCs w:val="24"/>
              </w:rPr>
            </w:pPr>
            <w:r>
              <w:rPr>
                <w:rFonts w:hint="eastAsia" w:ascii="宋体" w:hAnsi="宋体" w:eastAsia="宋体" w:cs="宋体"/>
                <w:color w:val="auto"/>
                <w:spacing w:val="-1"/>
                <w:sz w:val="24"/>
                <w:szCs w:val="24"/>
              </w:rPr>
              <w:t>招标控制价</w:t>
            </w:r>
          </w:p>
        </w:tc>
        <w:tc>
          <w:tcPr>
            <w:tcW w:w="6234" w:type="dxa"/>
            <w:vAlign w:val="center"/>
          </w:tcPr>
          <w:p w14:paraId="711E96AB">
            <w:pPr>
              <w:keepNext w:val="0"/>
              <w:keepLines w:val="0"/>
              <w:widowControl/>
              <w:suppressLineNumbers w:val="0"/>
              <w:jc w:val="left"/>
              <w:rPr>
                <w:rFonts w:hint="eastAsia" w:ascii="宋体" w:hAnsi="宋体" w:eastAsia="宋体" w:cs="宋体"/>
                <w:color w:val="0000FF"/>
                <w:sz w:val="24"/>
                <w:szCs w:val="24"/>
                <w:lang w:eastAsia="zh-CN"/>
                <w14:textOutline w14:w="4354" w14:cap="flat" w14:cmpd="sng">
                  <w14:solidFill>
                    <w14:srgbClr w14:val="000000"/>
                  </w14:solidFill>
                  <w14:prstDash w14:val="solid"/>
                  <w14:miter w14:val="0"/>
                </w14:textOutline>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253698.06</w:t>
            </w:r>
            <w:r>
              <w:rPr>
                <w:rFonts w:hint="eastAsia" w:ascii="宋体" w:hAnsi="宋体" w:eastAsia="宋体" w:cs="宋体"/>
                <w:sz w:val="24"/>
                <w:szCs w:val="24"/>
                <w:lang w:val="en-US" w:eastAsia="zh-CN"/>
              </w:rPr>
              <w:t>元</w:t>
            </w:r>
          </w:p>
        </w:tc>
      </w:tr>
      <w:tr w14:paraId="2CF3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909" w:type="dxa"/>
            <w:vMerge w:val="continue"/>
            <w:tcBorders>
              <w:left w:val="single" w:color="auto" w:sz="4" w:space="0"/>
              <w:bottom w:val="single" w:color="auto" w:sz="4" w:space="0"/>
            </w:tcBorders>
            <w:vAlign w:val="center"/>
          </w:tcPr>
          <w:p w14:paraId="575F14B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p>
        </w:tc>
        <w:tc>
          <w:tcPr>
            <w:tcW w:w="1069" w:type="dxa"/>
            <w:tcBorders>
              <w:bottom w:val="single" w:color="auto" w:sz="4" w:space="0"/>
              <w:right w:val="single" w:color="auto" w:sz="4" w:space="0"/>
            </w:tcBorders>
            <w:vAlign w:val="center"/>
          </w:tcPr>
          <w:p w14:paraId="79DCC07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12</w:t>
            </w:r>
          </w:p>
        </w:tc>
        <w:tc>
          <w:tcPr>
            <w:tcW w:w="1937" w:type="dxa"/>
            <w:tcBorders>
              <w:left w:val="single" w:color="auto" w:sz="4" w:space="0"/>
            </w:tcBorders>
            <w:vAlign w:val="center"/>
          </w:tcPr>
          <w:p w14:paraId="15A14FF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宋体" w:hAnsi="宋体" w:eastAsia="宋体" w:cs="宋体"/>
                <w:spacing w:val="-1"/>
                <w:sz w:val="24"/>
                <w:szCs w:val="24"/>
              </w:rPr>
            </w:pPr>
            <w:r>
              <w:rPr>
                <w:rFonts w:hint="eastAsia" w:ascii="宋体" w:hAnsi="宋体" w:eastAsia="宋体" w:cs="宋体"/>
                <w:sz w:val="24"/>
                <w:szCs w:val="24"/>
                <w:lang w:val="en-US" w:eastAsia="zh-CN"/>
              </w:rPr>
              <w:t>中小企业划分标准所属行业</w:t>
            </w:r>
          </w:p>
        </w:tc>
        <w:tc>
          <w:tcPr>
            <w:tcW w:w="6234" w:type="dxa"/>
            <w:vAlign w:val="center"/>
          </w:tcPr>
          <w:p w14:paraId="1C77B48E">
            <w:pPr>
              <w:keepNext w:val="0"/>
              <w:keepLines w:val="0"/>
              <w:pageBreakBefore w:val="0"/>
              <w:widowControl/>
              <w:kinsoku/>
              <w:wordWrap/>
              <w:overflowPunct/>
              <w:topLinePunct w:val="0"/>
              <w:autoSpaceDE w:val="0"/>
              <w:autoSpaceDN w:val="0"/>
              <w:bidi w:val="0"/>
              <w:adjustRightInd w:val="0"/>
              <w:snapToGrid w:val="0"/>
              <w:spacing w:before="41" w:line="189" w:lineRule="auto"/>
              <w:ind w:firstLine="128" w:firstLineChars="0"/>
              <w:jc w:val="left"/>
              <w:outlineLvl w:val="9"/>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工信部联企业[2011]300号文件中的建筑业。</w:t>
            </w:r>
          </w:p>
        </w:tc>
      </w:tr>
    </w:tbl>
    <w:p w14:paraId="3B501D81">
      <w:pPr>
        <w:keepNext w:val="0"/>
        <w:keepLines w:val="0"/>
        <w:pageBreakBefore w:val="0"/>
        <w:widowControl/>
        <w:kinsoku/>
        <w:wordWrap/>
        <w:overflowPunct/>
        <w:topLinePunct w:val="0"/>
        <w:autoSpaceDE w:val="0"/>
        <w:autoSpaceDN w:val="0"/>
        <w:bidi w:val="0"/>
        <w:adjustRightInd w:val="0"/>
        <w:snapToGrid w:val="0"/>
        <w:spacing w:line="89" w:lineRule="auto"/>
        <w:outlineLvl w:val="9"/>
        <w:rPr>
          <w:rFonts w:hint="eastAsia" w:ascii="宋体" w:hAnsi="宋体" w:eastAsia="宋体" w:cs="宋体"/>
          <w:sz w:val="2"/>
        </w:rPr>
      </w:pPr>
    </w:p>
    <w:p w14:paraId="3BF1CDF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61183D7C">
      <w:pPr>
        <w:keepNext w:val="0"/>
        <w:keepLines w:val="0"/>
        <w:pageBreakBefore w:val="0"/>
        <w:widowControl/>
        <w:kinsoku/>
        <w:wordWrap/>
        <w:overflowPunct/>
        <w:topLinePunct w:val="0"/>
        <w:autoSpaceDE w:val="0"/>
        <w:autoSpaceDN w:val="0"/>
        <w:bidi w:val="0"/>
        <w:adjustRightInd w:val="0"/>
        <w:snapToGrid w:val="0"/>
        <w:spacing w:line="89" w:lineRule="auto"/>
        <w:outlineLvl w:val="9"/>
        <w:rPr>
          <w:rFonts w:hint="eastAsia" w:ascii="宋体" w:hAnsi="宋体" w:eastAsia="宋体" w:cs="宋体"/>
          <w:sz w:val="2"/>
        </w:rPr>
      </w:pPr>
    </w:p>
    <w:p w14:paraId="05BFA55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总则</w:t>
      </w:r>
    </w:p>
    <w:p w14:paraId="4580344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根据《中华人民共和国政府采购法》、《中华人民共和国政府采购法实施条例》、《政府采购竞争性磋商采购方式管理暂行办法》及相关政府采购法律法规等制定本文件。</w:t>
      </w:r>
    </w:p>
    <w:p w14:paraId="7F29A6D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《磋商文件》的法律适用及法律效力</w:t>
      </w:r>
    </w:p>
    <w:p w14:paraId="71B2CB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本《磋商文件》所述内容，仅适用于本次项目采购。</w:t>
      </w:r>
    </w:p>
    <w:p w14:paraId="77F5EA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1.2.2 《磋商文件》的修改性文件、补充文件、澄清文件或说明具有同等法律效力。</w:t>
      </w:r>
    </w:p>
    <w:p w14:paraId="25439B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1.2.3 本《磋商文件》适用于并执行《政府采购法》和其它相关的法律、法规。</w:t>
      </w:r>
    </w:p>
    <w:p w14:paraId="2E27B5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1.2.4 本《磋商文件》的解释权属采购人及代理机构。</w:t>
      </w:r>
    </w:p>
    <w:p w14:paraId="7464C6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1.3 合格的投标人</w:t>
      </w:r>
    </w:p>
    <w:p w14:paraId="39F6604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1.3.1 凡符合《磋商文件》规定，承认本《磋商文件》所有内容的投标人为合格的投标人。</w:t>
      </w:r>
    </w:p>
    <w:p w14:paraId="36ED55E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1.3.2 单位负责人为同一人或者存在直接控股、管理关系的不同投标人，不得参加同一合同项下的政府采购活动。</w:t>
      </w:r>
    </w:p>
    <w:p w14:paraId="6A18A6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1.3.3 为采购项目提供整体设计、规范编制或者项目管理、监理、检测等服务的投标人，不得再参加该采购项目的其他采购活动。</w:t>
      </w:r>
    </w:p>
    <w:p w14:paraId="2D0151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1.3.4 投标人应遵守国家法律、法规和《磋商文件》的规定。</w:t>
      </w:r>
    </w:p>
    <w:p w14:paraId="4D6945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1.4 联合体</w:t>
      </w:r>
    </w:p>
    <w:p w14:paraId="7292D5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如投标人须知前附表规定接受联合体投标的，应遵守以下规定：</w:t>
      </w:r>
    </w:p>
    <w:p w14:paraId="44F9B2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两个以上的自然人、法人或者其他组织组成一个联合体，以一个投标人的身份共同参加政府采购活动的，应当对所有的联合体成员进行信用记录查询，联合体成员存在不良信用记录的，视同联合体存在不良信用记录。</w:t>
      </w:r>
    </w:p>
    <w:p w14:paraId="5AA345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（2）两个以上投标人可以组成一个投标联合体，以一个投标人的身份投标，但必须确定其中一个单位为投标的全权代表参加投标活动，并承担投标及履约中应承担的全部责任和义务。</w:t>
      </w:r>
    </w:p>
    <w:p w14:paraId="7225A8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以联合体形式参加投标的，应符投标人须知前附表的要求，联合体各方均应当符合政府采购法第二十二条第一款规定的条件，联合体各方均应当具备承担采购项目（标段）的相应能力、具备规定的相应资格条件。全权代表一方的条件应符合投标资格要求。</w:t>
      </w:r>
    </w:p>
    <w:p w14:paraId="3A74FB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（4）联合体中有同类资质的投标人按照联合体分工承担相同工作的，应当按照资质等级较低的投标人确定资质等级。</w:t>
      </w:r>
    </w:p>
    <w:p w14:paraId="4D7105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（5）联合体各方之间应当签订联合投标协议，明确约定联合体各方承担的工作和相应的责任，并将联合投标协议连同《响应文件》一并提交采购代理机构。</w:t>
      </w:r>
    </w:p>
    <w:p w14:paraId="4040DE8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（6）联合体各方签订联合投标协议后，不得再以自己名义单独在同一项目中投标，也不得组成新的联合体参加同一项目投标。</w:t>
      </w:r>
    </w:p>
    <w:p w14:paraId="4E247F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（7）联合体中标（成交）的，联合体各方应当共同与采购人签订合同，就中标（成交）项目（标段）向采购人承担连带责任。</w:t>
      </w:r>
    </w:p>
    <w:p w14:paraId="07DB3E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1.5 知识产权</w:t>
      </w:r>
    </w:p>
    <w:p w14:paraId="562200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1.5.1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响应的知识产权，则在投标报价中必须包括合法获取该知识产权的一切相关费用。如因此导致采购人损失的，投标人须承担全部赔偿责任。</w:t>
      </w:r>
    </w:p>
    <w:p w14:paraId="722656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1.5.2 投标人如欲在项目实施过程中采用自有知识成果，须在投标文件中声明，并提供相关知识产权证明文件。使用该知识成果后，投标人须提供开发接口和开发手册等技术文档。</w:t>
      </w:r>
    </w:p>
    <w:p w14:paraId="75ABF1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1.6 费用</w:t>
      </w:r>
    </w:p>
    <w:p w14:paraId="3C0635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无论磋商过程中的做法和结果如何，无论何种原因的磋商失败或终止，投标人应自行承担所有与准备和参加磋商有关的全部费用（类比商业采购中的客户洽谈费用），采购代理机构在任何情况下均无义务和责任承担投标人的任何费用。</w:t>
      </w:r>
    </w:p>
    <w:p w14:paraId="12C642F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1.7 保密</w:t>
      </w:r>
    </w:p>
    <w:p w14:paraId="4059C3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1.7.1 参与竞争性磋商活动的各方应对《磋商文件》和《响应文件》中的商业和技术等秘密保密，投标人应在《响应文件》中对需保密事项予以书面声明，否则视为非保密事项。</w:t>
      </w:r>
    </w:p>
    <w:p w14:paraId="58BA0F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1.7.2 依据政府采购成交结果及合同公告规定，成交（合同）标的名称、规格型号、单价及成交（合同）金额等内容不得作为商业秘密。</w:t>
      </w:r>
    </w:p>
    <w:p w14:paraId="3D6F17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1.8 语言文字</w:t>
      </w:r>
    </w:p>
    <w:p w14:paraId="2C7D32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除专用术语外，与竞争性磋商有关的语言均使用中文。必要时专用术语应附有中文注释。如果《响应文件》或与投标有关的其它文件、信件及来往函电以其它语言书写，投标人应将其译成中文，并对中文译稿的真实、准确、完整承担责任。</w:t>
      </w:r>
    </w:p>
    <w:p w14:paraId="16E4408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1.9 计量单位</w:t>
      </w:r>
    </w:p>
    <w:p w14:paraId="78E4EB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7E0B09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1.10 踏勘现场</w:t>
      </w:r>
    </w:p>
    <w:p w14:paraId="795D569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投标人踏勘现场发生的费用自理，投标人自行负责在踏勘现场中所发生的人员伤亡和财产损失。</w:t>
      </w:r>
    </w:p>
    <w:p w14:paraId="5A0C78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须知前附表规定组织踏勘现场的，采购人及代理机构按投标人须知前附表规定的时间、地点组织投标人踏勘项目现场。采购人及代理机构在踏勘现场中介绍的施工条件和相关的周边环境情况，供投标人在编制《响应文件》时参考，采购人及代理机构不对投标人据此作出的判断和决策负责。</w:t>
      </w:r>
    </w:p>
    <w:p w14:paraId="71CD7E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1.10.3 投标人须知前附表规定不组织踏勘现场的，《磋商文件》不单独提供交验地自然环境、气候条件、交验安装条件等情况说明，投标人被视为熟悉前述与履行合同有关的一切情况，投标人可自行踏勘现场并自行了解相关情况。</w:t>
      </w:r>
    </w:p>
    <w:p w14:paraId="5EDBB54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1.11 投标预备会</w:t>
      </w:r>
    </w:p>
    <w:p w14:paraId="7351DDD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1.11.1 投标人须知前附表规定召开投标预备会的，采购人及代理机构按投标人须知前附表规定的时间和地点召开投标预备会，澄清投标人提出的问题。</w:t>
      </w:r>
    </w:p>
    <w:p w14:paraId="73DE8A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1.11.2 投标人应在投标人须知前附表规定的时间前，以书面形式将提出的问题送达采购人及代理机构，以便采购人及代理机构在会议期间澄清。</w:t>
      </w:r>
    </w:p>
    <w:p w14:paraId="25EE6D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1.11.3 投标预备会后，采购人及代理机构在投标人须知前附表规定的时间内，将对投标人所提问题的澄清，以本章2.3.2项方式通告潜在投标人。该澄清内容为《磋商文件》的组成部分。</w:t>
      </w:r>
    </w:p>
    <w:p w14:paraId="7AC7854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1.12 分包</w:t>
      </w:r>
    </w:p>
    <w:p w14:paraId="4076F4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投标人拟在成交后将成交项目(标段)的部分非主体、非关键性工作进行分包的，应符合投标人须知前附表规定的分包内容、分包金额和接受分包的第三人资质要求等限制性条件。</w:t>
      </w:r>
    </w:p>
    <w:p w14:paraId="342193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1.13 偏离</w:t>
      </w:r>
    </w:p>
    <w:p w14:paraId="5D0863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《磋商文件》允许《响应文件》偏离《磋商文件》某些要求的，偏离应当符合《磋商文件》规定的偏离范围和幅度。</w:t>
      </w:r>
    </w:p>
    <w:p w14:paraId="2822DD63">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《磋商文件》</w:t>
      </w:r>
    </w:p>
    <w:p w14:paraId="151B4A4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《磋商文件》的组成：</w:t>
      </w:r>
    </w:p>
    <w:p w14:paraId="061344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2.1.1 《磋商文件》用以阐明采购项目的内容、程序和合同主要条款。《磋商文件》由下述部分组成：</w:t>
      </w:r>
    </w:p>
    <w:p w14:paraId="109209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（1）竞争性磋商公告</w:t>
      </w:r>
    </w:p>
    <w:p w14:paraId="650BF98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（2）采购项目要求</w:t>
      </w:r>
    </w:p>
    <w:p w14:paraId="08C3D4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（3）投标人须知</w:t>
      </w:r>
    </w:p>
    <w:p w14:paraId="0D7B54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（4）评审办法</w:t>
      </w:r>
    </w:p>
    <w:p w14:paraId="3D42070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（5）合同主要条款</w:t>
      </w:r>
    </w:p>
    <w:p w14:paraId="6F01F9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（6）《响应文件》格式</w:t>
      </w:r>
    </w:p>
    <w:p w14:paraId="6C10D4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2.1.2 根据本章第1.11款、第2.2款和第2.3款、对《磋商文件》的澄清、修改、补充书</w:t>
      </w:r>
    </w:p>
    <w:p w14:paraId="1316CEC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构成《磋商文件》的组成部分，并取代《磋商文件》中被澄清、修改处，对所有投标人均有约束力。</w:t>
      </w:r>
    </w:p>
    <w:p w14:paraId="5FAA7D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2.1.3 当《磋商文件》、《磋商文件》的澄清、修改、补充等在同一内容的表述上不一致时，以最后发出（发布）的文件为准。</w:t>
      </w:r>
    </w:p>
    <w:p w14:paraId="54876C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2.1.4 投标人与任何人的口头协议不影响《磋商文件》的任何条款和内容。</w:t>
      </w:r>
    </w:p>
    <w:p w14:paraId="39FBD1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2.1.5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投标人应仔细阅读和检查《磋商文件》的全部内容是否齐全，如发现缺页或附件不 全等遗漏，应及时向采购代理机构提出并索取补齐，否则责任及风险自负。</w:t>
      </w:r>
    </w:p>
    <w:p w14:paraId="445CBC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p>
    <w:p w14:paraId="223A22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2.2 《磋商文件》的澄清</w:t>
      </w:r>
    </w:p>
    <w:p w14:paraId="184307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2.2.1 合规获取《磋商文件》的所有潜在投标人对《磋商文件》如有需澄清的疑问，应在投标人须知前附表规定的时间内按竞争性磋商公告中载明的地址以纸质书面形式通知到采购代理机构。在规定的时间内未提出疑问的，将视为对《磋商文件》的完全认可。</w:t>
      </w:r>
    </w:p>
    <w:p w14:paraId="13B5E4C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2.2.2 采购代理机构对潜在投标人在规定的时间内提出的疑问，将视情况以书面形式予以答复，并在其认为必要时，将不标明查询来源的书面答复，在“竞争性磋商公告”所述媒体 通告所有潜在投标人。</w:t>
      </w:r>
    </w:p>
    <w:p w14:paraId="098C3E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2.2.3 《磋商文件》中如有不符合国家有关强制性规定、不符合国家标准及行业标准的，投标人应在投标阶段或成交实施阶段予以纠正或尽提醒义务。如作为有经验的投标人（成交投标人）应当知道而未尽提醒义务的，执行指令而造成的损失及风险由投标人（成交投标人）承担。</w:t>
      </w:r>
    </w:p>
    <w:p w14:paraId="58A1321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2.2.4 采购代理机构可视情况在投标截止前答疑。</w:t>
      </w:r>
    </w:p>
    <w:p w14:paraId="758666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2.3 《磋商文件》的澄清、修改、补充</w:t>
      </w:r>
    </w:p>
    <w:p w14:paraId="7D9B65B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2.3.1 采购人、代理机构在投标截止时间前有权澄清修改、补充已发售的《磋商文件》。</w:t>
      </w:r>
    </w:p>
    <w:p w14:paraId="101E290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2.3.2 磋商过程中对《磋商文件》的变动见第四章评审办法3.4款磋商规则。</w:t>
      </w:r>
    </w:p>
    <w:p w14:paraId="20B689B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2.4 《磋商文件》的澄清、修改、补充的通知，及相应时间变更</w:t>
      </w:r>
    </w:p>
    <w:p w14:paraId="6DE6180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2.4.1 《磋商文件》在递交截止时间前的所有澄清、修改（包括时间变更等）、补充事项，均在“竞争性磋商公告”所述媒体予以公告。澄清或修改公告一经在法定网站以公告形式发布，依法视为书面通知，不再另行通知。</w:t>
      </w:r>
    </w:p>
    <w:p w14:paraId="54519CB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基于网上电子交易的特点—-无权限获知或通知潜在投标人，潜在投标人应随时关注“竞争性磋商公告”所述媒体相关项目信息（为免各部门网站出现维护等情况，潜在投标人应对“竞争性磋商公告”所述媒体逐一查阅），如有遗漏，后果自负。</w:t>
      </w:r>
    </w:p>
    <w:p w14:paraId="098AD7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2.4.2 《磋商文件》的澄清、修改、补充书构成《磋商文件》的组成部分，并取代《磋商文件》中被澄清、修改处，对所有投标人均有约束力。</w:t>
      </w:r>
    </w:p>
    <w:p w14:paraId="5E02B92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2.4.3 如果提交首次《响应文件》截止时间前的澄清修改补充发出的时间不满足投标人须知前附表规定时间，并且澄清修改补充内容影响《响应文件》编制的，代理机构可视采购具体情况延长投标截止时间和开标时间，并将在“竞争性磋商公告”所述媒体予以公告。</w:t>
      </w:r>
    </w:p>
    <w:p w14:paraId="51C833F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3. 《响应文件》</w:t>
      </w:r>
    </w:p>
    <w:p w14:paraId="07382A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3.1 投标人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无效文件。</w:t>
      </w:r>
    </w:p>
    <w:p w14:paraId="7D4D180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3.2 《响应文件》的组成</w:t>
      </w:r>
    </w:p>
    <w:p w14:paraId="4FEE78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3.2.1 《响应文件》组成如有缺项，磋商小组按照实质性判断原则（实质性要求和实质性响应两因素）、有权视情况将其作无效响应处理，投标人自负此项风险；《响应文件》组成内容未对《磋商文件》实质性要求作出实质性响应，磋商小组按照实质性判断原则、视情况将其作无效响应处理，投标人自负此项风险</w:t>
      </w:r>
      <w:r>
        <w:rPr>
          <w:rFonts w:hint="eastAsia" w:ascii="宋体" w:hAnsi="宋体" w:eastAsia="宋体" w:cs="宋体"/>
          <w:sz w:val="24"/>
          <w:szCs w:val="24"/>
          <w:lang w:eastAsia="zh-CN"/>
        </w:rPr>
        <w:t>。</w:t>
      </w:r>
    </w:p>
    <w:p w14:paraId="46B5CE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3.2.2 《响应文件》应包括下列内容：</w:t>
      </w:r>
    </w:p>
    <w:p w14:paraId="6DCA6CC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 投标书</w:t>
      </w:r>
    </w:p>
    <w:p w14:paraId="507732C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 开标一览表</w:t>
      </w:r>
    </w:p>
    <w:p w14:paraId="5674BC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 已标价工程量清单</w:t>
      </w:r>
    </w:p>
    <w:p w14:paraId="054EF5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 项目管理机构</w:t>
      </w:r>
    </w:p>
    <w:p w14:paraId="0B13BC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 资格要求相关证明材料（文件）</w:t>
      </w:r>
    </w:p>
    <w:p w14:paraId="4D6D51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 投标承诺函</w:t>
      </w:r>
    </w:p>
    <w:p w14:paraId="0F7037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 偏差表</w:t>
      </w:r>
    </w:p>
    <w:p w14:paraId="613A64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（8） 施工组织设计</w:t>
      </w:r>
    </w:p>
    <w:p w14:paraId="5B34B1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（9） 采购项目及技术服务要求所需的其他材料</w:t>
      </w:r>
    </w:p>
    <w:p w14:paraId="35C02B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（10） 投标人须知所需的其他材料</w:t>
      </w:r>
    </w:p>
    <w:p w14:paraId="4250DD9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（11） 评审办法所需的其他材料</w:t>
      </w:r>
    </w:p>
    <w:p w14:paraId="2E383A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（12） 投标人认为有必要提交的其它材料</w:t>
      </w:r>
    </w:p>
    <w:p w14:paraId="06BE7D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3.2.3 按照本章第4.3款、第四章第3.4款规定，对《响应文件》的补充、修改、澄清说明或者更正构成《响应文件》的组成部分</w:t>
      </w:r>
    </w:p>
    <w:p w14:paraId="6E3E4E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3.3 响应报价（价格构成）：见第二章1.3款。</w:t>
      </w:r>
    </w:p>
    <w:p w14:paraId="45214A4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3.4 响应有效期</w:t>
      </w:r>
    </w:p>
    <w:p w14:paraId="3DCCA5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3.4.1 响应有效期见投标人须知前附表。《响应文件》在响应有效期内保持不变（包括价格等《响应文件》各项条款）。</w:t>
      </w:r>
    </w:p>
    <w:p w14:paraId="66A576E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3.4.2 在响应有效期内，投标人撤销或修改其《响应文件》的，应承担《磋商文件》和法律规定的责任。</w:t>
      </w:r>
    </w:p>
    <w:p w14:paraId="784E3C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3.5 磋商保证金：无。</w:t>
      </w:r>
    </w:p>
    <w:p w14:paraId="01C3CB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3.6 投标资格文件：要求见竞争性磋商公告</w:t>
      </w:r>
    </w:p>
    <w:p w14:paraId="1EF8EA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《响应文件》的编制</w:t>
      </w:r>
    </w:p>
    <w:p w14:paraId="1A3051F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3.7.1 《响应文件》应按第六章“《响应文件》格式”进行编写，如有必要，可以增加附页，作为《响应文件》的组成部分。《磋商文件》中未列明格式的，由投标人按一般通用格式自行设计编写。</w:t>
      </w:r>
    </w:p>
    <w:p w14:paraId="1CC4DE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《响应文件》编制后，需录入导入“竞争性磋商公告”所述“安阳市政府采购投标文件编制系统”，经电子签名并加密后、在《响应文件》提交截止时间前，上传至“竞争性磋商公告”所述网上电子交易系统。</w:t>
      </w:r>
    </w:p>
    <w:p w14:paraId="1DDAAB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3.7.2 “《响应文件》格式”仅为对《响应文件》部分内容的格式化规范，并非《响应文件》所应具备的全部内容。投标人应按本章“3.2《响应文件》的组成”列示内容编制《响应文件》。</w:t>
      </w:r>
    </w:p>
    <w:p w14:paraId="2D4472D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3.7.3《响应文件》应当对《磋商文件》有关标段内容（范围）、采购项目要求、工期、投标有效期等实质性内容作出响应。在满足《磋商文件》实质性要求的基础上，可以提出比《磋商文件》要求更有利于采购人的承诺。</w:t>
      </w:r>
    </w:p>
    <w:p w14:paraId="0C4FBC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响应文件》的所有条款与《磋商文件》要求有任何不同之处，应按《偏差表》格式逐一填列。《响应文件》与《磋商文件》所有要求存在偏差而未填列的，磋商小组有权按照实质性判断原则（实质性要求和实质性响应两因素）评定其为无效投标。投标人应认真编制《响应文件》并自负此项风险。</w:t>
      </w:r>
    </w:p>
    <w:p w14:paraId="04F181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3.7.4 《响应文件》应按《磋商文件》相关要求（含格式上标注的要求）、使用投标人企业数字证书进行电子签章和投标人法定代表人数字证书进行电子签名、并加密，没有使用投标人企业数字证书和投标人法定代表人数字证书进行电子签名并加密的《响应文件》，属于未按照《磋商文件》要求进行签署。</w:t>
      </w:r>
    </w:p>
    <w:p w14:paraId="6042B7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根据《中华人民共和国电子签名法》规定，可靠的电子签名与手写签名或者盖章具有同等的法律效力。本次采购活动中，投标人使用有效的企业数字证书对《响应文件》进行电子签章与加盖投标人公章具有同等法律效力；投标人法定代表人使用有效的个人数字证书对《响应文件》进行签名与法人签章具有同等法律效力。</w:t>
      </w:r>
    </w:p>
    <w:p w14:paraId="43931D3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3.7.5 投标人可对本《磋商文件》“标段一览表”中所列的标段进行投标，每家投标人只能对其中的一个标段进行投标，但不得将《磋商文件》规定的同一标段的内容拆开投标，否则将按无效投标处理。</w:t>
      </w:r>
    </w:p>
    <w:p w14:paraId="617BE9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3.7.6 《响应文件》因字迹或表述不清所引起的后果由投标人自行负责。</w:t>
      </w:r>
    </w:p>
    <w:p w14:paraId="566983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3.7.7 未按上述要求提交的《响应文件》将视为无效投标。</w:t>
      </w:r>
    </w:p>
    <w:p w14:paraId="373B8AA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4. 《响应文件》的提交</w:t>
      </w:r>
    </w:p>
    <w:p w14:paraId="1776FC3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4.1.1 《响应文件》应当按网上电子交易系统要求进行加密和标记，在《响应文件》提交截止时间前，将加密的《响应文件》上传至“竞争性磋商公告”所述网上电子交易系统。</w:t>
      </w:r>
    </w:p>
    <w:p w14:paraId="23AB93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4.1.2 《响应文件》没有按照上述要求进行加密和标记的、网上电子交易系统将据系统设定拒收其《响应文件》，投标人应自负该项风险，采购代理机构对可能产生的误投或提前启封概不负责。</w:t>
      </w:r>
    </w:p>
    <w:p w14:paraId="10ED45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4.2 《响应文件》的递交</w:t>
      </w:r>
    </w:p>
    <w:p w14:paraId="7D1162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4.2.1 投标人须在《响应文件》提交截止时间前，将加密的《响应文件》上传至“竞争性磋商公告”所述网上电子交易系统（在网上电子交易系统，凭企业数字证书登录投标用户入口的“政府采购”系统上传）。投标人应在上传时认真检查上传《响应文件》是否完整、正确。</w:t>
      </w:r>
    </w:p>
    <w:p w14:paraId="1F4A942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4.2.2 据网上电子交易系统设定，《响应文件》提交截止时间后，系统将自动锁定已经提交的电子《响应文件》，拒绝再次提交。投标人将无法通过网上电子交易系统进行上传，采购代理机构将无法接受并拒绝接受投标截止时间以后提交的《响应文件》。</w:t>
      </w:r>
    </w:p>
    <w:p w14:paraId="2D5C6D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4.2.3 由于不可抗拒的原因，代理机构对《响应文件》的遗失和损坏不负任何责任。</w:t>
      </w:r>
    </w:p>
    <w:p w14:paraId="1D37CA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4.2.4 除投标人须知前附表另有规定外，投标人所递交的《响应文件》不予退还。</w:t>
      </w:r>
    </w:p>
    <w:p w14:paraId="024147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4.2.5 基于网上电子交易的系统要求及特点，只接受基于符合网上电子交易系统要求的投标，其他如纸制、送达、电报、电话、电子邮件等形式的投标概不接受。</w:t>
      </w:r>
    </w:p>
    <w:p w14:paraId="632EC2B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4.3 《响应文件》的修改与撤回：</w:t>
      </w:r>
    </w:p>
    <w:p w14:paraId="637E4A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4.3.1 投标人于提交《响应文件》截止时间前如对《响应文件》进行补充、修改，可以上传新的《响应文件》进行覆盖。</w:t>
      </w:r>
    </w:p>
    <w:p w14:paraId="2A97BD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4.3.2 投标人在《响应文件》提交截止时间后不得自行修改或撤回其投标。</w:t>
      </w:r>
    </w:p>
    <w:p w14:paraId="14890FF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5. 《响应文件》的开启</w:t>
      </w:r>
    </w:p>
    <w:p w14:paraId="089CB8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5.1 《响应文件》开启时间和地点</w:t>
      </w:r>
    </w:p>
    <w:p w14:paraId="6E29009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5.1.1 采购人和采购代理机构按“竞争性磋商公告”规定的时间和地点于网上（竞争性 磋商公告所述网上电子交易系统）公开《响应文件》开启。</w:t>
      </w:r>
    </w:p>
    <w:p w14:paraId="5B55089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5.1.2 投标人需在开标前打开“竞争性磋商公告”所述网上电子交易系统，凭企业数字证书登录投标用户入口的“政府采购”系统，并进入本项目相匹配的网上开标室。</w:t>
      </w:r>
    </w:p>
    <w:p w14:paraId="1D6F89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5.2 《响应文件》开启程序</w:t>
      </w:r>
    </w:p>
    <w:p w14:paraId="7C76BB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5.2.1 本项目为网上电子交易方式，《响应文件》的开启方式为远程解密，为保证开启工作顺利进行，投标人需在开标阶段、在管理员下达解密指令后的指定时限内，完成对本单位的加密《响应文件》的远程解密。如投标人因自身原因、在指定时限内没有解密成功的，其投标将不能被接受，投标单位自行承担相应后果。解密完成后，投标人的报价将在系统界面上显示。</w:t>
      </w:r>
    </w:p>
    <w:p w14:paraId="1F1693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鉴于网上电子交易方式的特点，管理员将根据系统情况下达解密指令。</w:t>
      </w:r>
    </w:p>
    <w:p w14:paraId="5F7EA5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5.2.2 投标人对开标过程和开标记录有疑义，以及认为采购人、采购代理机构相关工作人员有需要回避的情形的，应在系统中提出询问或者回避申请，否则，视为对开标无异议。</w:t>
      </w:r>
    </w:p>
    <w:p w14:paraId="126AFBC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5.2.3 在开标或评审过程中，有效投标应在三家以上（包括三家）；有效投标不足三家的应予终止（废标）。</w:t>
      </w:r>
    </w:p>
    <w:p w14:paraId="7903D1D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6. 评审</w:t>
      </w:r>
    </w:p>
    <w:p w14:paraId="112FE0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6.1 磋商小组</w:t>
      </w:r>
    </w:p>
    <w:p w14:paraId="1D40CD7F">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评审工作由依法组建的磋商小组负责。</w:t>
      </w:r>
      <w:r>
        <w:rPr>
          <w:rFonts w:hint="eastAsia" w:ascii="宋体" w:hAnsi="宋体" w:eastAsia="宋体" w:cs="宋体"/>
          <w:sz w:val="24"/>
          <w:szCs w:val="24"/>
          <w:lang w:val="en-US" w:eastAsia="zh-CN"/>
        </w:rPr>
        <w:t>磋商小组成员由采购人代表和</w:t>
      </w:r>
      <w:r>
        <w:rPr>
          <w:rFonts w:hint="eastAsia" w:ascii="宋体" w:hAnsi="宋体" w:eastAsia="宋体" w:cs="宋体"/>
          <w:snapToGrid w:val="0"/>
          <w:kern w:val="0"/>
          <w:sz w:val="24"/>
          <w:szCs w:val="24"/>
          <w:lang w:val="zh-CN"/>
        </w:rPr>
        <w:t>评审专家</w:t>
      </w:r>
      <w:r>
        <w:rPr>
          <w:rFonts w:hint="eastAsia" w:ascii="宋体" w:hAnsi="宋体" w:eastAsia="宋体" w:cs="宋体"/>
          <w:snapToGrid w:val="0"/>
          <w:kern w:val="0"/>
          <w:sz w:val="24"/>
          <w:szCs w:val="24"/>
          <w:lang w:val="en-US" w:eastAsia="zh-CN"/>
        </w:rPr>
        <w:t>3</w:t>
      </w:r>
      <w:r>
        <w:rPr>
          <w:rFonts w:hint="eastAsia" w:ascii="宋体" w:hAnsi="宋体" w:eastAsia="宋体" w:cs="宋体"/>
          <w:snapToGrid w:val="0"/>
          <w:kern w:val="0"/>
          <w:sz w:val="24"/>
          <w:szCs w:val="24"/>
          <w:lang w:val="zh-CN"/>
        </w:rPr>
        <w:t>人及以上单数组成，其中评审专家人数不少于磋商小组成员总数的2/3</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sz w:val="24"/>
          <w:szCs w:val="24"/>
        </w:rPr>
        <w:t>；评标专家确定方式：</w:t>
      </w:r>
      <w:r>
        <w:rPr>
          <w:rFonts w:hint="eastAsia" w:ascii="宋体" w:hAnsi="宋体" w:eastAsia="宋体" w:cs="宋体"/>
          <w:sz w:val="24"/>
          <w:szCs w:val="24"/>
          <w:lang w:val="en-US" w:eastAsia="zh-CN"/>
        </w:rPr>
        <w:t>由监督部门从</w:t>
      </w:r>
      <w:r>
        <w:rPr>
          <w:rFonts w:hint="eastAsia" w:ascii="宋体" w:hAnsi="宋体" w:eastAsia="宋体" w:cs="宋体"/>
          <w:sz w:val="24"/>
          <w:szCs w:val="24"/>
          <w:lang w:val="zh-CN"/>
        </w:rPr>
        <w:t>政府采购</w:t>
      </w:r>
      <w:r>
        <w:rPr>
          <w:rFonts w:hint="eastAsia" w:ascii="宋体" w:hAnsi="宋体" w:eastAsia="宋体" w:cs="宋体"/>
          <w:sz w:val="24"/>
          <w:szCs w:val="24"/>
          <w:lang w:val="en-US" w:eastAsia="zh-CN"/>
        </w:rPr>
        <w:t>专家库中随机抽取</w:t>
      </w:r>
      <w:r>
        <w:rPr>
          <w:rFonts w:hint="eastAsia" w:ascii="宋体" w:hAnsi="宋体" w:eastAsia="宋体" w:cs="宋体"/>
          <w:sz w:val="24"/>
          <w:szCs w:val="24"/>
        </w:rPr>
        <w:t>。</w:t>
      </w:r>
    </w:p>
    <w:p w14:paraId="29A279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6.2 评审原则</w:t>
      </w:r>
    </w:p>
    <w:p w14:paraId="53AA1D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6.2.1 坚持公开、公平、公正地对待所有投标人。</w:t>
      </w:r>
    </w:p>
    <w:p w14:paraId="4277247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6.2.2 按照同一评审程序及方法审查所有投标人的《响应文件》。</w:t>
      </w:r>
    </w:p>
    <w:p w14:paraId="490DEDC7">
      <w:pPr>
        <w:keepNext w:val="0"/>
        <w:keepLines w:val="0"/>
        <w:pageBreakBefore w:val="0"/>
        <w:widowControl/>
        <w:tabs>
          <w:tab w:val="left" w:pos="6300"/>
        </w:tabs>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6.2.3 反对不正当竞争</w:t>
      </w:r>
    </w:p>
    <w:p w14:paraId="3BDCF3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6.3 评审</w:t>
      </w:r>
    </w:p>
    <w:p w14:paraId="3A1A646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6.3.1评审工作在磋商小组内独立进行。磋商小组按照第四章“评审办法”规定的方法、评审因素、标准和程序对《响应文件》进行评审。第四章“评审办法”没有规定的方法、评审因素和标准，不作为评审依据。</w:t>
      </w:r>
    </w:p>
    <w:p w14:paraId="422AC0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6.3.2在《响应文件》开启、评审期间，投标人不得向磋商小组成员询问情况，不得进行旨在影响评审结果的活动。</w:t>
      </w:r>
    </w:p>
    <w:p w14:paraId="5322A53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6.4 磋商：见第四章评审办法3.4磋商规则</w:t>
      </w:r>
    </w:p>
    <w:p w14:paraId="0C8C03B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7. 授予合同</w:t>
      </w:r>
    </w:p>
    <w:p w14:paraId="505B837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7.1 确定中标（成交）人方式</w:t>
      </w:r>
    </w:p>
    <w:p w14:paraId="4D009D4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除投标人须知前附表规定授权磋商小组直接确定中标人外，采购人应当自收到评审报告之日</w:t>
      </w:r>
      <w:r>
        <w:rPr>
          <w:rFonts w:hint="eastAsia" w:ascii="宋体" w:hAnsi="宋体" w:eastAsia="宋体" w:cs="宋体"/>
          <w:sz w:val="24"/>
          <w:szCs w:val="24"/>
          <w:shd w:val="clear"/>
        </w:rPr>
        <w:t>起</w:t>
      </w:r>
      <w:r>
        <w:rPr>
          <w:rFonts w:hint="eastAsia" w:ascii="宋体" w:hAnsi="宋体" w:eastAsia="宋体" w:cs="宋体"/>
          <w:sz w:val="24"/>
          <w:szCs w:val="24"/>
          <w:shd w:val="clear"/>
          <w:lang w:val="en-US" w:eastAsia="zh-CN"/>
        </w:rPr>
        <w:t>当</w:t>
      </w:r>
      <w:r>
        <w:rPr>
          <w:rFonts w:hint="eastAsia" w:ascii="宋体" w:hAnsi="宋体" w:eastAsia="宋体" w:cs="宋体"/>
          <w:sz w:val="24"/>
          <w:szCs w:val="24"/>
          <w:shd w:val="clear"/>
        </w:rPr>
        <w:t>日内在评</w:t>
      </w:r>
      <w:r>
        <w:rPr>
          <w:rFonts w:hint="eastAsia" w:ascii="宋体" w:hAnsi="宋体" w:eastAsia="宋体" w:cs="宋体"/>
          <w:sz w:val="24"/>
          <w:szCs w:val="24"/>
        </w:rPr>
        <w:t>审报告推荐的成交候选人中按顺序确定中标人。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中标（成交）人，也可以重新采购。</w:t>
      </w:r>
    </w:p>
    <w:p w14:paraId="679584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7.2 成交结果公告</w:t>
      </w:r>
    </w:p>
    <w:p w14:paraId="534E1E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shd w:val="clear"/>
        </w:rPr>
        <w:t>采购代理机构在中标（成交）人确定</w:t>
      </w:r>
      <w:r>
        <w:rPr>
          <w:rFonts w:hint="eastAsia" w:ascii="宋体" w:hAnsi="宋体" w:eastAsia="宋体" w:cs="宋体"/>
          <w:sz w:val="24"/>
          <w:szCs w:val="24"/>
          <w:shd w:val="clear"/>
          <w:lang w:val="en-US" w:eastAsia="zh-CN"/>
        </w:rPr>
        <w:t>当</w:t>
      </w:r>
      <w:r>
        <w:rPr>
          <w:rFonts w:hint="eastAsia" w:ascii="宋体" w:hAnsi="宋体" w:eastAsia="宋体" w:cs="宋体"/>
          <w:sz w:val="24"/>
          <w:szCs w:val="24"/>
          <w:shd w:val="clear"/>
        </w:rPr>
        <w:t>日内，在</w:t>
      </w:r>
      <w:r>
        <w:rPr>
          <w:rFonts w:hint="eastAsia" w:ascii="宋体" w:hAnsi="宋体" w:eastAsia="宋体" w:cs="宋体"/>
          <w:sz w:val="24"/>
          <w:szCs w:val="24"/>
        </w:rPr>
        <w:t>竞争性磋商公告所述媒体公告成交结果。同时向中标（成交）人发出成交通知书。</w:t>
      </w:r>
      <w:r>
        <w:rPr>
          <w:rFonts w:hint="eastAsia" w:ascii="宋体" w:hAnsi="宋体" w:eastAsia="宋体" w:cs="宋体"/>
          <w:sz w:val="24"/>
          <w:szCs w:val="24"/>
          <w:shd w:val="clear"/>
        </w:rPr>
        <w:t>成交结果公告期限为1个工作日。</w:t>
      </w:r>
    </w:p>
    <w:p w14:paraId="05280A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7.3 质疑：</w:t>
      </w:r>
    </w:p>
    <w:p w14:paraId="3696945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见投标人须知前附表</w:t>
      </w:r>
    </w:p>
    <w:p w14:paraId="0BA1D7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7.3.2 询问或者质疑事项可能影响成交结果的，采购人应当暂停签订合同，已经签订合同的，应当中止履行合同。</w:t>
      </w:r>
    </w:p>
    <w:p w14:paraId="77727D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7.4 成交通知：见投标人须知前附表</w:t>
      </w:r>
    </w:p>
    <w:p w14:paraId="6EE68C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7.5 履约保证金</w:t>
      </w:r>
    </w:p>
    <w:p w14:paraId="4B231E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7.5.1在签订合同前，中标（成交）人应按投标人须知前附表规定向采购人提交履约保证金。</w:t>
      </w:r>
    </w:p>
    <w:p w14:paraId="4D5156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7.5.2 中标（成交）人不能按本章第7.5.1项要求提交履约保证金的，视为放弃成交资格，给采购人及采购代理机构造成的损失的，成交投标人还应当予以赔偿。</w:t>
      </w:r>
    </w:p>
    <w:p w14:paraId="1F67295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7.6 签订合同</w:t>
      </w:r>
    </w:p>
    <w:p w14:paraId="51C22688">
      <w:pPr>
        <w:keepNext w:val="0"/>
        <w:keepLines w:val="0"/>
        <w:pageBreakBefore w:val="0"/>
        <w:widowControl/>
        <w:shd w:val="clear"/>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7.6.1 </w:t>
      </w:r>
      <w:r>
        <w:rPr>
          <w:rFonts w:hint="eastAsia" w:ascii="宋体" w:hAnsi="宋体" w:eastAsia="宋体" w:cs="宋体"/>
          <w:sz w:val="24"/>
          <w:szCs w:val="24"/>
          <w:shd w:val="clear"/>
        </w:rPr>
        <w:t>中标（成交）人应在《成交通知书》发出之日起</w:t>
      </w:r>
      <w:r>
        <w:rPr>
          <w:rFonts w:hint="eastAsia" w:ascii="宋体" w:hAnsi="宋体" w:eastAsia="宋体" w:cs="宋体"/>
          <w:sz w:val="24"/>
          <w:szCs w:val="24"/>
          <w:shd w:val="clear"/>
          <w:lang w:val="en-US" w:eastAsia="zh-CN"/>
        </w:rPr>
        <w:t>1</w:t>
      </w:r>
      <w:r>
        <w:rPr>
          <w:rFonts w:hint="eastAsia" w:ascii="宋体" w:hAnsi="宋体" w:eastAsia="宋体" w:cs="宋体"/>
          <w:sz w:val="24"/>
          <w:szCs w:val="24"/>
          <w:shd w:val="clear"/>
        </w:rPr>
        <w:t>日内</w:t>
      </w:r>
      <w:r>
        <w:rPr>
          <w:rFonts w:hint="eastAsia" w:ascii="宋体" w:hAnsi="宋体" w:eastAsia="宋体" w:cs="宋体"/>
          <w:sz w:val="24"/>
          <w:szCs w:val="24"/>
        </w:rPr>
        <w:t>，按照《磋商文件》确定的合同文本以及成交标的、技术和服务等事项与采购人签订书面政府采购合同。</w:t>
      </w:r>
    </w:p>
    <w:p w14:paraId="4DB84D3A">
      <w:pPr>
        <w:keepNext w:val="0"/>
        <w:keepLines w:val="0"/>
        <w:pageBreakBefore w:val="0"/>
        <w:widowControl/>
        <w:shd w:val="clear"/>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7.6.2 如中标（成交）人不按时签订合同、拒签合同的，取消其成交资格，给采购人造成的损失的，成交投标人还应予以赔偿。</w:t>
      </w:r>
    </w:p>
    <w:p w14:paraId="301B8857">
      <w:pPr>
        <w:keepNext w:val="0"/>
        <w:keepLines w:val="0"/>
        <w:pageBreakBefore w:val="0"/>
        <w:widowControl/>
        <w:suppressLineNumbers w:val="0"/>
        <w:shd w:val="clea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7.6.3 合同生效：中标（成交）人与采购人签订的合同，双方签字后盖章生效，</w:t>
      </w:r>
      <w:r>
        <w:rPr>
          <w:rFonts w:hint="eastAsia" w:ascii="宋体" w:hAnsi="宋体" w:eastAsia="宋体" w:cs="宋体"/>
          <w:sz w:val="24"/>
          <w:szCs w:val="24"/>
          <w:shd w:val="clear"/>
        </w:rPr>
        <w:t>采购人要在合同签订后1个工作日内登陆安阳市政府采购网进行备案并公告</w:t>
      </w:r>
      <w:r>
        <w:rPr>
          <w:rFonts w:hint="eastAsia" w:ascii="宋体" w:hAnsi="宋体" w:eastAsia="宋体" w:cs="宋体"/>
          <w:sz w:val="24"/>
          <w:szCs w:val="24"/>
          <w:shd w:val="clear"/>
          <w:lang w:eastAsia="zh-CN"/>
        </w:rPr>
        <w:t>。</w:t>
      </w:r>
    </w:p>
    <w:p w14:paraId="6759C4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7.6.4 《成交通知书》、《磋商文件》及其修改补充澄清、中标（成交）人的《响应文件》及及其修改补充澄清等，均为签订合同的依据。所定合同不得对《磋商文件》和中标（成交）人的《响应文件》作实质性修改，采购人和中标（成交）人不得私下订立背离合同实质性内容的协议。</w:t>
      </w:r>
    </w:p>
    <w:p w14:paraId="461C0A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7.6.5 评审会后，中标（成交）人、采购人之间擅自私下谈判、变更中标（成交）标的、价格及招《响应文件》实质性内容的，有关部门将按《中华人民共和国政府采购法》及相关法规的规定处理。</w:t>
      </w:r>
    </w:p>
    <w:p w14:paraId="18F0AEC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7.6.6 采购人与中标（成交） 人签订《政府采购合同》后， 合同履行中产生的纠纷、争议，由采购人与中标（成交）人按合同条款及《中华人民共和国合同法》处理。</w:t>
      </w:r>
    </w:p>
    <w:p w14:paraId="50665D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7.7 合同补充变更</w:t>
      </w:r>
    </w:p>
    <w:p w14:paraId="286386B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7.7.1 政府采购合同履行中，采购人需追加或减少与合同标的相同的货物和服务的（即追加或减少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00B102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7.7.2 采购人需追加或减少的货物和服务金额达到50万元以上（含50万元）、且超过中标（成交）价3%的，采购人应当自确定变更之日起5个工作日内将变更情况及事由报送同级监察机关。</w:t>
      </w:r>
    </w:p>
    <w:p w14:paraId="7D8C05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采购项目在中标（成交）后经有关行政机关批准变更的，批准的行政机关应当自批准之日起3个工作日内将批准文件抄送同级监察机关备案。</w:t>
      </w:r>
    </w:p>
    <w:p w14:paraId="580FD287">
      <w:pPr>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验收</w:t>
      </w:r>
    </w:p>
    <w:p w14:paraId="6F9B42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8.1 验收时间：项目具备验收条件时，由采购人成立验收工作组负责验收。</w:t>
      </w:r>
    </w:p>
    <w:p w14:paraId="24CCD1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8.2 验收工作组：合同履约验收工作应成立验收工作组专门负责，直接参与该项目政府采购活动的主要负责人不得作为验收工作的主要负责人，验收工作组应不少于三人。验收工作应当邀请采购项目评审专家参加验收；验收工作由采购人组织，成员应由采购人代表、评审专家组成，采购人代表必须含采购人纪检人员。大型、复杂或者技术性很强的政府采购项目，应当邀请国家认可的质量检测机构参加验收工作；国家规定强制性检测的采购项目，采购人必须委托国家认可专业检测机构进行验收。</w:t>
      </w:r>
    </w:p>
    <w:p w14:paraId="421EAA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8.3 验收报告：验收后，由采购人及专家等出具检测验收报告，国家规定强制性检测的采购项目应附国家认可的专业检测机构出具的验收报告。</w:t>
      </w:r>
      <w:r>
        <w:rPr>
          <w:rFonts w:hint="eastAsia" w:ascii="宋体" w:hAnsi="宋体" w:eastAsia="宋体" w:cs="宋体"/>
          <w:sz w:val="24"/>
          <w:szCs w:val="24"/>
          <w:shd w:val="clear"/>
          <w:lang w:val="en-US" w:eastAsia="zh-CN"/>
        </w:rPr>
        <w:t>采购人要在政府采购项目验收完成后1个工作日内登陆安阳政府采购网进行验收结果公告。</w:t>
      </w:r>
    </w:p>
    <w:p w14:paraId="13C11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8.4 验收中发现中标（成交） 人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1F4484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8.5 验收时需要进行破坏性试验的，投标人应进行充分的配合并提供备品备件。</w:t>
      </w:r>
    </w:p>
    <w:p w14:paraId="5F0F420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9.付款</w:t>
      </w:r>
    </w:p>
    <w:p w14:paraId="54A83FD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见投标人须知前附表</w:t>
      </w:r>
    </w:p>
    <w:p w14:paraId="5B2984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10. 其他</w:t>
      </w:r>
    </w:p>
    <w:p w14:paraId="6499D0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10.1 中标服务费等：见投标人须知前附表</w:t>
      </w:r>
    </w:p>
    <w:p w14:paraId="027AA16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10.2 近义解释。《磋商文件》中：“投标”同义“递交《响应文件》”，“投标人”同义“递交《响应文件》的投标人”，“《响应文件》”同义“《投标文件》”，“中标”同义“成交”，“中标投标人”同义“成交投标人”，“《响应文件》开启”同义“《响应文件》的开启”。</w:t>
      </w:r>
    </w:p>
    <w:p w14:paraId="591E82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10.3 投标人资格条件中包含非法人单位的，《磋商文件》中法定代表人一词相应包含表示证照标示的负责人；投标人资格条件中包含自然人的，《磋商文件》中法定代表人一词相应包含表示自然人，自然人应由其本人签署《响应文件》、参加投标，不应再授权他人。</w:t>
      </w:r>
    </w:p>
    <w:p w14:paraId="7FF56A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highlight w:val="none"/>
        </w:rPr>
      </w:pPr>
      <w:r>
        <w:rPr>
          <w:rFonts w:ascii="宋体" w:hAnsi="宋体" w:eastAsia="宋体" w:cs="宋体"/>
          <w:b w:val="0"/>
          <w:bCs w:val="0"/>
          <w:color w:val="000000"/>
          <w:sz w:val="24"/>
          <w:szCs w:val="24"/>
          <w:highlight w:val="none"/>
        </w:rPr>
        <w:t>10.4 为约束供应商在项目实施过程中更换项目组成员，须在响应文件中明确项目经理</w:t>
      </w:r>
      <w:r>
        <w:rPr>
          <w:rFonts w:hint="eastAsia" w:ascii="宋体" w:hAnsi="宋体" w:eastAsia="宋体" w:cs="宋体"/>
          <w:b w:val="0"/>
          <w:bCs w:val="0"/>
          <w:color w:val="000000"/>
          <w:sz w:val="24"/>
          <w:szCs w:val="24"/>
          <w:highlight w:val="none"/>
          <w:lang w:val="en-US" w:eastAsia="zh-CN"/>
        </w:rPr>
        <w:t>姓名、身份证号</w:t>
      </w:r>
      <w:r>
        <w:rPr>
          <w:rFonts w:ascii="宋体" w:hAnsi="宋体" w:eastAsia="宋体" w:cs="宋体"/>
          <w:b w:val="0"/>
          <w:bCs w:val="0"/>
          <w:color w:val="000000"/>
          <w:sz w:val="24"/>
          <w:szCs w:val="24"/>
          <w:highlight w:val="none"/>
        </w:rPr>
        <w:t>及其联系方式，否则视为不响应磋商文件实质性要求。</w:t>
      </w:r>
    </w:p>
    <w:p w14:paraId="7AC227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《磋商文件》第一章至第四章各章中，用序号标示条、款、项、目，例如：1为第1</w:t>
      </w:r>
    </w:p>
    <w:p w14:paraId="37F5D08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条， 1.1为第1条第1款（简称1.1款）， 1.1.1为第1条第1款第1项（简称1.1.1项）。“条”包 含款、项、目；“款”包含项、目；“项”包含目。</w:t>
      </w:r>
    </w:p>
    <w:p w14:paraId="0BDCE41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pPr>
    </w:p>
    <w:p w14:paraId="3AA5E920">
      <w:pPr>
        <w:keepNext w:val="0"/>
        <w:keepLines w:val="0"/>
        <w:pageBreakBefore w:val="0"/>
        <w:widowControl/>
        <w:numPr>
          <w:ilvl w:val="0"/>
          <w:numId w:val="4"/>
        </w:numPr>
        <w:kinsoku/>
        <w:wordWrap/>
        <w:overflowPunct/>
        <w:topLinePunct w:val="0"/>
        <w:autoSpaceDE w:val="0"/>
        <w:autoSpaceDN w:val="0"/>
        <w:bidi w:val="0"/>
        <w:adjustRightInd w:val="0"/>
        <w:snapToGrid w:val="0"/>
        <w:outlineLvl w:val="9"/>
        <w:rPr>
          <w:rFonts w:ascii="黑体" w:hAnsi="宋体" w:eastAsia="黑体" w:cs="黑体"/>
          <w:b/>
          <w:bCs/>
          <w:color w:val="000000"/>
          <w:sz w:val="28"/>
          <w:szCs w:val="28"/>
        </w:rPr>
      </w:pPr>
      <w:r>
        <w:rPr>
          <w:rFonts w:ascii="黑体" w:hAnsi="宋体" w:eastAsia="黑体" w:cs="黑体"/>
          <w:b/>
          <w:bCs/>
          <w:color w:val="000000"/>
          <w:sz w:val="28"/>
          <w:szCs w:val="28"/>
        </w:rPr>
        <w:t xml:space="preserve">河南省政府采购合同融资政策告知函 </w:t>
      </w:r>
    </w:p>
    <w:p w14:paraId="3A10871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outlineLvl w:val="9"/>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各供应商： </w:t>
      </w:r>
    </w:p>
    <w:p w14:paraId="0A4843C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outlineLvl w:val="9"/>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欢迎贵公司参与河南省政府采购活动！ </w:t>
      </w:r>
    </w:p>
    <w:p w14:paraId="1FAF4149">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outlineLvl w:val="9"/>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 供便捷、优惠的贷款服务。 </w:t>
      </w:r>
    </w:p>
    <w:p w14:paraId="5715E74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宋体" w:cs="宋体"/>
        </w:rPr>
        <w:sectPr>
          <w:footerReference r:id="rId11" w:type="default"/>
          <w:pgSz w:w="11910" w:h="16840"/>
          <w:pgMar w:top="1542" w:right="1502" w:bottom="1542" w:left="1525" w:header="0" w:footer="1303" w:gutter="0"/>
          <w:pgNumType w:fmt="decimal"/>
          <w:cols w:space="720" w:num="1"/>
        </w:sectPr>
      </w:pPr>
      <w:r>
        <w:rPr>
          <w:rFonts w:ascii="宋体" w:hAnsi="宋体" w:eastAsia="宋体" w:cs="宋体"/>
          <w:b w:val="0"/>
          <w:bCs w:val="0"/>
          <w:color w:val="000000"/>
          <w:sz w:val="24"/>
          <w:szCs w:val="24"/>
        </w:rPr>
        <w:t>贷款渠道和提供贷款的金融机构，可在河南省政府采购网“河南省政府采购合同融资 平台”查询联系。</w:t>
      </w:r>
    </w:p>
    <w:p w14:paraId="3F24030A">
      <w:pPr>
        <w:keepNext w:val="0"/>
        <w:keepLines w:val="0"/>
        <w:pageBreakBefore w:val="0"/>
        <w:widowControl/>
        <w:kinsoku/>
        <w:wordWrap/>
        <w:overflowPunct/>
        <w:topLinePunct w:val="0"/>
        <w:autoSpaceDE w:val="0"/>
        <w:autoSpaceDN w:val="0"/>
        <w:bidi w:val="0"/>
        <w:adjustRightInd w:val="0"/>
        <w:snapToGrid w:val="0"/>
        <w:spacing w:before="73" w:line="360" w:lineRule="auto"/>
        <w:ind w:firstLine="342" w:firstLineChars="100"/>
        <w:jc w:val="center"/>
        <w:outlineLvl w:val="0"/>
        <w:rPr>
          <w:rFonts w:hint="eastAsia" w:ascii="宋体" w:hAnsi="宋体" w:eastAsia="宋体" w:cs="宋体"/>
          <w:sz w:val="36"/>
          <w:szCs w:val="36"/>
        </w:rPr>
      </w:pPr>
      <w:bookmarkStart w:id="6" w:name="_bookmark4"/>
      <w:bookmarkEnd w:id="6"/>
      <w:bookmarkStart w:id="7" w:name="_Toc21298"/>
      <w:r>
        <w:rPr>
          <w:rFonts w:hint="eastAsia" w:ascii="宋体" w:hAnsi="宋体" w:eastAsia="宋体" w:cs="宋体"/>
          <w:spacing w:val="-9"/>
          <w:sz w:val="36"/>
          <w:szCs w:val="36"/>
          <w14:textOutline w14:w="6531" w14:cap="flat" w14:cmpd="sng">
            <w14:solidFill>
              <w14:srgbClr w14:val="000000"/>
            </w14:solidFill>
            <w14:prstDash w14:val="solid"/>
            <w14:miter w14:val="0"/>
          </w14:textOutline>
        </w:rPr>
        <w:t>第四章</w:t>
      </w:r>
      <w:r>
        <w:rPr>
          <w:rFonts w:hint="eastAsia" w:ascii="宋体" w:hAnsi="宋体" w:eastAsia="宋体" w:cs="宋体"/>
          <w:spacing w:val="16"/>
          <w:sz w:val="36"/>
          <w:szCs w:val="36"/>
        </w:rPr>
        <w:t xml:space="preserve">  </w:t>
      </w:r>
      <w:r>
        <w:rPr>
          <w:rFonts w:hint="eastAsia" w:ascii="宋体" w:hAnsi="宋体" w:eastAsia="宋体" w:cs="宋体"/>
          <w:spacing w:val="-9"/>
          <w:sz w:val="36"/>
          <w:szCs w:val="36"/>
          <w14:textOutline w14:w="6531" w14:cap="flat" w14:cmpd="sng">
            <w14:solidFill>
              <w14:srgbClr w14:val="000000"/>
            </w14:solidFill>
            <w14:prstDash w14:val="solid"/>
            <w14:miter w14:val="0"/>
          </w14:textOutline>
        </w:rPr>
        <w:t>评审办法</w:t>
      </w:r>
      <w:bookmarkEnd w:id="7"/>
    </w:p>
    <w:p w14:paraId="16E89890">
      <w:pPr>
        <w:keepNext w:val="0"/>
        <w:keepLines w:val="0"/>
        <w:pageBreakBefore w:val="0"/>
        <w:widowControl/>
        <w:kinsoku/>
        <w:wordWrap/>
        <w:overflowPunct/>
        <w:topLinePunct w:val="0"/>
        <w:autoSpaceDE w:val="0"/>
        <w:autoSpaceDN w:val="0"/>
        <w:bidi w:val="0"/>
        <w:adjustRightInd w:val="0"/>
        <w:snapToGrid w:val="0"/>
        <w:spacing w:before="91" w:line="189" w:lineRule="auto"/>
        <w:ind w:firstLine="168"/>
        <w:outlineLvl w:val="1"/>
        <w:rPr>
          <w:rFonts w:hint="eastAsia" w:ascii="宋体" w:hAnsi="宋体" w:eastAsia="宋体" w:cs="宋体"/>
          <w:sz w:val="28"/>
          <w:szCs w:val="28"/>
        </w:rPr>
      </w:pPr>
      <w:r>
        <w:rPr>
          <w:rFonts w:hint="eastAsia" w:ascii="宋体" w:hAnsi="宋体" w:eastAsia="宋体" w:cs="宋体"/>
          <w:spacing w:val="-2"/>
          <w:sz w:val="28"/>
          <w:szCs w:val="28"/>
          <w14:textOutline w14:w="5080" w14:cap="flat" w14:cmpd="sng">
            <w14:solidFill>
              <w14:srgbClr w14:val="000000"/>
            </w14:solidFill>
            <w14:prstDash w14:val="solid"/>
            <w14:miter w14:val="0"/>
          </w14:textOutline>
        </w:rPr>
        <w:t>评审办法前附表</w:t>
      </w:r>
    </w:p>
    <w:p w14:paraId="0E44FEED">
      <w:pPr>
        <w:keepNext w:val="0"/>
        <w:keepLines w:val="0"/>
        <w:pageBreakBefore w:val="0"/>
        <w:widowControl/>
        <w:kinsoku/>
        <w:wordWrap/>
        <w:overflowPunct/>
        <w:topLinePunct w:val="0"/>
        <w:autoSpaceDE w:val="0"/>
        <w:autoSpaceDN w:val="0"/>
        <w:bidi w:val="0"/>
        <w:adjustRightInd w:val="0"/>
        <w:snapToGrid w:val="0"/>
        <w:spacing w:line="54" w:lineRule="exact"/>
        <w:outlineLvl w:val="9"/>
        <w:rPr>
          <w:rFonts w:hint="eastAsia" w:ascii="宋体" w:hAnsi="宋体" w:eastAsia="宋体" w:cs="宋体"/>
        </w:rPr>
      </w:pPr>
    </w:p>
    <w:tbl>
      <w:tblPr>
        <w:tblStyle w:val="30"/>
        <w:tblW w:w="10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7"/>
        <w:gridCol w:w="750"/>
        <w:gridCol w:w="960"/>
        <w:gridCol w:w="2265"/>
        <w:gridCol w:w="5114"/>
      </w:tblGrid>
      <w:tr w14:paraId="10531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1697" w:type="dxa"/>
            <w:gridSpan w:val="2"/>
            <w:vAlign w:val="top"/>
          </w:tcPr>
          <w:p w14:paraId="225C72EB">
            <w:pPr>
              <w:keepNext w:val="0"/>
              <w:keepLines w:val="0"/>
              <w:pageBreakBefore w:val="0"/>
              <w:widowControl/>
              <w:kinsoku/>
              <w:wordWrap/>
              <w:overflowPunct/>
              <w:topLinePunct w:val="0"/>
              <w:autoSpaceDE w:val="0"/>
              <w:autoSpaceDN w:val="0"/>
              <w:bidi w:val="0"/>
              <w:adjustRightInd w:val="0"/>
              <w:snapToGrid w:val="0"/>
              <w:spacing w:before="148" w:line="189" w:lineRule="auto"/>
              <w:ind w:firstLine="277"/>
              <w:outlineLvl w:val="9"/>
              <w:rPr>
                <w:rFonts w:hint="eastAsia" w:ascii="宋体" w:hAnsi="宋体" w:eastAsia="宋体" w:cs="宋体"/>
                <w:sz w:val="24"/>
                <w:szCs w:val="24"/>
              </w:rPr>
            </w:pP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条款号</w:t>
            </w:r>
          </w:p>
        </w:tc>
        <w:tc>
          <w:tcPr>
            <w:tcW w:w="3225" w:type="dxa"/>
            <w:gridSpan w:val="2"/>
            <w:vAlign w:val="top"/>
          </w:tcPr>
          <w:p w14:paraId="5054556B">
            <w:pPr>
              <w:keepNext w:val="0"/>
              <w:keepLines w:val="0"/>
              <w:pageBreakBefore w:val="0"/>
              <w:widowControl/>
              <w:kinsoku/>
              <w:wordWrap/>
              <w:overflowPunct/>
              <w:topLinePunct w:val="0"/>
              <w:autoSpaceDE w:val="0"/>
              <w:autoSpaceDN w:val="0"/>
              <w:bidi w:val="0"/>
              <w:adjustRightInd w:val="0"/>
              <w:snapToGrid w:val="0"/>
              <w:spacing w:before="148" w:line="189" w:lineRule="auto"/>
              <w:ind w:firstLine="1052"/>
              <w:outlineLvl w:val="9"/>
              <w:rPr>
                <w:rFonts w:hint="eastAsia" w:ascii="宋体" w:hAnsi="宋体" w:eastAsia="宋体" w:cs="宋体"/>
                <w:sz w:val="24"/>
                <w:szCs w:val="24"/>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评审因素</w:t>
            </w:r>
          </w:p>
        </w:tc>
        <w:tc>
          <w:tcPr>
            <w:tcW w:w="5114" w:type="dxa"/>
            <w:vAlign w:val="top"/>
          </w:tcPr>
          <w:p w14:paraId="0A23CBCD">
            <w:pPr>
              <w:keepNext w:val="0"/>
              <w:keepLines w:val="0"/>
              <w:pageBreakBefore w:val="0"/>
              <w:widowControl/>
              <w:kinsoku/>
              <w:wordWrap/>
              <w:overflowPunct/>
              <w:topLinePunct w:val="0"/>
              <w:autoSpaceDE w:val="0"/>
              <w:autoSpaceDN w:val="0"/>
              <w:bidi w:val="0"/>
              <w:adjustRightInd w:val="0"/>
              <w:snapToGrid w:val="0"/>
              <w:spacing w:before="148" w:line="189" w:lineRule="auto"/>
              <w:ind w:firstLine="2397"/>
              <w:outlineLvl w:val="9"/>
              <w:rPr>
                <w:rFonts w:hint="eastAsia" w:ascii="宋体" w:hAnsi="宋体" w:eastAsia="宋体" w:cs="宋体"/>
                <w:sz w:val="24"/>
                <w:szCs w:val="24"/>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评审标准</w:t>
            </w:r>
          </w:p>
        </w:tc>
      </w:tr>
      <w:tr w14:paraId="71990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jc w:val="center"/>
        </w:trPr>
        <w:tc>
          <w:tcPr>
            <w:tcW w:w="947" w:type="dxa"/>
            <w:vMerge w:val="restart"/>
            <w:tcBorders>
              <w:bottom w:val="nil"/>
            </w:tcBorders>
            <w:vAlign w:val="center"/>
          </w:tcPr>
          <w:p w14:paraId="2104FB6D">
            <w:pPr>
              <w:keepNext w:val="0"/>
              <w:keepLines w:val="0"/>
              <w:pageBreakBefore w:val="0"/>
              <w:widowControl/>
              <w:kinsoku/>
              <w:wordWrap/>
              <w:overflowPunct/>
              <w:topLinePunct w:val="0"/>
              <w:autoSpaceDE w:val="0"/>
              <w:autoSpaceDN w:val="0"/>
              <w:bidi w:val="0"/>
              <w:adjustRightInd w:val="0"/>
              <w:snapToGrid w:val="0"/>
              <w:spacing w:line="360" w:lineRule="auto"/>
              <w:ind w:firstLine="0"/>
              <w:jc w:val="center"/>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7"/>
                <w:sz w:val="24"/>
                <w:szCs w:val="24"/>
              </w:rPr>
              <w:t>1.</w:t>
            </w:r>
            <w:r>
              <w:rPr>
                <w:rFonts w:hint="eastAsia" w:ascii="宋体" w:hAnsi="宋体" w:eastAsia="宋体" w:cs="宋体"/>
                <w:sz w:val="24"/>
                <w:szCs w:val="24"/>
              </w:rPr>
              <w:t>1</w:t>
            </w:r>
          </w:p>
        </w:tc>
        <w:tc>
          <w:tcPr>
            <w:tcW w:w="750" w:type="dxa"/>
            <w:vMerge w:val="restart"/>
            <w:tcBorders>
              <w:bottom w:val="nil"/>
            </w:tcBorders>
            <w:textDirection w:val="tbRlV"/>
            <w:vAlign w:val="top"/>
          </w:tcPr>
          <w:p w14:paraId="675BBA97">
            <w:pPr>
              <w:keepNext w:val="0"/>
              <w:keepLines w:val="0"/>
              <w:pageBreakBefore w:val="0"/>
              <w:widowControl/>
              <w:kinsoku/>
              <w:wordWrap/>
              <w:overflowPunct/>
              <w:topLinePunct w:val="0"/>
              <w:autoSpaceDE w:val="0"/>
              <w:autoSpaceDN w:val="0"/>
              <w:bidi w:val="0"/>
              <w:adjustRightInd w:val="0"/>
              <w:snapToGrid w:val="0"/>
              <w:spacing w:before="221" w:line="180" w:lineRule="auto"/>
              <w:ind w:firstLine="110"/>
              <w:outlineLvl w:val="9"/>
              <w:rPr>
                <w:rFonts w:hint="eastAsia" w:ascii="宋体" w:hAnsi="宋体" w:eastAsia="宋体" w:cs="宋体"/>
                <w:sz w:val="24"/>
                <w:szCs w:val="24"/>
              </w:rPr>
            </w:pPr>
            <w:r>
              <w:rPr>
                <w:rFonts w:hint="eastAsia" w:ascii="宋体" w:hAnsi="宋体" w:eastAsia="宋体" w:cs="宋体"/>
                <w:spacing w:val="5"/>
                <w:sz w:val="24"/>
                <w:szCs w:val="24"/>
              </w:rPr>
              <w:t>资</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格</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性</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审</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查</w:t>
            </w:r>
          </w:p>
        </w:tc>
        <w:tc>
          <w:tcPr>
            <w:tcW w:w="3225" w:type="dxa"/>
            <w:gridSpan w:val="2"/>
            <w:vAlign w:val="center"/>
          </w:tcPr>
          <w:p w14:paraId="1B3AF1A9">
            <w:pPr>
              <w:keepNext w:val="0"/>
              <w:keepLines w:val="0"/>
              <w:pageBreakBefore w:val="0"/>
              <w:widowControl/>
              <w:kinsoku/>
              <w:wordWrap/>
              <w:overflowPunct/>
              <w:topLinePunct w:val="0"/>
              <w:autoSpaceDE w:val="0"/>
              <w:autoSpaceDN w:val="0"/>
              <w:bidi w:val="0"/>
              <w:adjustRightInd w:val="0"/>
              <w:snapToGrid w:val="0"/>
              <w:spacing w:before="75" w:line="250" w:lineRule="auto"/>
              <w:ind w:left="126"/>
              <w:outlineLvl w:val="9"/>
              <w:rPr>
                <w:rFonts w:hint="eastAsia" w:ascii="宋体" w:hAnsi="宋体" w:eastAsia="宋体" w:cs="宋体"/>
                <w:sz w:val="23"/>
                <w:szCs w:val="23"/>
              </w:rPr>
            </w:pPr>
            <w:r>
              <w:rPr>
                <w:rFonts w:hint="eastAsia" w:ascii="宋体" w:hAnsi="宋体" w:eastAsia="宋体" w:cs="宋体"/>
                <w:spacing w:val="12"/>
                <w:sz w:val="23"/>
                <w:szCs w:val="23"/>
              </w:rPr>
              <w:t>第一章“竞争性磋商公告”</w:t>
            </w:r>
            <w:r>
              <w:rPr>
                <w:rFonts w:hint="eastAsia" w:ascii="宋体" w:hAnsi="宋体" w:eastAsia="宋体" w:cs="宋体"/>
                <w:spacing w:val="5"/>
                <w:sz w:val="23"/>
                <w:szCs w:val="23"/>
              </w:rPr>
              <w:t xml:space="preserve"> </w:t>
            </w:r>
            <w:r>
              <w:rPr>
                <w:rFonts w:hint="eastAsia" w:ascii="宋体" w:hAnsi="宋体" w:eastAsia="宋体" w:cs="宋体"/>
                <w:spacing w:val="-2"/>
                <w:sz w:val="23"/>
                <w:szCs w:val="23"/>
              </w:rPr>
              <w:t>各项资格要求</w:t>
            </w:r>
          </w:p>
        </w:tc>
        <w:tc>
          <w:tcPr>
            <w:tcW w:w="5114" w:type="dxa"/>
            <w:vAlign w:val="center"/>
          </w:tcPr>
          <w:p w14:paraId="0AD06444">
            <w:pPr>
              <w:keepNext w:val="0"/>
              <w:keepLines w:val="0"/>
              <w:pageBreakBefore w:val="0"/>
              <w:widowControl/>
              <w:kinsoku/>
              <w:wordWrap/>
              <w:overflowPunct/>
              <w:topLinePunct w:val="0"/>
              <w:autoSpaceDE w:val="0"/>
              <w:autoSpaceDN w:val="0"/>
              <w:bidi w:val="0"/>
              <w:adjustRightInd w:val="0"/>
              <w:snapToGrid w:val="0"/>
              <w:spacing w:before="78" w:line="239" w:lineRule="auto"/>
              <w:ind w:left="119" w:right="101" w:firstLine="4"/>
              <w:jc w:val="both"/>
              <w:outlineLvl w:val="9"/>
              <w:rPr>
                <w:rFonts w:hint="eastAsia" w:ascii="宋体" w:hAnsi="宋体" w:eastAsia="宋体" w:cs="宋体"/>
                <w:sz w:val="24"/>
                <w:szCs w:val="24"/>
              </w:rPr>
            </w:pPr>
            <w:r>
              <w:rPr>
                <w:rFonts w:hint="eastAsia" w:ascii="宋体" w:hAnsi="宋体" w:eastAsia="宋体" w:cs="宋体"/>
                <w:spacing w:val="-3"/>
                <w:sz w:val="24"/>
                <w:szCs w:val="24"/>
              </w:rPr>
              <w:t>符合第一章“竞争性磋商公告”各项资格要求</w:t>
            </w:r>
            <w:r>
              <w:rPr>
                <w:rFonts w:hint="eastAsia" w:ascii="宋体" w:hAnsi="宋体" w:eastAsia="宋体" w:cs="宋体"/>
                <w:spacing w:val="-2"/>
                <w:sz w:val="24"/>
                <w:szCs w:val="24"/>
              </w:rPr>
              <w:t>所需证件材料及证明材料</w:t>
            </w:r>
          </w:p>
        </w:tc>
      </w:tr>
      <w:tr w14:paraId="6CA22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947" w:type="dxa"/>
            <w:vMerge w:val="continue"/>
            <w:tcBorders>
              <w:top w:val="nil"/>
            </w:tcBorders>
            <w:vAlign w:val="center"/>
          </w:tcPr>
          <w:p w14:paraId="779BFBB7">
            <w:pPr>
              <w:keepNext w:val="0"/>
              <w:keepLines w:val="0"/>
              <w:pageBreakBefore w:val="0"/>
              <w:widowControl/>
              <w:kinsoku/>
              <w:wordWrap/>
              <w:overflowPunct/>
              <w:topLinePunct w:val="0"/>
              <w:autoSpaceDE w:val="0"/>
              <w:autoSpaceDN w:val="0"/>
              <w:bidi w:val="0"/>
              <w:adjustRightInd w:val="0"/>
              <w:snapToGrid w:val="0"/>
              <w:spacing w:line="360" w:lineRule="auto"/>
              <w:ind w:firstLine="0"/>
              <w:jc w:val="center"/>
              <w:textAlignment w:val="baseline"/>
              <w:outlineLvl w:val="9"/>
              <w:rPr>
                <w:rFonts w:hint="eastAsia" w:ascii="宋体" w:hAnsi="宋体" w:eastAsia="宋体" w:cs="宋体"/>
                <w:sz w:val="21"/>
              </w:rPr>
            </w:pPr>
          </w:p>
        </w:tc>
        <w:tc>
          <w:tcPr>
            <w:tcW w:w="750" w:type="dxa"/>
            <w:vMerge w:val="continue"/>
            <w:tcBorders>
              <w:top w:val="nil"/>
            </w:tcBorders>
            <w:textDirection w:val="tbRlV"/>
            <w:vAlign w:val="top"/>
          </w:tcPr>
          <w:p w14:paraId="5D1E0B8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3225" w:type="dxa"/>
            <w:gridSpan w:val="2"/>
            <w:vAlign w:val="center"/>
          </w:tcPr>
          <w:p w14:paraId="60B0BF4A">
            <w:pPr>
              <w:keepNext w:val="0"/>
              <w:keepLines w:val="0"/>
              <w:pageBreakBefore w:val="0"/>
              <w:widowControl/>
              <w:kinsoku/>
              <w:wordWrap/>
              <w:overflowPunct/>
              <w:topLinePunct w:val="0"/>
              <w:autoSpaceDE w:val="0"/>
              <w:autoSpaceDN w:val="0"/>
              <w:bidi w:val="0"/>
              <w:adjustRightInd w:val="0"/>
              <w:snapToGrid w:val="0"/>
              <w:spacing w:before="155" w:line="189" w:lineRule="auto"/>
              <w:ind w:firstLine="113"/>
              <w:outlineLvl w:val="9"/>
              <w:rPr>
                <w:rFonts w:hint="eastAsia" w:ascii="宋体" w:hAnsi="宋体" w:eastAsia="宋体" w:cs="宋体"/>
                <w:sz w:val="24"/>
                <w:szCs w:val="24"/>
              </w:rPr>
            </w:pPr>
            <w:r>
              <w:rPr>
                <w:rFonts w:hint="eastAsia" w:ascii="宋体" w:hAnsi="宋体" w:eastAsia="宋体" w:cs="宋体"/>
                <w:spacing w:val="-4"/>
                <w:sz w:val="24"/>
                <w:szCs w:val="24"/>
              </w:rPr>
              <w:t>联合体（如有）</w:t>
            </w:r>
          </w:p>
        </w:tc>
        <w:tc>
          <w:tcPr>
            <w:tcW w:w="5114" w:type="dxa"/>
            <w:vAlign w:val="center"/>
          </w:tcPr>
          <w:p w14:paraId="63D2A736">
            <w:pPr>
              <w:keepNext w:val="0"/>
              <w:keepLines w:val="0"/>
              <w:pageBreakBefore w:val="0"/>
              <w:widowControl/>
              <w:kinsoku/>
              <w:wordWrap/>
              <w:overflowPunct/>
              <w:topLinePunct w:val="0"/>
              <w:autoSpaceDE w:val="0"/>
              <w:autoSpaceDN w:val="0"/>
              <w:bidi w:val="0"/>
              <w:adjustRightInd w:val="0"/>
              <w:snapToGrid w:val="0"/>
              <w:spacing w:before="155"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符合第三章“投标人须知”1.4款规定</w:t>
            </w:r>
          </w:p>
        </w:tc>
      </w:tr>
      <w:tr w14:paraId="18B83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947" w:type="dxa"/>
            <w:vMerge w:val="restart"/>
            <w:tcBorders>
              <w:bottom w:val="nil"/>
            </w:tcBorders>
            <w:vAlign w:val="center"/>
          </w:tcPr>
          <w:p w14:paraId="6A315089">
            <w:pPr>
              <w:keepNext w:val="0"/>
              <w:keepLines w:val="0"/>
              <w:pageBreakBefore w:val="0"/>
              <w:widowControl/>
              <w:kinsoku/>
              <w:wordWrap/>
              <w:overflowPunct/>
              <w:topLinePunct w:val="0"/>
              <w:autoSpaceDE w:val="0"/>
              <w:autoSpaceDN w:val="0"/>
              <w:bidi w:val="0"/>
              <w:adjustRightInd w:val="0"/>
              <w:snapToGrid w:val="0"/>
              <w:spacing w:line="360" w:lineRule="auto"/>
              <w:ind w:firstLine="0"/>
              <w:jc w:val="center"/>
              <w:textAlignment w:val="baseline"/>
              <w:outlineLvl w:val="9"/>
              <w:rPr>
                <w:rFonts w:hint="eastAsia" w:ascii="宋体" w:hAnsi="宋体" w:eastAsia="宋体" w:cs="宋体"/>
                <w:sz w:val="24"/>
                <w:szCs w:val="24"/>
                <w:lang w:val="en-US" w:eastAsia="zh-CN"/>
              </w:rPr>
            </w:pPr>
            <w:r>
              <w:rPr>
                <w:rFonts w:hint="eastAsia" w:ascii="宋体" w:hAnsi="宋体" w:eastAsia="宋体" w:cs="宋体"/>
                <w:spacing w:val="-3"/>
                <w:sz w:val="24"/>
                <w:szCs w:val="24"/>
              </w:rPr>
              <w:t>2.</w:t>
            </w:r>
            <w:r>
              <w:rPr>
                <w:rFonts w:hint="eastAsia" w:ascii="宋体" w:hAnsi="宋体" w:eastAsia="宋体" w:cs="宋体"/>
                <w:spacing w:val="-7"/>
                <w:sz w:val="24"/>
                <w:szCs w:val="24"/>
              </w:rPr>
              <w:t>1.</w:t>
            </w:r>
            <w:r>
              <w:rPr>
                <w:rFonts w:hint="eastAsia" w:ascii="宋体" w:hAnsi="宋体" w:eastAsia="宋体" w:cs="宋体"/>
                <w:sz w:val="24"/>
                <w:szCs w:val="24"/>
              </w:rPr>
              <w:t>2</w:t>
            </w:r>
          </w:p>
        </w:tc>
        <w:tc>
          <w:tcPr>
            <w:tcW w:w="750" w:type="dxa"/>
            <w:vMerge w:val="restart"/>
            <w:tcBorders>
              <w:bottom w:val="nil"/>
            </w:tcBorders>
            <w:textDirection w:val="tbRlV"/>
            <w:vAlign w:val="top"/>
          </w:tcPr>
          <w:p w14:paraId="2A126FD0">
            <w:pPr>
              <w:keepNext w:val="0"/>
              <w:keepLines w:val="0"/>
              <w:pageBreakBefore w:val="0"/>
              <w:widowControl/>
              <w:kinsoku/>
              <w:wordWrap/>
              <w:overflowPunct/>
              <w:topLinePunct w:val="0"/>
              <w:autoSpaceDE w:val="0"/>
              <w:autoSpaceDN w:val="0"/>
              <w:bidi w:val="0"/>
              <w:adjustRightInd w:val="0"/>
              <w:snapToGrid w:val="0"/>
              <w:spacing w:before="221" w:line="180" w:lineRule="auto"/>
              <w:ind w:firstLine="1633"/>
              <w:outlineLvl w:val="9"/>
              <w:rPr>
                <w:rFonts w:hint="eastAsia" w:ascii="宋体" w:hAnsi="宋体" w:eastAsia="宋体" w:cs="宋体"/>
                <w:sz w:val="24"/>
                <w:szCs w:val="24"/>
              </w:rPr>
            </w:pPr>
            <w:r>
              <w:rPr>
                <w:rFonts w:hint="eastAsia" w:ascii="宋体" w:hAnsi="宋体" w:eastAsia="宋体" w:cs="宋体"/>
                <w:spacing w:val="5"/>
                <w:sz w:val="24"/>
                <w:szCs w:val="24"/>
              </w:rPr>
              <w:t>符</w:t>
            </w:r>
            <w:r>
              <w:rPr>
                <w:rFonts w:hint="eastAsia" w:ascii="宋体" w:hAnsi="宋体" w:eastAsia="宋体" w:cs="宋体"/>
                <w:spacing w:val="103"/>
                <w:sz w:val="24"/>
                <w:szCs w:val="24"/>
              </w:rPr>
              <w:t xml:space="preserve"> </w:t>
            </w:r>
            <w:r>
              <w:rPr>
                <w:rFonts w:hint="eastAsia" w:ascii="宋体" w:hAnsi="宋体" w:eastAsia="宋体" w:cs="宋体"/>
                <w:spacing w:val="5"/>
                <w:sz w:val="24"/>
                <w:szCs w:val="24"/>
              </w:rPr>
              <w:t>合</w:t>
            </w:r>
            <w:r>
              <w:rPr>
                <w:rFonts w:hint="eastAsia" w:ascii="宋体" w:hAnsi="宋体" w:eastAsia="宋体" w:cs="宋体"/>
                <w:spacing w:val="102"/>
                <w:sz w:val="24"/>
                <w:szCs w:val="24"/>
              </w:rPr>
              <w:t xml:space="preserve"> </w:t>
            </w:r>
            <w:r>
              <w:rPr>
                <w:rFonts w:hint="eastAsia" w:ascii="宋体" w:hAnsi="宋体" w:eastAsia="宋体" w:cs="宋体"/>
                <w:spacing w:val="5"/>
                <w:sz w:val="24"/>
                <w:szCs w:val="24"/>
              </w:rPr>
              <w:t>性</w:t>
            </w:r>
            <w:r>
              <w:rPr>
                <w:rFonts w:hint="eastAsia" w:ascii="宋体" w:hAnsi="宋体" w:eastAsia="宋体" w:cs="宋体"/>
                <w:spacing w:val="101"/>
                <w:sz w:val="24"/>
                <w:szCs w:val="24"/>
              </w:rPr>
              <w:t xml:space="preserve"> </w:t>
            </w:r>
            <w:r>
              <w:rPr>
                <w:rFonts w:hint="eastAsia" w:ascii="宋体" w:hAnsi="宋体" w:eastAsia="宋体" w:cs="宋体"/>
                <w:spacing w:val="5"/>
                <w:sz w:val="24"/>
                <w:szCs w:val="24"/>
              </w:rPr>
              <w:t>审</w:t>
            </w:r>
            <w:r>
              <w:rPr>
                <w:rFonts w:hint="eastAsia" w:ascii="宋体" w:hAnsi="宋体" w:eastAsia="宋体" w:cs="宋体"/>
                <w:spacing w:val="101"/>
                <w:sz w:val="24"/>
                <w:szCs w:val="24"/>
              </w:rPr>
              <w:t xml:space="preserve"> </w:t>
            </w:r>
            <w:r>
              <w:rPr>
                <w:rFonts w:hint="eastAsia" w:ascii="宋体" w:hAnsi="宋体" w:eastAsia="宋体" w:cs="宋体"/>
                <w:spacing w:val="5"/>
                <w:sz w:val="24"/>
                <w:szCs w:val="24"/>
              </w:rPr>
              <w:t>查</w:t>
            </w:r>
          </w:p>
        </w:tc>
        <w:tc>
          <w:tcPr>
            <w:tcW w:w="960" w:type="dxa"/>
            <w:vMerge w:val="restart"/>
            <w:tcBorders>
              <w:bottom w:val="nil"/>
            </w:tcBorders>
            <w:vAlign w:val="center"/>
          </w:tcPr>
          <w:p w14:paraId="317C241C">
            <w:pPr>
              <w:keepNext w:val="0"/>
              <w:keepLines w:val="0"/>
              <w:pageBreakBefore w:val="0"/>
              <w:widowControl/>
              <w:kinsoku/>
              <w:wordWrap/>
              <w:overflowPunct/>
              <w:topLinePunct w:val="0"/>
              <w:autoSpaceDE w:val="0"/>
              <w:autoSpaceDN w:val="0"/>
              <w:bidi w:val="0"/>
              <w:adjustRightInd w:val="0"/>
              <w:snapToGrid w:val="0"/>
              <w:spacing w:before="205" w:line="358" w:lineRule="exact"/>
              <w:ind w:firstLine="182"/>
              <w:jc w:val="both"/>
              <w:outlineLvl w:val="9"/>
              <w:rPr>
                <w:rFonts w:hint="eastAsia" w:ascii="宋体" w:hAnsi="宋体" w:eastAsia="宋体" w:cs="宋体"/>
                <w:sz w:val="24"/>
                <w:szCs w:val="24"/>
              </w:rPr>
            </w:pPr>
            <w:r>
              <w:rPr>
                <w:rFonts w:hint="eastAsia" w:ascii="宋体" w:hAnsi="宋体" w:eastAsia="宋体" w:cs="宋体"/>
                <w:spacing w:val="-4"/>
                <w:position w:val="7"/>
                <w:sz w:val="24"/>
                <w:szCs w:val="24"/>
              </w:rPr>
              <w:t>有效</w:t>
            </w:r>
          </w:p>
          <w:p w14:paraId="51978E2D">
            <w:pPr>
              <w:keepNext w:val="0"/>
              <w:keepLines w:val="0"/>
              <w:pageBreakBefore w:val="0"/>
              <w:widowControl/>
              <w:kinsoku/>
              <w:wordWrap/>
              <w:overflowPunct/>
              <w:topLinePunct w:val="0"/>
              <w:autoSpaceDE w:val="0"/>
              <w:autoSpaceDN w:val="0"/>
              <w:bidi w:val="0"/>
              <w:adjustRightInd w:val="0"/>
              <w:snapToGrid w:val="0"/>
              <w:spacing w:before="1" w:line="204" w:lineRule="auto"/>
              <w:ind w:firstLine="308"/>
              <w:jc w:val="both"/>
              <w:outlineLvl w:val="9"/>
              <w:rPr>
                <w:rFonts w:hint="eastAsia" w:ascii="宋体" w:hAnsi="宋体" w:eastAsia="宋体" w:cs="宋体"/>
                <w:sz w:val="24"/>
                <w:szCs w:val="24"/>
              </w:rPr>
            </w:pPr>
            <w:r>
              <w:rPr>
                <w:rFonts w:hint="eastAsia" w:ascii="宋体" w:hAnsi="宋体" w:eastAsia="宋体" w:cs="宋体"/>
                <w:sz w:val="24"/>
                <w:szCs w:val="24"/>
              </w:rPr>
              <w:t>性</w:t>
            </w:r>
          </w:p>
        </w:tc>
        <w:tc>
          <w:tcPr>
            <w:tcW w:w="2265" w:type="dxa"/>
            <w:vAlign w:val="center"/>
          </w:tcPr>
          <w:p w14:paraId="69662138">
            <w:pPr>
              <w:keepNext w:val="0"/>
              <w:keepLines w:val="0"/>
              <w:pageBreakBefore w:val="0"/>
              <w:widowControl/>
              <w:kinsoku/>
              <w:wordWrap/>
              <w:overflowPunct/>
              <w:topLinePunct w:val="0"/>
              <w:autoSpaceDE w:val="0"/>
              <w:autoSpaceDN w:val="0"/>
              <w:bidi w:val="0"/>
              <w:adjustRightInd w:val="0"/>
              <w:snapToGrid w:val="0"/>
              <w:spacing w:before="118" w:line="189" w:lineRule="auto"/>
              <w:ind w:firstLine="516"/>
              <w:jc w:val="both"/>
              <w:outlineLvl w:val="9"/>
              <w:rPr>
                <w:rFonts w:hint="eastAsia" w:ascii="宋体" w:hAnsi="宋体" w:eastAsia="宋体" w:cs="宋体"/>
                <w:sz w:val="24"/>
                <w:szCs w:val="24"/>
              </w:rPr>
            </w:pPr>
            <w:r>
              <w:rPr>
                <w:rFonts w:hint="eastAsia" w:ascii="宋体" w:hAnsi="宋体" w:eastAsia="宋体" w:cs="宋体"/>
                <w:spacing w:val="-3"/>
                <w:sz w:val="24"/>
                <w:szCs w:val="24"/>
              </w:rPr>
              <w:t>投标人名称</w:t>
            </w:r>
          </w:p>
        </w:tc>
        <w:tc>
          <w:tcPr>
            <w:tcW w:w="5114" w:type="dxa"/>
            <w:vAlign w:val="center"/>
          </w:tcPr>
          <w:p w14:paraId="0E1C5CDD">
            <w:pPr>
              <w:keepNext w:val="0"/>
              <w:keepLines w:val="0"/>
              <w:pageBreakBefore w:val="0"/>
              <w:widowControl/>
              <w:kinsoku/>
              <w:wordWrap/>
              <w:overflowPunct/>
              <w:topLinePunct w:val="0"/>
              <w:autoSpaceDE w:val="0"/>
              <w:autoSpaceDN w:val="0"/>
              <w:bidi w:val="0"/>
              <w:adjustRightInd w:val="0"/>
              <w:snapToGrid w:val="0"/>
              <w:spacing w:before="118" w:line="189" w:lineRule="auto"/>
              <w:ind w:firstLine="128"/>
              <w:jc w:val="both"/>
              <w:outlineLvl w:val="9"/>
              <w:rPr>
                <w:rFonts w:hint="eastAsia" w:ascii="宋体" w:hAnsi="宋体" w:eastAsia="宋体" w:cs="宋体"/>
                <w:sz w:val="24"/>
                <w:szCs w:val="24"/>
              </w:rPr>
            </w:pPr>
            <w:r>
              <w:rPr>
                <w:rFonts w:hint="eastAsia" w:ascii="宋体" w:hAnsi="宋体" w:eastAsia="宋体" w:cs="宋体"/>
                <w:spacing w:val="-2"/>
                <w:sz w:val="24"/>
                <w:szCs w:val="24"/>
              </w:rPr>
              <w:t>与营业执照证等证照及签章一致</w:t>
            </w:r>
          </w:p>
        </w:tc>
      </w:tr>
      <w:tr w14:paraId="0AF94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47" w:type="dxa"/>
            <w:vMerge w:val="continue"/>
            <w:tcBorders>
              <w:top w:val="nil"/>
              <w:bottom w:val="nil"/>
            </w:tcBorders>
            <w:vAlign w:val="top"/>
          </w:tcPr>
          <w:p w14:paraId="2145C12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vMerge w:val="continue"/>
            <w:tcBorders>
              <w:top w:val="nil"/>
              <w:bottom w:val="nil"/>
            </w:tcBorders>
            <w:textDirection w:val="tbRlV"/>
            <w:vAlign w:val="top"/>
          </w:tcPr>
          <w:p w14:paraId="1B494B6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vMerge w:val="continue"/>
            <w:tcBorders>
              <w:top w:val="nil"/>
            </w:tcBorders>
            <w:vAlign w:val="center"/>
          </w:tcPr>
          <w:p w14:paraId="7A975000">
            <w:pPr>
              <w:keepNext w:val="0"/>
              <w:keepLines w:val="0"/>
              <w:pageBreakBefore w:val="0"/>
              <w:widowControl/>
              <w:kinsoku/>
              <w:wordWrap/>
              <w:overflowPunct/>
              <w:topLinePunct w:val="0"/>
              <w:autoSpaceDE w:val="0"/>
              <w:autoSpaceDN w:val="0"/>
              <w:bidi w:val="0"/>
              <w:adjustRightInd w:val="0"/>
              <w:snapToGrid w:val="0"/>
              <w:jc w:val="both"/>
              <w:outlineLvl w:val="9"/>
              <w:rPr>
                <w:rFonts w:hint="eastAsia" w:ascii="宋体" w:hAnsi="宋体" w:eastAsia="宋体" w:cs="宋体"/>
                <w:sz w:val="21"/>
              </w:rPr>
            </w:pPr>
          </w:p>
        </w:tc>
        <w:tc>
          <w:tcPr>
            <w:tcW w:w="2265" w:type="dxa"/>
            <w:vAlign w:val="center"/>
          </w:tcPr>
          <w:p w14:paraId="38D56634">
            <w:pPr>
              <w:keepNext w:val="0"/>
              <w:keepLines w:val="0"/>
              <w:pageBreakBefore w:val="0"/>
              <w:widowControl/>
              <w:kinsoku/>
              <w:wordWrap/>
              <w:overflowPunct/>
              <w:topLinePunct w:val="0"/>
              <w:autoSpaceDE w:val="0"/>
              <w:autoSpaceDN w:val="0"/>
              <w:bidi w:val="0"/>
              <w:adjustRightInd w:val="0"/>
              <w:snapToGrid w:val="0"/>
              <w:spacing w:before="119" w:line="189" w:lineRule="auto"/>
              <w:ind w:firstLine="523"/>
              <w:jc w:val="both"/>
              <w:outlineLvl w:val="9"/>
              <w:rPr>
                <w:rFonts w:hint="eastAsia" w:ascii="宋体" w:hAnsi="宋体" w:eastAsia="宋体" w:cs="宋体"/>
                <w:sz w:val="24"/>
                <w:szCs w:val="24"/>
              </w:rPr>
            </w:pPr>
            <w:r>
              <w:rPr>
                <w:rFonts w:hint="eastAsia" w:ascii="宋体" w:hAnsi="宋体" w:eastAsia="宋体" w:cs="宋体"/>
                <w:spacing w:val="-4"/>
                <w:sz w:val="24"/>
                <w:szCs w:val="24"/>
              </w:rPr>
              <w:t>签字或盖章</w:t>
            </w:r>
          </w:p>
        </w:tc>
        <w:tc>
          <w:tcPr>
            <w:tcW w:w="5114" w:type="dxa"/>
            <w:vAlign w:val="center"/>
          </w:tcPr>
          <w:p w14:paraId="162E314C">
            <w:pPr>
              <w:keepNext w:val="0"/>
              <w:keepLines w:val="0"/>
              <w:pageBreakBefore w:val="0"/>
              <w:widowControl/>
              <w:kinsoku/>
              <w:wordWrap/>
              <w:overflowPunct/>
              <w:topLinePunct w:val="0"/>
              <w:autoSpaceDE w:val="0"/>
              <w:autoSpaceDN w:val="0"/>
              <w:bidi w:val="0"/>
              <w:adjustRightInd w:val="0"/>
              <w:snapToGrid w:val="0"/>
              <w:spacing w:before="119"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符合第三章“投标人须知”3.7.4项规定</w:t>
            </w:r>
          </w:p>
        </w:tc>
      </w:tr>
      <w:tr w14:paraId="4C197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947" w:type="dxa"/>
            <w:vMerge w:val="continue"/>
            <w:tcBorders>
              <w:top w:val="nil"/>
              <w:bottom w:val="nil"/>
            </w:tcBorders>
            <w:vAlign w:val="top"/>
          </w:tcPr>
          <w:p w14:paraId="09617FF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vMerge w:val="continue"/>
            <w:tcBorders>
              <w:top w:val="nil"/>
              <w:bottom w:val="nil"/>
            </w:tcBorders>
            <w:textDirection w:val="tbRlV"/>
            <w:vAlign w:val="top"/>
          </w:tcPr>
          <w:p w14:paraId="18581CA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vAlign w:val="center"/>
          </w:tcPr>
          <w:p w14:paraId="4B8E9978">
            <w:pPr>
              <w:keepNext w:val="0"/>
              <w:keepLines w:val="0"/>
              <w:pageBreakBefore w:val="0"/>
              <w:widowControl/>
              <w:kinsoku/>
              <w:wordWrap/>
              <w:overflowPunct/>
              <w:topLinePunct w:val="0"/>
              <w:autoSpaceDE w:val="0"/>
              <w:autoSpaceDN w:val="0"/>
              <w:bidi w:val="0"/>
              <w:adjustRightInd w:val="0"/>
              <w:snapToGrid w:val="0"/>
              <w:spacing w:before="38" w:line="358" w:lineRule="exact"/>
              <w:ind w:firstLine="189"/>
              <w:jc w:val="both"/>
              <w:outlineLvl w:val="9"/>
              <w:rPr>
                <w:rFonts w:hint="eastAsia" w:ascii="宋体" w:hAnsi="宋体" w:eastAsia="宋体" w:cs="宋体"/>
                <w:sz w:val="24"/>
                <w:szCs w:val="24"/>
              </w:rPr>
            </w:pPr>
            <w:r>
              <w:rPr>
                <w:rFonts w:hint="eastAsia" w:ascii="宋体" w:hAnsi="宋体" w:eastAsia="宋体" w:cs="宋体"/>
                <w:spacing w:val="-6"/>
                <w:position w:val="7"/>
                <w:sz w:val="24"/>
                <w:szCs w:val="24"/>
              </w:rPr>
              <w:t>完整</w:t>
            </w:r>
          </w:p>
          <w:p w14:paraId="630566DB">
            <w:pPr>
              <w:keepNext w:val="0"/>
              <w:keepLines w:val="0"/>
              <w:pageBreakBefore w:val="0"/>
              <w:widowControl/>
              <w:kinsoku/>
              <w:wordWrap/>
              <w:overflowPunct/>
              <w:topLinePunct w:val="0"/>
              <w:autoSpaceDE w:val="0"/>
              <w:autoSpaceDN w:val="0"/>
              <w:bidi w:val="0"/>
              <w:adjustRightInd w:val="0"/>
              <w:snapToGrid w:val="0"/>
              <w:spacing w:before="1" w:line="204" w:lineRule="auto"/>
              <w:ind w:firstLine="308"/>
              <w:jc w:val="both"/>
              <w:outlineLvl w:val="9"/>
              <w:rPr>
                <w:rFonts w:hint="eastAsia" w:ascii="宋体" w:hAnsi="宋体" w:eastAsia="宋体" w:cs="宋体"/>
                <w:sz w:val="24"/>
                <w:szCs w:val="24"/>
              </w:rPr>
            </w:pPr>
            <w:r>
              <w:rPr>
                <w:rFonts w:hint="eastAsia" w:ascii="宋体" w:hAnsi="宋体" w:eastAsia="宋体" w:cs="宋体"/>
                <w:sz w:val="24"/>
                <w:szCs w:val="24"/>
              </w:rPr>
              <w:t>性</w:t>
            </w:r>
          </w:p>
        </w:tc>
        <w:tc>
          <w:tcPr>
            <w:tcW w:w="2265" w:type="dxa"/>
            <w:vAlign w:val="center"/>
          </w:tcPr>
          <w:p w14:paraId="72A7A061">
            <w:pPr>
              <w:keepNext w:val="0"/>
              <w:keepLines w:val="0"/>
              <w:pageBreakBefore w:val="0"/>
              <w:widowControl/>
              <w:kinsoku/>
              <w:wordWrap/>
              <w:overflowPunct/>
              <w:topLinePunct w:val="0"/>
              <w:autoSpaceDE w:val="0"/>
              <w:autoSpaceDN w:val="0"/>
              <w:bidi w:val="0"/>
              <w:adjustRightInd w:val="0"/>
              <w:snapToGrid w:val="0"/>
              <w:spacing w:before="217" w:line="189" w:lineRule="auto"/>
              <w:ind w:firstLine="151"/>
              <w:jc w:val="both"/>
              <w:outlineLvl w:val="9"/>
              <w:rPr>
                <w:rFonts w:hint="eastAsia" w:ascii="宋体" w:hAnsi="宋体" w:eastAsia="宋体" w:cs="宋体"/>
                <w:sz w:val="24"/>
                <w:szCs w:val="24"/>
              </w:rPr>
            </w:pPr>
            <w:r>
              <w:rPr>
                <w:rFonts w:hint="eastAsia" w:ascii="宋体" w:hAnsi="宋体" w:eastAsia="宋体" w:cs="宋体"/>
                <w:spacing w:val="-4"/>
                <w:sz w:val="24"/>
                <w:szCs w:val="24"/>
              </w:rPr>
              <w:t>《响应文件》组成</w:t>
            </w:r>
          </w:p>
        </w:tc>
        <w:tc>
          <w:tcPr>
            <w:tcW w:w="5114" w:type="dxa"/>
            <w:vAlign w:val="center"/>
          </w:tcPr>
          <w:p w14:paraId="3F59E71D">
            <w:pPr>
              <w:keepNext w:val="0"/>
              <w:keepLines w:val="0"/>
              <w:pageBreakBefore w:val="0"/>
              <w:widowControl/>
              <w:kinsoku/>
              <w:wordWrap/>
              <w:overflowPunct/>
              <w:topLinePunct w:val="0"/>
              <w:autoSpaceDE w:val="0"/>
              <w:autoSpaceDN w:val="0"/>
              <w:bidi w:val="0"/>
              <w:adjustRightInd w:val="0"/>
              <w:snapToGrid w:val="0"/>
              <w:spacing w:before="217"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符合第三章“投标人须知”3.2款规定</w:t>
            </w:r>
          </w:p>
        </w:tc>
      </w:tr>
      <w:tr w14:paraId="7BE6F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947" w:type="dxa"/>
            <w:vMerge w:val="continue"/>
            <w:tcBorders>
              <w:top w:val="nil"/>
              <w:bottom w:val="nil"/>
            </w:tcBorders>
            <w:vAlign w:val="top"/>
          </w:tcPr>
          <w:p w14:paraId="4192AD5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vMerge w:val="continue"/>
            <w:tcBorders>
              <w:top w:val="nil"/>
              <w:bottom w:val="nil"/>
            </w:tcBorders>
            <w:textDirection w:val="tbRlV"/>
            <w:vAlign w:val="top"/>
          </w:tcPr>
          <w:p w14:paraId="3E5268B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vMerge w:val="restart"/>
            <w:tcBorders>
              <w:bottom w:val="nil"/>
            </w:tcBorders>
            <w:vAlign w:val="center"/>
          </w:tcPr>
          <w:p w14:paraId="6F7A93B2">
            <w:pPr>
              <w:keepNext w:val="0"/>
              <w:keepLines w:val="0"/>
              <w:pageBreakBefore w:val="0"/>
              <w:widowControl/>
              <w:kinsoku/>
              <w:wordWrap/>
              <w:overflowPunct/>
              <w:topLinePunct w:val="0"/>
              <w:autoSpaceDE w:val="0"/>
              <w:autoSpaceDN w:val="0"/>
              <w:bidi w:val="0"/>
              <w:adjustRightInd w:val="0"/>
              <w:snapToGrid w:val="0"/>
              <w:spacing w:before="78" w:line="358" w:lineRule="exact"/>
              <w:ind w:firstLine="192"/>
              <w:jc w:val="both"/>
              <w:outlineLvl w:val="9"/>
              <w:rPr>
                <w:rFonts w:hint="eastAsia" w:ascii="宋体" w:hAnsi="宋体" w:eastAsia="宋体" w:cs="宋体"/>
                <w:sz w:val="24"/>
                <w:szCs w:val="24"/>
              </w:rPr>
            </w:pPr>
            <w:r>
              <w:rPr>
                <w:rFonts w:hint="eastAsia" w:ascii="宋体" w:hAnsi="宋体" w:eastAsia="宋体" w:cs="宋体"/>
                <w:spacing w:val="-6"/>
                <w:position w:val="7"/>
                <w:sz w:val="24"/>
                <w:szCs w:val="24"/>
              </w:rPr>
              <w:t>响应</w:t>
            </w:r>
          </w:p>
          <w:p w14:paraId="5A7B25A5">
            <w:pPr>
              <w:keepNext w:val="0"/>
              <w:keepLines w:val="0"/>
              <w:pageBreakBefore w:val="0"/>
              <w:widowControl/>
              <w:kinsoku/>
              <w:wordWrap/>
              <w:overflowPunct/>
              <w:topLinePunct w:val="0"/>
              <w:autoSpaceDE w:val="0"/>
              <w:autoSpaceDN w:val="0"/>
              <w:bidi w:val="0"/>
              <w:adjustRightInd w:val="0"/>
              <w:snapToGrid w:val="0"/>
              <w:spacing w:before="1" w:line="204" w:lineRule="auto"/>
              <w:ind w:firstLine="186"/>
              <w:jc w:val="both"/>
              <w:outlineLvl w:val="9"/>
              <w:rPr>
                <w:rFonts w:hint="eastAsia" w:ascii="宋体" w:hAnsi="宋体" w:eastAsia="宋体" w:cs="宋体"/>
                <w:sz w:val="24"/>
                <w:szCs w:val="24"/>
              </w:rPr>
            </w:pPr>
            <w:r>
              <w:rPr>
                <w:rFonts w:hint="eastAsia" w:ascii="宋体" w:hAnsi="宋体" w:eastAsia="宋体" w:cs="宋体"/>
                <w:spacing w:val="-5"/>
                <w:sz w:val="24"/>
                <w:szCs w:val="24"/>
              </w:rPr>
              <w:t>程度</w:t>
            </w:r>
          </w:p>
        </w:tc>
        <w:tc>
          <w:tcPr>
            <w:tcW w:w="2265" w:type="dxa"/>
            <w:vAlign w:val="center"/>
          </w:tcPr>
          <w:p w14:paraId="2A07FE4F">
            <w:pPr>
              <w:keepNext w:val="0"/>
              <w:keepLines w:val="0"/>
              <w:pageBreakBefore w:val="0"/>
              <w:widowControl/>
              <w:kinsoku/>
              <w:wordWrap/>
              <w:overflowPunct/>
              <w:topLinePunct w:val="0"/>
              <w:autoSpaceDE w:val="0"/>
              <w:autoSpaceDN w:val="0"/>
              <w:bidi w:val="0"/>
              <w:adjustRightInd w:val="0"/>
              <w:snapToGrid w:val="0"/>
              <w:spacing w:before="65" w:line="189" w:lineRule="auto"/>
              <w:ind w:firstLine="645"/>
              <w:jc w:val="both"/>
              <w:outlineLvl w:val="9"/>
              <w:rPr>
                <w:rFonts w:hint="eastAsia" w:ascii="宋体" w:hAnsi="宋体" w:eastAsia="宋体" w:cs="宋体"/>
                <w:sz w:val="24"/>
                <w:szCs w:val="24"/>
              </w:rPr>
            </w:pPr>
            <w:r>
              <w:rPr>
                <w:rFonts w:hint="eastAsia" w:ascii="宋体" w:hAnsi="宋体" w:eastAsia="宋体" w:cs="宋体"/>
                <w:spacing w:val="-5"/>
                <w:sz w:val="24"/>
                <w:szCs w:val="24"/>
              </w:rPr>
              <w:t>响应报价</w:t>
            </w:r>
          </w:p>
        </w:tc>
        <w:tc>
          <w:tcPr>
            <w:tcW w:w="5114" w:type="dxa"/>
            <w:vAlign w:val="center"/>
          </w:tcPr>
          <w:p w14:paraId="3C4CC338">
            <w:pPr>
              <w:keepNext w:val="0"/>
              <w:keepLines w:val="0"/>
              <w:pageBreakBefore w:val="0"/>
              <w:widowControl/>
              <w:kinsoku/>
              <w:wordWrap/>
              <w:overflowPunct/>
              <w:topLinePunct w:val="0"/>
              <w:autoSpaceDE w:val="0"/>
              <w:autoSpaceDN w:val="0"/>
              <w:bidi w:val="0"/>
              <w:adjustRightInd w:val="0"/>
              <w:snapToGrid w:val="0"/>
              <w:spacing w:before="65"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符合第二章“采购项目要求”相关规定</w:t>
            </w:r>
          </w:p>
        </w:tc>
      </w:tr>
      <w:tr w14:paraId="6AFB2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47" w:type="dxa"/>
            <w:vMerge w:val="continue"/>
            <w:tcBorders>
              <w:top w:val="nil"/>
              <w:bottom w:val="nil"/>
            </w:tcBorders>
            <w:vAlign w:val="top"/>
          </w:tcPr>
          <w:p w14:paraId="2BA4251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vMerge w:val="continue"/>
            <w:tcBorders>
              <w:top w:val="nil"/>
              <w:bottom w:val="nil"/>
            </w:tcBorders>
            <w:textDirection w:val="tbRlV"/>
            <w:vAlign w:val="top"/>
          </w:tcPr>
          <w:p w14:paraId="01E85F6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vMerge w:val="continue"/>
            <w:tcBorders>
              <w:top w:val="nil"/>
              <w:bottom w:val="nil"/>
            </w:tcBorders>
            <w:vAlign w:val="center"/>
          </w:tcPr>
          <w:p w14:paraId="303710A3">
            <w:pPr>
              <w:keepNext w:val="0"/>
              <w:keepLines w:val="0"/>
              <w:pageBreakBefore w:val="0"/>
              <w:widowControl/>
              <w:kinsoku/>
              <w:wordWrap/>
              <w:overflowPunct/>
              <w:topLinePunct w:val="0"/>
              <w:autoSpaceDE w:val="0"/>
              <w:autoSpaceDN w:val="0"/>
              <w:bidi w:val="0"/>
              <w:adjustRightInd w:val="0"/>
              <w:snapToGrid w:val="0"/>
              <w:jc w:val="both"/>
              <w:outlineLvl w:val="9"/>
              <w:rPr>
                <w:rFonts w:hint="eastAsia" w:ascii="宋体" w:hAnsi="宋体" w:eastAsia="宋体" w:cs="宋体"/>
                <w:sz w:val="21"/>
              </w:rPr>
            </w:pPr>
          </w:p>
        </w:tc>
        <w:tc>
          <w:tcPr>
            <w:tcW w:w="2265" w:type="dxa"/>
            <w:vAlign w:val="center"/>
          </w:tcPr>
          <w:p w14:paraId="21D3BA24">
            <w:pPr>
              <w:keepNext w:val="0"/>
              <w:keepLines w:val="0"/>
              <w:pageBreakBefore w:val="0"/>
              <w:widowControl/>
              <w:kinsoku/>
              <w:wordWrap/>
              <w:overflowPunct/>
              <w:topLinePunct w:val="0"/>
              <w:autoSpaceDE w:val="0"/>
              <w:autoSpaceDN w:val="0"/>
              <w:bidi w:val="0"/>
              <w:adjustRightInd w:val="0"/>
              <w:snapToGrid w:val="0"/>
              <w:spacing w:before="66" w:line="189" w:lineRule="auto"/>
              <w:ind w:firstLine="165"/>
              <w:jc w:val="both"/>
              <w:outlineLvl w:val="9"/>
              <w:rPr>
                <w:rFonts w:hint="eastAsia" w:ascii="宋体" w:hAnsi="宋体" w:eastAsia="宋体" w:cs="宋体"/>
                <w:sz w:val="24"/>
                <w:szCs w:val="24"/>
              </w:rPr>
            </w:pPr>
            <w:r>
              <w:rPr>
                <w:rFonts w:hint="eastAsia" w:ascii="宋体" w:hAnsi="宋体" w:eastAsia="宋体" w:cs="宋体"/>
                <w:spacing w:val="-5"/>
                <w:sz w:val="24"/>
                <w:szCs w:val="24"/>
              </w:rPr>
              <w:t>响应内容（范围）</w:t>
            </w:r>
          </w:p>
        </w:tc>
        <w:tc>
          <w:tcPr>
            <w:tcW w:w="5114" w:type="dxa"/>
            <w:vAlign w:val="center"/>
          </w:tcPr>
          <w:p w14:paraId="05341B83">
            <w:pPr>
              <w:keepNext w:val="0"/>
              <w:keepLines w:val="0"/>
              <w:pageBreakBefore w:val="0"/>
              <w:widowControl/>
              <w:kinsoku/>
              <w:wordWrap/>
              <w:overflowPunct/>
              <w:topLinePunct w:val="0"/>
              <w:autoSpaceDE w:val="0"/>
              <w:autoSpaceDN w:val="0"/>
              <w:bidi w:val="0"/>
              <w:adjustRightInd w:val="0"/>
              <w:snapToGrid w:val="0"/>
              <w:spacing w:before="66"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符合第二章“采购项目要求”相关规定</w:t>
            </w:r>
          </w:p>
        </w:tc>
      </w:tr>
      <w:tr w14:paraId="554B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47" w:type="dxa"/>
            <w:vMerge w:val="continue"/>
            <w:tcBorders>
              <w:top w:val="nil"/>
              <w:bottom w:val="nil"/>
            </w:tcBorders>
            <w:vAlign w:val="top"/>
          </w:tcPr>
          <w:p w14:paraId="2FCBA4A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vMerge w:val="continue"/>
            <w:tcBorders>
              <w:top w:val="nil"/>
              <w:bottom w:val="nil"/>
            </w:tcBorders>
            <w:textDirection w:val="tbRlV"/>
            <w:vAlign w:val="top"/>
          </w:tcPr>
          <w:p w14:paraId="5DA743F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vMerge w:val="continue"/>
            <w:tcBorders>
              <w:top w:val="nil"/>
              <w:bottom w:val="nil"/>
            </w:tcBorders>
            <w:vAlign w:val="center"/>
          </w:tcPr>
          <w:p w14:paraId="4A20DF5E">
            <w:pPr>
              <w:keepNext w:val="0"/>
              <w:keepLines w:val="0"/>
              <w:pageBreakBefore w:val="0"/>
              <w:widowControl/>
              <w:kinsoku/>
              <w:wordWrap/>
              <w:overflowPunct/>
              <w:topLinePunct w:val="0"/>
              <w:autoSpaceDE w:val="0"/>
              <w:autoSpaceDN w:val="0"/>
              <w:bidi w:val="0"/>
              <w:adjustRightInd w:val="0"/>
              <w:snapToGrid w:val="0"/>
              <w:jc w:val="both"/>
              <w:outlineLvl w:val="9"/>
              <w:rPr>
                <w:rFonts w:hint="eastAsia" w:ascii="宋体" w:hAnsi="宋体" w:eastAsia="宋体" w:cs="宋体"/>
                <w:sz w:val="21"/>
              </w:rPr>
            </w:pPr>
          </w:p>
        </w:tc>
        <w:tc>
          <w:tcPr>
            <w:tcW w:w="2265" w:type="dxa"/>
            <w:vAlign w:val="center"/>
          </w:tcPr>
          <w:p w14:paraId="7A73B251">
            <w:pPr>
              <w:keepNext w:val="0"/>
              <w:keepLines w:val="0"/>
              <w:pageBreakBefore w:val="0"/>
              <w:widowControl/>
              <w:kinsoku/>
              <w:wordWrap/>
              <w:overflowPunct/>
              <w:topLinePunct w:val="0"/>
              <w:autoSpaceDE w:val="0"/>
              <w:autoSpaceDN w:val="0"/>
              <w:bidi w:val="0"/>
              <w:adjustRightInd w:val="0"/>
              <w:snapToGrid w:val="0"/>
              <w:spacing w:before="66" w:line="189" w:lineRule="auto"/>
              <w:ind w:firstLine="883"/>
              <w:jc w:val="both"/>
              <w:outlineLvl w:val="9"/>
              <w:rPr>
                <w:rFonts w:hint="eastAsia" w:ascii="宋体" w:hAnsi="宋体" w:eastAsia="宋体" w:cs="宋体"/>
                <w:sz w:val="24"/>
                <w:szCs w:val="24"/>
              </w:rPr>
            </w:pPr>
            <w:r>
              <w:rPr>
                <w:rFonts w:hint="eastAsia" w:ascii="宋体" w:hAnsi="宋体" w:eastAsia="宋体" w:cs="宋体"/>
                <w:spacing w:val="-6"/>
                <w:sz w:val="24"/>
                <w:szCs w:val="24"/>
              </w:rPr>
              <w:t>工期</w:t>
            </w:r>
          </w:p>
        </w:tc>
        <w:tc>
          <w:tcPr>
            <w:tcW w:w="5114" w:type="dxa"/>
            <w:vAlign w:val="center"/>
          </w:tcPr>
          <w:p w14:paraId="36277F81">
            <w:pPr>
              <w:keepNext w:val="0"/>
              <w:keepLines w:val="0"/>
              <w:pageBreakBefore w:val="0"/>
              <w:widowControl/>
              <w:kinsoku/>
              <w:wordWrap/>
              <w:overflowPunct/>
              <w:topLinePunct w:val="0"/>
              <w:autoSpaceDE w:val="0"/>
              <w:autoSpaceDN w:val="0"/>
              <w:bidi w:val="0"/>
              <w:adjustRightInd w:val="0"/>
              <w:snapToGrid w:val="0"/>
              <w:spacing w:before="66"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符合第二章“采购项目要求”相关规定</w:t>
            </w:r>
          </w:p>
        </w:tc>
      </w:tr>
      <w:tr w14:paraId="733D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947" w:type="dxa"/>
            <w:vMerge w:val="continue"/>
            <w:tcBorders>
              <w:top w:val="nil"/>
              <w:bottom w:val="nil"/>
            </w:tcBorders>
            <w:vAlign w:val="top"/>
          </w:tcPr>
          <w:p w14:paraId="0C07A1E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vMerge w:val="continue"/>
            <w:tcBorders>
              <w:top w:val="nil"/>
              <w:bottom w:val="nil"/>
            </w:tcBorders>
            <w:textDirection w:val="tbRlV"/>
            <w:vAlign w:val="top"/>
          </w:tcPr>
          <w:p w14:paraId="2398FAB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vMerge w:val="continue"/>
            <w:tcBorders>
              <w:top w:val="nil"/>
              <w:bottom w:val="nil"/>
            </w:tcBorders>
            <w:vAlign w:val="center"/>
          </w:tcPr>
          <w:p w14:paraId="6CA102A0">
            <w:pPr>
              <w:keepNext w:val="0"/>
              <w:keepLines w:val="0"/>
              <w:pageBreakBefore w:val="0"/>
              <w:widowControl/>
              <w:kinsoku/>
              <w:wordWrap/>
              <w:overflowPunct/>
              <w:topLinePunct w:val="0"/>
              <w:autoSpaceDE w:val="0"/>
              <w:autoSpaceDN w:val="0"/>
              <w:bidi w:val="0"/>
              <w:adjustRightInd w:val="0"/>
              <w:snapToGrid w:val="0"/>
              <w:jc w:val="both"/>
              <w:outlineLvl w:val="9"/>
              <w:rPr>
                <w:rFonts w:hint="eastAsia" w:ascii="宋体" w:hAnsi="宋体" w:eastAsia="宋体" w:cs="宋体"/>
                <w:sz w:val="21"/>
              </w:rPr>
            </w:pPr>
          </w:p>
        </w:tc>
        <w:tc>
          <w:tcPr>
            <w:tcW w:w="2265" w:type="dxa"/>
            <w:vAlign w:val="center"/>
          </w:tcPr>
          <w:p w14:paraId="061D41A4">
            <w:pPr>
              <w:keepNext w:val="0"/>
              <w:keepLines w:val="0"/>
              <w:pageBreakBefore w:val="0"/>
              <w:widowControl/>
              <w:kinsoku/>
              <w:wordWrap/>
              <w:overflowPunct/>
              <w:topLinePunct w:val="0"/>
              <w:autoSpaceDE w:val="0"/>
              <w:autoSpaceDN w:val="0"/>
              <w:bidi w:val="0"/>
              <w:adjustRightInd w:val="0"/>
              <w:snapToGrid w:val="0"/>
              <w:spacing w:before="66" w:line="189" w:lineRule="auto"/>
              <w:ind w:firstLine="883"/>
              <w:jc w:val="both"/>
              <w:outlineLvl w:val="9"/>
              <w:rPr>
                <w:rFonts w:hint="eastAsia" w:ascii="宋体" w:hAnsi="宋体" w:eastAsia="宋体" w:cs="宋体"/>
                <w:sz w:val="24"/>
                <w:szCs w:val="24"/>
              </w:rPr>
            </w:pPr>
            <w:r>
              <w:rPr>
                <w:rFonts w:hint="eastAsia" w:ascii="宋体" w:hAnsi="宋体" w:eastAsia="宋体" w:cs="宋体"/>
                <w:spacing w:val="-6"/>
                <w:sz w:val="24"/>
                <w:szCs w:val="24"/>
              </w:rPr>
              <w:t>质量</w:t>
            </w:r>
          </w:p>
        </w:tc>
        <w:tc>
          <w:tcPr>
            <w:tcW w:w="5114" w:type="dxa"/>
            <w:vAlign w:val="center"/>
          </w:tcPr>
          <w:p w14:paraId="1616444A">
            <w:pPr>
              <w:keepNext w:val="0"/>
              <w:keepLines w:val="0"/>
              <w:pageBreakBefore w:val="0"/>
              <w:widowControl/>
              <w:kinsoku/>
              <w:wordWrap/>
              <w:overflowPunct/>
              <w:topLinePunct w:val="0"/>
              <w:autoSpaceDE w:val="0"/>
              <w:autoSpaceDN w:val="0"/>
              <w:bidi w:val="0"/>
              <w:adjustRightInd w:val="0"/>
              <w:snapToGrid w:val="0"/>
              <w:spacing w:before="66"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符合第二章“采购项目要求”相关规定</w:t>
            </w:r>
          </w:p>
        </w:tc>
      </w:tr>
      <w:tr w14:paraId="11391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947" w:type="dxa"/>
            <w:vMerge w:val="continue"/>
            <w:tcBorders>
              <w:top w:val="nil"/>
              <w:bottom w:val="nil"/>
            </w:tcBorders>
            <w:vAlign w:val="top"/>
          </w:tcPr>
          <w:p w14:paraId="210F8CA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vMerge w:val="continue"/>
            <w:tcBorders>
              <w:top w:val="nil"/>
              <w:bottom w:val="nil"/>
            </w:tcBorders>
            <w:textDirection w:val="tbRlV"/>
            <w:vAlign w:val="top"/>
          </w:tcPr>
          <w:p w14:paraId="2617ED7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vMerge w:val="continue"/>
            <w:tcBorders>
              <w:top w:val="nil"/>
              <w:bottom w:val="nil"/>
            </w:tcBorders>
            <w:vAlign w:val="center"/>
          </w:tcPr>
          <w:p w14:paraId="4F9B912B">
            <w:pPr>
              <w:keepNext w:val="0"/>
              <w:keepLines w:val="0"/>
              <w:pageBreakBefore w:val="0"/>
              <w:widowControl/>
              <w:kinsoku/>
              <w:wordWrap/>
              <w:overflowPunct/>
              <w:topLinePunct w:val="0"/>
              <w:autoSpaceDE w:val="0"/>
              <w:autoSpaceDN w:val="0"/>
              <w:bidi w:val="0"/>
              <w:adjustRightInd w:val="0"/>
              <w:snapToGrid w:val="0"/>
              <w:jc w:val="both"/>
              <w:outlineLvl w:val="9"/>
              <w:rPr>
                <w:rFonts w:hint="eastAsia" w:ascii="宋体" w:hAnsi="宋体" w:eastAsia="宋体" w:cs="宋体"/>
                <w:sz w:val="21"/>
              </w:rPr>
            </w:pPr>
          </w:p>
        </w:tc>
        <w:tc>
          <w:tcPr>
            <w:tcW w:w="2265" w:type="dxa"/>
            <w:vAlign w:val="center"/>
          </w:tcPr>
          <w:p w14:paraId="5C09CB71">
            <w:pPr>
              <w:keepNext w:val="0"/>
              <w:keepLines w:val="0"/>
              <w:pageBreakBefore w:val="0"/>
              <w:widowControl/>
              <w:kinsoku/>
              <w:wordWrap/>
              <w:overflowPunct/>
              <w:topLinePunct w:val="0"/>
              <w:autoSpaceDE w:val="0"/>
              <w:autoSpaceDN w:val="0"/>
              <w:bidi w:val="0"/>
              <w:adjustRightInd w:val="0"/>
              <w:snapToGrid w:val="0"/>
              <w:spacing w:before="66" w:line="189" w:lineRule="auto"/>
              <w:ind w:firstLine="636"/>
              <w:jc w:val="both"/>
              <w:outlineLvl w:val="9"/>
              <w:rPr>
                <w:rFonts w:hint="eastAsia" w:ascii="宋体" w:hAnsi="宋体" w:eastAsia="宋体" w:cs="宋体"/>
                <w:sz w:val="24"/>
                <w:szCs w:val="24"/>
              </w:rPr>
            </w:pPr>
            <w:r>
              <w:rPr>
                <w:rFonts w:hint="eastAsia" w:ascii="宋体" w:hAnsi="宋体" w:eastAsia="宋体" w:cs="宋体"/>
                <w:spacing w:val="-3"/>
                <w:sz w:val="24"/>
                <w:szCs w:val="24"/>
                <w:lang w:eastAsia="zh-CN"/>
              </w:rPr>
              <w:t>建设</w:t>
            </w:r>
            <w:r>
              <w:rPr>
                <w:rFonts w:hint="eastAsia" w:ascii="宋体" w:hAnsi="宋体" w:eastAsia="宋体" w:cs="宋体"/>
                <w:spacing w:val="-3"/>
                <w:sz w:val="24"/>
                <w:szCs w:val="24"/>
              </w:rPr>
              <w:t>地点</w:t>
            </w:r>
          </w:p>
        </w:tc>
        <w:tc>
          <w:tcPr>
            <w:tcW w:w="5114" w:type="dxa"/>
            <w:vAlign w:val="center"/>
          </w:tcPr>
          <w:p w14:paraId="6917CE33">
            <w:pPr>
              <w:keepNext w:val="0"/>
              <w:keepLines w:val="0"/>
              <w:pageBreakBefore w:val="0"/>
              <w:widowControl/>
              <w:kinsoku/>
              <w:wordWrap/>
              <w:overflowPunct/>
              <w:topLinePunct w:val="0"/>
              <w:autoSpaceDE w:val="0"/>
              <w:autoSpaceDN w:val="0"/>
              <w:bidi w:val="0"/>
              <w:adjustRightInd w:val="0"/>
              <w:snapToGrid w:val="0"/>
              <w:spacing w:before="66"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符合第二章“采购项目要求”相关规定</w:t>
            </w:r>
          </w:p>
        </w:tc>
      </w:tr>
      <w:tr w14:paraId="5D95C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947" w:type="dxa"/>
            <w:vMerge w:val="continue"/>
            <w:tcBorders>
              <w:top w:val="nil"/>
              <w:bottom w:val="nil"/>
            </w:tcBorders>
            <w:vAlign w:val="top"/>
          </w:tcPr>
          <w:p w14:paraId="056C606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vMerge w:val="continue"/>
            <w:tcBorders>
              <w:top w:val="nil"/>
              <w:bottom w:val="nil"/>
            </w:tcBorders>
            <w:textDirection w:val="tbRlV"/>
            <w:vAlign w:val="top"/>
          </w:tcPr>
          <w:p w14:paraId="3D5A949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vMerge w:val="continue"/>
            <w:tcBorders>
              <w:top w:val="nil"/>
              <w:bottom w:val="nil"/>
            </w:tcBorders>
            <w:vAlign w:val="center"/>
          </w:tcPr>
          <w:p w14:paraId="34D223E7">
            <w:pPr>
              <w:keepNext w:val="0"/>
              <w:keepLines w:val="0"/>
              <w:pageBreakBefore w:val="0"/>
              <w:widowControl/>
              <w:kinsoku/>
              <w:wordWrap/>
              <w:overflowPunct/>
              <w:topLinePunct w:val="0"/>
              <w:autoSpaceDE w:val="0"/>
              <w:autoSpaceDN w:val="0"/>
              <w:bidi w:val="0"/>
              <w:adjustRightInd w:val="0"/>
              <w:snapToGrid w:val="0"/>
              <w:jc w:val="both"/>
              <w:outlineLvl w:val="9"/>
              <w:rPr>
                <w:rFonts w:hint="eastAsia" w:ascii="宋体" w:hAnsi="宋体" w:eastAsia="宋体" w:cs="宋体"/>
                <w:sz w:val="21"/>
              </w:rPr>
            </w:pPr>
          </w:p>
        </w:tc>
        <w:tc>
          <w:tcPr>
            <w:tcW w:w="2265" w:type="dxa"/>
            <w:vAlign w:val="center"/>
          </w:tcPr>
          <w:p w14:paraId="09FC7925">
            <w:pPr>
              <w:keepNext w:val="0"/>
              <w:keepLines w:val="0"/>
              <w:pageBreakBefore w:val="0"/>
              <w:widowControl/>
              <w:kinsoku/>
              <w:wordWrap/>
              <w:overflowPunct/>
              <w:topLinePunct w:val="0"/>
              <w:autoSpaceDE w:val="0"/>
              <w:autoSpaceDN w:val="0"/>
              <w:bidi w:val="0"/>
              <w:adjustRightInd w:val="0"/>
              <w:snapToGrid w:val="0"/>
              <w:spacing w:before="78" w:line="189" w:lineRule="auto"/>
              <w:ind w:firstLine="151"/>
              <w:jc w:val="both"/>
              <w:outlineLvl w:val="9"/>
              <w:rPr>
                <w:rFonts w:hint="eastAsia" w:ascii="宋体" w:hAnsi="宋体" w:eastAsia="宋体" w:cs="宋体"/>
                <w:sz w:val="24"/>
                <w:szCs w:val="24"/>
              </w:rPr>
            </w:pPr>
            <w:r>
              <w:rPr>
                <w:rFonts w:hint="eastAsia" w:ascii="宋体" w:hAnsi="宋体" w:eastAsia="宋体" w:cs="宋体"/>
                <w:spacing w:val="-4"/>
                <w:sz w:val="24"/>
                <w:szCs w:val="24"/>
              </w:rPr>
              <w:t>《响应文件》格式</w:t>
            </w:r>
          </w:p>
        </w:tc>
        <w:tc>
          <w:tcPr>
            <w:tcW w:w="5114" w:type="dxa"/>
            <w:vAlign w:val="center"/>
          </w:tcPr>
          <w:p w14:paraId="3EDDBC51">
            <w:pPr>
              <w:keepNext w:val="0"/>
              <w:keepLines w:val="0"/>
              <w:pageBreakBefore w:val="0"/>
              <w:widowControl/>
              <w:kinsoku/>
              <w:wordWrap/>
              <w:overflowPunct/>
              <w:topLinePunct w:val="0"/>
              <w:autoSpaceDE w:val="0"/>
              <w:autoSpaceDN w:val="0"/>
              <w:bidi w:val="0"/>
              <w:adjustRightInd w:val="0"/>
              <w:snapToGrid w:val="0"/>
              <w:spacing w:before="78"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符合第六章“《响应文件》格式”规定</w:t>
            </w:r>
          </w:p>
        </w:tc>
      </w:tr>
      <w:tr w14:paraId="074DD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47" w:type="dxa"/>
            <w:vMerge w:val="continue"/>
            <w:tcBorders>
              <w:top w:val="nil"/>
              <w:bottom w:val="nil"/>
            </w:tcBorders>
            <w:vAlign w:val="top"/>
          </w:tcPr>
          <w:p w14:paraId="0027704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vMerge w:val="continue"/>
            <w:tcBorders>
              <w:top w:val="nil"/>
              <w:bottom w:val="nil"/>
            </w:tcBorders>
            <w:textDirection w:val="tbRlV"/>
            <w:vAlign w:val="top"/>
          </w:tcPr>
          <w:p w14:paraId="23C8E7B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vMerge w:val="continue"/>
            <w:tcBorders>
              <w:top w:val="nil"/>
              <w:bottom w:val="nil"/>
            </w:tcBorders>
            <w:vAlign w:val="center"/>
          </w:tcPr>
          <w:p w14:paraId="707BF3C0">
            <w:pPr>
              <w:keepNext w:val="0"/>
              <w:keepLines w:val="0"/>
              <w:pageBreakBefore w:val="0"/>
              <w:widowControl/>
              <w:kinsoku/>
              <w:wordWrap/>
              <w:overflowPunct/>
              <w:topLinePunct w:val="0"/>
              <w:autoSpaceDE w:val="0"/>
              <w:autoSpaceDN w:val="0"/>
              <w:bidi w:val="0"/>
              <w:adjustRightInd w:val="0"/>
              <w:snapToGrid w:val="0"/>
              <w:jc w:val="both"/>
              <w:outlineLvl w:val="9"/>
              <w:rPr>
                <w:rFonts w:hint="eastAsia" w:ascii="宋体" w:hAnsi="宋体" w:eastAsia="宋体" w:cs="宋体"/>
                <w:sz w:val="21"/>
              </w:rPr>
            </w:pPr>
          </w:p>
        </w:tc>
        <w:tc>
          <w:tcPr>
            <w:tcW w:w="2265" w:type="dxa"/>
            <w:vAlign w:val="center"/>
          </w:tcPr>
          <w:p w14:paraId="55C01635">
            <w:pPr>
              <w:keepNext w:val="0"/>
              <w:keepLines w:val="0"/>
              <w:pageBreakBefore w:val="0"/>
              <w:widowControl/>
              <w:kinsoku/>
              <w:wordWrap/>
              <w:overflowPunct/>
              <w:topLinePunct w:val="0"/>
              <w:autoSpaceDE w:val="0"/>
              <w:autoSpaceDN w:val="0"/>
              <w:bidi w:val="0"/>
              <w:adjustRightInd w:val="0"/>
              <w:snapToGrid w:val="0"/>
              <w:spacing w:before="142" w:line="189" w:lineRule="auto"/>
              <w:ind w:firstLine="877"/>
              <w:jc w:val="both"/>
              <w:outlineLvl w:val="9"/>
              <w:rPr>
                <w:rFonts w:hint="eastAsia" w:ascii="宋体" w:hAnsi="宋体" w:eastAsia="宋体" w:cs="宋体"/>
                <w:sz w:val="24"/>
                <w:szCs w:val="24"/>
              </w:rPr>
            </w:pPr>
            <w:r>
              <w:rPr>
                <w:rFonts w:hint="eastAsia" w:ascii="宋体" w:hAnsi="宋体" w:eastAsia="宋体" w:cs="宋体"/>
                <w:spacing w:val="-4"/>
                <w:sz w:val="24"/>
                <w:szCs w:val="24"/>
              </w:rPr>
              <w:t>付款</w:t>
            </w:r>
          </w:p>
        </w:tc>
        <w:tc>
          <w:tcPr>
            <w:tcW w:w="5114" w:type="dxa"/>
            <w:vAlign w:val="center"/>
          </w:tcPr>
          <w:p w14:paraId="39DB4934">
            <w:pPr>
              <w:keepNext w:val="0"/>
              <w:keepLines w:val="0"/>
              <w:pageBreakBefore w:val="0"/>
              <w:widowControl/>
              <w:kinsoku/>
              <w:wordWrap/>
              <w:overflowPunct/>
              <w:topLinePunct w:val="0"/>
              <w:autoSpaceDE w:val="0"/>
              <w:autoSpaceDN w:val="0"/>
              <w:bidi w:val="0"/>
              <w:adjustRightInd w:val="0"/>
              <w:snapToGrid w:val="0"/>
              <w:spacing w:before="165"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符合第三章“投标人须知”</w:t>
            </w:r>
            <w:r>
              <w:rPr>
                <w:rFonts w:hint="eastAsia" w:ascii="宋体" w:hAnsi="宋体" w:eastAsia="宋体" w:cs="宋体"/>
                <w:spacing w:val="-2"/>
                <w:sz w:val="21"/>
                <w:szCs w:val="21"/>
              </w:rPr>
              <w:t>相关</w:t>
            </w:r>
            <w:r>
              <w:rPr>
                <w:rFonts w:hint="eastAsia" w:ascii="宋体" w:hAnsi="宋体" w:eastAsia="宋体" w:cs="宋体"/>
                <w:spacing w:val="-2"/>
                <w:sz w:val="24"/>
                <w:szCs w:val="24"/>
              </w:rPr>
              <w:t>规定</w:t>
            </w:r>
          </w:p>
        </w:tc>
      </w:tr>
      <w:tr w14:paraId="4CFE8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947" w:type="dxa"/>
            <w:vMerge w:val="continue"/>
            <w:tcBorders>
              <w:top w:val="nil"/>
              <w:bottom w:val="nil"/>
            </w:tcBorders>
            <w:vAlign w:val="top"/>
          </w:tcPr>
          <w:p w14:paraId="118D1F7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vMerge w:val="continue"/>
            <w:tcBorders>
              <w:top w:val="nil"/>
              <w:bottom w:val="nil"/>
            </w:tcBorders>
            <w:textDirection w:val="tbRlV"/>
            <w:vAlign w:val="top"/>
          </w:tcPr>
          <w:p w14:paraId="3D437CE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vMerge w:val="continue"/>
            <w:tcBorders>
              <w:top w:val="nil"/>
              <w:bottom w:val="nil"/>
            </w:tcBorders>
            <w:vAlign w:val="center"/>
          </w:tcPr>
          <w:p w14:paraId="0CC65E8C">
            <w:pPr>
              <w:keepNext w:val="0"/>
              <w:keepLines w:val="0"/>
              <w:pageBreakBefore w:val="0"/>
              <w:widowControl/>
              <w:kinsoku/>
              <w:wordWrap/>
              <w:overflowPunct/>
              <w:topLinePunct w:val="0"/>
              <w:autoSpaceDE w:val="0"/>
              <w:autoSpaceDN w:val="0"/>
              <w:bidi w:val="0"/>
              <w:adjustRightInd w:val="0"/>
              <w:snapToGrid w:val="0"/>
              <w:jc w:val="both"/>
              <w:outlineLvl w:val="9"/>
              <w:rPr>
                <w:rFonts w:hint="eastAsia" w:ascii="宋体" w:hAnsi="宋体" w:eastAsia="宋体" w:cs="宋体"/>
                <w:sz w:val="21"/>
              </w:rPr>
            </w:pPr>
          </w:p>
        </w:tc>
        <w:tc>
          <w:tcPr>
            <w:tcW w:w="2265" w:type="dxa"/>
            <w:vAlign w:val="center"/>
          </w:tcPr>
          <w:p w14:paraId="5589D0BC">
            <w:pPr>
              <w:keepNext w:val="0"/>
              <w:keepLines w:val="0"/>
              <w:pageBreakBefore w:val="0"/>
              <w:widowControl/>
              <w:kinsoku/>
              <w:wordWrap/>
              <w:overflowPunct/>
              <w:topLinePunct w:val="0"/>
              <w:autoSpaceDE w:val="0"/>
              <w:autoSpaceDN w:val="0"/>
              <w:bidi w:val="0"/>
              <w:adjustRightInd w:val="0"/>
              <w:snapToGrid w:val="0"/>
              <w:spacing w:before="42" w:line="214" w:lineRule="auto"/>
              <w:ind w:left="884" w:right="159" w:hanging="733"/>
              <w:jc w:val="both"/>
              <w:outlineLvl w:val="9"/>
              <w:rPr>
                <w:rFonts w:hint="eastAsia" w:ascii="宋体" w:hAnsi="宋体" w:eastAsia="宋体" w:cs="宋体"/>
                <w:sz w:val="24"/>
                <w:szCs w:val="24"/>
              </w:rPr>
            </w:pPr>
            <w:r>
              <w:rPr>
                <w:rFonts w:hint="eastAsia" w:ascii="宋体" w:hAnsi="宋体" w:eastAsia="宋体" w:cs="宋体"/>
                <w:spacing w:val="-4"/>
                <w:sz w:val="24"/>
                <w:szCs w:val="24"/>
              </w:rPr>
              <w:t>《磋商文件》总体</w:t>
            </w:r>
            <w:r>
              <w:rPr>
                <w:rFonts w:hint="eastAsia" w:ascii="宋体" w:hAnsi="宋体" w:eastAsia="宋体" w:cs="宋体"/>
                <w:spacing w:val="-6"/>
                <w:sz w:val="24"/>
                <w:szCs w:val="24"/>
              </w:rPr>
              <w:t>响应</w:t>
            </w:r>
          </w:p>
        </w:tc>
        <w:tc>
          <w:tcPr>
            <w:tcW w:w="5114" w:type="dxa"/>
            <w:vAlign w:val="center"/>
          </w:tcPr>
          <w:p w14:paraId="2363FC68">
            <w:pPr>
              <w:keepNext w:val="0"/>
              <w:keepLines w:val="0"/>
              <w:pageBreakBefore w:val="0"/>
              <w:widowControl/>
              <w:kinsoku/>
              <w:wordWrap/>
              <w:overflowPunct/>
              <w:topLinePunct w:val="0"/>
              <w:autoSpaceDE w:val="0"/>
              <w:autoSpaceDN w:val="0"/>
              <w:bidi w:val="0"/>
              <w:adjustRightInd w:val="0"/>
              <w:snapToGrid w:val="0"/>
              <w:spacing w:before="197" w:line="189" w:lineRule="auto"/>
              <w:ind w:firstLine="124"/>
              <w:jc w:val="both"/>
              <w:outlineLvl w:val="9"/>
              <w:rPr>
                <w:rFonts w:hint="eastAsia" w:ascii="宋体" w:hAnsi="宋体" w:eastAsia="宋体" w:cs="宋体"/>
                <w:sz w:val="24"/>
                <w:szCs w:val="24"/>
              </w:rPr>
            </w:pPr>
            <w:r>
              <w:rPr>
                <w:rFonts w:hint="eastAsia" w:ascii="宋体" w:hAnsi="宋体" w:eastAsia="宋体" w:cs="宋体"/>
                <w:spacing w:val="-2"/>
                <w:sz w:val="24"/>
                <w:szCs w:val="24"/>
              </w:rPr>
              <w:t>符合第三章“投标人须知”</w:t>
            </w:r>
            <w:r>
              <w:rPr>
                <w:rFonts w:hint="eastAsia" w:ascii="宋体" w:hAnsi="宋体" w:eastAsia="宋体" w:cs="宋体"/>
                <w:spacing w:val="-2"/>
                <w:sz w:val="21"/>
                <w:szCs w:val="21"/>
              </w:rPr>
              <w:t>相关</w:t>
            </w:r>
            <w:r>
              <w:rPr>
                <w:rFonts w:hint="eastAsia" w:ascii="宋体" w:hAnsi="宋体" w:eastAsia="宋体" w:cs="宋体"/>
                <w:spacing w:val="-2"/>
                <w:sz w:val="24"/>
                <w:szCs w:val="24"/>
              </w:rPr>
              <w:t>规定</w:t>
            </w:r>
          </w:p>
        </w:tc>
      </w:tr>
      <w:tr w14:paraId="59379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947" w:type="dxa"/>
            <w:tcBorders>
              <w:top w:val="nil"/>
            </w:tcBorders>
            <w:vAlign w:val="top"/>
          </w:tcPr>
          <w:p w14:paraId="55D798A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50" w:type="dxa"/>
            <w:tcBorders>
              <w:top w:val="nil"/>
            </w:tcBorders>
            <w:textDirection w:val="tbRlV"/>
            <w:vAlign w:val="top"/>
          </w:tcPr>
          <w:p w14:paraId="45A067C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960" w:type="dxa"/>
            <w:tcBorders>
              <w:top w:val="nil"/>
            </w:tcBorders>
            <w:vAlign w:val="center"/>
          </w:tcPr>
          <w:p w14:paraId="02BF0E9A">
            <w:pPr>
              <w:keepNext w:val="0"/>
              <w:keepLines w:val="0"/>
              <w:pageBreakBefore w:val="0"/>
              <w:widowControl/>
              <w:kinsoku/>
              <w:wordWrap/>
              <w:overflowPunct/>
              <w:topLinePunct w:val="0"/>
              <w:autoSpaceDE w:val="0"/>
              <w:autoSpaceDN w:val="0"/>
              <w:bidi w:val="0"/>
              <w:adjustRightInd w:val="0"/>
              <w:snapToGrid w:val="0"/>
              <w:jc w:val="both"/>
              <w:outlineLvl w:val="9"/>
              <w:rPr>
                <w:rFonts w:hint="eastAsia" w:ascii="宋体" w:hAnsi="宋体" w:eastAsia="宋体" w:cs="宋体"/>
                <w:sz w:val="21"/>
              </w:rPr>
            </w:pPr>
          </w:p>
        </w:tc>
        <w:tc>
          <w:tcPr>
            <w:tcW w:w="2265" w:type="dxa"/>
            <w:vAlign w:val="center"/>
          </w:tcPr>
          <w:p w14:paraId="4F5885D7">
            <w:pPr>
              <w:keepNext w:val="0"/>
              <w:keepLines w:val="0"/>
              <w:pageBreakBefore w:val="0"/>
              <w:widowControl/>
              <w:kinsoku/>
              <w:wordWrap/>
              <w:overflowPunct/>
              <w:topLinePunct w:val="0"/>
              <w:autoSpaceDE w:val="0"/>
              <w:autoSpaceDN w:val="0"/>
              <w:bidi w:val="0"/>
              <w:adjustRightInd w:val="0"/>
              <w:snapToGrid w:val="0"/>
              <w:spacing w:before="42" w:line="214" w:lineRule="auto"/>
              <w:ind w:left="884" w:right="159" w:hanging="733"/>
              <w:jc w:val="center"/>
              <w:outlineLvl w:val="9"/>
              <w:rPr>
                <w:rFonts w:hint="eastAsia" w:ascii="宋体" w:hAnsi="宋体" w:eastAsia="宋体" w:cs="宋体"/>
                <w:color w:val="auto"/>
                <w:spacing w:val="-4"/>
                <w:sz w:val="24"/>
                <w:szCs w:val="24"/>
                <w:highlight w:val="none"/>
              </w:rPr>
            </w:pPr>
            <w:r>
              <w:rPr>
                <w:rFonts w:ascii="宋体" w:hAnsi="宋体" w:eastAsia="宋体" w:cs="宋体"/>
                <w:b w:val="0"/>
                <w:bCs w:val="0"/>
                <w:color w:val="auto"/>
                <w:sz w:val="24"/>
                <w:szCs w:val="24"/>
                <w:highlight w:val="none"/>
              </w:rPr>
              <w:t>其他要求</w:t>
            </w:r>
          </w:p>
        </w:tc>
        <w:tc>
          <w:tcPr>
            <w:tcW w:w="5114" w:type="dxa"/>
            <w:vAlign w:val="center"/>
          </w:tcPr>
          <w:p w14:paraId="1F8B96BF">
            <w:pPr>
              <w:keepNext w:val="0"/>
              <w:keepLines w:val="0"/>
              <w:pageBreakBefore w:val="0"/>
              <w:widowControl/>
              <w:kinsoku/>
              <w:wordWrap/>
              <w:overflowPunct/>
              <w:topLinePunct w:val="0"/>
              <w:autoSpaceDE w:val="0"/>
              <w:autoSpaceDN w:val="0"/>
              <w:bidi w:val="0"/>
              <w:adjustRightInd w:val="0"/>
              <w:snapToGrid w:val="0"/>
              <w:spacing w:before="197" w:line="189" w:lineRule="auto"/>
              <w:ind w:firstLine="124"/>
              <w:jc w:val="both"/>
              <w:outlineLvl w:val="9"/>
              <w:rPr>
                <w:rFonts w:hint="eastAsia" w:ascii="宋体" w:hAnsi="宋体" w:eastAsia="宋体" w:cs="宋体"/>
                <w:color w:val="auto"/>
                <w:spacing w:val="-2"/>
                <w:sz w:val="24"/>
                <w:szCs w:val="24"/>
                <w:highlight w:val="none"/>
              </w:rPr>
            </w:pPr>
            <w:r>
              <w:rPr>
                <w:rFonts w:ascii="宋体" w:hAnsi="宋体" w:eastAsia="宋体" w:cs="宋体"/>
                <w:b w:val="0"/>
                <w:bCs w:val="0"/>
                <w:color w:val="auto"/>
                <w:sz w:val="24"/>
                <w:szCs w:val="24"/>
                <w:highlight w:val="none"/>
              </w:rPr>
              <w:t>其他要求 符合磋商文件相关规定</w:t>
            </w:r>
          </w:p>
        </w:tc>
      </w:tr>
    </w:tbl>
    <w:p w14:paraId="4DF50A93">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0AD28AF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12" w:type="default"/>
          <w:pgSz w:w="11910" w:h="16840"/>
          <w:pgMar w:top="1422" w:right="931" w:bottom="1427" w:left="931" w:header="0" w:footer="1303" w:gutter="0"/>
          <w:pgNumType w:fmt="decimal"/>
          <w:cols w:space="720" w:num="1"/>
        </w:sectPr>
      </w:pPr>
    </w:p>
    <w:p w14:paraId="075DA28B">
      <w:pPr>
        <w:keepNext w:val="0"/>
        <w:keepLines w:val="0"/>
        <w:pageBreakBefore w:val="0"/>
        <w:widowControl/>
        <w:kinsoku/>
        <w:wordWrap/>
        <w:overflowPunct/>
        <w:topLinePunct w:val="0"/>
        <w:autoSpaceDE w:val="0"/>
        <w:autoSpaceDN w:val="0"/>
        <w:bidi w:val="0"/>
        <w:adjustRightInd w:val="0"/>
        <w:snapToGrid w:val="0"/>
        <w:spacing w:before="57" w:line="189" w:lineRule="auto"/>
        <w:outlineLvl w:val="1"/>
        <w:rPr>
          <w:rFonts w:hint="eastAsia" w:ascii="宋体" w:hAnsi="宋体" w:eastAsia="宋体" w:cs="宋体"/>
          <w:sz w:val="28"/>
          <w:szCs w:val="28"/>
        </w:rPr>
      </w:pPr>
      <w:r>
        <w:rPr>
          <w:rFonts w:hint="eastAsia" w:ascii="宋体" w:hAnsi="宋体" w:eastAsia="宋体" w:cs="宋体"/>
          <w:sz w:val="28"/>
          <w:szCs w:val="28"/>
          <w14:textOutline w14:w="5080" w14:cap="flat" w14:cmpd="sng">
            <w14:solidFill>
              <w14:srgbClr w14:val="000000"/>
            </w14:solidFill>
            <w14:prstDash w14:val="solid"/>
            <w14:miter w14:val="0"/>
          </w14:textOutline>
        </w:rPr>
        <w:t>评标办法前附表-----分值构成与评分标准</w:t>
      </w:r>
    </w:p>
    <w:tbl>
      <w:tblPr>
        <w:tblStyle w:val="15"/>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226"/>
        <w:gridCol w:w="2465"/>
        <w:gridCol w:w="6726"/>
      </w:tblGrid>
      <w:tr w14:paraId="33C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93" w:hRule="atLeast"/>
          <w:tblHeader/>
          <w:jc w:val="center"/>
        </w:trPr>
        <w:tc>
          <w:tcPr>
            <w:tcW w:w="1226" w:type="dxa"/>
            <w:vAlign w:val="center"/>
          </w:tcPr>
          <w:p w14:paraId="290B9D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vertAlign w:val="baseline"/>
                <w:lang w:eastAsia="zh-CN"/>
              </w:rPr>
            </w:pPr>
            <w:r>
              <w:rPr>
                <w:rFonts w:hint="eastAsia" w:ascii="宋体" w:hAnsi="宋体" w:eastAsia="宋体" w:cs="宋体"/>
                <w:b/>
                <w:spacing w:val="-2"/>
                <w:sz w:val="24"/>
                <w:szCs w:val="24"/>
                <w:lang w:eastAsia="zh-CN"/>
              </w:rPr>
              <w:t>评审项目及因素</w:t>
            </w:r>
          </w:p>
        </w:tc>
        <w:tc>
          <w:tcPr>
            <w:tcW w:w="9191" w:type="dxa"/>
            <w:gridSpan w:val="2"/>
            <w:vAlign w:val="center"/>
          </w:tcPr>
          <w:p w14:paraId="02B1B9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vertAlign w:val="baseline"/>
                <w:lang w:eastAsia="zh-CN"/>
              </w:rPr>
            </w:pPr>
            <w:r>
              <w:rPr>
                <w:rFonts w:hint="eastAsia" w:ascii="宋体" w:hAnsi="宋体" w:eastAsia="宋体" w:cs="宋体"/>
                <w:b/>
                <w:spacing w:val="-3"/>
                <w:sz w:val="24"/>
                <w:szCs w:val="24"/>
                <w:lang w:eastAsia="zh-CN"/>
              </w:rPr>
              <w:t>评分标准</w:t>
            </w:r>
          </w:p>
        </w:tc>
      </w:tr>
      <w:tr w14:paraId="5C37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450" w:hRule="atLeast"/>
          <w:jc w:val="center"/>
        </w:trPr>
        <w:tc>
          <w:tcPr>
            <w:tcW w:w="1226" w:type="dxa"/>
            <w:vAlign w:val="center"/>
          </w:tcPr>
          <w:p w14:paraId="06DF2A1B">
            <w:pPr>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outlineLvl w:val="9"/>
              <w:rPr>
                <w:rFonts w:hint="eastAsia" w:ascii="宋体" w:hAnsi="宋体" w:eastAsia="宋体" w:cs="宋体"/>
                <w:sz w:val="24"/>
                <w:szCs w:val="24"/>
              </w:rPr>
            </w:pPr>
            <w:r>
              <w:rPr>
                <w:rFonts w:hint="eastAsia" w:ascii="宋体" w:hAnsi="宋体" w:eastAsia="宋体" w:cs="宋体"/>
                <w:spacing w:val="-3"/>
                <w:position w:val="4"/>
                <w:sz w:val="24"/>
                <w:szCs w:val="24"/>
              </w:rPr>
              <w:t>分值构成</w:t>
            </w:r>
          </w:p>
          <w:p w14:paraId="22CF2092">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z w:val="24"/>
                <w:szCs w:val="24"/>
                <w:vertAlign w:val="baseline"/>
              </w:rPr>
            </w:pPr>
            <w:r>
              <w:rPr>
                <w:rFonts w:hint="eastAsia" w:ascii="宋体" w:hAnsi="宋体" w:eastAsia="宋体" w:cs="宋体"/>
                <w:spacing w:val="-7"/>
                <w:sz w:val="24"/>
                <w:szCs w:val="24"/>
              </w:rPr>
              <w:t>（总分100分）</w:t>
            </w:r>
          </w:p>
        </w:tc>
        <w:tc>
          <w:tcPr>
            <w:tcW w:w="9191" w:type="dxa"/>
            <w:gridSpan w:val="2"/>
            <w:vAlign w:val="center"/>
          </w:tcPr>
          <w:p w14:paraId="3DBA5C3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spacing w:val="-17"/>
                <w:sz w:val="24"/>
                <w:szCs w:val="24"/>
              </w:rPr>
            </w:pPr>
            <w:r>
              <w:rPr>
                <w:rFonts w:hint="eastAsia" w:ascii="宋体" w:hAnsi="宋体" w:eastAsia="宋体" w:cs="宋体"/>
                <w:spacing w:val="-17"/>
                <w:sz w:val="24"/>
                <w:szCs w:val="24"/>
              </w:rPr>
              <w:t>磋商报价：</w:t>
            </w:r>
            <w:r>
              <w:rPr>
                <w:rFonts w:hint="eastAsia" w:ascii="宋体" w:hAnsi="宋体" w:eastAsia="宋体" w:cs="宋体"/>
                <w:spacing w:val="-17"/>
                <w:sz w:val="24"/>
                <w:szCs w:val="24"/>
                <w:lang w:val="en-US" w:eastAsia="zh-CN"/>
              </w:rPr>
              <w:t>40</w:t>
            </w:r>
            <w:r>
              <w:rPr>
                <w:rFonts w:hint="eastAsia" w:ascii="宋体" w:hAnsi="宋体" w:eastAsia="宋体" w:cs="宋体"/>
                <w:spacing w:val="-17"/>
                <w:sz w:val="24"/>
                <w:szCs w:val="24"/>
              </w:rPr>
              <w:t>分</w:t>
            </w:r>
          </w:p>
          <w:p w14:paraId="4441BA0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spacing w:val="-17"/>
                <w:sz w:val="24"/>
                <w:szCs w:val="24"/>
              </w:rPr>
            </w:pPr>
            <w:r>
              <w:rPr>
                <w:rFonts w:hint="eastAsia" w:ascii="宋体" w:hAnsi="宋体" w:eastAsia="宋体" w:cs="宋体"/>
                <w:spacing w:val="-17"/>
                <w:sz w:val="24"/>
                <w:szCs w:val="24"/>
              </w:rPr>
              <w:t>技术</w:t>
            </w:r>
            <w:r>
              <w:rPr>
                <w:rFonts w:hint="eastAsia" w:ascii="宋体" w:hAnsi="宋体" w:eastAsia="宋体" w:cs="宋体"/>
                <w:spacing w:val="-17"/>
                <w:sz w:val="24"/>
                <w:szCs w:val="24"/>
                <w:lang w:val="en-US" w:eastAsia="zh-CN"/>
              </w:rPr>
              <w:t>部分</w:t>
            </w:r>
            <w:r>
              <w:rPr>
                <w:rFonts w:hint="eastAsia" w:ascii="宋体" w:hAnsi="宋体" w:eastAsia="宋体" w:cs="宋体"/>
                <w:spacing w:val="-17"/>
                <w:sz w:val="24"/>
                <w:szCs w:val="24"/>
              </w:rPr>
              <w:t>：</w:t>
            </w:r>
            <w:r>
              <w:rPr>
                <w:rFonts w:hint="eastAsia" w:ascii="宋体" w:hAnsi="宋体" w:eastAsia="宋体" w:cs="宋体"/>
                <w:spacing w:val="-17"/>
                <w:sz w:val="24"/>
                <w:szCs w:val="24"/>
                <w:lang w:val="en-US" w:eastAsia="zh-CN"/>
              </w:rPr>
              <w:t>15</w:t>
            </w:r>
            <w:r>
              <w:rPr>
                <w:rFonts w:hint="eastAsia" w:ascii="宋体" w:hAnsi="宋体" w:eastAsia="宋体" w:cs="宋体"/>
                <w:spacing w:val="-17"/>
                <w:sz w:val="24"/>
                <w:szCs w:val="24"/>
              </w:rPr>
              <w:t>分</w:t>
            </w:r>
          </w:p>
          <w:p w14:paraId="33FCDBB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宋体" w:hAnsi="宋体" w:eastAsia="宋体" w:cs="宋体"/>
                <w:spacing w:val="-18"/>
                <w:sz w:val="24"/>
                <w:szCs w:val="24"/>
                <w:lang w:val="en-US" w:eastAsia="zh-CN"/>
              </w:rPr>
            </w:pPr>
            <w:r>
              <w:rPr>
                <w:rFonts w:hint="eastAsia" w:ascii="宋体" w:hAnsi="宋体" w:eastAsia="宋体" w:cs="宋体"/>
                <w:spacing w:val="-17"/>
                <w:sz w:val="24"/>
                <w:szCs w:val="24"/>
                <w:lang w:val="en-US" w:eastAsia="zh-CN"/>
              </w:rPr>
              <w:t>商务部分</w:t>
            </w:r>
            <w:r>
              <w:rPr>
                <w:rFonts w:hint="eastAsia" w:ascii="宋体" w:hAnsi="宋体" w:eastAsia="宋体" w:cs="宋体"/>
                <w:spacing w:val="-17"/>
                <w:sz w:val="24"/>
                <w:szCs w:val="24"/>
              </w:rPr>
              <w:t>：</w:t>
            </w:r>
            <w:r>
              <w:rPr>
                <w:rFonts w:hint="eastAsia" w:ascii="宋体" w:hAnsi="宋体" w:eastAsia="宋体" w:cs="宋体"/>
                <w:spacing w:val="-17"/>
                <w:sz w:val="24"/>
                <w:szCs w:val="24"/>
                <w:lang w:val="en-US" w:eastAsia="zh-CN"/>
              </w:rPr>
              <w:t>45</w:t>
            </w:r>
            <w:r>
              <w:rPr>
                <w:rFonts w:hint="eastAsia" w:ascii="宋体" w:hAnsi="宋体" w:eastAsia="宋体" w:cs="宋体"/>
                <w:spacing w:val="-17"/>
                <w:sz w:val="24"/>
                <w:szCs w:val="24"/>
              </w:rPr>
              <w:t>分</w:t>
            </w:r>
          </w:p>
        </w:tc>
      </w:tr>
      <w:tr w14:paraId="1888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26" w:type="dxa"/>
            <w:vAlign w:val="center"/>
          </w:tcPr>
          <w:p w14:paraId="4480657A">
            <w:pPr>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outlineLvl w:val="9"/>
              <w:rPr>
                <w:rFonts w:hint="eastAsia" w:ascii="宋体" w:hAnsi="宋体" w:eastAsia="宋体" w:cs="宋体"/>
                <w:spacing w:val="-3"/>
                <w:sz w:val="24"/>
                <w:szCs w:val="24"/>
              </w:rPr>
            </w:pPr>
            <w:r>
              <w:rPr>
                <w:rFonts w:hint="eastAsia" w:ascii="宋体" w:hAnsi="宋体" w:eastAsia="宋体" w:cs="宋体"/>
                <w:spacing w:val="-3"/>
                <w:sz w:val="24"/>
                <w:szCs w:val="24"/>
              </w:rPr>
              <w:t>磋商报价</w:t>
            </w:r>
          </w:p>
          <w:p w14:paraId="3067EC08">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z w:val="24"/>
                <w:szCs w:val="24"/>
                <w:vertAlign w:val="baseline"/>
              </w:rPr>
            </w:pP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zh-CN"/>
              </w:rPr>
              <w:t>40</w:t>
            </w:r>
            <w:r>
              <w:rPr>
                <w:rFonts w:hint="eastAsia" w:ascii="宋体" w:hAnsi="宋体" w:eastAsia="宋体" w:cs="宋体"/>
                <w:spacing w:val="-5"/>
                <w:sz w:val="24"/>
                <w:szCs w:val="24"/>
              </w:rPr>
              <w:t>分）</w:t>
            </w:r>
          </w:p>
        </w:tc>
        <w:tc>
          <w:tcPr>
            <w:tcW w:w="9191" w:type="dxa"/>
            <w:gridSpan w:val="2"/>
            <w:vAlign w:val="center"/>
          </w:tcPr>
          <w:p w14:paraId="0D530AFB">
            <w:pPr>
              <w:keepNext w:val="0"/>
              <w:keepLines w:val="0"/>
              <w:pageBreakBefore w:val="0"/>
              <w:widowControl/>
              <w:kinsoku/>
              <w:wordWrap/>
              <w:overflowPunct/>
              <w:topLinePunct w:val="0"/>
              <w:autoSpaceDE/>
              <w:autoSpaceDN/>
              <w:bidi w:val="0"/>
              <w:adjustRightInd w:val="0"/>
              <w:snapToGrid w:val="0"/>
              <w:spacing w:line="360" w:lineRule="auto"/>
              <w:ind w:firstLine="468" w:firstLineChars="200"/>
              <w:jc w:val="both"/>
              <w:textAlignment w:val="auto"/>
              <w:outlineLvl w:val="9"/>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所有有效供应商的投标报价中，价格最低的投标报价为磋商基准价。</w:t>
            </w:r>
          </w:p>
          <w:p w14:paraId="5ECB5928">
            <w:pPr>
              <w:keepNext w:val="0"/>
              <w:keepLines w:val="0"/>
              <w:pageBreakBefore w:val="0"/>
              <w:widowControl/>
              <w:kinsoku/>
              <w:wordWrap/>
              <w:overflowPunct/>
              <w:topLinePunct w:val="0"/>
              <w:autoSpaceDE/>
              <w:autoSpaceDN/>
              <w:bidi w:val="0"/>
              <w:adjustRightInd w:val="0"/>
              <w:snapToGrid w:val="0"/>
              <w:spacing w:line="360" w:lineRule="auto"/>
              <w:ind w:firstLine="468" w:firstLineChars="200"/>
              <w:jc w:val="both"/>
              <w:textAlignment w:val="auto"/>
              <w:outlineLvl w:val="9"/>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投标报价分统一采用低价优先法计算，即满足招标文件要求且投标价格最低的投标报价为评标基准价，其价格分为满分。</w:t>
            </w:r>
          </w:p>
          <w:p w14:paraId="5C12D569">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200"/>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其他供应商磋商报价得分=（评标基准价/最终磋商报价）×40</w:t>
            </w:r>
          </w:p>
          <w:p w14:paraId="0BB1B315">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200"/>
              <w:jc w:val="both"/>
              <w:textAlignment w:val="auto"/>
              <w:rPr>
                <w:rFonts w:hint="eastAsia" w:ascii="宋体" w:hAnsi="宋体" w:eastAsia="宋体" w:cs="宋体"/>
                <w:spacing w:val="-3"/>
                <w:sz w:val="24"/>
                <w:szCs w:val="24"/>
                <w:lang w:val="en-US" w:eastAsia="zh-CN"/>
              </w:rPr>
            </w:pPr>
            <w:r>
              <w:rPr>
                <w:rFonts w:hint="eastAsia" w:ascii="宋体" w:hAnsi="宋体" w:eastAsia="宋体" w:cs="宋体"/>
                <w:b/>
                <w:bCs/>
                <w:spacing w:val="-3"/>
                <w:sz w:val="24"/>
                <w:szCs w:val="24"/>
                <w:lang w:val="en-US" w:eastAsia="zh-CN"/>
              </w:rPr>
              <w:t>注：根据安财购【2021】24号文件规定：防范供应商恶意低价中标、成交。对于供应商中标、成交后不履约、且中标或成交供应商报价比预算价低30%以上的将视同恶意低价中标、成交，扰乱采购活动，财政部门将对其违规违法行为进行处理。</w:t>
            </w:r>
          </w:p>
        </w:tc>
      </w:tr>
      <w:tr w14:paraId="3761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26" w:type="dxa"/>
            <w:vMerge w:val="restart"/>
            <w:vAlign w:val="center"/>
          </w:tcPr>
          <w:p w14:paraId="4010EFC8">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rPr>
              <w:t>技术</w:t>
            </w:r>
            <w:r>
              <w:rPr>
                <w:rFonts w:hint="eastAsia" w:ascii="宋体" w:hAnsi="宋体" w:eastAsia="宋体" w:cs="宋体"/>
                <w:spacing w:val="-4"/>
                <w:sz w:val="22"/>
                <w:szCs w:val="22"/>
                <w:lang w:val="en-US" w:eastAsia="zh-CN"/>
              </w:rPr>
              <w:t>部分</w:t>
            </w:r>
          </w:p>
          <w:p w14:paraId="10B283D5">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(施工组织设计）</w:t>
            </w:r>
          </w:p>
          <w:p w14:paraId="71FD9A36">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rPr>
            </w:pPr>
            <w:r>
              <w:rPr>
                <w:rFonts w:hint="eastAsia" w:ascii="宋体" w:hAnsi="宋体" w:eastAsia="宋体" w:cs="宋体"/>
                <w:spacing w:val="-9"/>
                <w:sz w:val="22"/>
                <w:szCs w:val="22"/>
              </w:rPr>
              <w:t>（</w:t>
            </w:r>
            <w:r>
              <w:rPr>
                <w:rFonts w:hint="eastAsia" w:ascii="宋体" w:hAnsi="宋体" w:eastAsia="宋体" w:cs="宋体"/>
                <w:spacing w:val="-9"/>
                <w:sz w:val="22"/>
                <w:szCs w:val="22"/>
                <w:lang w:val="en-US" w:eastAsia="zh-CN"/>
              </w:rPr>
              <w:t>15</w:t>
            </w:r>
            <w:r>
              <w:rPr>
                <w:rFonts w:hint="eastAsia" w:ascii="宋体" w:hAnsi="宋体" w:eastAsia="宋体" w:cs="宋体"/>
                <w:spacing w:val="-9"/>
                <w:sz w:val="22"/>
                <w:szCs w:val="22"/>
              </w:rPr>
              <w:t>分）</w:t>
            </w:r>
          </w:p>
        </w:tc>
        <w:tc>
          <w:tcPr>
            <w:tcW w:w="2465" w:type="dxa"/>
            <w:vAlign w:val="center"/>
          </w:tcPr>
          <w:p w14:paraId="70337A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pacing w:val="-3"/>
                <w:sz w:val="22"/>
                <w:szCs w:val="22"/>
                <w:lang w:val="en-US" w:eastAsia="zh-CN"/>
              </w:rPr>
            </w:pPr>
            <w:r>
              <w:rPr>
                <w:rFonts w:hint="eastAsia" w:ascii="宋体" w:hAnsi="宋体" w:eastAsia="宋体" w:cs="宋体"/>
                <w:spacing w:val="4"/>
                <w:sz w:val="22"/>
                <w:szCs w:val="22"/>
              </w:rPr>
              <w:t>1.施工方案和技术措施</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rPr>
              <w:t>（</w:t>
            </w:r>
            <w:r>
              <w:rPr>
                <w:rFonts w:hint="eastAsia" w:ascii="宋体" w:hAnsi="宋体" w:eastAsia="宋体" w:cs="宋体"/>
                <w:spacing w:val="-4"/>
                <w:sz w:val="22"/>
                <w:szCs w:val="22"/>
                <w:lang w:val="en-US" w:eastAsia="zh-CN"/>
              </w:rPr>
              <w:t>3</w:t>
            </w:r>
            <w:r>
              <w:rPr>
                <w:rFonts w:hint="eastAsia" w:ascii="宋体" w:hAnsi="宋体" w:eastAsia="宋体" w:cs="宋体"/>
                <w:spacing w:val="-4"/>
                <w:sz w:val="22"/>
                <w:szCs w:val="22"/>
              </w:rPr>
              <w:t>分）</w:t>
            </w:r>
          </w:p>
        </w:tc>
        <w:tc>
          <w:tcPr>
            <w:tcW w:w="6726" w:type="dxa"/>
            <w:vAlign w:val="center"/>
          </w:tcPr>
          <w:p w14:paraId="18D623B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z w:val="22"/>
                <w:szCs w:val="22"/>
              </w:rPr>
            </w:pPr>
            <w:r>
              <w:rPr>
                <w:rFonts w:hint="eastAsia" w:ascii="宋体" w:hAnsi="宋体" w:eastAsia="宋体" w:cs="宋体"/>
                <w:spacing w:val="5"/>
                <w:sz w:val="22"/>
                <w:szCs w:val="22"/>
                <w:lang w:val="en-US" w:eastAsia="zh-CN"/>
              </w:rPr>
              <w:t>a</w:t>
            </w:r>
            <w:r>
              <w:rPr>
                <w:rFonts w:hint="eastAsia" w:ascii="宋体" w:hAnsi="宋体" w:eastAsia="宋体" w:cs="宋体"/>
                <w:spacing w:val="5"/>
                <w:sz w:val="22"/>
                <w:szCs w:val="22"/>
              </w:rPr>
              <w:t>.科学严谨、完善细致、规范明确、可操作性强的得</w:t>
            </w:r>
            <w:r>
              <w:rPr>
                <w:rFonts w:hint="eastAsia" w:ascii="宋体" w:hAnsi="宋体" w:eastAsia="宋体" w:cs="宋体"/>
                <w:spacing w:val="40"/>
                <w:w w:val="101"/>
                <w:sz w:val="22"/>
                <w:szCs w:val="22"/>
                <w:lang w:val="en-US" w:eastAsia="zh-CN"/>
              </w:rPr>
              <w:t>3</w:t>
            </w:r>
            <w:r>
              <w:rPr>
                <w:rFonts w:hint="eastAsia" w:ascii="宋体" w:hAnsi="宋体" w:eastAsia="宋体" w:cs="宋体"/>
                <w:spacing w:val="5"/>
                <w:sz w:val="22"/>
                <w:szCs w:val="22"/>
              </w:rPr>
              <w:t>分；</w:t>
            </w:r>
          </w:p>
          <w:p w14:paraId="30FB731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4"/>
                <w:sz w:val="22"/>
                <w:szCs w:val="22"/>
              </w:rPr>
            </w:pPr>
            <w:r>
              <w:rPr>
                <w:rFonts w:hint="eastAsia" w:ascii="宋体" w:hAnsi="宋体" w:eastAsia="宋体" w:cs="宋体"/>
                <w:spacing w:val="4"/>
                <w:sz w:val="22"/>
                <w:szCs w:val="22"/>
              </w:rPr>
              <w:t>b.方案合理、可行</w:t>
            </w:r>
            <w:r>
              <w:rPr>
                <w:rFonts w:hint="eastAsia" w:ascii="宋体" w:hAnsi="宋体" w:eastAsia="宋体" w:cs="宋体"/>
                <w:spacing w:val="-15"/>
                <w:sz w:val="22"/>
                <w:szCs w:val="22"/>
              </w:rPr>
              <w:t xml:space="preserve"> </w:t>
            </w:r>
            <w:r>
              <w:rPr>
                <w:rFonts w:hint="eastAsia" w:ascii="宋体" w:hAnsi="宋体" w:eastAsia="宋体" w:cs="宋体"/>
                <w:spacing w:val="4"/>
                <w:sz w:val="22"/>
                <w:szCs w:val="22"/>
              </w:rPr>
              <w:t>，满足采购人基本需求的得</w:t>
            </w:r>
            <w:r>
              <w:rPr>
                <w:rFonts w:hint="eastAsia" w:ascii="宋体" w:hAnsi="宋体" w:eastAsia="宋体" w:cs="宋体"/>
                <w:spacing w:val="4"/>
                <w:sz w:val="22"/>
                <w:szCs w:val="22"/>
                <w:lang w:val="en-US" w:eastAsia="zh-CN"/>
              </w:rPr>
              <w:t>2</w:t>
            </w:r>
            <w:r>
              <w:rPr>
                <w:rFonts w:hint="eastAsia" w:ascii="宋体" w:hAnsi="宋体" w:eastAsia="宋体" w:cs="宋体"/>
                <w:spacing w:val="4"/>
                <w:sz w:val="22"/>
                <w:szCs w:val="22"/>
              </w:rPr>
              <w:t>分；</w:t>
            </w:r>
          </w:p>
          <w:p w14:paraId="3102D1C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C.方案能基本满足采购人项目需求的得1分；</w:t>
            </w:r>
          </w:p>
          <w:p w14:paraId="2D76615C">
            <w:pPr>
              <w:keepNext w:val="0"/>
              <w:keepLines w:val="0"/>
              <w:pageBreakBefore w:val="0"/>
              <w:widowControl w:val="0"/>
              <w:kinsoku/>
              <w:wordWrap/>
              <w:overflowPunct/>
              <w:topLinePunct/>
              <w:autoSpaceDE/>
              <w:autoSpaceDN/>
              <w:bidi w:val="0"/>
              <w:adjustRightInd w:val="0"/>
              <w:snapToGrid w:val="0"/>
              <w:spacing w:line="360" w:lineRule="auto"/>
              <w:ind w:left="0"/>
              <w:jc w:val="left"/>
              <w:textAlignment w:val="auto"/>
              <w:rPr>
                <w:rFonts w:hint="eastAsia" w:ascii="宋体" w:hAnsi="宋体" w:eastAsia="宋体" w:cs="宋体"/>
                <w:spacing w:val="-3"/>
                <w:sz w:val="22"/>
                <w:szCs w:val="22"/>
                <w:lang w:val="en-US" w:eastAsia="zh-CN"/>
              </w:rPr>
            </w:pPr>
            <w:r>
              <w:rPr>
                <w:rFonts w:hint="eastAsia" w:ascii="宋体" w:hAnsi="宋体" w:eastAsia="宋体" w:cs="宋体"/>
                <w:spacing w:val="5"/>
                <w:sz w:val="22"/>
                <w:szCs w:val="22"/>
                <w:lang w:val="en-US" w:eastAsia="zh-CN"/>
              </w:rPr>
              <w:t>d</w:t>
            </w:r>
            <w:r>
              <w:rPr>
                <w:rFonts w:hint="eastAsia" w:ascii="宋体" w:hAnsi="宋体" w:eastAsia="宋体" w:cs="宋体"/>
                <w:spacing w:val="5"/>
                <w:sz w:val="22"/>
                <w:szCs w:val="22"/>
              </w:rPr>
              <w:t>.不能满足项目基本需求或未提供的得</w:t>
            </w:r>
            <w:r>
              <w:rPr>
                <w:rFonts w:hint="eastAsia" w:ascii="宋体" w:hAnsi="宋体" w:eastAsia="宋体" w:cs="宋体"/>
                <w:spacing w:val="5"/>
                <w:sz w:val="22"/>
                <w:szCs w:val="22"/>
                <w:lang w:val="en-US" w:eastAsia="zh-CN"/>
              </w:rPr>
              <w:t>0</w:t>
            </w:r>
            <w:r>
              <w:rPr>
                <w:rFonts w:hint="eastAsia" w:ascii="宋体" w:hAnsi="宋体" w:eastAsia="宋体" w:cs="宋体"/>
                <w:spacing w:val="5"/>
                <w:sz w:val="22"/>
                <w:szCs w:val="22"/>
              </w:rPr>
              <w:t>分。</w:t>
            </w:r>
          </w:p>
        </w:tc>
      </w:tr>
      <w:tr w14:paraId="3B8C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26" w:type="dxa"/>
            <w:vMerge w:val="continue"/>
            <w:vAlign w:val="center"/>
          </w:tcPr>
          <w:p w14:paraId="00A7B81C">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rPr>
            </w:pPr>
          </w:p>
        </w:tc>
        <w:tc>
          <w:tcPr>
            <w:tcW w:w="2465" w:type="dxa"/>
            <w:vAlign w:val="center"/>
          </w:tcPr>
          <w:p w14:paraId="4ECF4F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pacing w:val="-3"/>
                <w:sz w:val="22"/>
                <w:szCs w:val="22"/>
                <w:lang w:val="en-US" w:eastAsia="zh-CN"/>
              </w:rPr>
            </w:pPr>
            <w:r>
              <w:rPr>
                <w:rFonts w:hint="eastAsia" w:ascii="宋体" w:hAnsi="宋体" w:eastAsia="宋体" w:cs="宋体"/>
                <w:sz w:val="22"/>
                <w:szCs w:val="22"/>
              </w:rPr>
              <w:t>2.质量管理体系与措施；</w:t>
            </w:r>
            <w:r>
              <w:rPr>
                <w:rFonts w:hint="eastAsia" w:ascii="宋体" w:hAnsi="宋体" w:eastAsia="宋体" w:cs="宋体"/>
                <w:spacing w:val="-1"/>
                <w:sz w:val="22"/>
                <w:szCs w:val="22"/>
              </w:rPr>
              <w:t>（</w:t>
            </w:r>
            <w:r>
              <w:rPr>
                <w:rFonts w:hint="eastAsia" w:ascii="宋体" w:hAnsi="宋体" w:eastAsia="宋体" w:cs="宋体"/>
                <w:spacing w:val="-1"/>
                <w:sz w:val="22"/>
                <w:szCs w:val="22"/>
                <w:lang w:val="en-US" w:eastAsia="zh-CN"/>
              </w:rPr>
              <w:t>3</w:t>
            </w:r>
            <w:r>
              <w:rPr>
                <w:rFonts w:hint="eastAsia" w:ascii="宋体" w:hAnsi="宋体" w:eastAsia="宋体" w:cs="宋体"/>
                <w:spacing w:val="-1"/>
                <w:sz w:val="22"/>
                <w:szCs w:val="22"/>
              </w:rPr>
              <w:t>分）</w:t>
            </w:r>
          </w:p>
        </w:tc>
        <w:tc>
          <w:tcPr>
            <w:tcW w:w="6726" w:type="dxa"/>
            <w:vAlign w:val="center"/>
          </w:tcPr>
          <w:p w14:paraId="02C3C55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z w:val="22"/>
                <w:szCs w:val="22"/>
              </w:rPr>
            </w:pPr>
            <w:r>
              <w:rPr>
                <w:rFonts w:hint="eastAsia" w:ascii="宋体" w:hAnsi="宋体" w:eastAsia="宋体" w:cs="宋体"/>
                <w:spacing w:val="5"/>
                <w:sz w:val="22"/>
                <w:szCs w:val="22"/>
                <w:lang w:val="en-US" w:eastAsia="zh-CN"/>
              </w:rPr>
              <w:t>a</w:t>
            </w:r>
            <w:r>
              <w:rPr>
                <w:rFonts w:hint="eastAsia" w:ascii="宋体" w:hAnsi="宋体" w:eastAsia="宋体" w:cs="宋体"/>
                <w:spacing w:val="5"/>
                <w:sz w:val="22"/>
                <w:szCs w:val="22"/>
              </w:rPr>
              <w:t>.科学严谨、完善细致、规范明确、可操作性强的得</w:t>
            </w:r>
            <w:r>
              <w:rPr>
                <w:rFonts w:hint="eastAsia" w:ascii="宋体" w:hAnsi="宋体" w:eastAsia="宋体" w:cs="宋体"/>
                <w:spacing w:val="40"/>
                <w:w w:val="101"/>
                <w:sz w:val="22"/>
                <w:szCs w:val="22"/>
                <w:lang w:val="en-US" w:eastAsia="zh-CN"/>
              </w:rPr>
              <w:t>3</w:t>
            </w:r>
            <w:r>
              <w:rPr>
                <w:rFonts w:hint="eastAsia" w:ascii="宋体" w:hAnsi="宋体" w:eastAsia="宋体" w:cs="宋体"/>
                <w:spacing w:val="5"/>
                <w:sz w:val="22"/>
                <w:szCs w:val="22"/>
              </w:rPr>
              <w:t>分；</w:t>
            </w:r>
          </w:p>
          <w:p w14:paraId="2FC808AF">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4"/>
                <w:sz w:val="22"/>
                <w:szCs w:val="22"/>
              </w:rPr>
            </w:pPr>
            <w:r>
              <w:rPr>
                <w:rFonts w:hint="eastAsia" w:ascii="宋体" w:hAnsi="宋体" w:eastAsia="宋体" w:cs="宋体"/>
                <w:spacing w:val="4"/>
                <w:sz w:val="22"/>
                <w:szCs w:val="22"/>
              </w:rPr>
              <w:t>b.方案合理、可行</w:t>
            </w:r>
            <w:r>
              <w:rPr>
                <w:rFonts w:hint="eastAsia" w:ascii="宋体" w:hAnsi="宋体" w:eastAsia="宋体" w:cs="宋体"/>
                <w:spacing w:val="-15"/>
                <w:sz w:val="22"/>
                <w:szCs w:val="22"/>
              </w:rPr>
              <w:t xml:space="preserve"> </w:t>
            </w:r>
            <w:r>
              <w:rPr>
                <w:rFonts w:hint="eastAsia" w:ascii="宋体" w:hAnsi="宋体" w:eastAsia="宋体" w:cs="宋体"/>
                <w:spacing w:val="4"/>
                <w:sz w:val="22"/>
                <w:szCs w:val="22"/>
              </w:rPr>
              <w:t>，满足采购人基本需求的得</w:t>
            </w:r>
            <w:r>
              <w:rPr>
                <w:rFonts w:hint="eastAsia" w:ascii="宋体" w:hAnsi="宋体" w:eastAsia="宋体" w:cs="宋体"/>
                <w:spacing w:val="4"/>
                <w:sz w:val="22"/>
                <w:szCs w:val="22"/>
                <w:lang w:val="en-US" w:eastAsia="zh-CN"/>
              </w:rPr>
              <w:t>2</w:t>
            </w:r>
            <w:r>
              <w:rPr>
                <w:rFonts w:hint="eastAsia" w:ascii="宋体" w:hAnsi="宋体" w:eastAsia="宋体" w:cs="宋体"/>
                <w:spacing w:val="4"/>
                <w:sz w:val="22"/>
                <w:szCs w:val="22"/>
              </w:rPr>
              <w:t>分；</w:t>
            </w:r>
          </w:p>
          <w:p w14:paraId="7FD5AE35">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c.方案能基本满足采购人项目需求的得1分；</w:t>
            </w:r>
          </w:p>
          <w:p w14:paraId="6A405EB4">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spacing w:val="-3"/>
                <w:sz w:val="22"/>
                <w:szCs w:val="22"/>
                <w:lang w:val="en-US" w:eastAsia="zh-CN"/>
              </w:rPr>
            </w:pPr>
            <w:r>
              <w:rPr>
                <w:rFonts w:hint="eastAsia" w:ascii="宋体" w:hAnsi="宋体" w:eastAsia="宋体" w:cs="宋体"/>
                <w:spacing w:val="5"/>
                <w:sz w:val="22"/>
                <w:szCs w:val="22"/>
                <w:lang w:val="en-US" w:eastAsia="zh-CN"/>
              </w:rPr>
              <w:t>d</w:t>
            </w:r>
            <w:r>
              <w:rPr>
                <w:rFonts w:hint="eastAsia" w:ascii="宋体" w:hAnsi="宋体" w:eastAsia="宋体" w:cs="宋体"/>
                <w:spacing w:val="5"/>
                <w:sz w:val="22"/>
                <w:szCs w:val="22"/>
              </w:rPr>
              <w:t>.不能满足项目基本需求或未提供的得</w:t>
            </w:r>
            <w:r>
              <w:rPr>
                <w:rFonts w:hint="eastAsia" w:ascii="宋体" w:hAnsi="宋体" w:eastAsia="宋体" w:cs="宋体"/>
                <w:spacing w:val="5"/>
                <w:sz w:val="22"/>
                <w:szCs w:val="22"/>
                <w:lang w:val="en-US" w:eastAsia="zh-CN"/>
              </w:rPr>
              <w:t>0</w:t>
            </w:r>
            <w:r>
              <w:rPr>
                <w:rFonts w:hint="eastAsia" w:ascii="宋体" w:hAnsi="宋体" w:eastAsia="宋体" w:cs="宋体"/>
                <w:spacing w:val="5"/>
                <w:sz w:val="22"/>
                <w:szCs w:val="22"/>
              </w:rPr>
              <w:t>分。</w:t>
            </w:r>
          </w:p>
        </w:tc>
      </w:tr>
      <w:tr w14:paraId="4E59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662" w:hRule="atLeast"/>
          <w:jc w:val="center"/>
        </w:trPr>
        <w:tc>
          <w:tcPr>
            <w:tcW w:w="1226" w:type="dxa"/>
            <w:vMerge w:val="continue"/>
            <w:vAlign w:val="center"/>
          </w:tcPr>
          <w:p w14:paraId="0774A7CA">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rPr>
            </w:pPr>
          </w:p>
        </w:tc>
        <w:tc>
          <w:tcPr>
            <w:tcW w:w="2465" w:type="dxa"/>
            <w:vAlign w:val="center"/>
          </w:tcPr>
          <w:p w14:paraId="2BC4F5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pacing w:val="-3"/>
                <w:sz w:val="22"/>
                <w:szCs w:val="22"/>
                <w:lang w:val="en-US" w:eastAsia="zh-CN"/>
              </w:rPr>
            </w:pPr>
            <w:r>
              <w:rPr>
                <w:rFonts w:hint="eastAsia" w:ascii="宋体" w:hAnsi="宋体" w:eastAsia="宋体" w:cs="宋体"/>
                <w:spacing w:val="-1"/>
                <w:sz w:val="22"/>
                <w:szCs w:val="22"/>
              </w:rPr>
              <w:t>3.安全管理体系与措施；（</w:t>
            </w:r>
            <w:r>
              <w:rPr>
                <w:rFonts w:hint="eastAsia" w:ascii="宋体" w:hAnsi="宋体" w:eastAsia="宋体" w:cs="宋体"/>
                <w:spacing w:val="-1"/>
                <w:sz w:val="22"/>
                <w:szCs w:val="22"/>
                <w:lang w:val="en-US" w:eastAsia="zh-CN"/>
              </w:rPr>
              <w:t>3</w:t>
            </w:r>
            <w:r>
              <w:rPr>
                <w:rFonts w:hint="eastAsia" w:ascii="宋体" w:hAnsi="宋体" w:eastAsia="宋体" w:cs="宋体"/>
                <w:spacing w:val="-1"/>
                <w:sz w:val="22"/>
                <w:szCs w:val="22"/>
              </w:rPr>
              <w:t>分）</w:t>
            </w:r>
          </w:p>
        </w:tc>
        <w:tc>
          <w:tcPr>
            <w:tcW w:w="6726" w:type="dxa"/>
            <w:vAlign w:val="center"/>
          </w:tcPr>
          <w:p w14:paraId="654BD4B3">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z w:val="22"/>
                <w:szCs w:val="22"/>
              </w:rPr>
            </w:pPr>
            <w:r>
              <w:rPr>
                <w:rFonts w:hint="eastAsia" w:ascii="宋体" w:hAnsi="宋体" w:eastAsia="宋体" w:cs="宋体"/>
                <w:spacing w:val="5"/>
                <w:sz w:val="22"/>
                <w:szCs w:val="22"/>
                <w:lang w:val="en-US" w:eastAsia="zh-CN"/>
              </w:rPr>
              <w:t>a</w:t>
            </w:r>
            <w:r>
              <w:rPr>
                <w:rFonts w:hint="eastAsia" w:ascii="宋体" w:hAnsi="宋体" w:eastAsia="宋体" w:cs="宋体"/>
                <w:spacing w:val="5"/>
                <w:sz w:val="22"/>
                <w:szCs w:val="22"/>
              </w:rPr>
              <w:t>.科学严谨、完善细致、规范明确、可操作性强的得</w:t>
            </w:r>
            <w:r>
              <w:rPr>
                <w:rFonts w:hint="eastAsia" w:ascii="宋体" w:hAnsi="宋体" w:eastAsia="宋体" w:cs="宋体"/>
                <w:spacing w:val="40"/>
                <w:w w:val="101"/>
                <w:sz w:val="22"/>
                <w:szCs w:val="22"/>
                <w:lang w:val="en-US" w:eastAsia="zh-CN"/>
              </w:rPr>
              <w:t>3</w:t>
            </w:r>
            <w:r>
              <w:rPr>
                <w:rFonts w:hint="eastAsia" w:ascii="宋体" w:hAnsi="宋体" w:eastAsia="宋体" w:cs="宋体"/>
                <w:spacing w:val="5"/>
                <w:sz w:val="22"/>
                <w:szCs w:val="22"/>
              </w:rPr>
              <w:t>分；</w:t>
            </w:r>
          </w:p>
          <w:p w14:paraId="2A656B5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4"/>
                <w:sz w:val="22"/>
                <w:szCs w:val="22"/>
              </w:rPr>
            </w:pPr>
            <w:r>
              <w:rPr>
                <w:rFonts w:hint="eastAsia" w:ascii="宋体" w:hAnsi="宋体" w:eastAsia="宋体" w:cs="宋体"/>
                <w:spacing w:val="4"/>
                <w:sz w:val="22"/>
                <w:szCs w:val="22"/>
              </w:rPr>
              <w:t>b.方案合理、可行</w:t>
            </w:r>
            <w:r>
              <w:rPr>
                <w:rFonts w:hint="eastAsia" w:ascii="宋体" w:hAnsi="宋体" w:eastAsia="宋体" w:cs="宋体"/>
                <w:spacing w:val="-15"/>
                <w:sz w:val="22"/>
                <w:szCs w:val="22"/>
              </w:rPr>
              <w:t xml:space="preserve"> </w:t>
            </w:r>
            <w:r>
              <w:rPr>
                <w:rFonts w:hint="eastAsia" w:ascii="宋体" w:hAnsi="宋体" w:eastAsia="宋体" w:cs="宋体"/>
                <w:spacing w:val="4"/>
                <w:sz w:val="22"/>
                <w:szCs w:val="22"/>
              </w:rPr>
              <w:t>，满足采购人基本需求的得</w:t>
            </w:r>
            <w:r>
              <w:rPr>
                <w:rFonts w:hint="eastAsia" w:ascii="宋体" w:hAnsi="宋体" w:eastAsia="宋体" w:cs="宋体"/>
                <w:spacing w:val="4"/>
                <w:sz w:val="22"/>
                <w:szCs w:val="22"/>
                <w:lang w:val="en-US" w:eastAsia="zh-CN"/>
              </w:rPr>
              <w:t>2</w:t>
            </w:r>
            <w:r>
              <w:rPr>
                <w:rFonts w:hint="eastAsia" w:ascii="宋体" w:hAnsi="宋体" w:eastAsia="宋体" w:cs="宋体"/>
                <w:spacing w:val="4"/>
                <w:sz w:val="22"/>
                <w:szCs w:val="22"/>
              </w:rPr>
              <w:t>分；</w:t>
            </w:r>
          </w:p>
          <w:p w14:paraId="68762A34">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c.方案能基本满足采购人项目需求的得1分；</w:t>
            </w:r>
          </w:p>
          <w:p w14:paraId="353BC22C">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spacing w:val="-3"/>
                <w:sz w:val="22"/>
                <w:szCs w:val="22"/>
                <w:lang w:val="en-US" w:eastAsia="zh-CN"/>
              </w:rPr>
            </w:pPr>
            <w:r>
              <w:rPr>
                <w:rFonts w:hint="eastAsia" w:ascii="宋体" w:hAnsi="宋体" w:eastAsia="宋体" w:cs="宋体"/>
                <w:spacing w:val="5"/>
                <w:sz w:val="22"/>
                <w:szCs w:val="22"/>
                <w:lang w:val="en-US" w:eastAsia="zh-CN"/>
              </w:rPr>
              <w:t>d</w:t>
            </w:r>
            <w:r>
              <w:rPr>
                <w:rFonts w:hint="eastAsia" w:ascii="宋体" w:hAnsi="宋体" w:eastAsia="宋体" w:cs="宋体"/>
                <w:spacing w:val="5"/>
                <w:sz w:val="22"/>
                <w:szCs w:val="22"/>
              </w:rPr>
              <w:t>.不能满足项目基本需求或未提供的得</w:t>
            </w:r>
            <w:r>
              <w:rPr>
                <w:rFonts w:hint="eastAsia" w:ascii="宋体" w:hAnsi="宋体" w:eastAsia="宋体" w:cs="宋体"/>
                <w:spacing w:val="5"/>
                <w:sz w:val="22"/>
                <w:szCs w:val="22"/>
                <w:lang w:val="en-US" w:eastAsia="zh-CN"/>
              </w:rPr>
              <w:t>0</w:t>
            </w:r>
            <w:r>
              <w:rPr>
                <w:rFonts w:hint="eastAsia" w:ascii="宋体" w:hAnsi="宋体" w:eastAsia="宋体" w:cs="宋体"/>
                <w:spacing w:val="5"/>
                <w:sz w:val="22"/>
                <w:szCs w:val="22"/>
              </w:rPr>
              <w:t>分。</w:t>
            </w:r>
          </w:p>
        </w:tc>
      </w:tr>
      <w:tr w14:paraId="78DC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07" w:hRule="atLeast"/>
          <w:jc w:val="center"/>
        </w:trPr>
        <w:tc>
          <w:tcPr>
            <w:tcW w:w="1226" w:type="dxa"/>
            <w:vMerge w:val="continue"/>
            <w:vAlign w:val="center"/>
          </w:tcPr>
          <w:p w14:paraId="596EC61D">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rPr>
            </w:pPr>
          </w:p>
        </w:tc>
        <w:tc>
          <w:tcPr>
            <w:tcW w:w="2465" w:type="dxa"/>
            <w:vAlign w:val="center"/>
          </w:tcPr>
          <w:p w14:paraId="398318C4">
            <w:pPr>
              <w:keepNext w:val="0"/>
              <w:keepLines w:val="0"/>
              <w:pageBreakBefore w:val="0"/>
              <w:widowControl/>
              <w:kinsoku/>
              <w:wordWrap/>
              <w:overflowPunct/>
              <w:topLinePunct w:val="0"/>
              <w:autoSpaceDE w:val="0"/>
              <w:autoSpaceDN w:val="0"/>
              <w:bidi w:val="0"/>
              <w:adjustRightInd w:val="0"/>
              <w:snapToGrid w:val="0"/>
              <w:spacing w:line="344" w:lineRule="auto"/>
              <w:ind w:left="0" w:right="0" w:firstLine="0"/>
              <w:jc w:val="center"/>
              <w:textAlignment w:val="baseline"/>
              <w:rPr>
                <w:rFonts w:hint="eastAsia" w:ascii="宋体" w:hAnsi="宋体" w:eastAsia="宋体" w:cs="宋体"/>
                <w:spacing w:val="-3"/>
                <w:sz w:val="22"/>
                <w:szCs w:val="22"/>
                <w:lang w:val="en-US" w:eastAsia="zh-CN"/>
              </w:rPr>
            </w:pPr>
            <w:r>
              <w:rPr>
                <w:rFonts w:hint="eastAsia" w:ascii="宋体" w:hAnsi="宋体" w:eastAsia="宋体" w:cs="宋体"/>
                <w:spacing w:val="7"/>
                <w:sz w:val="22"/>
                <w:szCs w:val="22"/>
              </w:rPr>
              <w:t>4.环境保护管理体系与措</w:t>
            </w:r>
            <w:r>
              <w:rPr>
                <w:rFonts w:hint="eastAsia" w:ascii="宋体" w:hAnsi="宋体" w:eastAsia="宋体" w:cs="宋体"/>
                <w:spacing w:val="16"/>
                <w:sz w:val="22"/>
                <w:szCs w:val="22"/>
              </w:rPr>
              <w:t>施</w:t>
            </w:r>
            <w:r>
              <w:rPr>
                <w:rFonts w:hint="eastAsia" w:ascii="宋体" w:hAnsi="宋体" w:eastAsia="宋体" w:cs="宋体"/>
                <w:sz w:val="20"/>
                <w:szCs w:val="20"/>
              </w:rPr>
              <w:t>（包括有效的扬尘治理 和疫情防控措施）</w:t>
            </w:r>
            <w:r>
              <w:rPr>
                <w:rFonts w:hint="eastAsia" w:ascii="宋体" w:hAnsi="宋体" w:eastAsia="宋体" w:cs="宋体"/>
                <w:spacing w:val="-11"/>
                <w:sz w:val="22"/>
                <w:szCs w:val="22"/>
              </w:rPr>
              <w:t>（</w:t>
            </w:r>
            <w:r>
              <w:rPr>
                <w:rFonts w:hint="eastAsia" w:ascii="宋体" w:hAnsi="宋体" w:eastAsia="宋体" w:cs="宋体"/>
                <w:spacing w:val="-19"/>
                <w:sz w:val="22"/>
                <w:szCs w:val="22"/>
                <w:lang w:val="en-US" w:eastAsia="zh-CN"/>
              </w:rPr>
              <w:t>3</w:t>
            </w:r>
            <w:r>
              <w:rPr>
                <w:rFonts w:hint="eastAsia" w:ascii="宋体" w:hAnsi="宋体" w:eastAsia="宋体" w:cs="宋体"/>
                <w:spacing w:val="3"/>
                <w:sz w:val="22"/>
                <w:szCs w:val="22"/>
              </w:rPr>
              <w:t>分）</w:t>
            </w:r>
          </w:p>
        </w:tc>
        <w:tc>
          <w:tcPr>
            <w:tcW w:w="6726" w:type="dxa"/>
            <w:vAlign w:val="center"/>
          </w:tcPr>
          <w:p w14:paraId="18C21EAD">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z w:val="22"/>
                <w:szCs w:val="22"/>
              </w:rPr>
            </w:pPr>
            <w:r>
              <w:rPr>
                <w:rFonts w:hint="eastAsia" w:ascii="宋体" w:hAnsi="宋体" w:eastAsia="宋体" w:cs="宋体"/>
                <w:spacing w:val="5"/>
                <w:sz w:val="22"/>
                <w:szCs w:val="22"/>
                <w:lang w:val="en-US" w:eastAsia="zh-CN"/>
              </w:rPr>
              <w:t>a</w:t>
            </w:r>
            <w:r>
              <w:rPr>
                <w:rFonts w:hint="eastAsia" w:ascii="宋体" w:hAnsi="宋体" w:eastAsia="宋体" w:cs="宋体"/>
                <w:spacing w:val="5"/>
                <w:sz w:val="22"/>
                <w:szCs w:val="22"/>
              </w:rPr>
              <w:t>.科学严谨、完善细致、规范明确、可操作性强的得</w:t>
            </w:r>
            <w:r>
              <w:rPr>
                <w:rFonts w:hint="eastAsia" w:ascii="宋体" w:hAnsi="宋体" w:eastAsia="宋体" w:cs="宋体"/>
                <w:spacing w:val="40"/>
                <w:w w:val="101"/>
                <w:sz w:val="22"/>
                <w:szCs w:val="22"/>
                <w:lang w:val="en-US" w:eastAsia="zh-CN"/>
              </w:rPr>
              <w:t>3</w:t>
            </w:r>
            <w:r>
              <w:rPr>
                <w:rFonts w:hint="eastAsia" w:ascii="宋体" w:hAnsi="宋体" w:eastAsia="宋体" w:cs="宋体"/>
                <w:spacing w:val="5"/>
                <w:sz w:val="22"/>
                <w:szCs w:val="22"/>
              </w:rPr>
              <w:t>分；</w:t>
            </w:r>
          </w:p>
          <w:p w14:paraId="484884D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4"/>
                <w:sz w:val="22"/>
                <w:szCs w:val="22"/>
              </w:rPr>
            </w:pPr>
            <w:r>
              <w:rPr>
                <w:rFonts w:hint="eastAsia" w:ascii="宋体" w:hAnsi="宋体" w:eastAsia="宋体" w:cs="宋体"/>
                <w:spacing w:val="4"/>
                <w:sz w:val="22"/>
                <w:szCs w:val="22"/>
              </w:rPr>
              <w:t>b.方案合理、可行</w:t>
            </w:r>
            <w:r>
              <w:rPr>
                <w:rFonts w:hint="eastAsia" w:ascii="宋体" w:hAnsi="宋体" w:eastAsia="宋体" w:cs="宋体"/>
                <w:spacing w:val="-15"/>
                <w:sz w:val="22"/>
                <w:szCs w:val="22"/>
              </w:rPr>
              <w:t xml:space="preserve"> </w:t>
            </w:r>
            <w:r>
              <w:rPr>
                <w:rFonts w:hint="eastAsia" w:ascii="宋体" w:hAnsi="宋体" w:eastAsia="宋体" w:cs="宋体"/>
                <w:spacing w:val="4"/>
                <w:sz w:val="22"/>
                <w:szCs w:val="22"/>
              </w:rPr>
              <w:t>，满足采购人基本需求的得</w:t>
            </w:r>
            <w:r>
              <w:rPr>
                <w:rFonts w:hint="eastAsia" w:ascii="宋体" w:hAnsi="宋体" w:eastAsia="宋体" w:cs="宋体"/>
                <w:spacing w:val="4"/>
                <w:sz w:val="22"/>
                <w:szCs w:val="22"/>
                <w:lang w:val="en-US" w:eastAsia="zh-CN"/>
              </w:rPr>
              <w:t>2</w:t>
            </w:r>
            <w:r>
              <w:rPr>
                <w:rFonts w:hint="eastAsia" w:ascii="宋体" w:hAnsi="宋体" w:eastAsia="宋体" w:cs="宋体"/>
                <w:spacing w:val="4"/>
                <w:sz w:val="22"/>
                <w:szCs w:val="22"/>
              </w:rPr>
              <w:t>分；</w:t>
            </w:r>
          </w:p>
          <w:p w14:paraId="1D5930BB">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c.方案能基本满足采购人项目需求的得1分；</w:t>
            </w:r>
          </w:p>
          <w:p w14:paraId="1A0489C2">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spacing w:val="-3"/>
                <w:sz w:val="22"/>
                <w:szCs w:val="22"/>
                <w:lang w:val="en-US" w:eastAsia="zh-CN"/>
              </w:rPr>
            </w:pPr>
            <w:r>
              <w:rPr>
                <w:rFonts w:hint="eastAsia" w:ascii="宋体" w:hAnsi="宋体" w:eastAsia="宋体" w:cs="宋体"/>
                <w:spacing w:val="5"/>
                <w:sz w:val="22"/>
                <w:szCs w:val="22"/>
                <w:lang w:val="en-US" w:eastAsia="zh-CN"/>
              </w:rPr>
              <w:t>d</w:t>
            </w:r>
            <w:r>
              <w:rPr>
                <w:rFonts w:hint="eastAsia" w:ascii="宋体" w:hAnsi="宋体" w:eastAsia="宋体" w:cs="宋体"/>
                <w:spacing w:val="5"/>
                <w:sz w:val="22"/>
                <w:szCs w:val="22"/>
              </w:rPr>
              <w:t>.不能满足项目基本需求或未提供的得</w:t>
            </w:r>
            <w:r>
              <w:rPr>
                <w:rFonts w:hint="eastAsia" w:ascii="宋体" w:hAnsi="宋体" w:eastAsia="宋体" w:cs="宋体"/>
                <w:spacing w:val="5"/>
                <w:sz w:val="22"/>
                <w:szCs w:val="22"/>
                <w:lang w:val="en-US" w:eastAsia="zh-CN"/>
              </w:rPr>
              <w:t>0</w:t>
            </w:r>
            <w:r>
              <w:rPr>
                <w:rFonts w:hint="eastAsia" w:ascii="宋体" w:hAnsi="宋体" w:eastAsia="宋体" w:cs="宋体"/>
                <w:spacing w:val="5"/>
                <w:sz w:val="22"/>
                <w:szCs w:val="22"/>
              </w:rPr>
              <w:t>分。</w:t>
            </w:r>
          </w:p>
        </w:tc>
      </w:tr>
      <w:tr w14:paraId="6864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652" w:hRule="atLeast"/>
          <w:jc w:val="center"/>
        </w:trPr>
        <w:tc>
          <w:tcPr>
            <w:tcW w:w="1226" w:type="dxa"/>
            <w:vMerge w:val="continue"/>
            <w:vAlign w:val="center"/>
          </w:tcPr>
          <w:p w14:paraId="6F5158F6">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rPr>
            </w:pPr>
          </w:p>
        </w:tc>
        <w:tc>
          <w:tcPr>
            <w:tcW w:w="2465" w:type="dxa"/>
            <w:vAlign w:val="center"/>
          </w:tcPr>
          <w:p w14:paraId="0781E0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pacing w:val="-3"/>
                <w:sz w:val="22"/>
                <w:szCs w:val="22"/>
                <w:lang w:val="en-US" w:eastAsia="zh-CN"/>
              </w:rPr>
            </w:pPr>
            <w:r>
              <w:rPr>
                <w:rFonts w:hint="eastAsia" w:ascii="宋体" w:hAnsi="宋体" w:eastAsia="宋体" w:cs="宋体"/>
                <w:spacing w:val="2"/>
                <w:sz w:val="22"/>
                <w:szCs w:val="22"/>
                <w:lang w:val="en-US" w:eastAsia="zh-CN"/>
              </w:rPr>
              <w:t>5.</w:t>
            </w:r>
            <w:r>
              <w:rPr>
                <w:rFonts w:hint="eastAsia" w:ascii="宋体" w:hAnsi="宋体" w:eastAsia="宋体" w:cs="宋体"/>
                <w:spacing w:val="2"/>
                <w:sz w:val="22"/>
                <w:szCs w:val="22"/>
              </w:rPr>
              <w:t>工程进度计划与措施；</w:t>
            </w:r>
            <w:r>
              <w:rPr>
                <w:rFonts w:hint="eastAsia" w:ascii="宋体" w:hAnsi="宋体" w:eastAsia="宋体" w:cs="宋体"/>
                <w:spacing w:val="-2"/>
                <w:sz w:val="22"/>
                <w:szCs w:val="22"/>
              </w:rPr>
              <w:t>（</w:t>
            </w:r>
            <w:r>
              <w:rPr>
                <w:rFonts w:hint="eastAsia" w:ascii="宋体" w:hAnsi="宋体" w:eastAsia="宋体" w:cs="宋体"/>
                <w:spacing w:val="-2"/>
                <w:sz w:val="22"/>
                <w:szCs w:val="22"/>
                <w:lang w:val="en-US" w:eastAsia="zh-CN"/>
              </w:rPr>
              <w:t>3</w:t>
            </w:r>
            <w:r>
              <w:rPr>
                <w:rFonts w:hint="eastAsia" w:ascii="宋体" w:hAnsi="宋体" w:eastAsia="宋体" w:cs="宋体"/>
                <w:spacing w:val="-2"/>
                <w:sz w:val="22"/>
                <w:szCs w:val="22"/>
              </w:rPr>
              <w:t>分）</w:t>
            </w:r>
          </w:p>
        </w:tc>
        <w:tc>
          <w:tcPr>
            <w:tcW w:w="6726" w:type="dxa"/>
            <w:vAlign w:val="center"/>
          </w:tcPr>
          <w:p w14:paraId="18F57E93">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z w:val="22"/>
                <w:szCs w:val="22"/>
              </w:rPr>
            </w:pPr>
            <w:r>
              <w:rPr>
                <w:rFonts w:hint="eastAsia" w:ascii="宋体" w:hAnsi="宋体" w:eastAsia="宋体" w:cs="宋体"/>
                <w:spacing w:val="5"/>
                <w:sz w:val="22"/>
                <w:szCs w:val="22"/>
                <w:lang w:val="en-US" w:eastAsia="zh-CN"/>
              </w:rPr>
              <w:t>a</w:t>
            </w:r>
            <w:r>
              <w:rPr>
                <w:rFonts w:hint="eastAsia" w:ascii="宋体" w:hAnsi="宋体" w:eastAsia="宋体" w:cs="宋体"/>
                <w:spacing w:val="5"/>
                <w:sz w:val="22"/>
                <w:szCs w:val="22"/>
              </w:rPr>
              <w:t>.科学严谨、完善细致、规范明确、可操作性强的得</w:t>
            </w:r>
            <w:r>
              <w:rPr>
                <w:rFonts w:hint="eastAsia" w:ascii="宋体" w:hAnsi="宋体" w:eastAsia="宋体" w:cs="宋体"/>
                <w:spacing w:val="40"/>
                <w:w w:val="101"/>
                <w:sz w:val="22"/>
                <w:szCs w:val="22"/>
                <w:lang w:val="en-US" w:eastAsia="zh-CN"/>
              </w:rPr>
              <w:t>3</w:t>
            </w:r>
            <w:r>
              <w:rPr>
                <w:rFonts w:hint="eastAsia" w:ascii="宋体" w:hAnsi="宋体" w:eastAsia="宋体" w:cs="宋体"/>
                <w:spacing w:val="5"/>
                <w:sz w:val="22"/>
                <w:szCs w:val="22"/>
              </w:rPr>
              <w:t>分；</w:t>
            </w:r>
          </w:p>
          <w:p w14:paraId="4962F34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4"/>
                <w:sz w:val="22"/>
                <w:szCs w:val="22"/>
              </w:rPr>
            </w:pPr>
            <w:r>
              <w:rPr>
                <w:rFonts w:hint="eastAsia" w:ascii="宋体" w:hAnsi="宋体" w:eastAsia="宋体" w:cs="宋体"/>
                <w:spacing w:val="4"/>
                <w:sz w:val="22"/>
                <w:szCs w:val="22"/>
              </w:rPr>
              <w:t>b.方案合理、可行</w:t>
            </w:r>
            <w:r>
              <w:rPr>
                <w:rFonts w:hint="eastAsia" w:ascii="宋体" w:hAnsi="宋体" w:eastAsia="宋体" w:cs="宋体"/>
                <w:spacing w:val="-15"/>
                <w:sz w:val="22"/>
                <w:szCs w:val="22"/>
              </w:rPr>
              <w:t xml:space="preserve"> </w:t>
            </w:r>
            <w:r>
              <w:rPr>
                <w:rFonts w:hint="eastAsia" w:ascii="宋体" w:hAnsi="宋体" w:eastAsia="宋体" w:cs="宋体"/>
                <w:spacing w:val="4"/>
                <w:sz w:val="22"/>
                <w:szCs w:val="22"/>
              </w:rPr>
              <w:t>，满足采购人基本需求的得</w:t>
            </w:r>
            <w:r>
              <w:rPr>
                <w:rFonts w:hint="eastAsia" w:ascii="宋体" w:hAnsi="宋体" w:eastAsia="宋体" w:cs="宋体"/>
                <w:spacing w:val="4"/>
                <w:sz w:val="22"/>
                <w:szCs w:val="22"/>
                <w:lang w:val="en-US" w:eastAsia="zh-CN"/>
              </w:rPr>
              <w:t>2</w:t>
            </w:r>
            <w:r>
              <w:rPr>
                <w:rFonts w:hint="eastAsia" w:ascii="宋体" w:hAnsi="宋体" w:eastAsia="宋体" w:cs="宋体"/>
                <w:spacing w:val="4"/>
                <w:sz w:val="22"/>
                <w:szCs w:val="22"/>
              </w:rPr>
              <w:t>分；</w:t>
            </w:r>
          </w:p>
          <w:p w14:paraId="7F53867B">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c.方案能基本满足采购人项目需求的得1分；</w:t>
            </w:r>
          </w:p>
          <w:p w14:paraId="34F81CA6">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spacing w:val="-3"/>
                <w:sz w:val="22"/>
                <w:szCs w:val="22"/>
                <w:lang w:val="en-US" w:eastAsia="zh-CN"/>
              </w:rPr>
            </w:pPr>
            <w:r>
              <w:rPr>
                <w:rFonts w:hint="eastAsia" w:ascii="宋体" w:hAnsi="宋体" w:eastAsia="宋体" w:cs="宋体"/>
                <w:spacing w:val="5"/>
                <w:sz w:val="22"/>
                <w:szCs w:val="22"/>
                <w:lang w:val="en-US" w:eastAsia="zh-CN"/>
              </w:rPr>
              <w:t>d</w:t>
            </w:r>
            <w:r>
              <w:rPr>
                <w:rFonts w:hint="eastAsia" w:ascii="宋体" w:hAnsi="宋体" w:eastAsia="宋体" w:cs="宋体"/>
                <w:spacing w:val="5"/>
                <w:sz w:val="22"/>
                <w:szCs w:val="22"/>
              </w:rPr>
              <w:t>.不能满足项目基本需求或未提供的得</w:t>
            </w:r>
            <w:r>
              <w:rPr>
                <w:rFonts w:hint="eastAsia" w:ascii="宋体" w:hAnsi="宋体" w:eastAsia="宋体" w:cs="宋体"/>
                <w:spacing w:val="5"/>
                <w:sz w:val="22"/>
                <w:szCs w:val="22"/>
                <w:lang w:val="en-US" w:eastAsia="zh-CN"/>
              </w:rPr>
              <w:t>0</w:t>
            </w:r>
            <w:r>
              <w:rPr>
                <w:rFonts w:hint="eastAsia" w:ascii="宋体" w:hAnsi="宋体" w:eastAsia="宋体" w:cs="宋体"/>
                <w:spacing w:val="5"/>
                <w:sz w:val="22"/>
                <w:szCs w:val="22"/>
              </w:rPr>
              <w:t>分。</w:t>
            </w:r>
          </w:p>
        </w:tc>
      </w:tr>
      <w:tr w14:paraId="5E23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26" w:type="dxa"/>
            <w:vMerge w:val="restart"/>
            <w:vAlign w:val="center"/>
          </w:tcPr>
          <w:p w14:paraId="28897C15">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lang w:eastAsia="zh-CN"/>
              </w:rPr>
            </w:pPr>
            <w:r>
              <w:rPr>
                <w:rFonts w:hint="eastAsia" w:ascii="宋体" w:hAnsi="宋体" w:eastAsia="宋体" w:cs="宋体"/>
                <w:spacing w:val="-5"/>
                <w:sz w:val="22"/>
                <w:szCs w:val="22"/>
                <w:lang w:val="en-US" w:eastAsia="zh-CN"/>
              </w:rPr>
              <w:t>商务部分</w:t>
            </w:r>
            <w:r>
              <w:rPr>
                <w:rFonts w:hint="eastAsia" w:ascii="宋体" w:hAnsi="宋体" w:eastAsia="宋体" w:cs="宋体"/>
                <w:spacing w:val="-5"/>
                <w:sz w:val="22"/>
                <w:szCs w:val="22"/>
                <w:lang w:eastAsia="zh-CN"/>
              </w:rPr>
              <w:t>（</w:t>
            </w:r>
            <w:r>
              <w:rPr>
                <w:rFonts w:hint="eastAsia" w:ascii="宋体" w:hAnsi="宋体" w:eastAsia="宋体" w:cs="宋体"/>
                <w:spacing w:val="-5"/>
                <w:sz w:val="22"/>
                <w:szCs w:val="22"/>
                <w:lang w:val="en-US" w:eastAsia="zh-CN"/>
              </w:rPr>
              <w:t>45分</w:t>
            </w:r>
            <w:r>
              <w:rPr>
                <w:rFonts w:hint="eastAsia" w:ascii="宋体" w:hAnsi="宋体" w:eastAsia="宋体" w:cs="宋体"/>
                <w:spacing w:val="-5"/>
                <w:sz w:val="22"/>
                <w:szCs w:val="22"/>
                <w:lang w:eastAsia="zh-CN"/>
              </w:rPr>
              <w:t>）</w:t>
            </w:r>
          </w:p>
        </w:tc>
        <w:tc>
          <w:tcPr>
            <w:tcW w:w="2465" w:type="dxa"/>
            <w:vAlign w:val="center"/>
          </w:tcPr>
          <w:p w14:paraId="0CCBF13D">
            <w:pPr>
              <w:widowControl w:val="0"/>
              <w:snapToGrid w:val="0"/>
              <w:jc w:val="center"/>
              <w:rPr>
                <w:rFonts w:hint="eastAsia" w:ascii="宋体" w:hAnsi="宋体" w:eastAsia="宋体" w:cs="宋体"/>
                <w:b w:val="0"/>
                <w:bCs w:val="0"/>
                <w:color w:val="auto"/>
                <w:sz w:val="22"/>
                <w:szCs w:val="22"/>
              </w:rPr>
            </w:pPr>
            <w:r>
              <w:rPr>
                <w:rFonts w:hint="default" w:ascii="宋体" w:hAnsi="宋体" w:eastAsia="宋体" w:cs="宋体"/>
                <w:color w:val="auto"/>
                <w:spacing w:val="-4"/>
                <w:sz w:val="22"/>
                <w:szCs w:val="22"/>
                <w:highlight w:val="none"/>
                <w:lang w:val="en-US" w:eastAsia="zh-CN"/>
              </w:rPr>
              <w:t>认证体系</w:t>
            </w:r>
            <w:r>
              <w:rPr>
                <w:rFonts w:hint="eastAsia" w:ascii="宋体" w:hAnsi="宋体" w:eastAsia="宋体" w:cs="宋体"/>
                <w:color w:val="auto"/>
                <w:spacing w:val="6"/>
                <w:sz w:val="22"/>
                <w:szCs w:val="22"/>
                <w:lang w:val="en-US" w:eastAsia="zh-CN"/>
              </w:rPr>
              <w:t>（3分）</w:t>
            </w:r>
          </w:p>
        </w:tc>
        <w:tc>
          <w:tcPr>
            <w:tcW w:w="6726" w:type="dxa"/>
            <w:vAlign w:val="center"/>
          </w:tcPr>
          <w:p w14:paraId="7FCE9F7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b w:val="0"/>
                <w:bCs w:val="0"/>
                <w:color w:val="auto"/>
                <w:sz w:val="22"/>
                <w:szCs w:val="22"/>
                <w:lang w:val="en-US" w:eastAsia="zh-CN"/>
              </w:rPr>
            </w:pPr>
            <w:r>
              <w:rPr>
                <w:rFonts w:hint="eastAsia" w:ascii="宋体" w:hAnsi="宋体" w:eastAsia="宋体" w:cs="宋体"/>
                <w:spacing w:val="5"/>
                <w:sz w:val="22"/>
                <w:szCs w:val="22"/>
                <w:lang w:val="en-US" w:eastAsia="zh-CN"/>
              </w:rPr>
              <w:t>投标人获得ISO质量、环境、职业安全健康管理三项认证得3分且在有效期内，缺一不得分。</w:t>
            </w:r>
          </w:p>
        </w:tc>
      </w:tr>
      <w:tr w14:paraId="075F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26" w:type="dxa"/>
            <w:vMerge w:val="continue"/>
            <w:vAlign w:val="center"/>
          </w:tcPr>
          <w:p w14:paraId="7A1E47B3">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rPr>
            </w:pPr>
          </w:p>
        </w:tc>
        <w:tc>
          <w:tcPr>
            <w:tcW w:w="2465" w:type="dxa"/>
            <w:vAlign w:val="center"/>
          </w:tcPr>
          <w:p w14:paraId="62D1750B">
            <w:pPr>
              <w:widowControl w:val="0"/>
              <w:snapToGrid w:val="0"/>
              <w:jc w:val="center"/>
              <w:rPr>
                <w:rFonts w:hint="default" w:ascii="宋体" w:hAnsi="宋体" w:eastAsia="宋体" w:cs="宋体"/>
                <w:b w:val="0"/>
                <w:bCs w:val="0"/>
                <w:color w:val="auto"/>
                <w:sz w:val="22"/>
                <w:szCs w:val="22"/>
                <w:highlight w:val="yellow"/>
                <w:lang w:val="en-US" w:eastAsia="zh-CN"/>
              </w:rPr>
            </w:pPr>
            <w:r>
              <w:rPr>
                <w:rFonts w:hint="eastAsia" w:ascii="宋体" w:hAnsi="宋体" w:eastAsia="宋体" w:cs="宋体"/>
                <w:color w:val="auto"/>
                <w:spacing w:val="-4"/>
                <w:sz w:val="22"/>
                <w:szCs w:val="22"/>
                <w:highlight w:val="none"/>
              </w:rPr>
              <w:t>项目管理机构人员配备</w:t>
            </w:r>
            <w:r>
              <w:rPr>
                <w:rFonts w:hint="eastAsia" w:ascii="宋体" w:hAnsi="宋体" w:eastAsia="宋体" w:cs="宋体"/>
                <w:color w:val="auto"/>
                <w:spacing w:val="6"/>
                <w:sz w:val="22"/>
                <w:szCs w:val="22"/>
                <w:lang w:val="en-US" w:eastAsia="zh-CN"/>
              </w:rPr>
              <w:t>（10分）</w:t>
            </w:r>
          </w:p>
        </w:tc>
        <w:tc>
          <w:tcPr>
            <w:tcW w:w="6726" w:type="dxa"/>
            <w:vAlign w:val="center"/>
          </w:tcPr>
          <w:p w14:paraId="68505940">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b w:val="0"/>
                <w:bCs w:val="0"/>
                <w:color w:val="auto"/>
                <w:sz w:val="22"/>
                <w:szCs w:val="22"/>
                <w:highlight w:val="yellow"/>
                <w:lang w:val="en-US" w:eastAsia="zh-CN"/>
              </w:rPr>
            </w:pPr>
            <w:r>
              <w:rPr>
                <w:rFonts w:hint="eastAsia" w:ascii="宋体" w:hAnsi="宋体" w:eastAsia="宋体" w:cs="宋体"/>
                <w:spacing w:val="5"/>
                <w:sz w:val="22"/>
                <w:szCs w:val="22"/>
                <w:lang w:val="en-US" w:eastAsia="zh-CN"/>
              </w:rPr>
              <w:t>拟配的项目部成员中人员相关岗位证书：施工员、质量员、安全员（与C证安全员一致）、材料员、资料员齐全，并提供2025年1月份以来近三个月在本单位缴纳社保证明，缺一人扣2分，满分10分（社保备查）</w:t>
            </w:r>
          </w:p>
        </w:tc>
      </w:tr>
      <w:tr w14:paraId="5DF4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26" w:type="dxa"/>
            <w:vMerge w:val="continue"/>
            <w:vAlign w:val="center"/>
          </w:tcPr>
          <w:p w14:paraId="54F09DC9">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rPr>
            </w:pPr>
          </w:p>
        </w:tc>
        <w:tc>
          <w:tcPr>
            <w:tcW w:w="2465" w:type="dxa"/>
            <w:vAlign w:val="center"/>
          </w:tcPr>
          <w:p w14:paraId="7021DCDF">
            <w:pPr>
              <w:widowControl w:val="0"/>
              <w:snapToGrid w:val="0"/>
              <w:jc w:val="center"/>
              <w:rPr>
                <w:rFonts w:hint="default" w:ascii="宋体" w:hAnsi="宋体" w:eastAsia="宋体" w:cs="宋体"/>
                <w:color w:val="auto"/>
                <w:spacing w:val="-4"/>
                <w:sz w:val="22"/>
                <w:szCs w:val="22"/>
                <w:highlight w:val="none"/>
                <w:lang w:val="en-US" w:eastAsia="zh-CN"/>
              </w:rPr>
            </w:pPr>
            <w:r>
              <w:rPr>
                <w:rFonts w:hint="eastAsia" w:ascii="宋体" w:hAnsi="宋体" w:eastAsia="宋体" w:cs="宋体"/>
                <w:color w:val="auto"/>
                <w:sz w:val="22"/>
                <w:szCs w:val="22"/>
                <w:lang w:val="en-US" w:eastAsia="zh-CN"/>
              </w:rPr>
              <w:t>类似工程情况</w:t>
            </w:r>
            <w:r>
              <w:rPr>
                <w:rFonts w:hint="eastAsia" w:ascii="宋体" w:hAnsi="宋体" w:eastAsia="宋体" w:cs="宋体"/>
                <w:color w:val="auto"/>
                <w:spacing w:val="6"/>
                <w:sz w:val="22"/>
                <w:szCs w:val="22"/>
                <w:lang w:val="en-US" w:eastAsia="zh-CN"/>
              </w:rPr>
              <w:t>（10分）</w:t>
            </w:r>
          </w:p>
        </w:tc>
        <w:tc>
          <w:tcPr>
            <w:tcW w:w="6726" w:type="dxa"/>
            <w:vAlign w:val="center"/>
          </w:tcPr>
          <w:p w14:paraId="20B35D8F">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b w:val="0"/>
                <w:bCs w:val="0"/>
                <w:color w:val="auto"/>
                <w:sz w:val="22"/>
                <w:szCs w:val="22"/>
                <w:lang w:val="en-US" w:eastAsia="zh-CN"/>
              </w:rPr>
            </w:pPr>
            <w:r>
              <w:rPr>
                <w:rFonts w:hint="eastAsia" w:ascii="宋体" w:hAnsi="宋体" w:eastAsia="宋体" w:cs="宋体"/>
                <w:spacing w:val="5"/>
                <w:sz w:val="22"/>
                <w:szCs w:val="22"/>
                <w:lang w:val="en-US" w:eastAsia="zh-CN"/>
              </w:rPr>
              <w:t>投标人承担过的类似市政工程业绩，以竣工验收之日起（2022年1月1日起至投标截止时间止）有效，应附中标（成交）公示官方网站截图（网站备查）扫描件、中标（成交）通知书、合同、竣工验收报告缺一不得分。每有一项得2.5分，此项最多得10分。</w:t>
            </w:r>
          </w:p>
        </w:tc>
      </w:tr>
      <w:tr w14:paraId="717B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26" w:type="dxa"/>
            <w:vMerge w:val="continue"/>
            <w:vAlign w:val="center"/>
          </w:tcPr>
          <w:p w14:paraId="46E29052">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rPr>
            </w:pPr>
          </w:p>
        </w:tc>
        <w:tc>
          <w:tcPr>
            <w:tcW w:w="2465" w:type="dxa"/>
            <w:vAlign w:val="center"/>
          </w:tcPr>
          <w:p w14:paraId="013769AA">
            <w:pPr>
              <w:widowControl w:val="0"/>
              <w:snapToGrid w:val="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荣誉（17分）</w:t>
            </w:r>
          </w:p>
        </w:tc>
        <w:tc>
          <w:tcPr>
            <w:tcW w:w="6726" w:type="dxa"/>
            <w:vAlign w:val="center"/>
          </w:tcPr>
          <w:p w14:paraId="44603E79">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1.投标人同时获得省级或以上市政公用工程施工技术创新先进企业、市政公用工程施工质量管理先进企业、市政公用工程安全管理先进企业的得5分，缺一项不得分。</w:t>
            </w:r>
          </w:p>
          <w:p w14:paraId="0CAEE2A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2.投标人承接的市政工程获得省级及以上市政工程金杯奖每项得4分，市级市政工程金杯奖的每项得2分，最高得4分。</w:t>
            </w:r>
          </w:p>
          <w:p w14:paraId="1C3F165F">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3.投标人获得市级市政公用工程安全文明工地的每项得2分，投标人获得省级市政公用工程安全文明工地的每项得4分。</w:t>
            </w:r>
          </w:p>
          <w:p w14:paraId="25FE97BC">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spacing w:val="5"/>
                <w:sz w:val="22"/>
                <w:szCs w:val="22"/>
                <w:lang w:val="en-US" w:eastAsia="zh-CN"/>
              </w:rPr>
              <w:t>4.投标人获得市级招投标先进（建设工程招标投标诚实守信）企业的计2分，投标人获得省级或以上招投标先进（建设工程招标投标诚实守信）企业的计4分，最高得4分。</w:t>
            </w:r>
          </w:p>
        </w:tc>
      </w:tr>
      <w:tr w14:paraId="773B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432" w:hRule="atLeast"/>
          <w:jc w:val="center"/>
        </w:trPr>
        <w:tc>
          <w:tcPr>
            <w:tcW w:w="1226" w:type="dxa"/>
            <w:vAlign w:val="center"/>
          </w:tcPr>
          <w:p w14:paraId="32AE39D4">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rPr>
            </w:pPr>
          </w:p>
        </w:tc>
        <w:tc>
          <w:tcPr>
            <w:tcW w:w="2465" w:type="dxa"/>
            <w:vAlign w:val="center"/>
          </w:tcPr>
          <w:p w14:paraId="2E96C425">
            <w:pPr>
              <w:widowControl w:val="0"/>
              <w:snapToGrid w:val="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服务承诺（5分）</w:t>
            </w:r>
          </w:p>
        </w:tc>
        <w:tc>
          <w:tcPr>
            <w:tcW w:w="6726" w:type="dxa"/>
            <w:vAlign w:val="center"/>
          </w:tcPr>
          <w:p w14:paraId="705FA8D7">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1.根据本项目的特点和要求，结合自身的条件和潜力，对安全文明施工，保证工程质量的承诺。（2分）</w:t>
            </w:r>
          </w:p>
          <w:p w14:paraId="39BBA5C8">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2.根据本项目的特点和要求，结合自身的条件和潜力，针对加快工程进度，保证整体工程交工并顺利验收的承诺。（2分）</w:t>
            </w:r>
          </w:p>
          <w:p w14:paraId="4C8DEDFA">
            <w:pPr>
              <w:keepNext w:val="0"/>
              <w:keepLines w:val="0"/>
              <w:pageBreakBefore w:val="0"/>
              <w:widowControl/>
              <w:kinsoku/>
              <w:wordWrap/>
              <w:overflowPunct/>
              <w:topLinePunct w:val="0"/>
              <w:autoSpaceDE w:val="0"/>
              <w:autoSpaceDN w:val="0"/>
              <w:bidi w:val="0"/>
              <w:adjustRightInd w:val="0"/>
              <w:snapToGrid w:val="0"/>
              <w:spacing w:line="360" w:lineRule="auto"/>
              <w:ind w:left="0"/>
              <w:jc w:val="left"/>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spacing w:val="5"/>
                <w:sz w:val="22"/>
                <w:szCs w:val="22"/>
                <w:lang w:val="en-US" w:eastAsia="zh-CN"/>
              </w:rPr>
              <w:t>3.根据不拖欠农民工工资的具体承诺。（1分）</w:t>
            </w:r>
          </w:p>
        </w:tc>
      </w:tr>
      <w:tr w14:paraId="1CC0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26" w:type="dxa"/>
            <w:vAlign w:val="center"/>
          </w:tcPr>
          <w:p w14:paraId="75EA8F01">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spacing w:val="-5"/>
                <w:sz w:val="22"/>
                <w:szCs w:val="22"/>
              </w:rPr>
            </w:pPr>
          </w:p>
        </w:tc>
        <w:tc>
          <w:tcPr>
            <w:tcW w:w="9191" w:type="dxa"/>
            <w:gridSpan w:val="2"/>
            <w:vAlign w:val="center"/>
          </w:tcPr>
          <w:p w14:paraId="27041A9C">
            <w:pPr>
              <w:widowControl w:val="0"/>
              <w:numPr>
                <w:ilvl w:val="0"/>
                <w:numId w:val="0"/>
              </w:numPr>
              <w:snapToGrid w:val="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说明：供应商获得的荣誉证书，以发文或发证之日起3年内（2022年10月1日以来）有效，以国家、省、市住建行政主管部门颁发的荣誉证书为准，投标文件中附证书扫描件和官方网站截图（注明网站备查）或红头文件扫描件；同一工程所获同类荣誉以最高所得荣誉得分。以上所述类似工程业绩、荣誉出现无法鉴别时以国家、省住建行政主管部门建筑市场监管信息系统公示为准。</w:t>
            </w:r>
          </w:p>
        </w:tc>
      </w:tr>
    </w:tbl>
    <w:p w14:paraId="074412FC">
      <w:pPr>
        <w:keepNext w:val="0"/>
        <w:keepLines w:val="0"/>
        <w:pageBreakBefore w:val="0"/>
        <w:widowControl/>
        <w:kinsoku/>
        <w:wordWrap/>
        <w:overflowPunct/>
        <w:topLinePunct w:val="0"/>
        <w:autoSpaceDE w:val="0"/>
        <w:autoSpaceDN w:val="0"/>
        <w:bidi w:val="0"/>
        <w:adjustRightInd w:val="0"/>
        <w:snapToGrid w:val="0"/>
        <w:spacing w:line="232" w:lineRule="exact"/>
        <w:outlineLvl w:val="9"/>
        <w:rPr>
          <w:rFonts w:hint="eastAsia" w:ascii="宋体" w:hAnsi="宋体" w:eastAsia="宋体" w:cs="宋体"/>
          <w:sz w:val="20"/>
          <w:szCs w:val="20"/>
        </w:rPr>
      </w:pPr>
    </w:p>
    <w:p w14:paraId="15075208">
      <w:pPr>
        <w:keepNext w:val="0"/>
        <w:keepLines w:val="0"/>
        <w:pageBreakBefore w:val="0"/>
        <w:widowControl/>
        <w:kinsoku/>
        <w:wordWrap/>
        <w:overflowPunct/>
        <w:topLinePunct w:val="0"/>
        <w:autoSpaceDE w:val="0"/>
        <w:autoSpaceDN w:val="0"/>
        <w:bidi w:val="0"/>
        <w:adjustRightInd w:val="0"/>
        <w:snapToGrid w:val="0"/>
        <w:spacing w:line="89" w:lineRule="auto"/>
        <w:outlineLvl w:val="9"/>
        <w:rPr>
          <w:rFonts w:hint="eastAsia" w:ascii="宋体" w:hAnsi="宋体" w:eastAsia="宋体" w:cs="宋体"/>
          <w:sz w:val="2"/>
        </w:rPr>
      </w:pPr>
    </w:p>
    <w:p w14:paraId="072718B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注：1.投标人自行承诺、提供的相关资料等不实的，按《政府采购法》有关提供虚假材料的有关规定给予处罚。</w:t>
      </w:r>
    </w:p>
    <w:p w14:paraId="56AAFB3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1. 评审方法（评定成交的标准）</w:t>
      </w:r>
    </w:p>
    <w:p w14:paraId="315DC71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本次政府采购项目（标段）的评审方法采用《政府采购竞争性磋商采购方式管理暂行办法》中的 “综合评分法”，由磋商小组采用综合评分法对提交最后报价的投标人的《响应文件》和最后报价进 行综合评分，《响应文件》满足磋商文件全部实质性要求且按评审因素的量化指标评审得分最高的投 标人为该项目（标段）成交候选投标人。</w:t>
      </w:r>
    </w:p>
    <w:p w14:paraId="346FC3F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2. 评审标准</w:t>
      </w:r>
    </w:p>
    <w:p w14:paraId="293725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2.1</w:t>
      </w:r>
      <w:r>
        <w:rPr>
          <w:rFonts w:hint="eastAsia" w:ascii="宋体" w:hAnsi="宋体" w:eastAsia="宋体" w:cs="宋体"/>
          <w:b/>
          <w:bCs/>
          <w:spacing w:val="-4"/>
          <w:sz w:val="24"/>
          <w:szCs w:val="24"/>
          <w:lang w:val="en-US" w:eastAsia="zh-CN"/>
        </w:rPr>
        <w:t xml:space="preserve"> </w:t>
      </w:r>
      <w:r>
        <w:rPr>
          <w:rFonts w:hint="eastAsia" w:ascii="宋体" w:hAnsi="宋体" w:eastAsia="宋体" w:cs="宋体"/>
          <w:b/>
          <w:bCs/>
          <w:spacing w:val="-4"/>
          <w:sz w:val="24"/>
          <w:szCs w:val="24"/>
        </w:rPr>
        <w:t>初步评审标准</w:t>
      </w:r>
    </w:p>
    <w:p w14:paraId="51D0271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2.1.1</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资格性审查标准：见评审办法前附表。</w:t>
      </w:r>
    </w:p>
    <w:p w14:paraId="496786A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2.1.2</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符合性审查标准：见评审办法前附表。</w:t>
      </w:r>
    </w:p>
    <w:p w14:paraId="3A9A979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2.2 详细评审标准</w:t>
      </w:r>
    </w:p>
    <w:p w14:paraId="199CBA1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2.2.1</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分值构成：见评审办法前附表</w:t>
      </w:r>
    </w:p>
    <w:p w14:paraId="2D10C24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2.2.2</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评分标准：见评审办法前附表</w:t>
      </w:r>
    </w:p>
    <w:p w14:paraId="42CAE46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3. 评审程序</w:t>
      </w:r>
    </w:p>
    <w:p w14:paraId="0235CFE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3.1</w:t>
      </w:r>
      <w:r>
        <w:rPr>
          <w:rFonts w:hint="eastAsia" w:ascii="宋体" w:hAnsi="宋体" w:eastAsia="宋体" w:cs="宋体"/>
          <w:b/>
          <w:bCs/>
          <w:spacing w:val="-4"/>
          <w:sz w:val="24"/>
          <w:szCs w:val="24"/>
          <w:lang w:val="en-US" w:eastAsia="zh-CN"/>
        </w:rPr>
        <w:t xml:space="preserve"> </w:t>
      </w:r>
      <w:r>
        <w:rPr>
          <w:rFonts w:hint="eastAsia" w:ascii="宋体" w:hAnsi="宋体" w:eastAsia="宋体" w:cs="宋体"/>
          <w:b/>
          <w:bCs/>
          <w:spacing w:val="-4"/>
          <w:sz w:val="24"/>
          <w:szCs w:val="24"/>
        </w:rPr>
        <w:t>确认《磋商文件》</w:t>
      </w:r>
    </w:p>
    <w:p w14:paraId="4508E8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3.1.1</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磋商小组确认《磋商文件》，《磋商文件》内容违反国家有关强制性规定的，磋</w:t>
      </w:r>
      <w:r>
        <w:rPr>
          <w:rFonts w:hint="eastAsia" w:ascii="宋体" w:hAnsi="宋体" w:eastAsia="宋体" w:cs="宋体"/>
          <w:spacing w:val="-3"/>
          <w:sz w:val="24"/>
          <w:szCs w:val="24"/>
        </w:rPr>
        <w:t>商小组应当停止评审并向采购人或者采购代理机构说明情况。</w:t>
      </w:r>
    </w:p>
    <w:p w14:paraId="2632D0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3.1.2</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磋商小组要求解释《磋商文件》的，书面提出需解释的相关《磋商文件》的具体</w:t>
      </w:r>
      <w:r>
        <w:rPr>
          <w:rFonts w:hint="eastAsia" w:ascii="宋体" w:hAnsi="宋体" w:eastAsia="宋体" w:cs="宋体"/>
          <w:spacing w:val="-4"/>
          <w:sz w:val="24"/>
          <w:szCs w:val="24"/>
        </w:rPr>
        <w:t>内容后、由采购代理机构或者采购人进行书面解释。</w:t>
      </w:r>
    </w:p>
    <w:p w14:paraId="7A49FD3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3.2</w:t>
      </w:r>
      <w:r>
        <w:rPr>
          <w:rFonts w:hint="eastAsia" w:ascii="宋体" w:hAnsi="宋体" w:eastAsia="宋体" w:cs="宋体"/>
          <w:b/>
          <w:bCs/>
          <w:spacing w:val="-4"/>
          <w:sz w:val="24"/>
          <w:szCs w:val="24"/>
          <w:lang w:val="en-US" w:eastAsia="zh-CN"/>
        </w:rPr>
        <w:t xml:space="preserve"> </w:t>
      </w:r>
      <w:r>
        <w:rPr>
          <w:rFonts w:hint="eastAsia" w:ascii="宋体" w:hAnsi="宋体" w:eastAsia="宋体" w:cs="宋体"/>
          <w:b/>
          <w:bCs/>
          <w:spacing w:val="-4"/>
          <w:sz w:val="24"/>
          <w:szCs w:val="24"/>
        </w:rPr>
        <w:t>初步评审</w:t>
      </w:r>
    </w:p>
    <w:p w14:paraId="62DE6D3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3.2.1磋商小组依据本章第1.1、1.2款规定的标准对《响应文件》进行资格性、符合性</w:t>
      </w:r>
      <w:r>
        <w:rPr>
          <w:rFonts w:hint="eastAsia" w:ascii="宋体" w:hAnsi="宋体" w:eastAsia="宋体" w:cs="宋体"/>
          <w:spacing w:val="-3"/>
          <w:sz w:val="24"/>
          <w:szCs w:val="24"/>
        </w:rPr>
        <w:t>评审。有一项不符合评审标准的，作无效响应处理。</w:t>
      </w:r>
    </w:p>
    <w:p w14:paraId="2ADBACD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3.2.2</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投标人有以下情形之一的，其投标作无效响应处理：</w:t>
      </w:r>
    </w:p>
    <w:p w14:paraId="127FB50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（1）投标人不符合国家或者《磋商文件》规定的资格条件；</w:t>
      </w:r>
    </w:p>
    <w:p w14:paraId="455F6C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9"/>
          <w:sz w:val="24"/>
          <w:szCs w:val="24"/>
        </w:rPr>
        <w:t>（2）投标人没有按照《磋商文件》要求提供磋商保证金（本项目没有磋商保证金</w:t>
      </w:r>
      <w:r>
        <w:rPr>
          <w:rFonts w:hint="eastAsia" w:ascii="宋体" w:hAnsi="宋体" w:eastAsia="宋体" w:cs="宋体"/>
          <w:spacing w:val="-11"/>
          <w:sz w:val="24"/>
          <w:szCs w:val="24"/>
        </w:rPr>
        <w:t>），</w:t>
      </w:r>
      <w:r>
        <w:rPr>
          <w:rFonts w:hint="eastAsia" w:ascii="宋体" w:hAnsi="宋体" w:eastAsia="宋体" w:cs="宋体"/>
          <w:spacing w:val="-9"/>
          <w:sz w:val="24"/>
          <w:szCs w:val="24"/>
        </w:rPr>
        <w:t>此</w:t>
      </w:r>
      <w:r>
        <w:rPr>
          <w:rFonts w:hint="eastAsia" w:ascii="宋体" w:hAnsi="宋体" w:eastAsia="宋体" w:cs="宋体"/>
          <w:spacing w:val="-10"/>
          <w:sz w:val="24"/>
          <w:szCs w:val="24"/>
        </w:rPr>
        <w:t>项不再审查；</w:t>
      </w:r>
    </w:p>
    <w:p w14:paraId="13A02D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（3）投标联合体不符合《磋商文件》规定；</w:t>
      </w:r>
    </w:p>
    <w:p w14:paraId="5CE5171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（4）《响应文件》的签字盖章不符合《磋商文件》规定；</w:t>
      </w:r>
    </w:p>
    <w:p w14:paraId="5FD5402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（5）响应报价高于竞争性磋商公告公布的采购预算；</w:t>
      </w:r>
    </w:p>
    <w:p w14:paraId="5DE4583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6"/>
          <w:sz w:val="24"/>
          <w:szCs w:val="24"/>
        </w:rPr>
        <w:t>（6）同一投标人提交两个以上不同的《响应文件》或者响应报价，《响应文件》的每种</w:t>
      </w:r>
      <w:r>
        <w:rPr>
          <w:rFonts w:hint="eastAsia" w:ascii="宋体" w:hAnsi="宋体" w:eastAsia="宋体" w:cs="宋体"/>
          <w:spacing w:val="-3"/>
          <w:sz w:val="24"/>
          <w:szCs w:val="24"/>
        </w:rPr>
        <w:t>报价有两个报价或其他选择性报价的。</w:t>
      </w:r>
    </w:p>
    <w:p w14:paraId="76DB405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8"/>
          <w:sz w:val="24"/>
          <w:szCs w:val="24"/>
        </w:rPr>
        <w:t>（7）《响应文件》没有对《磋商文件》的实质性要求和条件作出实质性响应，或不符合</w:t>
      </w:r>
      <w:r>
        <w:rPr>
          <w:rFonts w:hint="eastAsia" w:ascii="宋体" w:hAnsi="宋体" w:eastAsia="宋体" w:cs="宋体"/>
          <w:spacing w:val="-4"/>
          <w:sz w:val="24"/>
          <w:szCs w:val="24"/>
        </w:rPr>
        <w:t>《磋商文件》的实质性要求和条件；</w:t>
      </w:r>
    </w:p>
    <w:p w14:paraId="168E119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（8）《响应文件》附有采购项目不能接受的条件或不符合国家强制性规定的；</w:t>
      </w:r>
    </w:p>
    <w:p w14:paraId="02A060A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（9）单位负责人为同一人或者存在控股、管理关系的不同单位，参加同一项目（标段）</w:t>
      </w:r>
      <w:r>
        <w:rPr>
          <w:rFonts w:hint="eastAsia" w:ascii="宋体" w:hAnsi="宋体" w:eastAsia="宋体" w:cs="宋体"/>
          <w:spacing w:val="-13"/>
          <w:sz w:val="24"/>
          <w:szCs w:val="24"/>
        </w:rPr>
        <w:t>投标的；</w:t>
      </w:r>
    </w:p>
    <w:p w14:paraId="0B8A9A2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eastAsia" w:ascii="宋体" w:hAnsi="宋体" w:eastAsia="宋体" w:cs="宋体"/>
          <w:spacing w:val="-3"/>
          <w:sz w:val="24"/>
          <w:szCs w:val="24"/>
        </w:rPr>
      </w:pPr>
      <w:r>
        <w:rPr>
          <w:rFonts w:hint="eastAsia" w:ascii="宋体" w:hAnsi="宋体" w:eastAsia="宋体" w:cs="宋体"/>
          <w:spacing w:val="-7"/>
          <w:sz w:val="24"/>
          <w:szCs w:val="24"/>
        </w:rPr>
        <w:t>（10）为采购项目提供整体设计、规范编制或者项目管理、监理、检测等服务的投标人，</w:t>
      </w:r>
      <w:r>
        <w:rPr>
          <w:rFonts w:hint="eastAsia" w:ascii="宋体" w:hAnsi="宋体" w:eastAsia="宋体" w:cs="宋体"/>
          <w:spacing w:val="-3"/>
          <w:sz w:val="24"/>
          <w:szCs w:val="24"/>
        </w:rPr>
        <w:t>不得再参加该采购项目的其他采购活动。</w:t>
      </w:r>
    </w:p>
    <w:p w14:paraId="7017465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（11）提供虚假材料谋取成交的；</w:t>
      </w:r>
    </w:p>
    <w:p w14:paraId="38F7E28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（12）投标人有串通投标、行贿等违法行为。其中，有下列情形之一的，视为投标人相</w:t>
      </w:r>
      <w:r>
        <w:rPr>
          <w:rFonts w:hint="eastAsia" w:ascii="宋体" w:hAnsi="宋体" w:eastAsia="宋体" w:cs="宋体"/>
          <w:spacing w:val="-11"/>
          <w:sz w:val="24"/>
          <w:szCs w:val="24"/>
        </w:rPr>
        <w:t>互串通投标：</w:t>
      </w:r>
    </w:p>
    <w:p w14:paraId="741794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◆不同投标人的《响应文件》由同一单位或者个人编制；</w:t>
      </w:r>
    </w:p>
    <w:p w14:paraId="446191B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◆不同投标人委托同一单位或者个人办理投标事宜；</w:t>
      </w:r>
    </w:p>
    <w:p w14:paraId="7EB0BDE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◆不同投标人的《响应文件》载明的项目管理成员为同一人；</w:t>
      </w:r>
    </w:p>
    <w:p w14:paraId="3C3861C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◆不同投标人的《响应文件》异常一致或者响应报价呈规律性差异；</w:t>
      </w:r>
    </w:p>
    <w:p w14:paraId="46F521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◆不同投标人的《响应文件》相互混装；</w:t>
      </w:r>
    </w:p>
    <w:p w14:paraId="45EE400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7"/>
          <w:sz w:val="24"/>
          <w:szCs w:val="24"/>
        </w:rPr>
        <w:t>3.2.3</w:t>
      </w:r>
      <w:r>
        <w:rPr>
          <w:rFonts w:hint="eastAsia" w:ascii="宋体" w:hAnsi="宋体" w:eastAsia="宋体" w:cs="宋体"/>
          <w:spacing w:val="-7"/>
          <w:sz w:val="24"/>
          <w:szCs w:val="24"/>
          <w:lang w:val="en-US" w:eastAsia="zh-CN"/>
        </w:rPr>
        <w:t xml:space="preserve"> </w:t>
      </w:r>
      <w:r>
        <w:rPr>
          <w:rFonts w:hint="eastAsia" w:ascii="宋体" w:hAnsi="宋体" w:eastAsia="宋体" w:cs="宋体"/>
          <w:b/>
          <w:bCs/>
          <w:spacing w:val="-4"/>
          <w:sz w:val="24"/>
          <w:szCs w:val="24"/>
        </w:rPr>
        <w:t>未实质性响应《磋商文件》的《响应文件》按无效处理，磋商小组应当通过评审界面的对话框告知有关投标人。</w:t>
      </w:r>
    </w:p>
    <w:p w14:paraId="3A080B9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3.2.4“开标一览表”与分项报价或报价明细表有差别时，以“开标一览表”为准；大</w:t>
      </w:r>
      <w:r>
        <w:rPr>
          <w:rFonts w:hint="eastAsia" w:ascii="宋体" w:hAnsi="宋体" w:eastAsia="宋体" w:cs="宋体"/>
          <w:spacing w:val="-7"/>
          <w:sz w:val="24"/>
          <w:szCs w:val="24"/>
        </w:rPr>
        <w:t>写文字表示的数据与小写数字表示的有差别时，以大写文字表示的数据为准；单价与“开标一</w:t>
      </w:r>
      <w:r>
        <w:rPr>
          <w:rFonts w:hint="eastAsia" w:ascii="宋体" w:hAnsi="宋体" w:eastAsia="宋体" w:cs="宋体"/>
          <w:spacing w:val="-3"/>
          <w:sz w:val="24"/>
          <w:szCs w:val="24"/>
        </w:rPr>
        <w:t>览表”总价不符时，以“开标一览表”总价为准。如投标人拒绝接受上述意见，其</w:t>
      </w:r>
      <w:r>
        <w:rPr>
          <w:rFonts w:hint="eastAsia" w:ascii="宋体" w:hAnsi="宋体" w:eastAsia="宋体" w:cs="宋体"/>
          <w:b/>
          <w:bCs/>
          <w:spacing w:val="-4"/>
          <w:sz w:val="24"/>
          <w:szCs w:val="24"/>
        </w:rPr>
        <w:t>投标将被拒绝。</w:t>
      </w:r>
    </w:p>
    <w:p w14:paraId="30C3401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3.2.5</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磋商小组负责审查确定每一响应项目（标段）是否对《磋商文件》的实质性要求作出了实质性的响应，而没有重大偏离和保留。实质性响应的《响应文件》是指《响应文件》</w:t>
      </w:r>
      <w:r>
        <w:rPr>
          <w:rFonts w:hint="eastAsia" w:ascii="宋体" w:hAnsi="宋体" w:eastAsia="宋体" w:cs="宋体"/>
          <w:spacing w:val="-4"/>
          <w:sz w:val="24"/>
          <w:szCs w:val="24"/>
        </w:rPr>
        <w:t>符合《磋商文件》的所有条款、条件和规定且没有重大偏离和保留（重大偏离和保留是指影响</w:t>
      </w:r>
      <w:r>
        <w:rPr>
          <w:rFonts w:hint="eastAsia" w:ascii="宋体" w:hAnsi="宋体" w:eastAsia="宋体" w:cs="宋体"/>
          <w:spacing w:val="-7"/>
          <w:sz w:val="24"/>
          <w:szCs w:val="24"/>
        </w:rPr>
        <w:t>到《磋商文件》和投标人的义务的规定，而纠正这些偏离将影响到其他提交实质性响应投标人</w:t>
      </w:r>
      <w:r>
        <w:rPr>
          <w:rFonts w:hint="eastAsia" w:ascii="宋体" w:hAnsi="宋体" w:eastAsia="宋体" w:cs="宋体"/>
          <w:spacing w:val="-6"/>
          <w:sz w:val="24"/>
          <w:szCs w:val="24"/>
        </w:rPr>
        <w:t>的公平竞争地位）。</w:t>
      </w:r>
    </w:p>
    <w:p w14:paraId="7D5C4A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3.2.6</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磋商小组判断《响应文件》的响应性仅基于《响应文件》本身而不靠外部证据。</w:t>
      </w:r>
    </w:p>
    <w:p w14:paraId="1B595AA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3.2.7</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磋商小组拒绝被确定为非实质性响应的投标人，投标人不得通过修正或撤销不符</w:t>
      </w:r>
      <w:r>
        <w:rPr>
          <w:rFonts w:hint="eastAsia" w:ascii="宋体" w:hAnsi="宋体" w:eastAsia="宋体" w:cs="宋体"/>
          <w:spacing w:val="-2"/>
          <w:sz w:val="24"/>
          <w:szCs w:val="24"/>
        </w:rPr>
        <w:t>之处而使其《响应文件》成为实质性响应的《响应文件》。</w:t>
      </w:r>
    </w:p>
    <w:p w14:paraId="1F1E5D1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3.2.8</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允许投标人修改《响应文件》中不构成重大偏离的、微小的、非正规、不一致或</w:t>
      </w:r>
      <w:r>
        <w:rPr>
          <w:rFonts w:hint="eastAsia" w:ascii="宋体" w:hAnsi="宋体" w:eastAsia="宋体" w:cs="宋体"/>
          <w:spacing w:val="-7"/>
          <w:sz w:val="24"/>
          <w:szCs w:val="24"/>
        </w:rPr>
        <w:t>不规则的地方。</w:t>
      </w:r>
    </w:p>
    <w:p w14:paraId="208A776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3.3 《响应文件》的澄清</w:t>
      </w:r>
    </w:p>
    <w:p w14:paraId="75C2BCC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《响应文件》的澄清在“竞争性磋商公告”所述网上电子交易系统进行。</w:t>
      </w:r>
    </w:p>
    <w:p w14:paraId="06C5FA7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3.3.1 评审期间，投标人法定代表人须时刻关注电子开标室并保持通讯畅通。如因通讯不畅导致投标人无法及时澄清而被认定为无效响应等后果的，由投标人自行承担。</w:t>
      </w:r>
    </w:p>
    <w:p w14:paraId="005CC6A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3.3.2</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为有助于对《响应文件》进行审查、评估和比较，磋商小组有权个别的向投标人提出质疑，请投标人澄清其投标内容。</w:t>
      </w:r>
    </w:p>
    <w:p w14:paraId="0113B23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3.3.3</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磋商小组可以要求投标人对《响应文件》中含义不明确、同类问题表述不一致或者有明显文字和计算错误的内容等作出必要的澄清、说明或者更正。投标人的澄清、说明或者</w:t>
      </w:r>
      <w:r>
        <w:rPr>
          <w:rFonts w:hint="eastAsia" w:ascii="宋体" w:hAnsi="宋体" w:eastAsia="宋体" w:cs="宋体"/>
          <w:spacing w:val="-2"/>
          <w:sz w:val="24"/>
          <w:szCs w:val="24"/>
        </w:rPr>
        <w:t>更正不得超出《响应文件》的范围或者改变《响应文件》的实质性内容。</w:t>
      </w:r>
    </w:p>
    <w:p w14:paraId="37203B4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6"/>
          <w:sz w:val="24"/>
          <w:szCs w:val="24"/>
        </w:rPr>
        <w:t>3.3.4</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投标人的澄清、说明或者更正</w:t>
      </w:r>
      <w:r>
        <w:rPr>
          <w:rFonts w:hint="eastAsia" w:ascii="宋体" w:hAnsi="宋体" w:eastAsia="宋体" w:cs="宋体"/>
          <w:b/>
          <w:bCs/>
          <w:spacing w:val="-4"/>
          <w:sz w:val="24"/>
          <w:szCs w:val="24"/>
        </w:rPr>
        <w:t>应当采用电子形式，应加盖投标人电子签章或其法定代表人电子签名。并将澄清等内容作为附件上传至系统中。</w:t>
      </w:r>
    </w:p>
    <w:p w14:paraId="0BFF72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eastAsia" w:ascii="宋体" w:hAnsi="宋体" w:eastAsia="宋体" w:cs="宋体"/>
          <w:spacing w:val="-7"/>
          <w:sz w:val="24"/>
          <w:szCs w:val="24"/>
        </w:rPr>
      </w:pPr>
      <w:r>
        <w:rPr>
          <w:rFonts w:hint="eastAsia" w:ascii="宋体" w:hAnsi="宋体" w:eastAsia="宋体" w:cs="宋体"/>
          <w:spacing w:val="-7"/>
          <w:sz w:val="24"/>
          <w:szCs w:val="24"/>
        </w:rPr>
        <w:t>3.3.5 投标人的澄清文件是《响应文件》的组成部分，并取代《响应文件》中被澄清的部分。</w:t>
      </w:r>
    </w:p>
    <w:p w14:paraId="15ADEA1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rPr>
          <w:rFonts w:hint="eastAsia" w:ascii="宋体" w:hAnsi="宋体" w:eastAsia="宋体" w:cs="宋体"/>
          <w:spacing w:val="-7"/>
          <w:sz w:val="24"/>
          <w:szCs w:val="24"/>
        </w:rPr>
      </w:pPr>
      <w:r>
        <w:rPr>
          <w:rFonts w:hint="eastAsia" w:ascii="宋体" w:hAnsi="宋体" w:eastAsia="宋体" w:cs="宋体"/>
          <w:spacing w:val="-7"/>
          <w:sz w:val="24"/>
          <w:szCs w:val="24"/>
        </w:rPr>
        <w:t>3.3.6</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澄清文件应按磋商小组规定的时间提交。</w:t>
      </w:r>
    </w:p>
    <w:p w14:paraId="23ED715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3.4 磋商规则</w:t>
      </w:r>
    </w:p>
    <w:p w14:paraId="02A32A3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评审磋商在“竞争性磋商公告”所述网上电子交易系统进行。</w:t>
      </w:r>
    </w:p>
    <w:p w14:paraId="7B26865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3.4.1</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本次政府采购采取竞争性磋商方式。磋商小组将据评审情况就所报货物的技术、</w:t>
      </w:r>
      <w:r>
        <w:rPr>
          <w:rFonts w:hint="eastAsia" w:ascii="宋体" w:hAnsi="宋体" w:eastAsia="宋体" w:cs="宋体"/>
          <w:spacing w:val="-7"/>
          <w:sz w:val="24"/>
          <w:szCs w:val="24"/>
        </w:rPr>
        <w:t>服务、价格等事项与有关投标人分别进行磋商。磋商的任何一方不得将与磋商有关的技术资料、</w:t>
      </w:r>
      <w:r>
        <w:rPr>
          <w:rFonts w:hint="eastAsia" w:ascii="宋体" w:hAnsi="宋体" w:eastAsia="宋体" w:cs="宋体"/>
          <w:spacing w:val="-3"/>
          <w:sz w:val="24"/>
          <w:szCs w:val="24"/>
        </w:rPr>
        <w:t>价格和其他信息透露给其他投标人。</w:t>
      </w:r>
    </w:p>
    <w:p w14:paraId="22F24D4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3.4.2</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磋商小组根据《磋商文件》规定的程序、评定成交的标准等事项与实质性响应《磋</w:t>
      </w:r>
      <w:r>
        <w:rPr>
          <w:rFonts w:hint="eastAsia" w:ascii="宋体" w:hAnsi="宋体" w:eastAsia="宋体" w:cs="宋体"/>
          <w:spacing w:val="-3"/>
          <w:sz w:val="24"/>
          <w:szCs w:val="24"/>
        </w:rPr>
        <w:t>商文件》实质性要求的投标人进行磋商。</w:t>
      </w:r>
    </w:p>
    <w:p w14:paraId="004E27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3.4.3</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磋商小组所有成员集中与单一投标人分别进行磋商，并给予所有参加磋商的投标</w:t>
      </w:r>
      <w:r>
        <w:rPr>
          <w:rFonts w:hint="eastAsia" w:ascii="宋体" w:hAnsi="宋体" w:eastAsia="宋体" w:cs="宋体"/>
          <w:spacing w:val="-6"/>
          <w:sz w:val="24"/>
          <w:szCs w:val="24"/>
        </w:rPr>
        <w:t>人平等的磋商机会。</w:t>
      </w:r>
    </w:p>
    <w:p w14:paraId="0BFFEBE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3.4.4</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在磋商过程中，磋商小组可以根据《磋商文件》和磋商情况实质性变动采购需求</w:t>
      </w:r>
      <w:r>
        <w:rPr>
          <w:rFonts w:hint="eastAsia" w:ascii="宋体" w:hAnsi="宋体" w:eastAsia="宋体" w:cs="宋体"/>
          <w:spacing w:val="-9"/>
          <w:sz w:val="24"/>
          <w:szCs w:val="24"/>
        </w:rPr>
        <w:t>中的技术、服务要求以及合同草案条款，《磋商文件》中的其他内容将不再变动。实质性变动的内容，经采购人代表确认后，</w:t>
      </w:r>
      <w:r>
        <w:rPr>
          <w:rFonts w:hint="eastAsia" w:ascii="宋体" w:hAnsi="宋体" w:eastAsia="宋体" w:cs="宋体"/>
          <w:b/>
          <w:bCs/>
          <w:spacing w:val="-4"/>
          <w:sz w:val="24"/>
          <w:szCs w:val="24"/>
        </w:rPr>
        <w:t>磋商小组将在评审界面的对话框及时通知所有参加磋商的投标人。评审期间，投标人可通过评审界面的对话框接受询问。磋商结束后，未实质性响应《磋商文件》的《响应文件》按无效处理，磋商小组应当通过评审界面的对话框告知有关投标人。</w:t>
      </w:r>
    </w:p>
    <w:p w14:paraId="2FDA712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3.4.5</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对《磋商文件》作出的实质性变动是《磋商文件》的有效组成部分。</w:t>
      </w:r>
    </w:p>
    <w:p w14:paraId="0AF2DCD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3.4.6</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rPr>
        <w:t>投标人应当按照《磋商文件》的变动情况和磋商小组的要求重新提交《响应文件》</w:t>
      </w:r>
      <w:r>
        <w:rPr>
          <w:rFonts w:hint="eastAsia" w:ascii="宋体" w:hAnsi="宋体" w:eastAsia="宋体" w:cs="宋体"/>
          <w:spacing w:val="-6"/>
          <w:sz w:val="24"/>
          <w:szCs w:val="24"/>
        </w:rPr>
        <w:t>或修订《响应文件》相应条款，</w:t>
      </w:r>
      <w:r>
        <w:rPr>
          <w:rFonts w:hint="eastAsia" w:ascii="宋体" w:hAnsi="宋体" w:eastAsia="宋体" w:cs="宋体"/>
          <w:b/>
          <w:bCs/>
          <w:spacing w:val="-4"/>
          <w:sz w:val="24"/>
          <w:szCs w:val="24"/>
        </w:rPr>
        <w:t>并应加盖投标人或其法定代表人的电子签名。</w:t>
      </w:r>
    </w:p>
    <w:p w14:paraId="7718C1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3.4.7</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rPr>
        <w:t>价格磋商</w:t>
      </w:r>
    </w:p>
    <w:p w14:paraId="6D3BF9A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3.4.7.1</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见第二章“采购项目要求”1.3.2项规定</w:t>
      </w:r>
    </w:p>
    <w:p w14:paraId="6FAD51F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3.4.7.2</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磋商小组应当要求所有继续参加磋商的投标人在规定时间内提交最后报价，提</w:t>
      </w:r>
      <w:r>
        <w:rPr>
          <w:rFonts w:hint="eastAsia" w:ascii="宋体" w:hAnsi="宋体" w:eastAsia="宋体" w:cs="宋体"/>
          <w:spacing w:val="-2"/>
          <w:sz w:val="24"/>
          <w:szCs w:val="24"/>
        </w:rPr>
        <w:t>交最后报价的投标人不得少于3家。最后报价是《响应文件》的有效组成部分。</w:t>
      </w:r>
    </w:p>
    <w:p w14:paraId="0BE02F0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3.4.8</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《磋商文件》的实质性变动影响到投标人因此无法继续参加磋商的，投标人可以在</w:t>
      </w:r>
      <w:r>
        <w:rPr>
          <w:rFonts w:hint="eastAsia" w:ascii="宋体" w:hAnsi="宋体" w:eastAsia="宋体" w:cs="宋体"/>
          <w:spacing w:val="-7"/>
          <w:sz w:val="24"/>
          <w:szCs w:val="24"/>
        </w:rPr>
        <w:t>提交最后报价之前退出磋商。其《响应文件》按无效处理的投标人，</w:t>
      </w:r>
      <w:r>
        <w:rPr>
          <w:rFonts w:hint="eastAsia" w:ascii="宋体" w:hAnsi="宋体" w:eastAsia="宋体" w:cs="宋体"/>
          <w:spacing w:val="59"/>
          <w:sz w:val="24"/>
          <w:szCs w:val="24"/>
        </w:rPr>
        <w:t xml:space="preserve"> </w:t>
      </w:r>
      <w:r>
        <w:rPr>
          <w:rFonts w:hint="eastAsia" w:ascii="宋体" w:hAnsi="宋体" w:eastAsia="宋体" w:cs="宋体"/>
          <w:spacing w:val="-7"/>
          <w:sz w:val="24"/>
          <w:szCs w:val="24"/>
        </w:rPr>
        <w:t>所提交的最后报价也按无</w:t>
      </w:r>
      <w:r>
        <w:rPr>
          <w:rFonts w:hint="eastAsia" w:ascii="宋体" w:hAnsi="宋体" w:eastAsia="宋体" w:cs="宋体"/>
          <w:spacing w:val="-10"/>
          <w:sz w:val="24"/>
          <w:szCs w:val="24"/>
        </w:rPr>
        <w:t>效处理。</w:t>
      </w:r>
    </w:p>
    <w:p w14:paraId="51D42C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3.4.9 投标人提交最后报价应在系统中填列分项报价，分项报价自动汇总价。</w:t>
      </w:r>
    </w:p>
    <w:p w14:paraId="1194909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3.4.10 本项目在开标后只进行一轮报价，即最后报价。网上交易系统中管理员发起最后报价后，如投标人未在指定时限内提交最后报价，视为该投标人根据磋商情况退出磋商。</w:t>
      </w:r>
    </w:p>
    <w:p w14:paraId="075A17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3.4.11 投标人在网上报价过程中，如遇到网上投标系统的操作问题，可通过网上预留的咨询电话进行咨询。投标人因未按照要求进行操作、投标单位办理的数字证书失效等其他自身原因导致响应文件错误或无效的，磋商小组将认定其为无效投标。</w:t>
      </w:r>
    </w:p>
    <w:p w14:paraId="72DE049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3.5 详细评审</w:t>
      </w:r>
    </w:p>
    <w:p w14:paraId="5C809A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3.5.1</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经磋商确定最终采购需求和提交最后报价的投标人后，由磋商小组采用综合评分</w:t>
      </w:r>
      <w:r>
        <w:rPr>
          <w:rFonts w:hint="eastAsia" w:ascii="宋体" w:hAnsi="宋体" w:eastAsia="宋体" w:cs="宋体"/>
          <w:spacing w:val="-2"/>
          <w:sz w:val="24"/>
          <w:szCs w:val="24"/>
        </w:rPr>
        <w:t>法对提交最后报价的投标人的《响应文件》和最后报价进行综合评分。</w:t>
      </w:r>
    </w:p>
    <w:p w14:paraId="482672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3.5.2</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按本章第4条规定执行促进中小企业发展扶持政策，用扣除后的价格参与评审。</w:t>
      </w:r>
    </w:p>
    <w:p w14:paraId="1DE0F04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3.5.3</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磋商小组按本章第2.2款规定的量化因素和分值进行打分，并计算出综合评标得</w:t>
      </w:r>
      <w:r>
        <w:rPr>
          <w:rFonts w:hint="eastAsia" w:ascii="宋体" w:hAnsi="宋体" w:eastAsia="宋体" w:cs="宋体"/>
          <w:spacing w:val="-13"/>
          <w:sz w:val="24"/>
          <w:szCs w:val="24"/>
        </w:rPr>
        <w:t>分。</w:t>
      </w:r>
    </w:p>
    <w:p w14:paraId="2559C10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3.5.4</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1"/>
          <w:sz w:val="24"/>
          <w:szCs w:val="24"/>
        </w:rPr>
        <w:t>评分计算保留2位小数，第三位小数四舍五入。评分计算中出现中间值时按插入</w:t>
      </w:r>
      <w:r>
        <w:rPr>
          <w:rFonts w:hint="eastAsia" w:ascii="宋体" w:hAnsi="宋体" w:eastAsia="宋体" w:cs="宋体"/>
          <w:spacing w:val="-8"/>
          <w:sz w:val="24"/>
          <w:szCs w:val="24"/>
        </w:rPr>
        <w:t>法计算得分。</w:t>
      </w:r>
    </w:p>
    <w:p w14:paraId="5BDCED8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3.5.5</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如磋商小组一致认为最低投标或某些分项报价明显不合理，有降低质量、不能诚</w:t>
      </w:r>
      <w:r>
        <w:rPr>
          <w:rFonts w:hint="eastAsia" w:ascii="宋体" w:hAnsi="宋体" w:eastAsia="宋体" w:cs="宋体"/>
          <w:spacing w:val="-11"/>
          <w:sz w:val="24"/>
          <w:szCs w:val="24"/>
        </w:rPr>
        <w:t>信履约的可能时，磋商小组有权要求投标人作出解释。如投标人不能作出合理解释，磋商小组</w:t>
      </w:r>
      <w:r>
        <w:rPr>
          <w:rFonts w:hint="eastAsia" w:ascii="宋体" w:hAnsi="宋体" w:eastAsia="宋体" w:cs="宋体"/>
          <w:spacing w:val="-2"/>
          <w:sz w:val="24"/>
          <w:szCs w:val="24"/>
        </w:rPr>
        <w:t>在取得多数一致意见后，可确定该投标人不能成交。</w:t>
      </w:r>
    </w:p>
    <w:p w14:paraId="30C1B8B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3.5.6</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在评审过程中，凡遇到《磋商文件》中无界定或界定不清，前后不一致，使磋商</w:t>
      </w:r>
      <w:r>
        <w:rPr>
          <w:rFonts w:hint="eastAsia" w:ascii="宋体" w:hAnsi="宋体" w:eastAsia="宋体" w:cs="宋体"/>
          <w:spacing w:val="-2"/>
          <w:sz w:val="24"/>
          <w:szCs w:val="24"/>
        </w:rPr>
        <w:t>小组成员意见有分歧且又难于协商一致的问题，均由磋商小组予以表决。</w:t>
      </w:r>
    </w:p>
    <w:p w14:paraId="60628EB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3.6 复核：</w:t>
      </w:r>
    </w:p>
    <w:p w14:paraId="5901A52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3.6.1</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磋商小组要对评分汇总情况进行复核，对评审数据进行校对、核对，特别是对排</w:t>
      </w:r>
      <w:r>
        <w:rPr>
          <w:rFonts w:hint="eastAsia" w:ascii="宋体" w:hAnsi="宋体" w:eastAsia="宋体" w:cs="宋体"/>
          <w:spacing w:val="-2"/>
          <w:sz w:val="24"/>
          <w:szCs w:val="24"/>
        </w:rPr>
        <w:t>名第一的、报价最低的、被认定为无效的情形进行重点复核。</w:t>
      </w:r>
    </w:p>
    <w:p w14:paraId="56BAA8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3.6.2</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磋商小组对投标人的价格分等客观评分项的评分应当一致，对其他需要借助专业</w:t>
      </w:r>
      <w:r>
        <w:rPr>
          <w:rFonts w:hint="eastAsia" w:ascii="宋体" w:hAnsi="宋体" w:eastAsia="宋体" w:cs="宋体"/>
          <w:spacing w:val="-2"/>
          <w:sz w:val="24"/>
          <w:szCs w:val="24"/>
        </w:rPr>
        <w:t>知识评判的主观评分项，应当严格按照评分细则公正评分，不得超出评分标准范围，对畸高、</w:t>
      </w:r>
      <w:r>
        <w:rPr>
          <w:rFonts w:hint="eastAsia" w:ascii="宋体" w:hAnsi="宋体" w:eastAsia="宋体" w:cs="宋体"/>
          <w:spacing w:val="-4"/>
          <w:sz w:val="24"/>
          <w:szCs w:val="24"/>
        </w:rPr>
        <w:t>畸低的重大差异评分说明理由。</w:t>
      </w:r>
    </w:p>
    <w:p w14:paraId="01F3E6A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3.7 评审结果</w:t>
      </w:r>
    </w:p>
    <w:p w14:paraId="736824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3.7.1磋商小组应当根据综合评分情况，按照评审得分由高到低顺序推荐1-3名成交候选</w:t>
      </w:r>
      <w:r>
        <w:rPr>
          <w:rFonts w:hint="eastAsia" w:ascii="宋体" w:hAnsi="宋体" w:eastAsia="宋体" w:cs="宋体"/>
          <w:spacing w:val="-7"/>
          <w:sz w:val="24"/>
          <w:szCs w:val="24"/>
        </w:rPr>
        <w:t>投标人，并编写评审报告。符合本《政府采购竞争性磋商采购方式管理暂行办法》第二十一条</w:t>
      </w:r>
      <w:r>
        <w:rPr>
          <w:rFonts w:hint="eastAsia" w:ascii="宋体" w:hAnsi="宋体" w:eastAsia="宋体" w:cs="宋体"/>
          <w:spacing w:val="-1"/>
          <w:sz w:val="24"/>
          <w:szCs w:val="24"/>
        </w:rPr>
        <w:t>第三款情形的，可以推荐2家成交候选人。评审得分相同的，按照最后报价由低到高的顺序推</w:t>
      </w:r>
      <w:r>
        <w:rPr>
          <w:rFonts w:hint="eastAsia" w:ascii="宋体" w:hAnsi="宋体" w:eastAsia="宋体" w:cs="宋体"/>
          <w:spacing w:val="-2"/>
          <w:sz w:val="24"/>
          <w:szCs w:val="24"/>
        </w:rPr>
        <w:t>荐。评审得分且最后报价相同的，按照技术指标优劣顺序推荐。</w:t>
      </w:r>
    </w:p>
    <w:p w14:paraId="5303B21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3.7.2</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确定中标单位：按第三章“投标人须知前附表”7.1款规定及本章第1条规定。</w:t>
      </w:r>
    </w:p>
    <w:p w14:paraId="5608B36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3.8 磋商终止</w:t>
      </w:r>
    </w:p>
    <w:p w14:paraId="2A47588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3.8.1</w:t>
      </w:r>
      <w:r>
        <w:rPr>
          <w:rFonts w:hint="eastAsia" w:ascii="宋体" w:hAnsi="宋体" w:eastAsia="宋体" w:cs="宋体"/>
          <w:spacing w:val="62"/>
          <w:sz w:val="24"/>
          <w:szCs w:val="24"/>
        </w:rPr>
        <w:t xml:space="preserve"> </w:t>
      </w:r>
      <w:r>
        <w:rPr>
          <w:rFonts w:hint="eastAsia" w:ascii="宋体" w:hAnsi="宋体" w:eastAsia="宋体" w:cs="宋体"/>
          <w:spacing w:val="-5"/>
          <w:sz w:val="24"/>
          <w:szCs w:val="24"/>
        </w:rPr>
        <w:t>出现下列情形之一的，终止竞争性磋商活动：</w:t>
      </w:r>
    </w:p>
    <w:p w14:paraId="15B46C0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（1）因情况变化，不再符合规定的竞争性磋商采购方式适用情形的；</w:t>
      </w:r>
    </w:p>
    <w:p w14:paraId="6D5CD8D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（2）出现影响采购公正的违法、违规行为的；</w:t>
      </w:r>
    </w:p>
    <w:p w14:paraId="26488E7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8"/>
          <w:sz w:val="24"/>
          <w:szCs w:val="24"/>
        </w:rPr>
        <w:t>（3）除《政府采购竞争性磋商采购方式管理暂行办法》第二十一条第三款规定的情形外，</w:t>
      </w:r>
      <w:r>
        <w:rPr>
          <w:rFonts w:hint="eastAsia" w:ascii="宋体" w:hAnsi="宋体" w:eastAsia="宋体" w:cs="宋体"/>
          <w:spacing w:val="-2"/>
          <w:sz w:val="24"/>
          <w:szCs w:val="24"/>
        </w:rPr>
        <w:t>在采购过程中符合竞争要求的投标人或者报价未超过采购预算的投标人不足3家的。</w:t>
      </w:r>
    </w:p>
    <w:p w14:paraId="673B03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（4）在采购活动中因重大变故，采购任务取消的。</w:t>
      </w:r>
    </w:p>
    <w:p w14:paraId="655446F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3.8.2</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磋商小组要在采购项目（标段）磋商失败时，出具《磋商文件》是否存在不合理</w:t>
      </w:r>
      <w:r>
        <w:rPr>
          <w:rFonts w:hint="eastAsia" w:ascii="宋体" w:hAnsi="宋体" w:eastAsia="宋体" w:cs="宋体"/>
          <w:spacing w:val="-2"/>
          <w:sz w:val="24"/>
          <w:szCs w:val="24"/>
        </w:rPr>
        <w:t>条款的论证意见，要协助采购人、采购代理机构、财政部门答复质疑或处理投诉事项。</w:t>
      </w:r>
    </w:p>
    <w:p w14:paraId="760160B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both"/>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4. 政府采购促进中小企业发展扶持政策</w:t>
      </w:r>
    </w:p>
    <w:p w14:paraId="7F402B4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4.1</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val="zh-CN"/>
        </w:rPr>
        <w:t>参加本次政府采购活动的中小企业应按附件格式提供《中小企业声明函》；符合中小企业划分标准的个体工商户，在政府采购活动中视同中小企业。</w:t>
      </w:r>
    </w:p>
    <w:p w14:paraId="7F82CC9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4.2</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供应商所投货物由中小企业制造，即货物由中小企业生产且使用该中小企业商号或者注册商标；享受中小企业扶持政策。</w:t>
      </w:r>
    </w:p>
    <w:p w14:paraId="0737963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4.3 小微企业价格扣除扶持政策：</w:t>
      </w:r>
    </w:p>
    <w:p w14:paraId="004FBBD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zh-CN"/>
        </w:rPr>
        <w:t xml:space="preserve">4.3.1 </w:t>
      </w:r>
      <w:r>
        <w:rPr>
          <w:rFonts w:hint="eastAsia" w:ascii="宋体" w:hAnsi="宋体" w:eastAsia="宋体" w:cs="宋体"/>
          <w:spacing w:val="-1"/>
          <w:sz w:val="24"/>
          <w:szCs w:val="24"/>
          <w:lang w:val="en-US" w:eastAsia="zh-CN"/>
        </w:rPr>
        <w:t>因本项目为</w:t>
      </w:r>
      <w:r>
        <w:rPr>
          <w:rFonts w:hint="eastAsia" w:ascii="宋体" w:hAnsi="宋体" w:eastAsia="宋体" w:cs="宋体"/>
          <w:sz w:val="24"/>
          <w:szCs w:val="24"/>
          <w:lang w:val="en-US" w:eastAsia="zh-CN"/>
        </w:rPr>
        <w:t>专门面向中小企业采购，所有投标供应商无须再申报小微价格扣除。</w:t>
      </w:r>
    </w:p>
    <w:p w14:paraId="25D4699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4.4</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val="zh-CN"/>
        </w:rPr>
        <w:t>监狱企业、符合法定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49F1587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4.4.1 享受政府采购支持政策的残疾人福利性单位应当同时满足以下条件：</w:t>
      </w:r>
    </w:p>
    <w:p w14:paraId="0DE4938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（1）安置的残疾人占本单位在职职工人数的比例不低于25%（含25%），并且安置的残疾人人数不少于10人（含10人）；</w:t>
      </w:r>
    </w:p>
    <w:p w14:paraId="2E67C3E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（2）依法与安置的每位残疾人签订了一年以上（含一年）的劳动合同或服务协议；</w:t>
      </w:r>
    </w:p>
    <w:p w14:paraId="40DEA5F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（3）为安置的每位残疾人按月足额缴纳了基本养老保险、基本医疗保险、失业保险、工伤保险和生育保险等社会保险费；</w:t>
      </w:r>
    </w:p>
    <w:p w14:paraId="46252EC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（4）通过银行等金融机构向安置的每位残疾人，按月支付了不低于单位所在区县适用的经省级人民政府批准的月最低工资标准的工资；</w:t>
      </w:r>
    </w:p>
    <w:p w14:paraId="3458B86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（5）提供本单位制造的货物、承担的工程或者服务（以下简称产品），或者提供其他残疾人福利性单位制造的货物（不包括使用非残疾人福利性单位注册商标的货物）。</w:t>
      </w:r>
    </w:p>
    <w:p w14:paraId="6E6B50D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84DB17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4.</w:t>
      </w:r>
      <w:r>
        <w:rPr>
          <w:rFonts w:hint="eastAsia" w:ascii="宋体" w:hAnsi="宋体" w:eastAsia="宋体" w:cs="宋体"/>
          <w:spacing w:val="-1"/>
          <w:sz w:val="24"/>
          <w:szCs w:val="24"/>
          <w:lang w:val="en-US" w:eastAsia="zh-CN"/>
        </w:rPr>
        <w:t xml:space="preserve">5 </w:t>
      </w:r>
      <w:r>
        <w:rPr>
          <w:rFonts w:hint="eastAsia" w:ascii="宋体" w:hAnsi="宋体" w:eastAsia="宋体" w:cs="宋体"/>
          <w:spacing w:val="-1"/>
          <w:sz w:val="24"/>
          <w:szCs w:val="24"/>
          <w:lang w:val="zh-CN"/>
        </w:rPr>
        <w:t>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76B255E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4.</w:t>
      </w:r>
      <w:r>
        <w:rPr>
          <w:rFonts w:hint="eastAsia" w:ascii="宋体" w:hAnsi="宋体" w:eastAsia="宋体" w:cs="宋体"/>
          <w:spacing w:val="-1"/>
          <w:sz w:val="24"/>
          <w:szCs w:val="24"/>
          <w:lang w:val="en-US" w:eastAsia="zh-CN"/>
        </w:rPr>
        <w:t xml:space="preserve">6 </w:t>
      </w:r>
      <w:r>
        <w:rPr>
          <w:rFonts w:hint="eastAsia" w:ascii="宋体" w:hAnsi="宋体" w:eastAsia="宋体" w:cs="宋体"/>
          <w:spacing w:val="-1"/>
          <w:sz w:val="24"/>
          <w:szCs w:val="24"/>
        </w:rPr>
        <w:t>中标、成交供应商享受中小企业扶持政策的，中标、成交供应商的《中小企业声明函》将随中标、成交结果公开。</w:t>
      </w:r>
    </w:p>
    <w:p w14:paraId="28AD974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4.</w:t>
      </w:r>
      <w:r>
        <w:rPr>
          <w:rFonts w:hint="eastAsia" w:ascii="宋体" w:hAnsi="宋体" w:eastAsia="宋体" w:cs="宋体"/>
          <w:spacing w:val="-1"/>
          <w:sz w:val="24"/>
          <w:szCs w:val="24"/>
          <w:lang w:val="en-US" w:eastAsia="zh-CN"/>
        </w:rPr>
        <w:t xml:space="preserve">7 </w:t>
      </w:r>
      <w:r>
        <w:rPr>
          <w:rFonts w:hint="eastAsia" w:ascii="宋体" w:hAnsi="宋体" w:eastAsia="宋体" w:cs="宋体"/>
          <w:spacing w:val="-1"/>
          <w:sz w:val="24"/>
          <w:szCs w:val="24"/>
        </w:rPr>
        <w:t>依法享受扶持政策获得政府采购合同的，小微企业不得将合同分包给大中型企业，中型企业不得将合同分包给大型企业。</w:t>
      </w:r>
    </w:p>
    <w:p w14:paraId="550F24F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4.</w:t>
      </w:r>
      <w:r>
        <w:rPr>
          <w:rFonts w:hint="eastAsia" w:ascii="宋体" w:hAnsi="宋体" w:eastAsia="宋体" w:cs="宋体"/>
          <w:spacing w:val="-1"/>
          <w:sz w:val="24"/>
          <w:szCs w:val="24"/>
          <w:lang w:val="en-US" w:eastAsia="zh-CN"/>
        </w:rPr>
        <w:t xml:space="preserve">8 </w:t>
      </w:r>
      <w:r>
        <w:rPr>
          <w:rFonts w:hint="eastAsia" w:ascii="宋体" w:hAnsi="宋体" w:eastAsia="宋体" w:cs="宋体"/>
          <w:spacing w:val="-1"/>
          <w:sz w:val="24"/>
          <w:szCs w:val="24"/>
          <w:lang w:val="zh-CN"/>
        </w:rPr>
        <w:t>政府采购监督检查、投诉处理及政府采购行政处罚中对中小企业的认定，由货物制造商或者工程、服务供应商注册登记所在地的县级以上人民政府中小企业主管部门负责。</w:t>
      </w:r>
    </w:p>
    <w:p w14:paraId="5F52529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1"/>
          <w:szCs w:val="21"/>
          <w:lang w:val="zh-CN"/>
        </w:rPr>
        <w:sectPr>
          <w:pgSz w:w="11905" w:h="16837"/>
          <w:pgMar w:top="1417" w:right="1587" w:bottom="1417" w:left="1587" w:header="567" w:footer="56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1"/>
          <w:sz w:val="24"/>
          <w:szCs w:val="24"/>
          <w:lang w:val="zh-CN"/>
        </w:rPr>
        <w:t>4.</w:t>
      </w:r>
      <w:r>
        <w:rPr>
          <w:rFonts w:hint="eastAsia" w:ascii="宋体" w:hAnsi="宋体" w:eastAsia="宋体" w:cs="宋体"/>
          <w:spacing w:val="-1"/>
          <w:sz w:val="24"/>
          <w:szCs w:val="24"/>
          <w:lang w:val="en-US" w:eastAsia="zh-CN"/>
        </w:rPr>
        <w:t xml:space="preserve">9 </w:t>
      </w:r>
      <w:r>
        <w:rPr>
          <w:rFonts w:hint="eastAsia" w:ascii="宋体" w:hAnsi="宋体" w:eastAsia="宋体" w:cs="宋体"/>
          <w:spacing w:val="-1"/>
          <w:sz w:val="24"/>
          <w:szCs w:val="24"/>
          <w:lang w:val="zh-CN"/>
        </w:rPr>
        <w:t>供应商按照财库〔2020〕46号规定及磋商文件要求提供声明函内容不实的，属于提供虚假材料谋取中标、成交，依照《中华人民共和国政府采购法》等国家有关规定追究相应责任。</w:t>
      </w:r>
    </w:p>
    <w:p w14:paraId="1905907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735" w:firstLineChars="200"/>
        <w:jc w:val="center"/>
        <w:textAlignment w:val="baseline"/>
        <w:outlineLvl w:val="0"/>
        <w:rPr>
          <w:rFonts w:hint="eastAsia" w:ascii="宋体" w:hAnsi="宋体" w:eastAsia="宋体" w:cs="宋体"/>
          <w:b/>
          <w:bCs/>
          <w:spacing w:val="-4"/>
          <w:sz w:val="24"/>
          <w:szCs w:val="24"/>
        </w:rPr>
      </w:pPr>
      <w:bookmarkStart w:id="8" w:name="_bookmark5"/>
      <w:bookmarkEnd w:id="8"/>
      <w:bookmarkStart w:id="9" w:name="_Toc26677"/>
      <w:r>
        <w:rPr>
          <w:rFonts w:hint="eastAsia" w:ascii="宋体" w:hAnsi="宋体" w:eastAsia="宋体" w:cs="宋体"/>
          <w:b/>
          <w:bCs/>
          <w:spacing w:val="3"/>
          <w:sz w:val="36"/>
          <w:szCs w:val="36"/>
        </w:rPr>
        <w:t>第五章  合同主要条款</w:t>
      </w:r>
      <w:bookmarkEnd w:id="9"/>
    </w:p>
    <w:p w14:paraId="4562D12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center"/>
        <w:textAlignment w:val="baseline"/>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（合 同 格 式 仅 供 参 考 ， 具 体 以 实 际 签 订 合 同 为 准 ）</w:t>
      </w:r>
    </w:p>
    <w:p w14:paraId="5E8A41D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firstLineChars="200"/>
        <w:jc w:val="center"/>
        <w:textAlignment w:val="baseline"/>
        <w:outlineLvl w:val="9"/>
        <w:rPr>
          <w:rFonts w:hint="eastAsia" w:ascii="宋体" w:hAnsi="宋体" w:eastAsia="宋体" w:cs="宋体"/>
          <w:sz w:val="24"/>
          <w:szCs w:val="24"/>
        </w:rPr>
      </w:pPr>
      <w:r>
        <w:rPr>
          <w:rFonts w:hint="eastAsia" w:ascii="宋体" w:hAnsi="宋体" w:eastAsia="宋体" w:cs="宋体"/>
          <w:b/>
          <w:bCs/>
          <w:spacing w:val="-4"/>
          <w:sz w:val="24"/>
          <w:szCs w:val="24"/>
        </w:rPr>
        <w:t>第一部分 合同协议书</w:t>
      </w:r>
    </w:p>
    <w:p w14:paraId="61CD65EC">
      <w:pPr>
        <w:pageBreakBefore w:val="0"/>
        <w:kinsoku/>
        <w:wordWrap/>
        <w:overflowPunct/>
        <w:topLinePunct w:val="0"/>
        <w:bidi w:val="0"/>
        <w:adjustRightInd/>
        <w:snapToGrid/>
        <w:spacing w:after="160" w:line="360" w:lineRule="auto"/>
        <w:textAlignment w:val="auto"/>
        <w:rPr>
          <w:rFonts w:hint="eastAsia" w:ascii="宋体" w:hAnsi="宋体" w:eastAsia="宋体" w:cs="宋体"/>
          <w:b/>
          <w:color w:val="000000"/>
          <w:sz w:val="24"/>
          <w:szCs w:val="24"/>
          <w:u w:val="single"/>
          <w:lang w:eastAsia="zh-CN"/>
        </w:rPr>
      </w:pPr>
      <w:r>
        <w:rPr>
          <w:rFonts w:hint="eastAsia" w:ascii="宋体" w:hAnsi="宋体" w:eastAsia="宋体" w:cs="宋体"/>
          <w:b/>
          <w:color w:val="000000"/>
          <w:sz w:val="24"/>
          <w:szCs w:val="24"/>
        </w:rPr>
        <w:t>发包人（全称）：</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p>
    <w:p w14:paraId="088BCFBF">
      <w:pPr>
        <w:pageBreakBefore w:val="0"/>
        <w:kinsoku/>
        <w:wordWrap/>
        <w:overflowPunct/>
        <w:topLinePunct w:val="0"/>
        <w:bidi w:val="0"/>
        <w:adjustRightInd/>
        <w:snapToGrid/>
        <w:spacing w:after="160" w:line="360" w:lineRule="auto"/>
        <w:textAlignment w:val="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p>
    <w:p w14:paraId="312A2CF7">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》、《中华人民共和国建筑法》及有关法律规定，遵循平等、自愿、公平和诚实信用的原则，双方就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及有关事项协商一致，共同达成如下协议：</w:t>
      </w:r>
    </w:p>
    <w:p w14:paraId="163713A4">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10" w:name="_Toc351203481"/>
      <w:r>
        <w:rPr>
          <w:rFonts w:hint="eastAsia" w:ascii="宋体" w:hAnsi="宋体" w:eastAsia="宋体" w:cs="宋体"/>
          <w:bCs/>
          <w:color w:val="000000"/>
          <w:sz w:val="24"/>
          <w:szCs w:val="24"/>
        </w:rPr>
        <w:t>一、工程概况</w:t>
      </w:r>
      <w:bookmarkEnd w:id="10"/>
    </w:p>
    <w:p w14:paraId="2F0B13E3">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1.工程名称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D49CB1F">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2.工程地点：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3576D4F">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3.工程立项批准文号：</w:t>
      </w:r>
      <w:r>
        <w:rPr>
          <w:rFonts w:hint="eastAsia" w:ascii="宋体" w:hAnsi="宋体" w:eastAsia="宋体" w:cs="宋体"/>
          <w:color w:val="000000"/>
          <w:sz w:val="24"/>
          <w:szCs w:val="24"/>
          <w:u w:val="single"/>
        </w:rPr>
        <w:t xml:space="preserve">                  </w:t>
      </w:r>
      <w:r>
        <w:rPr>
          <w:rFonts w:hint="eastAsia" w:ascii="宋体" w:hAnsi="宋体" w:eastAsia="宋体" w:cs="宋体"/>
          <w:bCs/>
          <w:color w:val="000000"/>
          <w:sz w:val="24"/>
          <w:szCs w:val="24"/>
        </w:rPr>
        <w:t>。</w:t>
      </w:r>
    </w:p>
    <w:p w14:paraId="15D0CDC0">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4.资金来源：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财政资金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Cs/>
          <w:color w:val="000000"/>
          <w:sz w:val="24"/>
          <w:szCs w:val="24"/>
        </w:rPr>
        <w:t>。</w:t>
      </w:r>
    </w:p>
    <w:p w14:paraId="76DB9083">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5.工程内容：</w:t>
      </w:r>
      <w:r>
        <w:rPr>
          <w:rFonts w:hint="eastAsia" w:ascii="宋体" w:hAnsi="宋体" w:eastAsia="宋体" w:cs="宋体"/>
          <w:color w:val="000000"/>
          <w:sz w:val="24"/>
          <w:szCs w:val="24"/>
          <w:u w:val="single"/>
        </w:rPr>
        <w:t xml:space="preserve"> 图纸和清单范围内的所有内容        </w:t>
      </w:r>
      <w:r>
        <w:rPr>
          <w:rFonts w:hint="eastAsia" w:ascii="宋体" w:hAnsi="宋体" w:eastAsia="宋体" w:cs="宋体"/>
          <w:bCs/>
          <w:color w:val="000000"/>
          <w:sz w:val="24"/>
          <w:szCs w:val="24"/>
        </w:rPr>
        <w:t>。</w:t>
      </w:r>
    </w:p>
    <w:p w14:paraId="20114965">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14:paraId="7EB67631">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6.工程承包范围：</w:t>
      </w:r>
    </w:p>
    <w:p w14:paraId="38673C3D">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图纸和清单范围内的所有内容          </w:t>
      </w:r>
      <w:r>
        <w:rPr>
          <w:rFonts w:hint="eastAsia" w:ascii="宋体" w:hAnsi="宋体" w:eastAsia="宋体" w:cs="宋体"/>
          <w:color w:val="000000"/>
          <w:sz w:val="24"/>
          <w:szCs w:val="24"/>
        </w:rPr>
        <w:t>。</w:t>
      </w:r>
    </w:p>
    <w:p w14:paraId="043C3CB8">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11" w:name="_Toc351203482"/>
      <w:r>
        <w:rPr>
          <w:rFonts w:hint="eastAsia" w:ascii="宋体" w:hAnsi="宋体" w:eastAsia="宋体" w:cs="宋体"/>
          <w:bCs/>
          <w:color w:val="000000"/>
          <w:sz w:val="24"/>
          <w:szCs w:val="24"/>
        </w:rPr>
        <w:t>二、合同工期</w:t>
      </w:r>
      <w:bookmarkEnd w:id="11"/>
    </w:p>
    <w:p w14:paraId="6B6695AE">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4914741B">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C2F641C">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天。工期总日历天数与根据前述计划开竣工日期计算的工期天数不一致的，以工期总日历天数为准。</w:t>
      </w:r>
    </w:p>
    <w:p w14:paraId="365173F1">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12" w:name="_Toc351203483"/>
      <w:r>
        <w:rPr>
          <w:rFonts w:hint="eastAsia" w:ascii="宋体" w:hAnsi="宋体" w:eastAsia="宋体" w:cs="宋体"/>
          <w:bCs/>
          <w:color w:val="000000"/>
          <w:sz w:val="24"/>
          <w:szCs w:val="24"/>
        </w:rPr>
        <w:t>三、质量标准</w:t>
      </w:r>
      <w:bookmarkEnd w:id="12"/>
    </w:p>
    <w:p w14:paraId="26500EDA">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工程质量符合</w:t>
      </w:r>
      <w:r>
        <w:rPr>
          <w:rFonts w:hint="eastAsia" w:ascii="宋体" w:hAnsi="宋体" w:eastAsia="宋体" w:cs="宋体"/>
          <w:color w:val="000000"/>
          <w:sz w:val="24"/>
          <w:szCs w:val="24"/>
          <w:u w:val="single"/>
        </w:rPr>
        <w:t xml:space="preserve">       合格     </w:t>
      </w:r>
      <w:r>
        <w:rPr>
          <w:rFonts w:hint="eastAsia" w:ascii="宋体" w:hAnsi="宋体" w:eastAsia="宋体" w:cs="宋体"/>
          <w:color w:val="000000"/>
          <w:sz w:val="24"/>
          <w:szCs w:val="24"/>
        </w:rPr>
        <w:t>标准。</w:t>
      </w:r>
    </w:p>
    <w:p w14:paraId="6DDEDECF">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13" w:name="_Toc351203484"/>
      <w:r>
        <w:rPr>
          <w:rFonts w:hint="eastAsia" w:ascii="宋体" w:hAnsi="宋体" w:eastAsia="宋体" w:cs="宋体"/>
          <w:bCs/>
          <w:color w:val="000000"/>
          <w:sz w:val="24"/>
          <w:szCs w:val="24"/>
        </w:rPr>
        <w:t>四、签约合同价与合同价格形式</w:t>
      </w:r>
      <w:bookmarkEnd w:id="13"/>
      <w:r>
        <w:rPr>
          <w:rFonts w:hint="eastAsia" w:ascii="宋体" w:hAnsi="宋体" w:eastAsia="宋体" w:cs="宋体"/>
          <w:bCs/>
          <w:color w:val="000000"/>
          <w:sz w:val="24"/>
          <w:szCs w:val="24"/>
        </w:rPr>
        <w:tab/>
      </w:r>
    </w:p>
    <w:p w14:paraId="0A86CC98">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14:paraId="10D3BDCC">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3E930E8B">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14:paraId="7720A55F">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14:paraId="40CA42FC">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6071126">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14:paraId="4317F819">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0C77F0F5">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14:paraId="7CD79E19">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25B869E">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14:paraId="2D8C3778">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92B0AB7">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rPr>
        <w:t xml:space="preserve">    。</w:t>
      </w:r>
    </w:p>
    <w:p w14:paraId="7FDC8B60">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14" w:name="_Toc351203485"/>
      <w:r>
        <w:rPr>
          <w:rFonts w:hint="eastAsia" w:ascii="宋体" w:hAnsi="宋体" w:eastAsia="宋体" w:cs="宋体"/>
          <w:bCs/>
          <w:color w:val="000000"/>
          <w:sz w:val="24"/>
          <w:szCs w:val="24"/>
        </w:rPr>
        <w:t>五、</w:t>
      </w:r>
      <w:bookmarkEnd w:id="14"/>
      <w:r>
        <w:rPr>
          <w:rFonts w:hint="eastAsia" w:ascii="宋体" w:hAnsi="宋体" w:eastAsia="宋体" w:cs="宋体"/>
          <w:bCs/>
          <w:color w:val="000000"/>
          <w:sz w:val="24"/>
          <w:szCs w:val="24"/>
        </w:rPr>
        <w:t>项目经理</w:t>
      </w:r>
    </w:p>
    <w:p w14:paraId="05214FFB">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F72A7D8">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15" w:name="_Toc351203486"/>
      <w:r>
        <w:rPr>
          <w:rFonts w:hint="eastAsia" w:ascii="宋体" w:hAnsi="宋体" w:eastAsia="宋体" w:cs="宋体"/>
          <w:bCs/>
          <w:color w:val="000000"/>
          <w:sz w:val="24"/>
          <w:szCs w:val="24"/>
        </w:rPr>
        <w:t>六、合同文件构成</w:t>
      </w:r>
      <w:bookmarkEnd w:id="15"/>
    </w:p>
    <w:p w14:paraId="5CCF37DB">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14:paraId="34A4BED3">
      <w:pPr>
        <w:pageBreakBefore w:val="0"/>
        <w:kinsoku/>
        <w:wordWrap/>
        <w:overflowPunct/>
        <w:topLinePunct w:val="0"/>
        <w:autoSpaceDE w:val="0"/>
        <w:autoSpaceDN w:val="0"/>
        <w:bidi w:val="0"/>
        <w:adjustRightInd/>
        <w:snapToGrid/>
        <w:spacing w:after="16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（1）中标通知书（如果有）；</w:t>
      </w:r>
    </w:p>
    <w:p w14:paraId="2FC302EE">
      <w:pPr>
        <w:pageBreakBefore w:val="0"/>
        <w:kinsoku/>
        <w:wordWrap/>
        <w:overflowPunct/>
        <w:topLinePunct w:val="0"/>
        <w:autoSpaceDE w:val="0"/>
        <w:autoSpaceDN w:val="0"/>
        <w:bidi w:val="0"/>
        <w:adjustRightInd/>
        <w:snapToGrid/>
        <w:spacing w:after="16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（2）投标函及其附录（如果有）； </w:t>
      </w:r>
    </w:p>
    <w:p w14:paraId="00F976D3">
      <w:pPr>
        <w:pageBreakBefore w:val="0"/>
        <w:kinsoku/>
        <w:wordWrap/>
        <w:overflowPunct/>
        <w:topLinePunct w:val="0"/>
        <w:autoSpaceDE w:val="0"/>
        <w:autoSpaceDN w:val="0"/>
        <w:bidi w:val="0"/>
        <w:adjustRightInd/>
        <w:snapToGrid/>
        <w:spacing w:after="16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14:paraId="6AF460FB">
      <w:pPr>
        <w:pageBreakBefore w:val="0"/>
        <w:kinsoku/>
        <w:wordWrap/>
        <w:overflowPunct/>
        <w:topLinePunct w:val="0"/>
        <w:autoSpaceDE w:val="0"/>
        <w:autoSpaceDN w:val="0"/>
        <w:bidi w:val="0"/>
        <w:adjustRightInd/>
        <w:snapToGrid/>
        <w:spacing w:after="16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14:paraId="4E7CFC55">
      <w:pPr>
        <w:pageBreakBefore w:val="0"/>
        <w:kinsoku/>
        <w:wordWrap/>
        <w:overflowPunct/>
        <w:topLinePunct w:val="0"/>
        <w:autoSpaceDE w:val="0"/>
        <w:autoSpaceDN w:val="0"/>
        <w:bidi w:val="0"/>
        <w:adjustRightInd/>
        <w:snapToGrid/>
        <w:spacing w:after="16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14:paraId="4A763243">
      <w:pPr>
        <w:pageBreakBefore w:val="0"/>
        <w:kinsoku/>
        <w:wordWrap/>
        <w:overflowPunct/>
        <w:topLinePunct w:val="0"/>
        <w:autoSpaceDE w:val="0"/>
        <w:autoSpaceDN w:val="0"/>
        <w:bidi w:val="0"/>
        <w:adjustRightInd/>
        <w:snapToGrid/>
        <w:spacing w:after="16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14:paraId="4F1FA03C">
      <w:pPr>
        <w:pageBreakBefore w:val="0"/>
        <w:kinsoku/>
        <w:wordWrap/>
        <w:overflowPunct/>
        <w:topLinePunct w:val="0"/>
        <w:autoSpaceDE w:val="0"/>
        <w:autoSpaceDN w:val="0"/>
        <w:bidi w:val="0"/>
        <w:adjustRightInd/>
        <w:snapToGrid/>
        <w:spacing w:after="16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14:paraId="584F8874">
      <w:pPr>
        <w:pageBreakBefore w:val="0"/>
        <w:kinsoku/>
        <w:wordWrap/>
        <w:overflowPunct/>
        <w:topLinePunct w:val="0"/>
        <w:autoSpaceDE w:val="0"/>
        <w:autoSpaceDN w:val="0"/>
        <w:bidi w:val="0"/>
        <w:adjustRightInd/>
        <w:snapToGrid/>
        <w:spacing w:after="16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14:paraId="4DDA44E4">
      <w:pPr>
        <w:pageBreakBefore w:val="0"/>
        <w:kinsoku/>
        <w:wordWrap/>
        <w:overflowPunct/>
        <w:topLinePunct w:val="0"/>
        <w:autoSpaceDE w:val="0"/>
        <w:autoSpaceDN w:val="0"/>
        <w:bidi w:val="0"/>
        <w:adjustRightInd/>
        <w:snapToGrid/>
        <w:spacing w:after="16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14:paraId="76945C47">
      <w:pPr>
        <w:pageBreakBefore w:val="0"/>
        <w:kinsoku/>
        <w:wordWrap/>
        <w:overflowPunct/>
        <w:topLinePunct w:val="0"/>
        <w:autoSpaceDE w:val="0"/>
        <w:autoSpaceDN w:val="0"/>
        <w:bidi w:val="0"/>
        <w:adjustRightInd/>
        <w:snapToGrid/>
        <w:spacing w:after="16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0350CCF7">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16" w:name="_Toc351203487"/>
      <w:r>
        <w:rPr>
          <w:rFonts w:hint="eastAsia" w:ascii="宋体" w:hAnsi="宋体" w:eastAsia="宋体" w:cs="宋体"/>
          <w:bCs/>
          <w:color w:val="000000"/>
          <w:sz w:val="24"/>
          <w:szCs w:val="24"/>
        </w:rPr>
        <w:t>七、承诺</w:t>
      </w:r>
      <w:bookmarkEnd w:id="16"/>
    </w:p>
    <w:p w14:paraId="35F6F973">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1.发包人承诺按照法律规定履行项目审批手续、筹集工程建设资金并按照合同约定的期限和方式支付合同价款。</w:t>
      </w:r>
    </w:p>
    <w:p w14:paraId="284385C7">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14:paraId="5AA2CB5C">
      <w:pPr>
        <w:pageBreakBefore w:val="0"/>
        <w:kinsoku/>
        <w:wordWrap/>
        <w:overflowPunct/>
        <w:topLinePunct w:val="0"/>
        <w:bidi w:val="0"/>
        <w:adjustRightInd/>
        <w:snapToGrid/>
        <w:spacing w:after="160"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14:paraId="24530FEA">
      <w:pPr>
        <w:pageBreakBefore w:val="0"/>
        <w:kinsoku/>
        <w:wordWrap/>
        <w:overflowPunct/>
        <w:topLinePunct w:val="0"/>
        <w:bidi w:val="0"/>
        <w:adjustRightInd/>
        <w:snapToGrid/>
        <w:spacing w:after="160" w:line="360" w:lineRule="auto"/>
        <w:ind w:firstLine="482" w:firstLineChars="200"/>
        <w:textAlignment w:val="auto"/>
        <w:rPr>
          <w:rFonts w:hint="eastAsia" w:ascii="宋体" w:hAnsi="宋体" w:eastAsia="宋体" w:cs="宋体"/>
          <w:bCs/>
          <w:color w:val="000000"/>
          <w:sz w:val="24"/>
          <w:szCs w:val="24"/>
        </w:rPr>
      </w:pPr>
      <w:bookmarkStart w:id="17" w:name="_Toc351203488"/>
      <w:r>
        <w:rPr>
          <w:rFonts w:hint="eastAsia" w:ascii="宋体" w:hAnsi="宋体" w:eastAsia="宋体" w:cs="宋体"/>
          <w:b/>
          <w:color w:val="000000"/>
          <w:sz w:val="24"/>
          <w:szCs w:val="24"/>
        </w:rPr>
        <w:t>八、词语含义</w:t>
      </w:r>
      <w:bookmarkEnd w:id="17"/>
    </w:p>
    <w:p w14:paraId="53B6A94E">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本协议书中词语含义与第二部分通用合同条款中赋予的含义相同。</w:t>
      </w:r>
    </w:p>
    <w:p w14:paraId="0D412647">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18" w:name="_Toc351203489"/>
      <w:r>
        <w:rPr>
          <w:rFonts w:hint="eastAsia" w:ascii="宋体" w:hAnsi="宋体" w:eastAsia="宋体" w:cs="宋体"/>
          <w:bCs/>
          <w:color w:val="000000"/>
          <w:sz w:val="24"/>
          <w:szCs w:val="24"/>
        </w:rPr>
        <w:t>九、签订时间</w:t>
      </w:r>
      <w:bookmarkEnd w:id="18"/>
    </w:p>
    <w:p w14:paraId="1226164C">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         年    月    日签订。</w:t>
      </w:r>
    </w:p>
    <w:p w14:paraId="0301D26A">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19" w:name="_Toc351203490"/>
      <w:r>
        <w:rPr>
          <w:rFonts w:hint="eastAsia" w:ascii="宋体" w:hAnsi="宋体" w:eastAsia="宋体" w:cs="宋体"/>
          <w:bCs/>
          <w:color w:val="000000"/>
          <w:sz w:val="24"/>
          <w:szCs w:val="24"/>
        </w:rPr>
        <w:t>十、签订地点</w:t>
      </w:r>
      <w:bookmarkEnd w:id="19"/>
    </w:p>
    <w:p w14:paraId="0FE63B5E">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本合同在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签订。</w:t>
      </w:r>
    </w:p>
    <w:p w14:paraId="56D21281">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20" w:name="_Toc351203491"/>
      <w:r>
        <w:rPr>
          <w:rFonts w:hint="eastAsia" w:ascii="宋体" w:hAnsi="宋体" w:eastAsia="宋体" w:cs="宋体"/>
          <w:bCs/>
          <w:color w:val="000000"/>
          <w:sz w:val="24"/>
          <w:szCs w:val="24"/>
        </w:rPr>
        <w:t>十一、补充协议</w:t>
      </w:r>
      <w:bookmarkEnd w:id="20"/>
    </w:p>
    <w:p w14:paraId="6046487E">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合同未尽事宜，合同当事人另行签订补充协议，补充协议是合同的组成部分。</w:t>
      </w:r>
    </w:p>
    <w:p w14:paraId="4F6B9C81">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21" w:name="_Toc351203492"/>
      <w:r>
        <w:rPr>
          <w:rFonts w:hint="eastAsia" w:ascii="宋体" w:hAnsi="宋体" w:eastAsia="宋体" w:cs="宋体"/>
          <w:bCs/>
          <w:color w:val="000000"/>
          <w:sz w:val="24"/>
          <w:szCs w:val="24"/>
        </w:rPr>
        <w:t>十二、合同生效</w:t>
      </w:r>
      <w:bookmarkEnd w:id="21"/>
    </w:p>
    <w:p w14:paraId="69A0B296">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                                   生效。</w:t>
      </w:r>
    </w:p>
    <w:p w14:paraId="7368A0A2">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bookmarkStart w:id="22" w:name="_Toc351203493"/>
      <w:r>
        <w:rPr>
          <w:rFonts w:hint="eastAsia" w:ascii="宋体" w:hAnsi="宋体" w:eastAsia="宋体" w:cs="宋体"/>
          <w:bCs/>
          <w:color w:val="000000"/>
          <w:sz w:val="24"/>
          <w:szCs w:val="24"/>
        </w:rPr>
        <w:t>十三、合同份数</w:t>
      </w:r>
      <w:bookmarkEnd w:id="22"/>
    </w:p>
    <w:p w14:paraId="5AFFDB0E">
      <w:pPr>
        <w:pageBreakBefore w:val="0"/>
        <w:kinsoku/>
        <w:wordWrap/>
        <w:overflowPunct/>
        <w:topLinePunct w:val="0"/>
        <w:bidi w:val="0"/>
        <w:adjustRightInd/>
        <w:snapToGrid/>
        <w:spacing w:after="160" w:line="360" w:lineRule="auto"/>
        <w:ind w:firstLine="480" w:firstLineChars="20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14:paraId="44E53163">
      <w:pPr>
        <w:pageBreakBefore w:val="0"/>
        <w:kinsoku/>
        <w:wordWrap/>
        <w:overflowPunct/>
        <w:topLinePunct w:val="0"/>
        <w:bidi w:val="0"/>
        <w:adjustRightInd/>
        <w:snapToGrid/>
        <w:spacing w:after="160" w:line="240" w:lineRule="auto"/>
        <w:textAlignment w:val="auto"/>
        <w:rPr>
          <w:rFonts w:hint="eastAsia" w:ascii="宋体" w:hAnsi="宋体" w:eastAsia="宋体" w:cs="宋体"/>
          <w:color w:val="000000"/>
          <w:sz w:val="24"/>
          <w:szCs w:val="24"/>
        </w:rPr>
      </w:pPr>
    </w:p>
    <w:p w14:paraId="2F46CCBD">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  (公章)                   承包人：  (公章)</w:t>
      </w:r>
    </w:p>
    <w:p w14:paraId="5FEF29C8">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                                 </w:t>
      </w:r>
    </w:p>
    <w:p w14:paraId="7348E024">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         法定代表人或其委托代理人：</w:t>
      </w:r>
    </w:p>
    <w:p w14:paraId="247704FA">
      <w:pPr>
        <w:keepNext w:val="0"/>
        <w:keepLines w:val="0"/>
        <w:pageBreakBefore w:val="0"/>
        <w:kinsoku/>
        <w:wordWrap/>
        <w:overflowPunct/>
        <w:topLinePunct w:val="0"/>
        <w:autoSpaceDE/>
        <w:autoSpaceDN/>
        <w:bidi w:val="0"/>
        <w:adjustRightInd/>
        <w:snapToGrid/>
        <w:spacing w:after="160" w:line="360" w:lineRule="auto"/>
        <w:ind w:firstLine="1200" w:firstLineChars="5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（签字）                              （签字）</w:t>
      </w:r>
    </w:p>
    <w:p w14:paraId="1C91864B">
      <w:pPr>
        <w:keepNext w:val="0"/>
        <w:keepLines w:val="0"/>
        <w:pageBreakBefore w:val="0"/>
        <w:tabs>
          <w:tab w:val="left" w:pos="4410"/>
        </w:tabs>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rPr>
        <w:t xml:space="preserve">             </w:t>
      </w:r>
    </w:p>
    <w:p w14:paraId="0777F50A">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4314780A">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14:paraId="5D6B4A07">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p>
    <w:p w14:paraId="415D3673">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p>
    <w:p w14:paraId="60DF9E6E">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14:paraId="0DF6C08A">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14:paraId="39753389">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p>
    <w:p w14:paraId="43F4CCF9">
      <w:pPr>
        <w:keepNext w:val="0"/>
        <w:keepLines w:val="0"/>
        <w:pageBreakBefore w:val="0"/>
        <w:kinsoku/>
        <w:wordWrap/>
        <w:overflowPunct/>
        <w:topLinePunct w:val="0"/>
        <w:autoSpaceDE/>
        <w:autoSpaceDN/>
        <w:bidi w:val="0"/>
        <w:adjustRightInd/>
        <w:snapToGrid/>
        <w:spacing w:after="16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14:paraId="071E9869">
      <w:pPr>
        <w:keepNext w:val="0"/>
        <w:keepLines w:val="0"/>
        <w:pageBreakBefore w:val="0"/>
        <w:widowControl/>
        <w:kinsoku/>
        <w:wordWrap/>
        <w:overflowPunct/>
        <w:topLinePunct w:val="0"/>
        <w:autoSpaceDE w:val="0"/>
        <w:autoSpaceDN w:val="0"/>
        <w:bidi w:val="0"/>
        <w:adjustRightInd w:val="0"/>
        <w:snapToGrid w:val="0"/>
        <w:spacing w:before="184" w:line="189" w:lineRule="auto"/>
        <w:ind w:firstLine="480" w:firstLineChars="200"/>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14:paraId="76246098">
      <w:pPr>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br w:type="page"/>
      </w:r>
    </w:p>
    <w:p w14:paraId="0D2F212A">
      <w:pPr>
        <w:keepNext w:val="0"/>
        <w:keepLines w:val="0"/>
        <w:pageBreakBefore w:val="0"/>
        <w:widowControl/>
        <w:kinsoku/>
        <w:wordWrap/>
        <w:overflowPunct/>
        <w:topLinePunct w:val="0"/>
        <w:autoSpaceDE w:val="0"/>
        <w:autoSpaceDN w:val="0"/>
        <w:bidi w:val="0"/>
        <w:adjustRightInd w:val="0"/>
        <w:snapToGrid w:val="0"/>
        <w:spacing w:before="184" w:line="189" w:lineRule="auto"/>
        <w:ind w:firstLine="3773"/>
        <w:outlineLvl w:val="9"/>
        <w:rPr>
          <w:rFonts w:hint="eastAsia" w:ascii="宋体" w:hAnsi="宋体" w:eastAsia="宋体" w:cs="宋体"/>
          <w:sz w:val="24"/>
          <w:szCs w:val="24"/>
        </w:rPr>
      </w:pPr>
      <w:r>
        <w:rPr>
          <w:rFonts w:hint="eastAsia" w:ascii="宋体" w:hAnsi="宋体" w:eastAsia="宋体" w:cs="宋体"/>
          <w:spacing w:val="-4"/>
          <w:sz w:val="24"/>
          <w:szCs w:val="24"/>
          <w14:textOutline w14:w="3810" w14:cap="flat" w14:cmpd="sng">
            <w14:solidFill>
              <w14:srgbClr w14:val="000000"/>
            </w14:solidFill>
            <w14:prstDash w14:val="solid"/>
            <w14:miter w14:val="0"/>
          </w14:textOutline>
        </w:rPr>
        <w:t>第二部分</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14:textOutline w14:w="3810" w14:cap="flat" w14:cmpd="sng">
            <w14:solidFill>
              <w14:srgbClr w14:val="000000"/>
            </w14:solidFill>
            <w14:prstDash w14:val="solid"/>
            <w14:miter w14:val="0"/>
          </w14:textOutline>
        </w:rPr>
        <w:t>通用合同条款</w:t>
      </w:r>
    </w:p>
    <w:p w14:paraId="76433C0D">
      <w:pPr>
        <w:keepNext w:val="0"/>
        <w:keepLines w:val="0"/>
        <w:pageBreakBefore w:val="0"/>
        <w:widowControl/>
        <w:kinsoku/>
        <w:wordWrap/>
        <w:overflowPunct/>
        <w:topLinePunct w:val="0"/>
        <w:autoSpaceDE w:val="0"/>
        <w:autoSpaceDN w:val="0"/>
        <w:bidi w:val="0"/>
        <w:adjustRightInd w:val="0"/>
        <w:snapToGrid w:val="0"/>
        <w:spacing w:line="378" w:lineRule="auto"/>
        <w:outlineLvl w:val="9"/>
        <w:rPr>
          <w:rFonts w:hint="eastAsia" w:ascii="宋体" w:hAnsi="宋体" w:eastAsia="宋体" w:cs="宋体"/>
          <w:sz w:val="24"/>
          <w:szCs w:val="24"/>
        </w:rPr>
      </w:pPr>
    </w:p>
    <w:p w14:paraId="4FD05E31">
      <w:pPr>
        <w:pageBreakBefore w:val="0"/>
        <w:kinsoku/>
        <w:wordWrap/>
        <w:overflowPunct/>
        <w:topLinePunct w:val="0"/>
        <w:bidi w:val="0"/>
        <w:adjustRightInd/>
        <w:snapToGrid/>
        <w:spacing w:after="160" w:line="360" w:lineRule="auto"/>
        <w:jc w:val="center"/>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采用建筑工程施工合同2013版通用合同条款（GF—2013—0201）</w:t>
      </w:r>
    </w:p>
    <w:p w14:paraId="45EE1BC7">
      <w:pPr>
        <w:pageBreakBefore w:val="0"/>
        <w:kinsoku/>
        <w:wordWrap/>
        <w:overflowPunct/>
        <w:topLinePunct w:val="0"/>
        <w:bidi w:val="0"/>
        <w:adjustRightInd/>
        <w:snapToGrid/>
        <w:spacing w:after="160" w:line="360" w:lineRule="auto"/>
        <w:textAlignment w:val="auto"/>
        <w:outlineLvl w:val="9"/>
        <w:rPr>
          <w:rFonts w:hint="eastAsia" w:ascii="宋体" w:hAnsi="宋体" w:eastAsia="宋体" w:cs="宋体"/>
          <w:sz w:val="24"/>
          <w:szCs w:val="24"/>
        </w:rPr>
      </w:pPr>
    </w:p>
    <w:p w14:paraId="0C8E6FAD">
      <w:pPr>
        <w:pageBreakBefore w:val="0"/>
        <w:kinsoku/>
        <w:wordWrap/>
        <w:overflowPunct/>
        <w:topLinePunct w:val="0"/>
        <w:bidi w:val="0"/>
        <w:adjustRightInd/>
        <w:snapToGrid/>
        <w:spacing w:after="160" w:line="360" w:lineRule="auto"/>
        <w:jc w:val="center"/>
        <w:textAlignment w:val="auto"/>
        <w:outlineLvl w:val="9"/>
        <w:rPr>
          <w:rFonts w:hint="eastAsia" w:ascii="宋体" w:hAnsi="宋体" w:eastAsia="宋体" w:cs="宋体"/>
          <w:bCs/>
          <w:color w:val="000000"/>
          <w:sz w:val="24"/>
          <w:szCs w:val="24"/>
        </w:rPr>
      </w:pPr>
      <w:bookmarkStart w:id="23" w:name="_Toc403982431"/>
      <w:bookmarkStart w:id="24" w:name="_Toc406679182"/>
      <w:bookmarkStart w:id="25" w:name="_Toc489002301"/>
      <w:r>
        <w:rPr>
          <w:rFonts w:hint="eastAsia" w:ascii="宋体" w:hAnsi="宋体" w:eastAsia="宋体" w:cs="宋体"/>
          <w:bCs/>
          <w:color w:val="000000"/>
          <w:sz w:val="24"/>
          <w:szCs w:val="24"/>
        </w:rPr>
        <w:t>第三部分 专用合同条款</w:t>
      </w:r>
      <w:bookmarkEnd w:id="23"/>
      <w:bookmarkEnd w:id="24"/>
      <w:bookmarkEnd w:id="25"/>
    </w:p>
    <w:p w14:paraId="334C020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outlineLvl w:val="9"/>
        <w:rPr>
          <w:rFonts w:hint="eastAsia" w:ascii="宋体" w:hAnsi="宋体" w:eastAsia="宋体" w:cs="宋体"/>
          <w:bCs/>
          <w:color w:val="000000"/>
          <w:sz w:val="24"/>
          <w:szCs w:val="24"/>
        </w:rPr>
      </w:pPr>
      <w:bookmarkStart w:id="26" w:name="_Toc351203633"/>
      <w:r>
        <w:rPr>
          <w:rFonts w:hint="eastAsia" w:ascii="宋体" w:hAnsi="宋体" w:eastAsia="宋体" w:cs="宋体"/>
          <w:bCs/>
          <w:color w:val="000000"/>
          <w:sz w:val="24"/>
          <w:szCs w:val="24"/>
        </w:rPr>
        <w:t>1</w:t>
      </w:r>
      <w:bookmarkStart w:id="27" w:name="_Toc296503156"/>
      <w:bookmarkStart w:id="28" w:name="_Toc296891196"/>
      <w:bookmarkStart w:id="29" w:name="_Toc297120456"/>
      <w:bookmarkStart w:id="30" w:name="_Toc297048342"/>
      <w:bookmarkStart w:id="31" w:name="_Toc296346657"/>
      <w:bookmarkStart w:id="32" w:name="_Toc296944495"/>
      <w:bookmarkStart w:id="33" w:name="_Toc292559361"/>
      <w:bookmarkStart w:id="34" w:name="_Toc296890984"/>
      <w:bookmarkStart w:id="35" w:name="_Toc296347155"/>
      <w:bookmarkStart w:id="36" w:name="_Toc292559866"/>
      <w:r>
        <w:rPr>
          <w:rFonts w:hint="eastAsia" w:ascii="宋体" w:hAnsi="宋体" w:eastAsia="宋体" w:cs="宋体"/>
          <w:bCs/>
          <w:color w:val="000000"/>
          <w:sz w:val="24"/>
          <w:szCs w:val="24"/>
        </w:rPr>
        <w:t>. 一般约定</w:t>
      </w:r>
      <w:bookmarkEnd w:id="26"/>
    </w:p>
    <w:bookmarkEnd w:id="27"/>
    <w:bookmarkEnd w:id="28"/>
    <w:bookmarkEnd w:id="29"/>
    <w:bookmarkEnd w:id="30"/>
    <w:bookmarkEnd w:id="31"/>
    <w:bookmarkEnd w:id="32"/>
    <w:bookmarkEnd w:id="33"/>
    <w:bookmarkEnd w:id="34"/>
    <w:bookmarkEnd w:id="35"/>
    <w:bookmarkEnd w:id="36"/>
    <w:p w14:paraId="5C24C4F0">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 词语定义</w:t>
      </w:r>
    </w:p>
    <w:p w14:paraId="053BA235">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1.1.1合同</w:t>
      </w:r>
    </w:p>
    <w:p w14:paraId="16D5538C">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00"/>
          <w:sz w:val="24"/>
          <w:szCs w:val="24"/>
          <w:u w:val="single"/>
        </w:rPr>
        <w:t xml:space="preserve">  1）招标文件及答疑（2）补充协议或条款（3）工程洽商及变更     </w:t>
      </w:r>
      <w:r>
        <w:rPr>
          <w:rFonts w:hint="eastAsia" w:ascii="宋体" w:hAnsi="宋体" w:eastAsia="宋体" w:cs="宋体"/>
          <w:color w:val="000000"/>
          <w:sz w:val="24"/>
          <w:szCs w:val="24"/>
        </w:rPr>
        <w:t>。</w:t>
      </w:r>
    </w:p>
    <w:p w14:paraId="31C0CBB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14:paraId="0218233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1.1.2.4监理人：</w:t>
      </w:r>
    </w:p>
    <w:p w14:paraId="62555F47">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3D10BE6">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F4DF1A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96C2506">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2CF64A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941B7A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1.1.2.5 设计人：</w:t>
      </w:r>
    </w:p>
    <w:p w14:paraId="339FD73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94F890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2A56761">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FA3F90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8DB457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334FB9B">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14:paraId="7286FC99">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1.1.3.7 作为施工现场组成部分的其他场所包括：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53190A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09EB4D99">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23DFAB19">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14:paraId="6BFA1904">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89E024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14:paraId="11DA97F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EE77EBB">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28224DA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710A6E6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BC4AEC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1C11556">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14:paraId="5403D67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019A84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14:paraId="0D921141">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14:paraId="4A56013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7184CE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3375D8C">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32134A0">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14:paraId="60B26DD2">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292F3D6">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061D8C1">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3C90C6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690ECA9">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C11DDA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14:paraId="27198EDA">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05C8AD7">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14:paraId="250A73A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14:paraId="5EA16FEA">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6D95C52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5E5C13EB">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1F946F26">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25B810CA">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4C003DC7">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3E6A69F8">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1.10 交通运输</w:t>
      </w:r>
    </w:p>
    <w:p w14:paraId="4818681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bookmarkStart w:id="37" w:name="_Toc312677986"/>
      <w:bookmarkStart w:id="38" w:name="_Toc318581155"/>
      <w:bookmarkStart w:id="39" w:name="_Toc304295521"/>
      <w:bookmarkStart w:id="40" w:name="_Toc303539100"/>
      <w:bookmarkStart w:id="41" w:name="_Toc300934943"/>
      <w:r>
        <w:rPr>
          <w:rFonts w:hint="eastAsia" w:ascii="宋体" w:hAnsi="宋体" w:eastAsia="宋体" w:cs="宋体"/>
          <w:sz w:val="24"/>
          <w:szCs w:val="24"/>
        </w:rPr>
        <w:t>.10.1 出入现场的权利</w:t>
      </w:r>
    </w:p>
    <w:p w14:paraId="5052E9BB">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关于出入现场的权利的约定：</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w:t>
      </w:r>
    </w:p>
    <w:bookmarkEnd w:id="37"/>
    <w:bookmarkEnd w:id="38"/>
    <w:bookmarkEnd w:id="39"/>
    <w:bookmarkEnd w:id="40"/>
    <w:bookmarkEnd w:id="41"/>
    <w:p w14:paraId="71A938C8">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bookmarkStart w:id="42" w:name="_Toc300934944"/>
      <w:bookmarkStart w:id="43" w:name="_Toc312677987"/>
      <w:bookmarkStart w:id="44" w:name="_Toc318581156"/>
      <w:bookmarkStart w:id="45" w:name="_Toc304295522"/>
      <w:bookmarkStart w:id="46" w:name="_Toc303539101"/>
      <w:r>
        <w:rPr>
          <w:rFonts w:hint="eastAsia" w:ascii="宋体" w:hAnsi="宋体" w:eastAsia="宋体" w:cs="宋体"/>
          <w:sz w:val="24"/>
          <w:szCs w:val="24"/>
        </w:rPr>
        <w:t>.10.3 场内交通</w:t>
      </w:r>
    </w:p>
    <w:p w14:paraId="1AFA6B88">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w:t>
      </w:r>
    </w:p>
    <w:p w14:paraId="19A6BF6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w:t>
      </w:r>
      <w:bookmarkEnd w:id="42"/>
      <w:bookmarkEnd w:id="43"/>
      <w:bookmarkEnd w:id="44"/>
      <w:bookmarkEnd w:id="45"/>
      <w:bookmarkEnd w:id="46"/>
      <w:bookmarkStart w:id="47" w:name="_Toc318581157"/>
    </w:p>
    <w:p w14:paraId="4B65F0A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39908D8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bookmarkEnd w:id="47"/>
    <w:p w14:paraId="4EF1A82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 知识产权</w:t>
      </w:r>
    </w:p>
    <w:p w14:paraId="758751C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6AF655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E7496A8">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09FED4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AA1DEA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1F74F26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14:paraId="4C721250">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2E76AC5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787EF68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outlineLvl w:val="9"/>
        <w:rPr>
          <w:rFonts w:hint="eastAsia" w:ascii="宋体" w:hAnsi="宋体" w:eastAsia="宋体" w:cs="宋体"/>
          <w:bCs/>
          <w:color w:val="000000"/>
          <w:sz w:val="24"/>
          <w:szCs w:val="24"/>
        </w:rPr>
      </w:pPr>
      <w:bookmarkStart w:id="48" w:name="_Toc351203634"/>
      <w:r>
        <w:rPr>
          <w:rFonts w:hint="eastAsia" w:ascii="宋体" w:hAnsi="宋体" w:eastAsia="宋体" w:cs="宋体"/>
          <w:bCs/>
          <w:color w:val="000000"/>
          <w:sz w:val="24"/>
          <w:szCs w:val="24"/>
        </w:rPr>
        <w:t>2</w:t>
      </w:r>
      <w:bookmarkStart w:id="49" w:name="_Toc292559867"/>
      <w:bookmarkStart w:id="50" w:name="_Toc292559362"/>
      <w:bookmarkStart w:id="51" w:name="_Toc296346658"/>
      <w:bookmarkStart w:id="52" w:name="_Toc296347156"/>
      <w:bookmarkStart w:id="53" w:name="_Toc296890985"/>
      <w:bookmarkStart w:id="54" w:name="_Toc297048343"/>
      <w:bookmarkStart w:id="55" w:name="_Toc296891197"/>
      <w:bookmarkStart w:id="56" w:name="_Toc296944496"/>
      <w:bookmarkStart w:id="57" w:name="_Toc296503157"/>
      <w:bookmarkStart w:id="58" w:name="_Toc297120457"/>
      <w:r>
        <w:rPr>
          <w:rFonts w:hint="eastAsia" w:ascii="宋体" w:hAnsi="宋体" w:eastAsia="宋体" w:cs="宋体"/>
          <w:bCs/>
          <w:color w:val="000000"/>
          <w:sz w:val="24"/>
          <w:szCs w:val="24"/>
        </w:rPr>
        <w:t>. 发包人</w:t>
      </w:r>
      <w:bookmarkEnd w:id="48"/>
    </w:p>
    <w:bookmarkEnd w:id="49"/>
    <w:bookmarkEnd w:id="50"/>
    <w:bookmarkEnd w:id="51"/>
    <w:bookmarkEnd w:id="52"/>
    <w:bookmarkEnd w:id="53"/>
    <w:bookmarkEnd w:id="54"/>
    <w:bookmarkEnd w:id="55"/>
    <w:bookmarkEnd w:id="56"/>
    <w:bookmarkEnd w:id="57"/>
    <w:bookmarkEnd w:id="58"/>
    <w:p w14:paraId="032A0445">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14:paraId="1C50230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14:paraId="0FC6CDC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F26D640">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260C79B">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7DFE4C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8E7CCA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1897511">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49B8D76">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89E46D0">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14:paraId="76A7A9E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14:paraId="74FD15C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06E8A0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14:paraId="708B0F5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AE3A601">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14:paraId="27B02D41">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A652A8A">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发包人是否提供支付担保：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F7892A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1BBB2AA">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outlineLvl w:val="9"/>
        <w:rPr>
          <w:rFonts w:hint="eastAsia" w:ascii="宋体" w:hAnsi="宋体" w:eastAsia="宋体" w:cs="宋体"/>
          <w:bCs/>
          <w:color w:val="000000"/>
          <w:sz w:val="24"/>
          <w:szCs w:val="24"/>
        </w:rPr>
      </w:pPr>
      <w:bookmarkStart w:id="59" w:name="_Toc351203635"/>
      <w:r>
        <w:rPr>
          <w:rFonts w:hint="eastAsia" w:ascii="宋体" w:hAnsi="宋体" w:eastAsia="宋体" w:cs="宋体"/>
          <w:bCs/>
          <w:color w:val="000000"/>
          <w:sz w:val="24"/>
          <w:szCs w:val="24"/>
        </w:rPr>
        <w:t>3</w:t>
      </w:r>
      <w:bookmarkStart w:id="60" w:name="_Toc296347157"/>
      <w:bookmarkStart w:id="61" w:name="_Toc292559868"/>
      <w:bookmarkStart w:id="62" w:name="_Toc296346659"/>
      <w:bookmarkStart w:id="63" w:name="_Toc296503158"/>
      <w:bookmarkStart w:id="64" w:name="_Toc296944497"/>
      <w:bookmarkStart w:id="65" w:name="_Toc296890986"/>
      <w:bookmarkStart w:id="66" w:name="_Toc297048344"/>
      <w:bookmarkStart w:id="67" w:name="_Toc297120458"/>
      <w:bookmarkStart w:id="68" w:name="_Toc292559363"/>
      <w:bookmarkStart w:id="69" w:name="_Toc296891198"/>
      <w:r>
        <w:rPr>
          <w:rFonts w:hint="eastAsia" w:ascii="宋体" w:hAnsi="宋体" w:eastAsia="宋体" w:cs="宋体"/>
          <w:bCs/>
          <w:color w:val="000000"/>
          <w:sz w:val="24"/>
          <w:szCs w:val="24"/>
        </w:rPr>
        <w:t>. 承包人</w:t>
      </w:r>
      <w:bookmarkEnd w:id="59"/>
    </w:p>
    <w:bookmarkEnd w:id="60"/>
    <w:bookmarkEnd w:id="61"/>
    <w:bookmarkEnd w:id="62"/>
    <w:bookmarkEnd w:id="63"/>
    <w:bookmarkEnd w:id="64"/>
    <w:bookmarkEnd w:id="65"/>
    <w:bookmarkEnd w:id="66"/>
    <w:bookmarkEnd w:id="67"/>
    <w:bookmarkEnd w:id="68"/>
    <w:bookmarkEnd w:id="69"/>
    <w:p w14:paraId="48A3DF5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14:paraId="3DF4C0C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sz w:val="24"/>
          <w:szCs w:val="24"/>
        </w:rPr>
        <w:t>承包人提交的竣工资料的内容：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9DD062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629F71B">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EA7243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781714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DF207D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（10）承包人应履行的其他义务：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C9C5FA6">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项目经理</w:t>
      </w:r>
    </w:p>
    <w:p w14:paraId="1EA3DC4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项目经理：</w:t>
      </w:r>
    </w:p>
    <w:p w14:paraId="3346C948">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F7FAEC8">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F2EE005">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F9A5969">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04A4117">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CA81105">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74BFB3A">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D109E5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CB9634C">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918A1AD">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6EF1365">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关于项目经理每月在施工现场的时间要求：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EF340E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承包人未提交劳动合同，以及没有为项目经理缴纳社会保险证明的违约责任：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A9DED5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项目经理未经批准，擅自离开施工现场的违约责任：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1D0237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C13EC18">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3.2.4 承包人无正当理由拒绝更换项目经理的违约责任：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18E57E7">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14:paraId="5BC9DBB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9F2F4F1">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3.3.3 承包人无正当理由拒绝撤换主要施工管理人员的违约责任：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A45531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3.3.4 承包人主要施工管理人员离开施工现场的批准要求：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18F611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98C63FD">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3A8FE0B">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70" w:name="_Toc297216151"/>
      <w:bookmarkStart w:id="71" w:name="_Toc297120459"/>
      <w:bookmarkStart w:id="72" w:name="_Toc292559364"/>
      <w:bookmarkStart w:id="73" w:name="_Toc312677988"/>
      <w:bookmarkStart w:id="74" w:name="_Toc300934945"/>
      <w:bookmarkStart w:id="75" w:name="_Toc296503159"/>
      <w:bookmarkStart w:id="76" w:name="_Toc296346660"/>
      <w:bookmarkStart w:id="77" w:name="_Toc297048345"/>
      <w:bookmarkStart w:id="78" w:name="_Toc296890987"/>
      <w:bookmarkStart w:id="79" w:name="_Toc303539102"/>
      <w:bookmarkStart w:id="80" w:name="_Toc296944498"/>
      <w:bookmarkStart w:id="81" w:name="_Toc304295523"/>
      <w:bookmarkStart w:id="82" w:name="_Toc296891199"/>
      <w:bookmarkStart w:id="83" w:name="_Toc297123492"/>
      <w:bookmarkStart w:id="84" w:name="_Toc296347158"/>
      <w:bookmarkStart w:id="85" w:name="_Toc292559869"/>
      <w:r>
        <w:rPr>
          <w:rFonts w:hint="eastAsia" w:ascii="宋体" w:hAnsi="宋体" w:eastAsia="宋体" w:cs="宋体"/>
          <w:color w:val="000000"/>
          <w:sz w:val="24"/>
          <w:szCs w:val="24"/>
        </w:rPr>
        <w:t>.5 分包</w:t>
      </w:r>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3CB4EC9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bookmarkStart w:id="86" w:name="_Toc292559365"/>
      <w:bookmarkStart w:id="87" w:name="_Toc297123493"/>
      <w:bookmarkStart w:id="88" w:name="_Toc296890988"/>
      <w:bookmarkStart w:id="89" w:name="_Toc296944499"/>
      <w:bookmarkStart w:id="90" w:name="_Toc297048346"/>
      <w:bookmarkStart w:id="91" w:name="_Toc296503160"/>
      <w:bookmarkStart w:id="92" w:name="_Toc292559870"/>
      <w:bookmarkStart w:id="93" w:name="_Toc297120460"/>
      <w:bookmarkStart w:id="94" w:name="_Toc296891200"/>
      <w:bookmarkStart w:id="95" w:name="_Toc300934946"/>
      <w:bookmarkStart w:id="96" w:name="_Toc304295524"/>
      <w:bookmarkStart w:id="97" w:name="_Toc296346661"/>
      <w:bookmarkStart w:id="98" w:name="_Toc297216152"/>
      <w:bookmarkStart w:id="99" w:name="_Toc296347159"/>
      <w:bookmarkStart w:id="100" w:name="_Toc303539103"/>
      <w:bookmarkStart w:id="101" w:name="_Toc318581158"/>
      <w:bookmarkStart w:id="102" w:name="_Toc312677989"/>
      <w:r>
        <w:rPr>
          <w:rFonts w:hint="eastAsia" w:ascii="宋体" w:hAnsi="宋体" w:eastAsia="宋体" w:cs="宋体"/>
          <w:sz w:val="24"/>
          <w:szCs w:val="24"/>
        </w:rPr>
        <w:t>.5.1 分包的一般约定</w:t>
      </w:r>
    </w:p>
    <w:p w14:paraId="6093BE59">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C41EE05">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3" w:name="_Toc300934947"/>
      <w:bookmarkStart w:id="104" w:name="_Toc304295525"/>
      <w:bookmarkStart w:id="105" w:name="_Toc297048347"/>
      <w:bookmarkStart w:id="106" w:name="_Toc303539104"/>
      <w:bookmarkStart w:id="107" w:name="_Toc296890989"/>
      <w:bookmarkStart w:id="108" w:name="_Toc296944500"/>
      <w:bookmarkStart w:id="109" w:name="_Toc296347160"/>
      <w:bookmarkStart w:id="110" w:name="_Toc297120461"/>
      <w:bookmarkStart w:id="111" w:name="_Toc296891201"/>
      <w:bookmarkStart w:id="112" w:name="_Toc296503161"/>
      <w:bookmarkStart w:id="113" w:name="_Toc297123494"/>
      <w:bookmarkStart w:id="114" w:name="_Toc297216153"/>
      <w:bookmarkStart w:id="115" w:name="_Toc296346662"/>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41FB7EE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3</w:t>
      </w:r>
      <w:bookmarkStart w:id="116" w:name="_Toc312677990"/>
      <w:bookmarkStart w:id="117" w:name="_Toc318581159"/>
      <w:r>
        <w:rPr>
          <w:rFonts w:hint="eastAsia" w:ascii="宋体" w:hAnsi="宋体" w:eastAsia="宋体" w:cs="宋体"/>
          <w:sz w:val="24"/>
          <w:szCs w:val="24"/>
        </w:rPr>
        <w:t>.5.2分包的确定</w:t>
      </w:r>
    </w:p>
    <w:p w14:paraId="3DAA087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42F5640">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其他关于分包的约定：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305EEAB">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分包合同价款</w:t>
      </w:r>
    </w:p>
    <w:p w14:paraId="447699D9">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16"/>
    <w:bookmarkEnd w:id="117"/>
    <w:p w14:paraId="433A110B">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14:paraId="591C334C">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05EAC8A">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14:paraId="0FC28DF2">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7DC1223">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D903A3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118" w:name="_Toc351203636"/>
      <w:r>
        <w:rPr>
          <w:rFonts w:hint="eastAsia" w:ascii="宋体" w:hAnsi="宋体" w:eastAsia="宋体" w:cs="宋体"/>
          <w:color w:val="000000"/>
          <w:sz w:val="24"/>
          <w:szCs w:val="24"/>
        </w:rPr>
        <w:t>4</w:t>
      </w:r>
      <w:bookmarkStart w:id="119" w:name="_Toc292559871"/>
      <w:bookmarkStart w:id="120" w:name="_Toc296503162"/>
      <w:bookmarkStart w:id="121" w:name="_Toc296891202"/>
      <w:bookmarkStart w:id="122" w:name="_Toc297120462"/>
      <w:bookmarkStart w:id="123" w:name="_Toc296890990"/>
      <w:bookmarkStart w:id="124" w:name="_Toc292559366"/>
      <w:bookmarkStart w:id="125" w:name="_Toc297048348"/>
      <w:bookmarkStart w:id="126" w:name="_Toc296944501"/>
      <w:bookmarkStart w:id="127" w:name="_Toc296346663"/>
      <w:bookmarkStart w:id="128" w:name="_Toc296347161"/>
      <w:bookmarkStart w:id="129" w:name="_Toc267251413"/>
      <w:r>
        <w:rPr>
          <w:rFonts w:hint="eastAsia" w:ascii="宋体" w:hAnsi="宋体" w:eastAsia="宋体" w:cs="宋体"/>
          <w:color w:val="000000"/>
          <w:sz w:val="24"/>
          <w:szCs w:val="24"/>
        </w:rPr>
        <w:t>. 监</w:t>
      </w:r>
      <w:bookmarkEnd w:id="119"/>
      <w:bookmarkEnd w:id="120"/>
      <w:bookmarkEnd w:id="121"/>
      <w:bookmarkEnd w:id="122"/>
      <w:bookmarkEnd w:id="123"/>
      <w:bookmarkEnd w:id="124"/>
      <w:bookmarkEnd w:id="125"/>
      <w:bookmarkEnd w:id="126"/>
      <w:bookmarkEnd w:id="127"/>
      <w:bookmarkEnd w:id="128"/>
      <w:bookmarkEnd w:id="129"/>
      <w:r>
        <w:rPr>
          <w:rFonts w:hint="eastAsia" w:ascii="宋体" w:hAnsi="宋体" w:eastAsia="宋体" w:cs="宋体"/>
          <w:color w:val="000000"/>
          <w:sz w:val="24"/>
          <w:szCs w:val="24"/>
        </w:rPr>
        <w:t>理人</w:t>
      </w:r>
      <w:bookmarkEnd w:id="118"/>
    </w:p>
    <w:p w14:paraId="530697EB">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14:paraId="1F2651E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B284D97">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78469CC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76F2CB7">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14:paraId="29EEFD8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14:paraId="4623C10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943FF3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0E009A9">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B3118E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5AC8E10">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6EC8F2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09B950A">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C8B9EC9">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14:paraId="7A34E7F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bookmarkStart w:id="130" w:name="_Toc267251418"/>
      <w:r>
        <w:rPr>
          <w:rFonts w:hint="eastAsia" w:ascii="宋体" w:hAnsi="宋体" w:eastAsia="宋体" w:cs="宋体"/>
          <w:color w:val="000000"/>
          <w:sz w:val="24"/>
          <w:szCs w:val="24"/>
        </w:rPr>
        <w:t>在发包人和承包人不能通过协商达成一致意见时，发包人授权监理人对以下事项进行确定：</w:t>
      </w:r>
    </w:p>
    <w:p w14:paraId="45718E9F">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091327C">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CD1CB6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1C23127">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131" w:name="_Toc351203637"/>
      <w:r>
        <w:rPr>
          <w:rFonts w:hint="eastAsia" w:ascii="宋体" w:hAnsi="宋体" w:eastAsia="宋体" w:cs="宋体"/>
          <w:color w:val="000000"/>
          <w:sz w:val="24"/>
          <w:szCs w:val="24"/>
        </w:rPr>
        <w:t>5</w:t>
      </w:r>
      <w:bookmarkEnd w:id="130"/>
      <w:bookmarkStart w:id="132" w:name="_Toc297048349"/>
      <w:bookmarkStart w:id="133" w:name="_Toc292559367"/>
      <w:bookmarkStart w:id="134" w:name="_Toc296347162"/>
      <w:bookmarkStart w:id="135" w:name="_Toc296891203"/>
      <w:bookmarkStart w:id="136" w:name="_Toc297120463"/>
      <w:bookmarkStart w:id="137" w:name="_Toc296503163"/>
      <w:bookmarkStart w:id="138" w:name="_Toc296346664"/>
      <w:bookmarkStart w:id="139" w:name="_Toc292559872"/>
      <w:bookmarkStart w:id="140" w:name="_Toc296944502"/>
      <w:bookmarkStart w:id="141" w:name="_Toc296890991"/>
      <w:r>
        <w:rPr>
          <w:rFonts w:hint="eastAsia" w:ascii="宋体" w:hAnsi="宋体" w:eastAsia="宋体" w:cs="宋体"/>
          <w:color w:val="000000"/>
          <w:sz w:val="24"/>
          <w:szCs w:val="24"/>
        </w:rPr>
        <w:t>. 工程质量</w:t>
      </w:r>
      <w:bookmarkEnd w:id="131"/>
    </w:p>
    <w:p w14:paraId="451D7A18">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14:paraId="278CBBA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bookmarkStart w:id="142" w:name="_Toc300934949"/>
      <w:bookmarkStart w:id="143" w:name="_Toc318581164"/>
      <w:bookmarkStart w:id="144" w:name="_Toc303539106"/>
      <w:bookmarkStart w:id="145" w:name="_Toc312677997"/>
      <w:bookmarkStart w:id="146" w:name="_Toc297123496"/>
      <w:bookmarkStart w:id="147" w:name="_Toc304295527"/>
      <w:bookmarkStart w:id="148" w:name="_Toc297216155"/>
      <w:r>
        <w:rPr>
          <w:rFonts w:hint="eastAsia" w:ascii="宋体" w:hAnsi="宋体" w:eastAsia="宋体" w:cs="宋体"/>
          <w:sz w:val="24"/>
          <w:szCs w:val="24"/>
        </w:rPr>
        <w:t>.1.1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B990BC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5B1A36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14:paraId="23D2B0B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2FBD5B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14:paraId="20507EF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bookmarkEnd w:id="142"/>
    <w:bookmarkEnd w:id="143"/>
    <w:bookmarkEnd w:id="144"/>
    <w:bookmarkEnd w:id="145"/>
    <w:bookmarkEnd w:id="146"/>
    <w:bookmarkEnd w:id="147"/>
    <w:bookmarkEnd w:id="148"/>
    <w:p w14:paraId="16A222B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149" w:name="_Toc351203639"/>
      <w:r>
        <w:rPr>
          <w:rFonts w:hint="eastAsia" w:ascii="宋体" w:hAnsi="宋体" w:eastAsia="宋体" w:cs="宋体"/>
          <w:color w:val="000000"/>
          <w:sz w:val="24"/>
          <w:szCs w:val="24"/>
        </w:rPr>
        <w:t>7. 工期和进度</w:t>
      </w:r>
      <w:bookmarkEnd w:id="149"/>
    </w:p>
    <w:p w14:paraId="4BB63E30">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14:paraId="280DABD8">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 xml:space="preserve">7.1.1 </w:t>
      </w:r>
      <w:r>
        <w:rPr>
          <w:rFonts w:hint="eastAsia" w:ascii="宋体" w:hAnsi="宋体" w:eastAsia="宋体" w:cs="宋体"/>
          <w:color w:val="000000"/>
          <w:sz w:val="24"/>
          <w:szCs w:val="24"/>
        </w:rPr>
        <w:t>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8ED5AC5">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14:paraId="17B4A80A">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181A017">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5608BC">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150" w:name="_Toc297123514"/>
      <w:bookmarkStart w:id="151" w:name="_Toc304295541"/>
      <w:bookmarkStart w:id="152" w:name="_Toc300934966"/>
      <w:bookmarkStart w:id="153" w:name="_Toc312678005"/>
      <w:bookmarkStart w:id="154" w:name="_Toc312677479"/>
      <w:bookmarkStart w:id="155" w:name="_Toc297216173"/>
      <w:bookmarkStart w:id="156" w:name="_Toc303539123"/>
      <w:r>
        <w:rPr>
          <w:rFonts w:hint="eastAsia" w:ascii="宋体" w:hAnsi="宋体" w:eastAsia="宋体" w:cs="宋体"/>
          <w:color w:val="000000"/>
          <w:sz w:val="24"/>
          <w:szCs w:val="24"/>
        </w:rPr>
        <w:t>.2 施工进度计划</w:t>
      </w:r>
    </w:p>
    <w:p w14:paraId="609152D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14:paraId="4D2E837A">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027E41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14:paraId="61FDAA79">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14:paraId="4806780D">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85EB44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1453C1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362994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14:paraId="178FC86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天内发出开工通知的，承包人有权提出价格调整要求，或者解除合同。</w:t>
      </w:r>
    </w:p>
    <w:bookmarkEnd w:id="150"/>
    <w:bookmarkEnd w:id="151"/>
    <w:bookmarkEnd w:id="152"/>
    <w:bookmarkEnd w:id="153"/>
    <w:bookmarkEnd w:id="154"/>
    <w:bookmarkEnd w:id="155"/>
    <w:bookmarkEnd w:id="156"/>
    <w:p w14:paraId="07A1488D">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14:paraId="64229BA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4099325">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157" w:name="_Toc297123516"/>
      <w:bookmarkStart w:id="158" w:name="_Toc300934968"/>
      <w:bookmarkStart w:id="159" w:name="_Toc303539125"/>
      <w:bookmarkStart w:id="160" w:name="_Toc304295546"/>
      <w:bookmarkStart w:id="161" w:name="_Toc297216175"/>
      <w:bookmarkStart w:id="162" w:name="_Toc312677484"/>
      <w:bookmarkStart w:id="163" w:name="_Toc312678010"/>
      <w:r>
        <w:rPr>
          <w:rFonts w:hint="eastAsia" w:ascii="宋体" w:hAnsi="宋体" w:eastAsia="宋体" w:cs="宋体"/>
          <w:color w:val="000000"/>
          <w:sz w:val="24"/>
          <w:szCs w:val="24"/>
        </w:rPr>
        <w:t>.5 工期延误</w:t>
      </w:r>
    </w:p>
    <w:bookmarkEnd w:id="157"/>
    <w:bookmarkEnd w:id="158"/>
    <w:bookmarkEnd w:id="159"/>
    <w:bookmarkEnd w:id="160"/>
    <w:bookmarkEnd w:id="161"/>
    <w:bookmarkEnd w:id="162"/>
    <w:bookmarkEnd w:id="163"/>
    <w:p w14:paraId="265FFA7B">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7C5A069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8665D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bookmarkStart w:id="164" w:name="_Toc318581169"/>
      <w:bookmarkStart w:id="165" w:name="_Toc312677486"/>
      <w:bookmarkStart w:id="166" w:name="_Toc312678012"/>
      <w:bookmarkStart w:id="167" w:name="_Toc297123518"/>
      <w:bookmarkStart w:id="168" w:name="_Toc297216177"/>
      <w:bookmarkStart w:id="169" w:name="_Toc303539127"/>
      <w:bookmarkStart w:id="170" w:name="_Toc300934970"/>
      <w:bookmarkStart w:id="171" w:name="_Toc304295548"/>
      <w:r>
        <w:rPr>
          <w:rFonts w:hint="eastAsia" w:ascii="宋体" w:hAnsi="宋体" w:eastAsia="宋体" w:cs="宋体"/>
          <w:sz w:val="24"/>
          <w:szCs w:val="24"/>
        </w:rPr>
        <w:t>.5.2 因承包人原因导致工期延误</w:t>
      </w:r>
    </w:p>
    <w:bookmarkEnd w:id="164"/>
    <w:bookmarkEnd w:id="165"/>
    <w:bookmarkEnd w:id="166"/>
    <w:p w14:paraId="0B94AEA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w:t>
      </w:r>
      <w:bookmarkStart w:id="172" w:name="_Toc312678013"/>
      <w:bookmarkStart w:id="173" w:name="_Toc312677487"/>
      <w:bookmarkStart w:id="174" w:name="_Toc318581170"/>
      <w:r>
        <w:rPr>
          <w:rFonts w:hint="eastAsia" w:ascii="宋体" w:hAnsi="宋体" w:eastAsia="宋体" w:cs="宋体"/>
          <w:sz w:val="24"/>
          <w:szCs w:val="24"/>
        </w:rPr>
        <w:t>承包人原因造成工期延误，逾期竣工违约金的计算方法为：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167"/>
      <w:bookmarkEnd w:id="168"/>
      <w:bookmarkEnd w:id="169"/>
      <w:bookmarkEnd w:id="170"/>
      <w:bookmarkEnd w:id="171"/>
      <w:bookmarkEnd w:id="172"/>
      <w:bookmarkEnd w:id="173"/>
    </w:p>
    <w:bookmarkEnd w:id="174"/>
    <w:p w14:paraId="6780D82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因承包人原因造成工期延误，逾</w:t>
      </w:r>
      <w:bookmarkStart w:id="175" w:name="_Toc312678014"/>
      <w:bookmarkStart w:id="176" w:name="_Toc318581171"/>
      <w:r>
        <w:rPr>
          <w:rFonts w:hint="eastAsia" w:ascii="宋体" w:hAnsi="宋体" w:eastAsia="宋体" w:cs="宋体"/>
          <w:sz w:val="24"/>
          <w:szCs w:val="24"/>
        </w:rPr>
        <w:t>期竣工违约金的上限：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175"/>
    <w:bookmarkEnd w:id="176"/>
    <w:p w14:paraId="604E3B3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177" w:name="_Toc297123519"/>
      <w:bookmarkStart w:id="178" w:name="_Toc303539128"/>
      <w:bookmarkStart w:id="179" w:name="_Toc312678015"/>
      <w:bookmarkStart w:id="180" w:name="_Toc304295549"/>
      <w:bookmarkStart w:id="181" w:name="_Toc297216178"/>
      <w:bookmarkStart w:id="182" w:name="_Toc300934971"/>
      <w:r>
        <w:rPr>
          <w:rFonts w:hint="eastAsia" w:ascii="宋体" w:hAnsi="宋体" w:eastAsia="宋体" w:cs="宋体"/>
          <w:color w:val="000000"/>
          <w:sz w:val="24"/>
          <w:szCs w:val="24"/>
        </w:rPr>
        <w:t>.6 不</w:t>
      </w:r>
      <w:bookmarkEnd w:id="177"/>
      <w:bookmarkEnd w:id="178"/>
      <w:bookmarkEnd w:id="179"/>
      <w:bookmarkEnd w:id="180"/>
      <w:bookmarkEnd w:id="181"/>
      <w:bookmarkEnd w:id="182"/>
      <w:r>
        <w:rPr>
          <w:rFonts w:hint="eastAsia" w:ascii="宋体" w:hAnsi="宋体" w:eastAsia="宋体" w:cs="宋体"/>
          <w:color w:val="000000"/>
          <w:sz w:val="24"/>
          <w:szCs w:val="24"/>
        </w:rPr>
        <w:t>利物质条件</w:t>
      </w:r>
    </w:p>
    <w:p w14:paraId="5166DD9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bookmarkStart w:id="183" w:name="_Toc297123520"/>
      <w:bookmarkStart w:id="184" w:name="_Toc304295550"/>
      <w:bookmarkStart w:id="185" w:name="_Toc303539129"/>
      <w:bookmarkStart w:id="186" w:name="_Toc297216179"/>
      <w:bookmarkStart w:id="187" w:name="_Toc300934972"/>
      <w:bookmarkStart w:id="188" w:name="_Toc318581172"/>
      <w:bookmarkStart w:id="189" w:name="_Toc312678016"/>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183"/>
    <w:bookmarkEnd w:id="184"/>
    <w:bookmarkEnd w:id="185"/>
    <w:bookmarkEnd w:id="186"/>
    <w:bookmarkEnd w:id="187"/>
    <w:bookmarkEnd w:id="188"/>
    <w:bookmarkEnd w:id="189"/>
    <w:p w14:paraId="6DE5DC4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190" w:name="_Toc312678017"/>
      <w:bookmarkStart w:id="191" w:name="_Toc304295551"/>
      <w:bookmarkStart w:id="192" w:name="_Toc300934973"/>
      <w:bookmarkStart w:id="193" w:name="_Toc297123521"/>
      <w:bookmarkStart w:id="194" w:name="_Toc297216180"/>
      <w:bookmarkStart w:id="195" w:name="_Toc303539130"/>
      <w:r>
        <w:rPr>
          <w:rFonts w:hint="eastAsia" w:ascii="宋体" w:hAnsi="宋体" w:eastAsia="宋体" w:cs="宋体"/>
          <w:color w:val="000000"/>
          <w:sz w:val="24"/>
          <w:szCs w:val="24"/>
        </w:rPr>
        <w:t>.7异常恶劣的气候条件</w:t>
      </w:r>
    </w:p>
    <w:bookmarkEnd w:id="190"/>
    <w:bookmarkEnd w:id="191"/>
    <w:bookmarkEnd w:id="192"/>
    <w:bookmarkEnd w:id="193"/>
    <w:bookmarkEnd w:id="194"/>
    <w:bookmarkEnd w:id="195"/>
    <w:p w14:paraId="268FB29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3FA02DC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5A2449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B218F0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609D1EB">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7.9 提前竣工的奖励</w:t>
      </w:r>
    </w:p>
    <w:p w14:paraId="4BC0C7B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DAD6AE7">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196" w:name="_Toc351203640"/>
      <w:r>
        <w:rPr>
          <w:rFonts w:hint="eastAsia" w:ascii="宋体" w:hAnsi="宋体" w:eastAsia="宋体" w:cs="宋体"/>
          <w:color w:val="000000"/>
          <w:sz w:val="24"/>
          <w:szCs w:val="24"/>
        </w:rPr>
        <w:t>8. 材料与设备</w:t>
      </w:r>
      <w:bookmarkEnd w:id="196"/>
    </w:p>
    <w:bookmarkEnd w:id="132"/>
    <w:bookmarkEnd w:id="133"/>
    <w:bookmarkEnd w:id="134"/>
    <w:bookmarkEnd w:id="135"/>
    <w:bookmarkEnd w:id="136"/>
    <w:bookmarkEnd w:id="137"/>
    <w:bookmarkEnd w:id="138"/>
    <w:bookmarkEnd w:id="139"/>
    <w:bookmarkEnd w:id="140"/>
    <w:bookmarkEnd w:id="141"/>
    <w:p w14:paraId="311A56B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197" w:name="_Toc292559372"/>
      <w:bookmarkStart w:id="198" w:name="_Toc297120467"/>
      <w:bookmarkStart w:id="199" w:name="_Toc280868654"/>
      <w:bookmarkStart w:id="200" w:name="_Toc303539136"/>
      <w:bookmarkStart w:id="201" w:name="_Toc296503167"/>
      <w:bookmarkStart w:id="202" w:name="_Toc312677493"/>
      <w:bookmarkStart w:id="203" w:name="_Toc296891207"/>
      <w:bookmarkStart w:id="204" w:name="_Toc297048353"/>
      <w:bookmarkStart w:id="205" w:name="_Toc296944506"/>
      <w:bookmarkStart w:id="206" w:name="_Toc300934979"/>
      <w:bookmarkStart w:id="207" w:name="_Toc296890995"/>
      <w:bookmarkStart w:id="208" w:name="_Toc304295556"/>
      <w:bookmarkStart w:id="209" w:name="_Toc312678019"/>
      <w:bookmarkStart w:id="210" w:name="_Toc297123527"/>
      <w:bookmarkStart w:id="211" w:name="_Toc297216186"/>
      <w:bookmarkStart w:id="212" w:name="_Toc292559877"/>
      <w:bookmarkStart w:id="213" w:name="_Toc296346668"/>
      <w:bookmarkStart w:id="214" w:name="_Toc296347166"/>
      <w:bookmarkStart w:id="215" w:name="_Toc280868656"/>
      <w:bookmarkStart w:id="216" w:name="_Toc267251424"/>
      <w:bookmarkStart w:id="217" w:name="_Toc280868655"/>
      <w:r>
        <w:rPr>
          <w:rFonts w:hint="eastAsia" w:ascii="宋体" w:hAnsi="宋体" w:eastAsia="宋体" w:cs="宋体"/>
          <w:color w:val="000000"/>
          <w:sz w:val="24"/>
          <w:szCs w:val="24"/>
        </w:rPr>
        <w:t>.4材料与工程设备的保管与使用</w:t>
      </w:r>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14:paraId="663070F3">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w:t>
      </w:r>
      <w:bookmarkStart w:id="218" w:name="_Toc292559373"/>
      <w:bookmarkStart w:id="219" w:name="_Toc292559878"/>
      <w:bookmarkStart w:id="220" w:name="_Toc312677494"/>
      <w:bookmarkStart w:id="221" w:name="_Toc296347167"/>
      <w:bookmarkStart w:id="222" w:name="_Toc297216187"/>
      <w:bookmarkStart w:id="223" w:name="_Toc296891208"/>
      <w:bookmarkStart w:id="224" w:name="_Toc296890996"/>
      <w:bookmarkStart w:id="225" w:name="_Toc296944507"/>
      <w:bookmarkStart w:id="226" w:name="_Toc296503168"/>
      <w:bookmarkStart w:id="227" w:name="_Toc312678020"/>
      <w:bookmarkStart w:id="228" w:name="_Toc303539137"/>
      <w:bookmarkStart w:id="229" w:name="_Toc296346669"/>
      <w:bookmarkStart w:id="230" w:name="_Toc297120468"/>
      <w:bookmarkStart w:id="231" w:name="_Toc297123528"/>
      <w:bookmarkStart w:id="232" w:name="_Toc297048354"/>
      <w:bookmarkStart w:id="233" w:name="_Toc300934980"/>
      <w:bookmarkStart w:id="234" w:name="_Toc304295557"/>
      <w:bookmarkStart w:id="235" w:name="_Toc318581173"/>
      <w:r>
        <w:rPr>
          <w:rFonts w:hint="eastAsia" w:ascii="宋体" w:hAnsi="宋体" w:eastAsia="宋体" w:cs="宋体"/>
          <w:sz w:val="24"/>
          <w:szCs w:val="24"/>
        </w:rPr>
        <w:t>.4.1发包人供应的</w:t>
      </w:r>
      <w:r>
        <w:rPr>
          <w:rFonts w:hint="eastAsia" w:ascii="宋体" w:hAnsi="宋体" w:eastAsia="宋体" w:cs="宋体"/>
          <w:color w:val="000000"/>
          <w:kern w:val="0"/>
          <w:sz w:val="24"/>
          <w:szCs w:val="24"/>
        </w:rPr>
        <w:t>材料</w:t>
      </w:r>
      <w:r>
        <w:rPr>
          <w:rFonts w:hint="eastAsia" w:ascii="宋体" w:hAnsi="宋体" w:eastAsia="宋体" w:cs="宋体"/>
          <w:sz w:val="24"/>
          <w:szCs w:val="24"/>
        </w:rPr>
        <w:t>设备的保管费用的承担：</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18"/>
      <w:bookmarkEnd w:id="219"/>
    </w:p>
    <w:p w14:paraId="6E4314B8">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14:paraId="2AB25C2C">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14:paraId="589D632F">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需要承包人报送样品的材料或工程设备，样品的种类、名称、规格、数量要求：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610E87B">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14:paraId="06C5B0E4">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36149087">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14:paraId="2D78B59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236" w:name="_Toc351203641"/>
      <w:r>
        <w:rPr>
          <w:rFonts w:hint="eastAsia" w:ascii="宋体" w:hAnsi="宋体" w:eastAsia="宋体" w:cs="宋体"/>
          <w:color w:val="000000"/>
          <w:sz w:val="24"/>
          <w:szCs w:val="24"/>
        </w:rPr>
        <w:t>9</w:t>
      </w:r>
      <w:bookmarkEnd w:id="215"/>
      <w:bookmarkEnd w:id="216"/>
      <w:bookmarkEnd w:id="217"/>
      <w:bookmarkStart w:id="237" w:name="_Toc300934982"/>
      <w:bookmarkStart w:id="238" w:name="_Toc312678021"/>
      <w:bookmarkStart w:id="239" w:name="_Toc303539139"/>
      <w:bookmarkStart w:id="240" w:name="_Toc297216192"/>
      <w:bookmarkStart w:id="241" w:name="_Toc312677495"/>
      <w:bookmarkStart w:id="242" w:name="_Toc304295559"/>
      <w:bookmarkStart w:id="243" w:name="_Toc297123533"/>
      <w:bookmarkStart w:id="244" w:name="_Toc296347172"/>
      <w:bookmarkStart w:id="245" w:name="_Toc296503173"/>
      <w:bookmarkStart w:id="246" w:name="_Toc267251427"/>
      <w:bookmarkStart w:id="247" w:name="_Toc296346674"/>
      <w:bookmarkStart w:id="248" w:name="_Toc297048359"/>
      <w:bookmarkStart w:id="249" w:name="_Toc292559378"/>
      <w:bookmarkStart w:id="250" w:name="_Toc267251428"/>
      <w:bookmarkStart w:id="251" w:name="_Toc296891213"/>
      <w:bookmarkStart w:id="252" w:name="_Toc292559883"/>
      <w:bookmarkStart w:id="253" w:name="_Toc297120473"/>
      <w:bookmarkStart w:id="254" w:name="_Toc296891001"/>
      <w:bookmarkStart w:id="255" w:name="_Toc296944512"/>
      <w:r>
        <w:rPr>
          <w:rFonts w:hint="eastAsia" w:ascii="宋体" w:hAnsi="宋体" w:eastAsia="宋体" w:cs="宋体"/>
          <w:color w:val="000000"/>
          <w:sz w:val="24"/>
          <w:szCs w:val="24"/>
        </w:rPr>
        <w:t>. 试验与检验</w:t>
      </w:r>
      <w:bookmarkEnd w:id="236"/>
    </w:p>
    <w:bookmarkEnd w:id="237"/>
    <w:bookmarkEnd w:id="238"/>
    <w:bookmarkEnd w:id="239"/>
    <w:bookmarkEnd w:id="240"/>
    <w:bookmarkEnd w:id="241"/>
    <w:bookmarkEnd w:id="242"/>
    <w:bookmarkEnd w:id="243"/>
    <w:p w14:paraId="045A1D6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256" w:name="_Toc297123534"/>
      <w:bookmarkStart w:id="257" w:name="_Toc300934983"/>
      <w:bookmarkStart w:id="258" w:name="_Toc297216193"/>
      <w:bookmarkStart w:id="259" w:name="_Toc312677496"/>
      <w:bookmarkStart w:id="260" w:name="_Toc303539140"/>
      <w:bookmarkStart w:id="261" w:name="_Toc312678022"/>
      <w:bookmarkStart w:id="262" w:name="_Toc304295560"/>
      <w:r>
        <w:rPr>
          <w:rFonts w:hint="eastAsia" w:ascii="宋体" w:hAnsi="宋体" w:eastAsia="宋体" w:cs="宋体"/>
          <w:color w:val="000000"/>
          <w:sz w:val="24"/>
          <w:szCs w:val="24"/>
        </w:rPr>
        <w:t>.1试验设备与试验人员</w:t>
      </w:r>
    </w:p>
    <w:bookmarkEnd w:id="256"/>
    <w:bookmarkEnd w:id="257"/>
    <w:bookmarkEnd w:id="258"/>
    <w:bookmarkEnd w:id="259"/>
    <w:bookmarkEnd w:id="260"/>
    <w:bookmarkEnd w:id="261"/>
    <w:bookmarkEnd w:id="262"/>
    <w:p w14:paraId="5B0EB59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w:t>
      </w:r>
      <w:bookmarkStart w:id="263" w:name="_Toc312677497"/>
      <w:bookmarkStart w:id="264" w:name="_Toc297216194"/>
      <w:bookmarkStart w:id="265" w:name="_Toc303539141"/>
      <w:bookmarkStart w:id="266" w:name="_Toc300934984"/>
      <w:bookmarkStart w:id="267" w:name="_Toc304295561"/>
      <w:bookmarkStart w:id="268" w:name="_Toc312678023"/>
      <w:bookmarkStart w:id="269" w:name="_Toc297123535"/>
      <w:bookmarkStart w:id="270" w:name="_Toc318581174"/>
      <w:r>
        <w:rPr>
          <w:rFonts w:hint="eastAsia" w:ascii="宋体" w:hAnsi="宋体" w:eastAsia="宋体" w:cs="宋体"/>
          <w:sz w:val="24"/>
          <w:szCs w:val="24"/>
        </w:rPr>
        <w:t>.1.2 试验设备</w:t>
      </w:r>
    </w:p>
    <w:p w14:paraId="644A0A2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施工现场需要配置的试验场所：</w:t>
      </w:r>
      <w:bookmarkEnd w:id="263"/>
      <w:bookmarkEnd w:id="264"/>
      <w:bookmarkEnd w:id="265"/>
      <w:bookmarkEnd w:id="266"/>
      <w:bookmarkEnd w:id="267"/>
      <w:bookmarkEnd w:id="268"/>
      <w:bookmarkEnd w:id="269"/>
      <w:bookmarkStart w:id="271" w:name="_Toc297216195"/>
      <w:bookmarkStart w:id="272" w:name="_Toc297123536"/>
      <w:bookmarkStart w:id="273" w:name="_Toc312678024"/>
      <w:bookmarkStart w:id="274" w:name="_Toc303539142"/>
      <w:bookmarkStart w:id="275" w:name="_Toc300934985"/>
      <w:bookmarkStart w:id="276" w:name="_Toc312677498"/>
      <w:bookmarkStart w:id="277" w:name="_Toc304295562"/>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237723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B60A2D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5162D1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14:paraId="5AF7BDE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270"/>
    <w:bookmarkEnd w:id="271"/>
    <w:bookmarkEnd w:id="272"/>
    <w:bookmarkEnd w:id="273"/>
    <w:bookmarkEnd w:id="274"/>
    <w:bookmarkEnd w:id="275"/>
    <w:bookmarkEnd w:id="276"/>
    <w:bookmarkEnd w:id="277"/>
    <w:p w14:paraId="1BE74FF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278" w:name="_Toc351203638"/>
      <w:bookmarkStart w:id="279" w:name="_Toc351203642"/>
      <w:r>
        <w:rPr>
          <w:rFonts w:hint="eastAsia" w:ascii="宋体" w:hAnsi="宋体" w:eastAsia="宋体" w:cs="宋体"/>
          <w:color w:val="000000"/>
          <w:sz w:val="24"/>
          <w:szCs w:val="24"/>
        </w:rPr>
        <w:t>6. 安全文明施工与环境保护</w:t>
      </w:r>
      <w:bookmarkEnd w:id="278"/>
    </w:p>
    <w:p w14:paraId="481BEED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14:paraId="18566662">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6.1.1</w:t>
      </w:r>
      <w:r>
        <w:rPr>
          <w:rFonts w:hint="eastAsia" w:ascii="宋体" w:hAnsi="宋体" w:eastAsia="宋体" w:cs="宋体"/>
          <w:color w:val="000000"/>
          <w:sz w:val="24"/>
          <w:szCs w:val="24"/>
        </w:rPr>
        <w:t xml:space="preserve"> 项目安全生产的达标目标及相应事项的约定：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0CBB93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BACB6BB">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673E43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6.1.5 文明施工</w:t>
      </w:r>
    </w:p>
    <w:p w14:paraId="1425E16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ACC2BEB">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B98B9E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244"/>
      <w:bookmarkEnd w:id="245"/>
      <w:bookmarkEnd w:id="246"/>
      <w:bookmarkEnd w:id="247"/>
      <w:bookmarkEnd w:id="248"/>
      <w:bookmarkEnd w:id="249"/>
      <w:bookmarkEnd w:id="250"/>
      <w:bookmarkEnd w:id="251"/>
      <w:bookmarkEnd w:id="252"/>
      <w:bookmarkEnd w:id="253"/>
      <w:bookmarkEnd w:id="254"/>
      <w:bookmarkEnd w:id="255"/>
      <w:bookmarkStart w:id="280" w:name="_Toc296503193"/>
      <w:bookmarkStart w:id="281" w:name="_Toc304295566"/>
      <w:bookmarkStart w:id="282" w:name="_Toc296944532"/>
      <w:bookmarkStart w:id="283" w:name="_Toc296891233"/>
      <w:bookmarkStart w:id="284" w:name="_Toc296346694"/>
      <w:bookmarkStart w:id="285" w:name="_Toc303539146"/>
      <w:bookmarkStart w:id="286" w:name="_Toc300934989"/>
      <w:bookmarkStart w:id="287" w:name="_Toc297123540"/>
      <w:bookmarkStart w:id="288" w:name="_Toc296891021"/>
      <w:bookmarkStart w:id="289" w:name="_Toc292559398"/>
      <w:bookmarkStart w:id="290" w:name="_Toc297216199"/>
      <w:bookmarkStart w:id="291" w:name="_Toc297120493"/>
      <w:bookmarkStart w:id="292" w:name="_Toc297048379"/>
      <w:bookmarkStart w:id="293" w:name="_Toc296347192"/>
      <w:bookmarkStart w:id="294" w:name="_Toc292559903"/>
      <w:bookmarkStart w:id="295" w:name="_Toc312677499"/>
      <w:bookmarkStart w:id="296" w:name="_Toc312678025"/>
      <w:bookmarkStart w:id="297" w:name="_Toc267251435"/>
      <w:bookmarkStart w:id="298" w:name="_Toc267251433"/>
      <w:bookmarkStart w:id="299" w:name="_Toc267251437"/>
      <w:bookmarkStart w:id="300" w:name="_Toc267251439"/>
      <w:bookmarkStart w:id="301" w:name="_Toc267251441"/>
      <w:bookmarkStart w:id="302" w:name="_Toc267251440"/>
      <w:bookmarkStart w:id="303" w:name="_Toc267251442"/>
      <w:r>
        <w:rPr>
          <w:rFonts w:hint="eastAsia" w:ascii="宋体" w:hAnsi="宋体" w:eastAsia="宋体" w:cs="宋体"/>
          <w:color w:val="000000"/>
          <w:sz w:val="24"/>
          <w:szCs w:val="24"/>
        </w:rPr>
        <w:t>0. 变更</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bookmarkEnd w:id="295"/>
    <w:bookmarkEnd w:id="296"/>
    <w:p w14:paraId="0D3670DC">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304" w:name="_Toc300934990"/>
      <w:bookmarkStart w:id="305" w:name="_Toc296346695"/>
      <w:bookmarkStart w:id="306" w:name="_Toc312678026"/>
      <w:bookmarkStart w:id="307" w:name="_Toc297120494"/>
      <w:bookmarkStart w:id="308" w:name="_Toc296347193"/>
      <w:bookmarkStart w:id="309" w:name="_Toc297123541"/>
      <w:bookmarkStart w:id="310" w:name="_Toc303539147"/>
      <w:bookmarkStart w:id="311" w:name="_Toc312677500"/>
      <w:bookmarkStart w:id="312" w:name="_Toc297216200"/>
      <w:bookmarkStart w:id="313" w:name="_Toc292559904"/>
      <w:bookmarkStart w:id="314" w:name="_Toc296944533"/>
      <w:bookmarkStart w:id="315" w:name="_Toc304295567"/>
      <w:bookmarkStart w:id="316" w:name="_Toc296891234"/>
      <w:bookmarkStart w:id="317" w:name="_Toc297048380"/>
      <w:bookmarkStart w:id="318" w:name="_Toc296891022"/>
      <w:bookmarkStart w:id="319" w:name="_Toc296503194"/>
      <w:bookmarkStart w:id="320" w:name="_Toc292559399"/>
      <w:r>
        <w:rPr>
          <w:rFonts w:hint="eastAsia" w:ascii="宋体" w:hAnsi="宋体" w:eastAsia="宋体" w:cs="宋体"/>
          <w:color w:val="000000"/>
          <w:sz w:val="24"/>
          <w:szCs w:val="24"/>
        </w:rPr>
        <w:t>0.1变更的范围</w:t>
      </w:r>
    </w:p>
    <w:p w14:paraId="6B27C98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关于变更的范围的约定：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7F9ACF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14:paraId="3AFF742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10.4.1 变更估价原则</w:t>
      </w:r>
    </w:p>
    <w:p w14:paraId="232EC7A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关于变更估价的约定: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1E7B14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Start w:id="321" w:name="_Toc296347196"/>
      <w:bookmarkStart w:id="322" w:name="_Toc296891025"/>
      <w:bookmarkStart w:id="323" w:name="_Toc296346698"/>
      <w:bookmarkStart w:id="324" w:name="_Toc300934993"/>
      <w:bookmarkStart w:id="325" w:name="_Toc296891237"/>
      <w:bookmarkStart w:id="326" w:name="_Toc296944536"/>
      <w:bookmarkStart w:id="327" w:name="_Toc292559402"/>
      <w:bookmarkStart w:id="328" w:name="_Toc292559907"/>
      <w:bookmarkStart w:id="329" w:name="_Toc296503197"/>
      <w:bookmarkStart w:id="330" w:name="_Toc303539150"/>
      <w:bookmarkStart w:id="331" w:name="_Toc297216203"/>
      <w:bookmarkStart w:id="332" w:name="_Toc297120497"/>
      <w:bookmarkStart w:id="333" w:name="_Toc297048383"/>
      <w:bookmarkStart w:id="334" w:name="_Toc297123544"/>
      <w:bookmarkStart w:id="335" w:name="_Toc304295570"/>
      <w:bookmarkStart w:id="336" w:name="_Toc312677503"/>
      <w:bookmarkStart w:id="337" w:name="_Toc312678029"/>
      <w:r>
        <w:rPr>
          <w:rFonts w:hint="eastAsia" w:ascii="宋体" w:hAnsi="宋体" w:eastAsia="宋体" w:cs="宋体"/>
          <w:color w:val="000000"/>
          <w:sz w:val="24"/>
          <w:szCs w:val="24"/>
        </w:rPr>
        <w:t>0.5承</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Start w:id="338" w:name="_Toc297123545"/>
      <w:bookmarkStart w:id="339" w:name="_Toc297048389"/>
      <w:bookmarkStart w:id="340" w:name="_Toc292559913"/>
      <w:bookmarkStart w:id="341" w:name="_Toc297120503"/>
      <w:bookmarkStart w:id="342" w:name="_Toc296944542"/>
      <w:bookmarkStart w:id="343" w:name="_Toc296346704"/>
      <w:bookmarkStart w:id="344" w:name="_Toc303539151"/>
      <w:bookmarkStart w:id="345" w:name="_Toc300934994"/>
      <w:bookmarkStart w:id="346" w:name="_Toc296503203"/>
      <w:bookmarkStart w:id="347" w:name="_Toc296347202"/>
      <w:bookmarkStart w:id="348" w:name="_Toc297216204"/>
      <w:bookmarkStart w:id="349" w:name="_Toc292559408"/>
      <w:bookmarkStart w:id="350" w:name="_Toc296891031"/>
      <w:bookmarkStart w:id="351" w:name="_Toc296891243"/>
      <w:r>
        <w:rPr>
          <w:rFonts w:hint="eastAsia" w:ascii="宋体" w:hAnsi="宋体" w:eastAsia="宋体" w:cs="宋体"/>
          <w:color w:val="000000"/>
          <w:sz w:val="24"/>
          <w:szCs w:val="24"/>
        </w:rPr>
        <w:t>包人的合理化建议</w:t>
      </w:r>
    </w:p>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14:paraId="18931052">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A01C77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ACACB5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承</w:t>
      </w:r>
      <w:bookmarkStart w:id="352" w:name="_Toc296503204"/>
      <w:bookmarkStart w:id="353" w:name="_Toc318581175"/>
      <w:bookmarkStart w:id="354" w:name="_Toc296346705"/>
      <w:bookmarkStart w:id="355" w:name="_Toc303539152"/>
      <w:bookmarkStart w:id="356" w:name="_Toc296891032"/>
      <w:bookmarkStart w:id="357" w:name="_Toc296891244"/>
      <w:bookmarkStart w:id="358" w:name="_Toc297120504"/>
      <w:bookmarkStart w:id="359" w:name="_Toc297216205"/>
      <w:bookmarkStart w:id="360" w:name="_Toc292559409"/>
      <w:bookmarkStart w:id="361" w:name="_Toc312678030"/>
      <w:bookmarkStart w:id="362" w:name="_Toc300934995"/>
      <w:bookmarkStart w:id="363" w:name="_Toc312677504"/>
      <w:bookmarkStart w:id="364" w:name="_Toc296944543"/>
      <w:bookmarkStart w:id="365" w:name="_Toc292559914"/>
      <w:bookmarkStart w:id="366" w:name="_Toc296347203"/>
      <w:bookmarkStart w:id="367" w:name="_Toc304295571"/>
      <w:bookmarkStart w:id="368" w:name="_Toc297123546"/>
      <w:bookmarkStart w:id="369" w:name="_Toc297048390"/>
      <w:r>
        <w:rPr>
          <w:rFonts w:hint="eastAsia" w:ascii="宋体" w:hAnsi="宋体" w:eastAsia="宋体" w:cs="宋体"/>
          <w:sz w:val="24"/>
          <w:szCs w:val="24"/>
        </w:rPr>
        <w:t>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106B933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370" w:name="_Toc296944538"/>
      <w:bookmarkStart w:id="371" w:name="_Toc292559909"/>
      <w:bookmarkStart w:id="372" w:name="_Toc292559404"/>
      <w:bookmarkStart w:id="373" w:name="_Toc312677507"/>
      <w:bookmarkStart w:id="374" w:name="_Toc300934997"/>
      <w:bookmarkStart w:id="375" w:name="_Toc296347198"/>
      <w:bookmarkStart w:id="376" w:name="_Toc296346700"/>
      <w:bookmarkStart w:id="377" w:name="_Toc297120499"/>
      <w:bookmarkStart w:id="378" w:name="_Toc296891239"/>
      <w:bookmarkStart w:id="379" w:name="_Toc312678033"/>
      <w:bookmarkStart w:id="380" w:name="_Toc296891027"/>
      <w:bookmarkStart w:id="381" w:name="_Toc297048385"/>
      <w:bookmarkStart w:id="382" w:name="_Toc303539154"/>
      <w:bookmarkStart w:id="383" w:name="_Toc304295574"/>
      <w:bookmarkStart w:id="384" w:name="_Toc296503199"/>
      <w:bookmarkStart w:id="385" w:name="_Toc297123548"/>
      <w:bookmarkStart w:id="386" w:name="_Toc297216207"/>
      <w:r>
        <w:rPr>
          <w:rFonts w:hint="eastAsia" w:ascii="宋体" w:hAnsi="宋体" w:eastAsia="宋体" w:cs="宋体"/>
          <w:color w:val="000000"/>
          <w:sz w:val="24"/>
          <w:szCs w:val="24"/>
        </w:rPr>
        <w:t>0.7 暂估价</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461C3A8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暂</w:t>
      </w:r>
      <w:bookmarkStart w:id="387" w:name="_Toc318581176"/>
      <w:bookmarkStart w:id="388" w:name="_Toc312677508"/>
      <w:bookmarkStart w:id="389" w:name="_Toc312678034"/>
      <w:r>
        <w:rPr>
          <w:rFonts w:hint="eastAsia" w:ascii="宋体" w:hAnsi="宋体" w:eastAsia="宋体" w:cs="宋体"/>
          <w:kern w:val="0"/>
          <w:sz w:val="24"/>
          <w:szCs w:val="24"/>
        </w:rPr>
        <w:t>估价材料和工程设备的明细详见附件11：《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kern w:val="0"/>
          <w:sz w:val="24"/>
          <w:szCs w:val="24"/>
        </w:rPr>
        <w:t>。</w:t>
      </w:r>
    </w:p>
    <w:bookmarkEnd w:id="387"/>
    <w:bookmarkEnd w:id="388"/>
    <w:bookmarkEnd w:id="389"/>
    <w:p w14:paraId="27C3FF3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bookmarkStart w:id="390" w:name="_Toc312678035"/>
      <w:bookmarkStart w:id="391" w:name="_Toc318581177"/>
      <w:bookmarkStart w:id="392" w:name="_Toc312677509"/>
      <w:r>
        <w:rPr>
          <w:rFonts w:hint="eastAsia" w:ascii="宋体" w:hAnsi="宋体" w:eastAsia="宋体" w:cs="宋体"/>
          <w:sz w:val="24"/>
          <w:szCs w:val="24"/>
        </w:rPr>
        <w:t>0.7.1 依法必须招标的暂估价项目</w:t>
      </w:r>
    </w:p>
    <w:bookmarkEnd w:id="390"/>
    <w:bookmarkEnd w:id="391"/>
    <w:bookmarkEnd w:id="392"/>
    <w:p w14:paraId="328B5B12">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14:paraId="0746C9E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3E6E9A78">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种方式确定。</w:t>
      </w:r>
    </w:p>
    <w:p w14:paraId="41A425C2">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14:paraId="23061E22">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406D7E8">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14:paraId="2E5FB995">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rPr>
        <w:t>。</w:t>
      </w:r>
    </w:p>
    <w:p w14:paraId="6E2C621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393" w:name="_Toc351203643"/>
      <w:r>
        <w:rPr>
          <w:rFonts w:hint="eastAsia" w:ascii="宋体" w:hAnsi="宋体" w:eastAsia="宋体" w:cs="宋体"/>
          <w:color w:val="000000"/>
          <w:sz w:val="24"/>
          <w:szCs w:val="24"/>
        </w:rPr>
        <w:t>11. 价格调整</w:t>
      </w:r>
      <w:bookmarkEnd w:id="393"/>
    </w:p>
    <w:p w14:paraId="0C46F960">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bookmarkStart w:id="394" w:name="_Toc303539157"/>
      <w:bookmarkStart w:id="395" w:name="_Toc292559406"/>
      <w:bookmarkStart w:id="396" w:name="_Toc296891029"/>
      <w:bookmarkStart w:id="397" w:name="_Toc297048387"/>
      <w:bookmarkStart w:id="398" w:name="_Toc292559911"/>
      <w:bookmarkStart w:id="399" w:name="_Toc300935000"/>
      <w:bookmarkStart w:id="400" w:name="_Toc297120501"/>
      <w:bookmarkStart w:id="401" w:name="_Toc296944540"/>
      <w:bookmarkStart w:id="402" w:name="_Toc296346702"/>
      <w:bookmarkStart w:id="403" w:name="_Toc296503201"/>
      <w:bookmarkStart w:id="404" w:name="_Toc304295577"/>
      <w:bookmarkStart w:id="405" w:name="_Toc297123550"/>
      <w:bookmarkStart w:id="406" w:name="_Toc296347200"/>
      <w:bookmarkStart w:id="407" w:name="_Toc297216209"/>
      <w:bookmarkStart w:id="408" w:name="_Toc296891241"/>
      <w:bookmarkStart w:id="409" w:name="_Toc312678039"/>
      <w:r>
        <w:rPr>
          <w:rFonts w:hint="eastAsia" w:ascii="宋体" w:hAnsi="宋体" w:eastAsia="宋体" w:cs="宋体"/>
          <w:color w:val="000000"/>
          <w:sz w:val="24"/>
          <w:szCs w:val="24"/>
        </w:rPr>
        <w:t>11.1 市场价格波动引起的调整</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5A0F6A63">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F88A26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因市场价格波动调整合同价格，采用以下</w:t>
      </w:r>
      <w:r>
        <w:rPr>
          <w:rFonts w:hint="eastAsia" w:ascii="宋体" w:hAnsi="宋体" w:eastAsia="宋体" w:cs="宋体"/>
          <w:sz w:val="24"/>
          <w:szCs w:val="24"/>
        </w:rPr>
        <w:t>第</w:t>
      </w:r>
      <w:r>
        <w:rPr>
          <w:rFonts w:hint="eastAsia" w:ascii="宋体" w:hAnsi="宋体" w:eastAsia="宋体" w:cs="宋体"/>
          <w:sz w:val="24"/>
          <w:szCs w:val="24"/>
          <w:u w:val="single"/>
        </w:rPr>
        <w:t xml:space="preserve">  2  </w:t>
      </w:r>
      <w:r>
        <w:rPr>
          <w:rFonts w:hint="eastAsia" w:ascii="宋体" w:hAnsi="宋体" w:eastAsia="宋体" w:cs="宋体"/>
          <w:color w:val="000000"/>
          <w:sz w:val="24"/>
          <w:szCs w:val="24"/>
        </w:rPr>
        <w:t>种方式对合同价格进行调整：</w:t>
      </w:r>
    </w:p>
    <w:p w14:paraId="438CAAF8">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3494B559">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E7B0527">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2239E78B">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（2）关于基准价格的约定：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C4CEED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%时，或材料单价跌幅以已标价工程量清单或预算书中载明材料单价为基础超过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%时，其超过部分据实调整。</w:t>
      </w:r>
    </w:p>
    <w:p w14:paraId="426BFD2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%时，材料单价涨幅以已标价工程量清单或预算书中载明材料单价为基础超过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%时，其超过部分据实调整。</w:t>
      </w:r>
    </w:p>
    <w:p w14:paraId="1FA9749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%时，其超过部分据实调整。</w:t>
      </w:r>
    </w:p>
    <w:p w14:paraId="1F9ED98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第3种方式：其他价格调整方式：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297"/>
    <w:bookmarkEnd w:id="298"/>
    <w:bookmarkEnd w:id="299"/>
    <w:bookmarkEnd w:id="300"/>
    <w:bookmarkEnd w:id="301"/>
    <w:bookmarkEnd w:id="302"/>
    <w:p w14:paraId="69A3223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410" w:name="_Toc297048391"/>
      <w:bookmarkStart w:id="411" w:name="_Toc296944544"/>
      <w:bookmarkStart w:id="412" w:name="_Toc296503205"/>
      <w:bookmarkStart w:id="413" w:name="_Toc292559915"/>
      <w:bookmarkStart w:id="414" w:name="_Toc296347204"/>
      <w:bookmarkStart w:id="415" w:name="_Toc296346706"/>
      <w:bookmarkStart w:id="416" w:name="_Toc292559410"/>
      <w:bookmarkStart w:id="417" w:name="_Toc296891033"/>
      <w:bookmarkStart w:id="418" w:name="_Toc297120505"/>
      <w:bookmarkStart w:id="419" w:name="_Toc296891245"/>
      <w:bookmarkStart w:id="420" w:name="_Toc351203644"/>
      <w:bookmarkStart w:id="421" w:name="_Toc300935002"/>
      <w:bookmarkStart w:id="422" w:name="_Toc297123552"/>
      <w:bookmarkStart w:id="423" w:name="_Toc303539159"/>
      <w:bookmarkStart w:id="424" w:name="_Toc297216211"/>
      <w:bookmarkStart w:id="425" w:name="_Toc312678040"/>
      <w:bookmarkStart w:id="426" w:name="_Toc304295579"/>
      <w:r>
        <w:rPr>
          <w:rFonts w:hint="eastAsia" w:ascii="宋体" w:hAnsi="宋体" w:eastAsia="宋体" w:cs="宋体"/>
          <w:color w:val="000000"/>
          <w:sz w:val="24"/>
          <w:szCs w:val="24"/>
        </w:rPr>
        <w:t xml:space="preserve">12. </w:t>
      </w:r>
      <w:bookmarkEnd w:id="410"/>
      <w:bookmarkEnd w:id="411"/>
      <w:bookmarkEnd w:id="412"/>
      <w:bookmarkEnd w:id="413"/>
      <w:bookmarkEnd w:id="414"/>
      <w:bookmarkEnd w:id="415"/>
      <w:bookmarkEnd w:id="416"/>
      <w:bookmarkEnd w:id="417"/>
      <w:bookmarkEnd w:id="418"/>
      <w:bookmarkEnd w:id="419"/>
      <w:r>
        <w:rPr>
          <w:rFonts w:hint="eastAsia" w:ascii="宋体" w:hAnsi="宋体" w:eastAsia="宋体" w:cs="宋体"/>
          <w:color w:val="000000"/>
          <w:sz w:val="24"/>
          <w:szCs w:val="24"/>
        </w:rPr>
        <w:t>合同价格、计量与支付</w:t>
      </w:r>
      <w:bookmarkEnd w:id="420"/>
    </w:p>
    <w:bookmarkEnd w:id="421"/>
    <w:bookmarkEnd w:id="422"/>
    <w:bookmarkEnd w:id="423"/>
    <w:bookmarkEnd w:id="424"/>
    <w:bookmarkEnd w:id="425"/>
    <w:bookmarkEnd w:id="426"/>
    <w:p w14:paraId="59020926">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bookmarkStart w:id="427" w:name="_Toc292559411"/>
      <w:bookmarkStart w:id="428" w:name="_Toc267251461"/>
      <w:bookmarkStart w:id="429" w:name="_Toc292559916"/>
      <w:bookmarkStart w:id="430" w:name="_Toc296891034"/>
      <w:bookmarkStart w:id="431" w:name="_Toc296891246"/>
      <w:bookmarkStart w:id="432" w:name="_Toc296347205"/>
      <w:bookmarkStart w:id="433" w:name="_Toc296944545"/>
      <w:bookmarkStart w:id="434" w:name="_Toc296346707"/>
      <w:bookmarkStart w:id="435" w:name="_Toc297120506"/>
      <w:bookmarkStart w:id="436" w:name="_Toc296503206"/>
      <w:bookmarkStart w:id="437" w:name="_Toc297048392"/>
      <w:bookmarkStart w:id="438" w:name="_Toc297216212"/>
      <w:bookmarkStart w:id="439" w:name="_Toc300935003"/>
      <w:bookmarkStart w:id="440" w:name="_Toc303539160"/>
      <w:bookmarkStart w:id="441" w:name="_Toc297123553"/>
      <w:bookmarkStart w:id="442" w:name="_Toc304295580"/>
      <w:bookmarkStart w:id="443" w:name="_Toc312678041"/>
      <w:r>
        <w:rPr>
          <w:rFonts w:hint="eastAsia" w:ascii="宋体" w:hAnsi="宋体" w:eastAsia="宋体" w:cs="宋体"/>
          <w:color w:val="000000"/>
          <w:sz w:val="24"/>
          <w:szCs w:val="24"/>
        </w:rPr>
        <w:t>12.1 合</w:t>
      </w:r>
      <w:bookmarkEnd w:id="427"/>
      <w:bookmarkEnd w:id="428"/>
      <w:bookmarkEnd w:id="429"/>
      <w:r>
        <w:rPr>
          <w:rFonts w:hint="eastAsia" w:ascii="宋体" w:hAnsi="宋体" w:eastAsia="宋体" w:cs="宋体"/>
          <w:color w:val="000000"/>
          <w:sz w:val="24"/>
          <w:szCs w:val="24"/>
        </w:rPr>
        <w:t>同价</w:t>
      </w:r>
      <w:bookmarkEnd w:id="430"/>
      <w:bookmarkEnd w:id="431"/>
      <w:bookmarkEnd w:id="432"/>
      <w:bookmarkEnd w:id="433"/>
      <w:bookmarkEnd w:id="434"/>
      <w:bookmarkEnd w:id="435"/>
      <w:bookmarkEnd w:id="436"/>
      <w:bookmarkEnd w:id="437"/>
      <w:r>
        <w:rPr>
          <w:rFonts w:hint="eastAsia" w:ascii="宋体" w:hAnsi="宋体" w:eastAsia="宋体" w:cs="宋体"/>
          <w:color w:val="000000"/>
          <w:sz w:val="24"/>
          <w:szCs w:val="24"/>
        </w:rPr>
        <w:t>格形式</w:t>
      </w:r>
    </w:p>
    <w:bookmarkEnd w:id="438"/>
    <w:bookmarkEnd w:id="439"/>
    <w:bookmarkEnd w:id="440"/>
    <w:bookmarkEnd w:id="441"/>
    <w:bookmarkEnd w:id="442"/>
    <w:bookmarkEnd w:id="443"/>
    <w:p w14:paraId="6D02DE9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14:paraId="750C30E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639AD1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4D0162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0998CF2">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14:paraId="0734167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43A84B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6479E5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6CF409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0C78CC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bookmarkStart w:id="444" w:name="_Toc304295581"/>
      <w:bookmarkStart w:id="445" w:name="_Toc297216213"/>
      <w:bookmarkStart w:id="446" w:name="_Toc312678042"/>
      <w:bookmarkStart w:id="447" w:name="_Toc300935004"/>
      <w:bookmarkStart w:id="448" w:name="_Toc297123554"/>
      <w:bookmarkStart w:id="449" w:name="_Toc303539161"/>
      <w:bookmarkStart w:id="450" w:name="_Toc296891247"/>
      <w:bookmarkStart w:id="451" w:name="_Toc296346708"/>
      <w:bookmarkStart w:id="452" w:name="_Toc296503207"/>
      <w:bookmarkStart w:id="453" w:name="_Toc296347206"/>
      <w:bookmarkStart w:id="454" w:name="_Toc292559917"/>
      <w:bookmarkStart w:id="455" w:name="_Toc292559412"/>
      <w:bookmarkStart w:id="456" w:name="_Toc297048393"/>
      <w:bookmarkStart w:id="457" w:name="_Toc296944546"/>
      <w:bookmarkStart w:id="458" w:name="_Toc296891035"/>
      <w:bookmarkStart w:id="459" w:name="_Toc297120507"/>
      <w:r>
        <w:rPr>
          <w:rFonts w:hint="eastAsia" w:ascii="宋体" w:hAnsi="宋体" w:eastAsia="宋体" w:cs="宋体"/>
          <w:color w:val="000000"/>
          <w:sz w:val="24"/>
          <w:szCs w:val="24"/>
        </w:rPr>
        <w:t>12.2 预付款</w:t>
      </w:r>
    </w:p>
    <w:bookmarkEnd w:id="444"/>
    <w:bookmarkEnd w:id="445"/>
    <w:bookmarkEnd w:id="446"/>
    <w:bookmarkEnd w:id="447"/>
    <w:bookmarkEnd w:id="448"/>
    <w:bookmarkEnd w:id="449"/>
    <w:p w14:paraId="014B526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14:paraId="15018DD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9B4F343">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6F55C88">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8928BCD">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73440C43">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97EF24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450"/>
    <w:bookmarkEnd w:id="451"/>
    <w:bookmarkEnd w:id="452"/>
    <w:bookmarkEnd w:id="453"/>
    <w:bookmarkEnd w:id="454"/>
    <w:bookmarkEnd w:id="455"/>
    <w:bookmarkEnd w:id="456"/>
    <w:bookmarkEnd w:id="457"/>
    <w:bookmarkEnd w:id="458"/>
    <w:bookmarkEnd w:id="459"/>
    <w:p w14:paraId="0B6737A0">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14:paraId="6A4045C2">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14:paraId="48998D43">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2019B95">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14:paraId="35F93E77">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476C36A">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14:paraId="6136EDF5">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3521A1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14:paraId="49A437E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FA3333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6E60C4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14:paraId="55891C35">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9B317FD">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14:paraId="0165B14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460" w:name="_Toc292559416"/>
      <w:bookmarkStart w:id="461" w:name="_Toc296503211"/>
      <w:bookmarkStart w:id="462" w:name="_Toc297120511"/>
      <w:bookmarkStart w:id="463" w:name="_Toc296347210"/>
      <w:bookmarkStart w:id="464" w:name="_Toc297048397"/>
      <w:bookmarkStart w:id="465" w:name="_Toc303539163"/>
      <w:bookmarkStart w:id="466" w:name="_Toc296346712"/>
      <w:bookmarkStart w:id="467" w:name="_Toc297216215"/>
      <w:bookmarkStart w:id="468" w:name="_Toc292559921"/>
      <w:bookmarkStart w:id="469" w:name="_Toc297123556"/>
      <w:bookmarkStart w:id="470" w:name="_Toc296891251"/>
      <w:bookmarkStart w:id="471" w:name="_Toc296944550"/>
      <w:bookmarkStart w:id="472" w:name="_Toc296891039"/>
      <w:bookmarkStart w:id="473" w:name="_Toc300935006"/>
      <w:r>
        <w:rPr>
          <w:rFonts w:hint="eastAsia" w:ascii="宋体" w:hAnsi="宋体" w:eastAsia="宋体" w:cs="宋体"/>
          <w:color w:val="000000"/>
          <w:sz w:val="24"/>
          <w:szCs w:val="24"/>
        </w:rPr>
        <w:t>12.4.1 付款周期</w:t>
      </w:r>
    </w:p>
    <w:p w14:paraId="369F5738">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rPr>
        <w:t>关于付款周期的约定：</w:t>
      </w:r>
      <w:r>
        <w:rPr>
          <w:rFonts w:hint="eastAsia" w:ascii="宋体" w:hAnsi="宋体" w:eastAsia="宋体" w:cs="宋体"/>
          <w:b/>
          <w:bCs/>
          <w:color w:val="000000"/>
          <w:sz w:val="24"/>
          <w:szCs w:val="24"/>
          <w:highlight w:val="none"/>
          <w:u w:val="single"/>
          <w:shd w:val="clear"/>
          <w:lang w:val="en-US" w:eastAsia="zh-CN"/>
        </w:rPr>
        <w:t xml:space="preserve">                                 </w:t>
      </w:r>
    </w:p>
    <w:p w14:paraId="536EA3D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14:paraId="05B8F1F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61A191A">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color w:val="000000"/>
          <w:sz w:val="24"/>
          <w:szCs w:val="24"/>
        </w:rPr>
        <w:t>2.4.3 进度付款申请单的提交</w:t>
      </w:r>
    </w:p>
    <w:p w14:paraId="3C1F4C7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7E4482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7E69C8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8BA8EA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14:paraId="00A431E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C5E048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FBC7BF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B08CC7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发包人逾期支付进度款的违约金的计算方式：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A8D6D6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14:paraId="6D0F4B3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25E1BC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303"/>
    <w:p w14:paraId="4AFE3258">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474" w:name="_Toc351203645"/>
      <w:bookmarkStart w:id="475" w:name="_Toc297120519"/>
      <w:bookmarkStart w:id="476" w:name="_Toc312678053"/>
      <w:bookmarkStart w:id="477" w:name="_Toc303539172"/>
      <w:bookmarkStart w:id="478" w:name="_Toc292559929"/>
      <w:bookmarkStart w:id="479" w:name="_Toc300935015"/>
      <w:bookmarkStart w:id="480" w:name="_Toc297216223"/>
      <w:bookmarkStart w:id="481" w:name="_Toc296347218"/>
      <w:bookmarkStart w:id="482" w:name="_Toc296944558"/>
      <w:bookmarkStart w:id="483" w:name="_Toc296891259"/>
      <w:bookmarkStart w:id="484" w:name="_Toc296503219"/>
      <w:bookmarkStart w:id="485" w:name="_Toc297123564"/>
      <w:bookmarkStart w:id="486" w:name="_Toc304295593"/>
      <w:bookmarkStart w:id="487" w:name="_Toc296346720"/>
      <w:bookmarkStart w:id="488" w:name="_Toc292559424"/>
      <w:bookmarkStart w:id="489" w:name="_Toc296891047"/>
      <w:bookmarkStart w:id="490" w:name="_Toc297048405"/>
      <w:r>
        <w:rPr>
          <w:rFonts w:hint="eastAsia" w:ascii="宋体" w:hAnsi="宋体" w:eastAsia="宋体" w:cs="宋体"/>
          <w:color w:val="000000"/>
          <w:sz w:val="24"/>
          <w:szCs w:val="24"/>
        </w:rPr>
        <w:t>13. 验收和工程试车</w:t>
      </w:r>
      <w:bookmarkEnd w:id="474"/>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14:paraId="46A2E2C9">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14:paraId="52B9982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14:paraId="31A9B77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b/>
          <w:color w:val="000000"/>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14:paraId="58AE96EC">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bookmarkStart w:id="491" w:name="_Toc304295596"/>
      <w:bookmarkStart w:id="492" w:name="_Toc296347222"/>
      <w:bookmarkStart w:id="493" w:name="_Toc303539173"/>
      <w:bookmarkStart w:id="494" w:name="_Toc297048409"/>
      <w:bookmarkStart w:id="495" w:name="_Toc296346724"/>
      <w:bookmarkStart w:id="496" w:name="_Toc296944562"/>
      <w:bookmarkStart w:id="497" w:name="_Toc296891263"/>
      <w:bookmarkStart w:id="498" w:name="_Toc300935016"/>
      <w:bookmarkStart w:id="499" w:name="_Toc292559428"/>
      <w:bookmarkStart w:id="500" w:name="_Toc292559933"/>
      <w:bookmarkStart w:id="501" w:name="_Toc297123565"/>
      <w:bookmarkStart w:id="502" w:name="_Toc296503223"/>
      <w:bookmarkStart w:id="503" w:name="_Toc297216224"/>
      <w:bookmarkStart w:id="504" w:name="_Toc296891051"/>
      <w:bookmarkStart w:id="505" w:name="_Toc297120523"/>
      <w:bookmarkStart w:id="506" w:name="_Toc312678056"/>
      <w:bookmarkStart w:id="507" w:name="_Toc267251473"/>
      <w:bookmarkStart w:id="508" w:name="_Toc267251470"/>
      <w:bookmarkStart w:id="509" w:name="_Toc267251475"/>
      <w:bookmarkStart w:id="510" w:name="_Toc267251476"/>
      <w:bookmarkStart w:id="511" w:name="_Toc267251471"/>
      <w:bookmarkStart w:id="512" w:name="_Toc267251474"/>
      <w:bookmarkStart w:id="513" w:name="_Toc267251472"/>
      <w:r>
        <w:rPr>
          <w:rFonts w:hint="eastAsia" w:ascii="宋体" w:hAnsi="宋体" w:eastAsia="宋体" w:cs="宋体"/>
          <w:color w:val="000000"/>
          <w:sz w:val="24"/>
          <w:szCs w:val="24"/>
        </w:rPr>
        <w:t>13.2 竣工验收</w:t>
      </w:r>
    </w:p>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14:paraId="33A11F38">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514" w:name="_Toc280868704"/>
      <w:bookmarkStart w:id="515" w:name="_Toc280868705"/>
      <w:bookmarkStart w:id="516" w:name="_Toc280868706"/>
      <w:bookmarkStart w:id="517" w:name="_Toc280868707"/>
      <w:bookmarkStart w:id="518" w:name="_Toc280868708"/>
      <w:bookmarkStart w:id="519" w:name="_Toc280868709"/>
      <w:r>
        <w:rPr>
          <w:rFonts w:hint="eastAsia" w:ascii="宋体" w:hAnsi="宋体" w:eastAsia="宋体" w:cs="宋体"/>
          <w:color w:val="000000"/>
          <w:sz w:val="24"/>
          <w:szCs w:val="24"/>
        </w:rPr>
        <w:t>13.2.2竣工验收程序</w:t>
      </w:r>
    </w:p>
    <w:bookmarkEnd w:id="514"/>
    <w:p w14:paraId="008555F5">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D778FA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515"/>
    <w:p w14:paraId="67464A6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516"/>
    <w:p w14:paraId="04C1BD52">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6A797F3">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517"/>
    <w:p w14:paraId="763B6903">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A9C690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518"/>
    <w:p w14:paraId="03139058">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14:paraId="2A5F316B">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129D7F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14:paraId="6715352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14:paraId="0C7EE609">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4F0357F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25A125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13.6 竣工退场</w:t>
      </w:r>
    </w:p>
    <w:p w14:paraId="335B5BC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5AA5E97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07368A5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520" w:name="_Toc351203646"/>
      <w:r>
        <w:rPr>
          <w:rFonts w:hint="eastAsia" w:ascii="宋体" w:hAnsi="宋体" w:eastAsia="宋体" w:cs="宋体"/>
          <w:color w:val="000000"/>
          <w:sz w:val="24"/>
          <w:szCs w:val="24"/>
        </w:rPr>
        <w:t>14. 竣工结算</w:t>
      </w:r>
      <w:bookmarkEnd w:id="520"/>
    </w:p>
    <w:p w14:paraId="5F36BEE3">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14:paraId="70FE3E27">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承包人提交竣工结算申请单的期限：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97AF40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竣工</w:t>
      </w:r>
      <w:r>
        <w:rPr>
          <w:rFonts w:hint="eastAsia" w:ascii="宋体" w:hAnsi="宋体" w:eastAsia="宋体" w:cs="宋体"/>
          <w:sz w:val="24"/>
          <w:szCs w:val="24"/>
        </w:rPr>
        <w:t>结算</w:t>
      </w:r>
      <w:r>
        <w:rPr>
          <w:rFonts w:hint="eastAsia" w:ascii="宋体" w:hAnsi="宋体" w:eastAsia="宋体" w:cs="宋体"/>
          <w:color w:val="000000"/>
          <w:sz w:val="24"/>
          <w:szCs w:val="24"/>
        </w:rPr>
        <w:t>申请单应包括的内容：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2D15B9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14:paraId="0701D09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2592CDA">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发包人完成竣工付款的期限：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3C1DAC7">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关于竣工付款证书异议部分复核的方式和程序：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282D28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14:paraId="379DCCD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43951EF9">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B00C10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 xml:space="preserve"> </w:t>
      </w:r>
    </w:p>
    <w:p w14:paraId="75796A1D">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198F5CD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A15E60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507"/>
    <w:bookmarkEnd w:id="508"/>
    <w:bookmarkEnd w:id="509"/>
    <w:bookmarkEnd w:id="510"/>
    <w:bookmarkEnd w:id="511"/>
    <w:bookmarkEnd w:id="512"/>
    <w:bookmarkEnd w:id="513"/>
    <w:bookmarkEnd w:id="519"/>
    <w:p w14:paraId="1C8BDDF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521" w:name="_Toc351203647"/>
      <w:bookmarkStart w:id="522" w:name="_Toc267251483"/>
      <w:bookmarkStart w:id="523" w:name="_Toc267251482"/>
      <w:bookmarkStart w:id="524" w:name="_Toc267251484"/>
      <w:bookmarkStart w:id="525" w:name="_Toc267251485"/>
      <w:bookmarkStart w:id="526" w:name="_Toc267251489"/>
      <w:bookmarkStart w:id="527" w:name="_Toc267251486"/>
      <w:bookmarkStart w:id="528" w:name="_Toc267251488"/>
      <w:bookmarkStart w:id="529" w:name="_Toc267251490"/>
      <w:bookmarkStart w:id="530" w:name="_Toc267251497"/>
      <w:bookmarkStart w:id="531" w:name="_Toc267251501"/>
      <w:bookmarkStart w:id="532" w:name="_Toc267251493"/>
      <w:bookmarkStart w:id="533" w:name="_Toc267251491"/>
      <w:bookmarkStart w:id="534" w:name="_Toc267251495"/>
      <w:bookmarkStart w:id="535" w:name="_Toc267251494"/>
      <w:bookmarkStart w:id="536" w:name="_Toc267251496"/>
      <w:bookmarkStart w:id="537" w:name="_Toc267251502"/>
      <w:bookmarkStart w:id="538" w:name="_Toc267251498"/>
      <w:bookmarkStart w:id="539" w:name="_Toc267251499"/>
      <w:bookmarkStart w:id="540" w:name="_Toc267251503"/>
      <w:bookmarkStart w:id="541" w:name="_Toc267251492"/>
      <w:bookmarkStart w:id="542" w:name="_Toc267251506"/>
      <w:bookmarkStart w:id="543" w:name="_Toc267251504"/>
      <w:bookmarkStart w:id="544" w:name="_Toc267251507"/>
      <w:bookmarkStart w:id="545" w:name="_Toc267251508"/>
      <w:bookmarkStart w:id="546" w:name="_Toc267251514"/>
      <w:bookmarkStart w:id="547" w:name="_Toc267251515"/>
      <w:bookmarkStart w:id="548" w:name="_Toc267251513"/>
      <w:bookmarkStart w:id="549" w:name="_Toc267251509"/>
      <w:bookmarkStart w:id="550" w:name="_Toc267251511"/>
      <w:bookmarkStart w:id="551" w:name="_Toc267251510"/>
      <w:r>
        <w:rPr>
          <w:rFonts w:hint="eastAsia" w:ascii="宋体" w:hAnsi="宋体" w:eastAsia="宋体" w:cs="宋体"/>
          <w:color w:val="000000"/>
          <w:sz w:val="24"/>
          <w:szCs w:val="24"/>
        </w:rPr>
        <w:t>15. 缺陷责任期与保修</w:t>
      </w:r>
      <w:bookmarkEnd w:id="521"/>
    </w:p>
    <w:p w14:paraId="3542C57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522"/>
    </w:p>
    <w:p w14:paraId="7A2D89A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5E976B6">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14:paraId="5AE18FA9">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B1114E9">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14:paraId="23D5D3F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14:paraId="14CA5F03">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w:t>
      </w:r>
    </w:p>
    <w:p w14:paraId="45A9826C">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 xml:space="preserve">   3   </w:t>
      </w:r>
      <w:r>
        <w:rPr>
          <w:rFonts w:hint="eastAsia" w:ascii="宋体" w:hAnsi="宋体" w:eastAsia="宋体" w:cs="宋体"/>
          <w:color w:val="000000"/>
          <w:kern w:val="0"/>
          <w:sz w:val="24"/>
          <w:szCs w:val="24"/>
        </w:rPr>
        <w:t>%的工程款；</w:t>
      </w:r>
    </w:p>
    <w:p w14:paraId="59073287">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69469FF7">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14:paraId="21AEE742">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14:paraId="27E8A16F">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14:paraId="4BDDBEB3">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14:paraId="5F19558F">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71DB52B3">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523"/>
    <w:bookmarkEnd w:id="524"/>
    <w:p w14:paraId="1CD512D1">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525"/>
    <w:p w14:paraId="000F26D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14:paraId="32C35FAD">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工程保修期为：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7650857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14:paraId="2DF939F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w:t>
      </w:r>
      <w:r>
        <w:rPr>
          <w:rFonts w:hint="eastAsia" w:ascii="宋体" w:hAnsi="宋体" w:eastAsia="宋体" w:cs="宋体"/>
          <w:color w:val="000000"/>
          <w:kern w:val="0"/>
          <w:sz w:val="24"/>
          <w:szCs w:val="24"/>
        </w:rPr>
        <w:t>收到保修通知并到达工程现场的合理时间：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526"/>
    <w:bookmarkEnd w:id="527"/>
    <w:bookmarkEnd w:id="528"/>
    <w:bookmarkEnd w:id="529"/>
    <w:p w14:paraId="4BA1EE8A">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552" w:name="_Toc351203648"/>
      <w:bookmarkStart w:id="553" w:name="_Toc280868717"/>
      <w:bookmarkStart w:id="554" w:name="_Toc280868718"/>
      <w:r>
        <w:rPr>
          <w:rFonts w:hint="eastAsia" w:ascii="宋体" w:hAnsi="宋体" w:eastAsia="宋体" w:cs="宋体"/>
          <w:color w:val="000000"/>
          <w:sz w:val="24"/>
          <w:szCs w:val="24"/>
        </w:rPr>
        <w:t>16. 违约</w:t>
      </w:r>
      <w:bookmarkEnd w:id="552"/>
    </w:p>
    <w:p w14:paraId="2E2CC7D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14:paraId="38EAACA1">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14:paraId="77ADE36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ADCF3F9">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16.1.2 发包人违约的责任</w:t>
      </w:r>
    </w:p>
    <w:p w14:paraId="4FB0D86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14:paraId="02CB54AD">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（1）因发包人原因未能在计划开工日期前7天内下达开工通知的违约责任：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B885862">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401CE53A">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7797CAF9">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F19580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60EBFCB">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7D3B78D">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（7）其他：</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43F3731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14:paraId="5C47B897">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承包人按16.1.1项〔发包人违约的情形〕约定暂停施工满</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天后发包人仍不纠正其违约行为并致使合同目的不能实现的，承包人有权解除合同。</w:t>
      </w:r>
    </w:p>
    <w:p w14:paraId="6E73446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14:paraId="60D601C2">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14:paraId="24C025BA">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承包人违约的其他情形：</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77FD426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16.2.2承包人违约的责任</w:t>
      </w:r>
    </w:p>
    <w:p w14:paraId="1619431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承包人违约责任的承担方式和计算方法：</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2E84466B">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14:paraId="027BA184">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关于承包人违约解除合同的特别约定：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1AA7E36C">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发包人继续使用承包人在施工现场的材料、设备、临时工程、承包人文件和由承包人或以其名义编制的其他文件的费用承担式：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2DE0F878">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555" w:name="_Toc351203649"/>
      <w:r>
        <w:rPr>
          <w:rFonts w:hint="eastAsia" w:ascii="宋体" w:hAnsi="宋体" w:eastAsia="宋体" w:cs="宋体"/>
          <w:color w:val="000000"/>
          <w:sz w:val="24"/>
          <w:szCs w:val="24"/>
        </w:rPr>
        <w:t>17. 不可抗力</w:t>
      </w:r>
      <w:bookmarkEnd w:id="555"/>
      <w:r>
        <w:rPr>
          <w:rFonts w:hint="eastAsia" w:ascii="宋体" w:hAnsi="宋体" w:eastAsia="宋体" w:cs="宋体"/>
          <w:color w:val="000000"/>
          <w:sz w:val="24"/>
          <w:szCs w:val="24"/>
        </w:rPr>
        <w:t xml:space="preserve"> </w:t>
      </w:r>
      <w:bookmarkEnd w:id="553"/>
    </w:p>
    <w:p w14:paraId="793EC57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14:paraId="069B28D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 xml:space="preserve">除通用合同条款约定的不可抗力事件之外，视为不可抗力的其他情形：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19098E8">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14:paraId="2BB4306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天内完成款项的支付。</w:t>
      </w:r>
    </w:p>
    <w:p w14:paraId="6B100BE7">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556" w:name="_Toc351203650"/>
      <w:r>
        <w:rPr>
          <w:rFonts w:hint="eastAsia" w:ascii="宋体" w:hAnsi="宋体" w:eastAsia="宋体" w:cs="宋体"/>
          <w:color w:val="000000"/>
          <w:sz w:val="24"/>
          <w:szCs w:val="24"/>
        </w:rPr>
        <w:t>18. 保险</w:t>
      </w:r>
      <w:bookmarkEnd w:id="556"/>
    </w:p>
    <w:bookmarkEnd w:id="554"/>
    <w:p w14:paraId="34656CAE">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14:paraId="6DCE904C">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62ECBF5F">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18.3 其他保险</w:t>
      </w:r>
    </w:p>
    <w:p w14:paraId="078C713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045C9F65">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916DC62">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14:paraId="7CA369D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530"/>
    <w:bookmarkEnd w:id="531"/>
    <w:bookmarkEnd w:id="532"/>
    <w:bookmarkEnd w:id="533"/>
    <w:bookmarkEnd w:id="534"/>
    <w:bookmarkEnd w:id="535"/>
    <w:bookmarkEnd w:id="536"/>
    <w:bookmarkEnd w:id="537"/>
    <w:bookmarkEnd w:id="538"/>
    <w:bookmarkEnd w:id="539"/>
    <w:bookmarkEnd w:id="540"/>
    <w:bookmarkEnd w:id="541"/>
    <w:p w14:paraId="6A252CD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bookmarkStart w:id="557" w:name="_Toc351203651"/>
      <w:r>
        <w:rPr>
          <w:rFonts w:hint="eastAsia" w:ascii="宋体" w:hAnsi="宋体" w:eastAsia="宋体" w:cs="宋体"/>
          <w:color w:val="000000"/>
          <w:sz w:val="24"/>
          <w:szCs w:val="24"/>
        </w:rPr>
        <w:t>20. 争议解决</w:t>
      </w:r>
      <w:bookmarkEnd w:id="557"/>
    </w:p>
    <w:bookmarkEnd w:id="542"/>
    <w:bookmarkEnd w:id="543"/>
    <w:p w14:paraId="7BD16126">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20.3 争</w:t>
      </w:r>
      <w:bookmarkEnd w:id="544"/>
      <w:r>
        <w:rPr>
          <w:rFonts w:hint="eastAsia" w:ascii="宋体" w:hAnsi="宋体" w:eastAsia="宋体" w:cs="宋体"/>
          <w:color w:val="000000"/>
          <w:sz w:val="24"/>
          <w:szCs w:val="24"/>
        </w:rPr>
        <w:t>议评审</w:t>
      </w:r>
    </w:p>
    <w:p w14:paraId="3B0F0A82">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F7340B5">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14:paraId="035477DE">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BC43265">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FFFFE6F">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AA37005">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F016801">
      <w:pPr>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14:paraId="2A7ADD10">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777F4C5">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20.4仲裁或诉讼</w:t>
      </w:r>
      <w:bookmarkEnd w:id="545"/>
    </w:p>
    <w:p w14:paraId="62937B18">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14:paraId="7BE63434">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（1）向      安阳        仲裁委员会申请仲裁；</w:t>
      </w:r>
    </w:p>
    <w:p w14:paraId="4B5553D6">
      <w:pPr>
        <w:keepNext w:val="0"/>
        <w:keepLines w:val="0"/>
        <w:pageBreakBefore w:val="0"/>
        <w:widowControl/>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（2）向                     人民法院起诉。</w:t>
      </w:r>
      <w:bookmarkEnd w:id="546"/>
      <w:bookmarkEnd w:id="547"/>
      <w:bookmarkEnd w:id="548"/>
      <w:bookmarkEnd w:id="549"/>
      <w:bookmarkEnd w:id="550"/>
      <w:bookmarkEnd w:id="551"/>
      <w:bookmarkStart w:id="558" w:name="_bookmark6"/>
      <w:bookmarkEnd w:id="558"/>
      <w:bookmarkStart w:id="559" w:name="_Toc31482"/>
    </w:p>
    <w:p w14:paraId="1C3EF4FB">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09177689">
      <w:pPr>
        <w:bidi w:val="0"/>
        <w:jc w:val="center"/>
        <w:rPr>
          <w:rFonts w:hint="eastAsia" w:ascii="宋体" w:hAnsi="宋体" w:eastAsia="宋体" w:cs="宋体"/>
          <w:sz w:val="36"/>
          <w:szCs w:val="36"/>
        </w:rPr>
      </w:pPr>
      <w:r>
        <w:rPr>
          <w:rFonts w:hint="eastAsia" w:ascii="宋体" w:hAnsi="宋体" w:eastAsia="宋体" w:cs="宋体"/>
          <w:spacing w:val="-3"/>
          <w:sz w:val="36"/>
          <w:szCs w:val="36"/>
          <w14:textOutline w14:w="6531" w14:cap="flat" w14:cmpd="sng">
            <w14:solidFill>
              <w14:srgbClr w14:val="000000"/>
            </w14:solidFill>
            <w14:prstDash w14:val="solid"/>
            <w14:miter w14:val="0"/>
          </w14:textOutline>
        </w:rPr>
        <w:t>第六章</w:t>
      </w:r>
      <w:r>
        <w:rPr>
          <w:rFonts w:hint="eastAsia" w:ascii="宋体" w:hAnsi="宋体" w:eastAsia="宋体" w:cs="宋体"/>
          <w:spacing w:val="3"/>
          <w:sz w:val="36"/>
          <w:szCs w:val="36"/>
        </w:rPr>
        <w:t xml:space="preserve">  </w:t>
      </w:r>
      <w:r>
        <w:rPr>
          <w:rFonts w:hint="eastAsia" w:ascii="宋体" w:hAnsi="宋体" w:eastAsia="宋体" w:cs="宋体"/>
          <w:spacing w:val="-3"/>
          <w:sz w:val="36"/>
          <w:szCs w:val="36"/>
          <w14:textOutline w14:w="6531" w14:cap="flat" w14:cmpd="sng">
            <w14:solidFill>
              <w14:srgbClr w14:val="000000"/>
            </w14:solidFill>
            <w14:prstDash w14:val="solid"/>
            <w14:miter w14:val="0"/>
          </w14:textOutline>
        </w:rPr>
        <w:t>《响应文件》格式</w:t>
      </w:r>
      <w:bookmarkEnd w:id="559"/>
    </w:p>
    <w:p w14:paraId="16DE711D">
      <w:pPr>
        <w:keepNext w:val="0"/>
        <w:keepLines w:val="0"/>
        <w:pageBreakBefore w:val="0"/>
        <w:widowControl/>
        <w:kinsoku/>
        <w:wordWrap/>
        <w:overflowPunct/>
        <w:topLinePunct w:val="0"/>
        <w:autoSpaceDE w:val="0"/>
        <w:autoSpaceDN w:val="0"/>
        <w:bidi w:val="0"/>
        <w:adjustRightInd w:val="0"/>
        <w:snapToGrid w:val="0"/>
        <w:spacing w:line="241" w:lineRule="auto"/>
        <w:outlineLvl w:val="9"/>
        <w:rPr>
          <w:rFonts w:hint="eastAsia" w:ascii="宋体" w:hAnsi="宋体" w:eastAsia="宋体" w:cs="宋体"/>
          <w:sz w:val="21"/>
        </w:rPr>
      </w:pPr>
    </w:p>
    <w:p w14:paraId="27D9C18F">
      <w:pPr>
        <w:keepNext w:val="0"/>
        <w:keepLines w:val="0"/>
        <w:pageBreakBefore w:val="0"/>
        <w:widowControl/>
        <w:kinsoku/>
        <w:wordWrap/>
        <w:overflowPunct/>
        <w:topLinePunct w:val="0"/>
        <w:autoSpaceDE w:val="0"/>
        <w:autoSpaceDN w:val="0"/>
        <w:bidi w:val="0"/>
        <w:adjustRightInd w:val="0"/>
        <w:snapToGrid w:val="0"/>
        <w:spacing w:line="242" w:lineRule="auto"/>
        <w:outlineLvl w:val="9"/>
        <w:rPr>
          <w:rFonts w:hint="eastAsia" w:ascii="宋体" w:hAnsi="宋体" w:eastAsia="宋体" w:cs="宋体"/>
          <w:sz w:val="21"/>
        </w:rPr>
      </w:pPr>
    </w:p>
    <w:p w14:paraId="02B3CCCD">
      <w:pPr>
        <w:keepNext w:val="0"/>
        <w:keepLines w:val="0"/>
        <w:pageBreakBefore w:val="0"/>
        <w:widowControl/>
        <w:kinsoku/>
        <w:wordWrap/>
        <w:overflowPunct/>
        <w:topLinePunct w:val="0"/>
        <w:autoSpaceDE w:val="0"/>
        <w:autoSpaceDN w:val="0"/>
        <w:bidi w:val="0"/>
        <w:adjustRightInd w:val="0"/>
        <w:snapToGrid w:val="0"/>
        <w:spacing w:before="69" w:line="302" w:lineRule="auto"/>
        <w:ind w:firstLine="514"/>
        <w:outlineLvl w:val="9"/>
        <w:rPr>
          <w:rFonts w:hint="eastAsia" w:ascii="宋体" w:hAnsi="宋体" w:eastAsia="宋体" w:cs="宋体"/>
          <w:sz w:val="36"/>
          <w:szCs w:val="36"/>
          <w:lang w:eastAsia="zh-CN"/>
        </w:rPr>
      </w:pPr>
      <w:r>
        <w:rPr>
          <w:rFonts w:hint="eastAsia" w:ascii="宋体" w:hAnsi="宋体" w:eastAsia="宋体" w:cs="宋体"/>
          <w:spacing w:val="-4"/>
          <w:sz w:val="21"/>
          <w:szCs w:val="21"/>
        </w:rPr>
        <w:t>投标人应按“投标人须知--《响应文件》的组成”列示内容编制《响应文件》，本章“《响应文件》</w:t>
      </w:r>
      <w:r>
        <w:rPr>
          <w:rFonts w:hint="eastAsia" w:ascii="宋体" w:hAnsi="宋体" w:eastAsia="宋体" w:cs="宋体"/>
          <w:sz w:val="21"/>
          <w:szCs w:val="21"/>
        </w:rPr>
        <w:t xml:space="preserve"> </w:t>
      </w:r>
      <w:r>
        <w:rPr>
          <w:rFonts w:hint="eastAsia" w:ascii="宋体" w:hAnsi="宋体" w:eastAsia="宋体" w:cs="宋体"/>
          <w:spacing w:val="-1"/>
          <w:sz w:val="21"/>
          <w:szCs w:val="21"/>
        </w:rPr>
        <w:t>格式”仅为对《响应文件》部分内容的格式化规范，并非《响应文件》所应具备的全部内容</w:t>
      </w:r>
      <w:r>
        <w:rPr>
          <w:rFonts w:hint="eastAsia" w:ascii="宋体" w:hAnsi="宋体" w:eastAsia="宋体" w:cs="宋体"/>
          <w:spacing w:val="-1"/>
          <w:sz w:val="36"/>
          <w:szCs w:val="36"/>
          <w:lang w:eastAsia="zh-CN"/>
        </w:rPr>
        <w:t>。</w:t>
      </w:r>
    </w:p>
    <w:p w14:paraId="598BC048">
      <w:pPr>
        <w:keepNext w:val="0"/>
        <w:keepLines w:val="0"/>
        <w:pageBreakBefore w:val="0"/>
        <w:widowControl/>
        <w:kinsoku/>
        <w:wordWrap/>
        <w:overflowPunct/>
        <w:topLinePunct w:val="0"/>
        <w:autoSpaceDE w:val="0"/>
        <w:autoSpaceDN w:val="0"/>
        <w:bidi w:val="0"/>
        <w:adjustRightInd w:val="0"/>
        <w:snapToGrid w:val="0"/>
        <w:spacing w:line="284" w:lineRule="auto"/>
        <w:outlineLvl w:val="9"/>
        <w:rPr>
          <w:rFonts w:hint="eastAsia" w:ascii="宋体" w:hAnsi="宋体" w:eastAsia="宋体" w:cs="宋体"/>
          <w:sz w:val="21"/>
        </w:rPr>
      </w:pPr>
    </w:p>
    <w:p w14:paraId="03CC393D">
      <w:pPr>
        <w:keepNext w:val="0"/>
        <w:keepLines w:val="0"/>
        <w:pageBreakBefore w:val="0"/>
        <w:widowControl/>
        <w:kinsoku/>
        <w:wordWrap/>
        <w:overflowPunct/>
        <w:topLinePunct w:val="0"/>
        <w:autoSpaceDE w:val="0"/>
        <w:autoSpaceDN w:val="0"/>
        <w:bidi w:val="0"/>
        <w:adjustRightInd w:val="0"/>
        <w:snapToGrid w:val="0"/>
        <w:spacing w:line="285" w:lineRule="auto"/>
        <w:outlineLvl w:val="9"/>
        <w:rPr>
          <w:rFonts w:hint="eastAsia" w:ascii="宋体" w:hAnsi="宋体" w:eastAsia="宋体" w:cs="宋体"/>
          <w:sz w:val="21"/>
        </w:rPr>
      </w:pPr>
    </w:p>
    <w:p w14:paraId="563BF80A">
      <w:pPr>
        <w:keepNext w:val="0"/>
        <w:keepLines w:val="0"/>
        <w:pageBreakBefore w:val="0"/>
        <w:widowControl/>
        <w:kinsoku/>
        <w:wordWrap/>
        <w:overflowPunct/>
        <w:topLinePunct w:val="0"/>
        <w:autoSpaceDE w:val="0"/>
        <w:autoSpaceDN w:val="0"/>
        <w:bidi w:val="0"/>
        <w:adjustRightInd w:val="0"/>
        <w:snapToGrid w:val="0"/>
        <w:spacing w:line="285" w:lineRule="auto"/>
        <w:outlineLvl w:val="9"/>
        <w:rPr>
          <w:rFonts w:hint="eastAsia" w:ascii="宋体" w:hAnsi="宋体" w:eastAsia="宋体" w:cs="宋体"/>
          <w:sz w:val="21"/>
        </w:rPr>
      </w:pPr>
    </w:p>
    <w:p w14:paraId="63A08AED">
      <w:pPr>
        <w:keepNext w:val="0"/>
        <w:keepLines w:val="0"/>
        <w:pageBreakBefore w:val="0"/>
        <w:widowControl/>
        <w:kinsoku/>
        <w:wordWrap/>
        <w:overflowPunct/>
        <w:topLinePunct w:val="0"/>
        <w:autoSpaceDE w:val="0"/>
        <w:autoSpaceDN w:val="0"/>
        <w:bidi w:val="0"/>
        <w:adjustRightInd w:val="0"/>
        <w:snapToGrid w:val="0"/>
        <w:spacing w:line="285" w:lineRule="auto"/>
        <w:outlineLvl w:val="9"/>
        <w:rPr>
          <w:rFonts w:hint="eastAsia" w:ascii="宋体" w:hAnsi="宋体" w:eastAsia="宋体" w:cs="宋体"/>
          <w:sz w:val="21"/>
        </w:rPr>
      </w:pPr>
    </w:p>
    <w:p w14:paraId="065989D6">
      <w:pPr>
        <w:keepNext w:val="0"/>
        <w:keepLines w:val="0"/>
        <w:pageBreakBefore w:val="0"/>
        <w:widowControl/>
        <w:tabs>
          <w:tab w:val="left" w:pos="5031"/>
        </w:tabs>
        <w:kinsoku/>
        <w:wordWrap/>
        <w:overflowPunct/>
        <w:topLinePunct w:val="0"/>
        <w:autoSpaceDE w:val="0"/>
        <w:autoSpaceDN w:val="0"/>
        <w:bidi w:val="0"/>
        <w:adjustRightInd w:val="0"/>
        <w:snapToGrid w:val="0"/>
        <w:spacing w:before="117" w:line="189" w:lineRule="auto"/>
        <w:ind w:firstLine="2727"/>
        <w:outlineLvl w:val="9"/>
        <w:rPr>
          <w:rFonts w:hint="eastAsia" w:ascii="宋体" w:hAnsi="宋体" w:eastAsia="宋体" w:cs="宋体"/>
          <w:sz w:val="36"/>
          <w:szCs w:val="36"/>
        </w:rPr>
      </w:pPr>
      <w:r>
        <w:rPr>
          <w:rFonts w:hint="eastAsia" w:ascii="宋体" w:hAnsi="宋体" w:eastAsia="宋体" w:cs="宋体"/>
          <w:sz w:val="21"/>
          <w:szCs w:val="21"/>
          <w:u w:val="single" w:color="auto"/>
        </w:rPr>
        <w:tab/>
      </w:r>
      <w:r>
        <w:rPr>
          <w:rFonts w:hint="eastAsia" w:ascii="宋体" w:hAnsi="宋体" w:eastAsia="宋体" w:cs="宋体"/>
          <w:spacing w:val="-33"/>
          <w:sz w:val="36"/>
          <w:szCs w:val="36"/>
          <w14:textOutline w14:w="6531" w14:cap="flat" w14:cmpd="sng">
            <w14:solidFill>
              <w14:srgbClr w14:val="000000"/>
            </w14:solidFill>
            <w14:prstDash w14:val="solid"/>
            <w14:miter w14:val="0"/>
          </w14:textOutline>
        </w:rPr>
        <w:t>（项目名称）</w:t>
      </w:r>
    </w:p>
    <w:p w14:paraId="65707B51">
      <w:pPr>
        <w:keepNext w:val="0"/>
        <w:keepLines w:val="0"/>
        <w:pageBreakBefore w:val="0"/>
        <w:widowControl/>
        <w:kinsoku/>
        <w:wordWrap/>
        <w:overflowPunct/>
        <w:topLinePunct w:val="0"/>
        <w:autoSpaceDE w:val="0"/>
        <w:autoSpaceDN w:val="0"/>
        <w:bidi w:val="0"/>
        <w:adjustRightInd w:val="0"/>
        <w:snapToGrid w:val="0"/>
        <w:spacing w:before="313" w:line="189" w:lineRule="auto"/>
        <w:ind w:firstLine="2715" w:firstLineChars="1500"/>
        <w:outlineLvl w:val="9"/>
        <w:rPr>
          <w:rFonts w:hint="eastAsia" w:ascii="宋体" w:hAnsi="宋体" w:eastAsia="宋体" w:cs="宋体"/>
          <w:sz w:val="24"/>
          <w:szCs w:val="24"/>
        </w:rPr>
      </w:pPr>
      <w:r>
        <w:rPr>
          <w:rFonts w:hint="eastAsia" w:ascii="宋体" w:hAnsi="宋体" w:eastAsia="宋体" w:cs="宋体"/>
          <w:spacing w:val="-22"/>
          <w:w w:val="94"/>
          <w:sz w:val="24"/>
          <w:szCs w:val="24"/>
        </w:rPr>
        <w:t>项目编号：</w:t>
      </w:r>
      <w:r>
        <w:rPr>
          <w:rFonts w:hint="eastAsia" w:ascii="宋体" w:hAnsi="宋体" w:eastAsia="宋体" w:cs="宋体"/>
          <w:sz w:val="24"/>
          <w:szCs w:val="24"/>
          <w:u w:val="single" w:color="auto"/>
        </w:rPr>
        <w:t xml:space="preserve">              </w:t>
      </w:r>
    </w:p>
    <w:p w14:paraId="474DE5A6">
      <w:pPr>
        <w:keepNext w:val="0"/>
        <w:keepLines w:val="0"/>
        <w:pageBreakBefore w:val="0"/>
        <w:widowControl/>
        <w:kinsoku/>
        <w:wordWrap/>
        <w:overflowPunct/>
        <w:topLinePunct w:val="0"/>
        <w:autoSpaceDE w:val="0"/>
        <w:autoSpaceDN w:val="0"/>
        <w:bidi w:val="0"/>
        <w:adjustRightInd w:val="0"/>
        <w:snapToGrid w:val="0"/>
        <w:spacing w:line="245" w:lineRule="auto"/>
        <w:outlineLvl w:val="9"/>
        <w:rPr>
          <w:rFonts w:hint="eastAsia" w:ascii="宋体" w:hAnsi="宋体" w:eastAsia="宋体" w:cs="宋体"/>
          <w:sz w:val="21"/>
        </w:rPr>
      </w:pPr>
    </w:p>
    <w:p w14:paraId="73E0898B">
      <w:pPr>
        <w:keepNext w:val="0"/>
        <w:keepLines w:val="0"/>
        <w:pageBreakBefore w:val="0"/>
        <w:widowControl/>
        <w:kinsoku/>
        <w:wordWrap/>
        <w:overflowPunct/>
        <w:topLinePunct w:val="0"/>
        <w:autoSpaceDE w:val="0"/>
        <w:autoSpaceDN w:val="0"/>
        <w:bidi w:val="0"/>
        <w:adjustRightInd w:val="0"/>
        <w:snapToGrid w:val="0"/>
        <w:spacing w:line="245" w:lineRule="auto"/>
        <w:outlineLvl w:val="9"/>
        <w:rPr>
          <w:rFonts w:hint="eastAsia" w:ascii="宋体" w:hAnsi="宋体" w:eastAsia="宋体" w:cs="宋体"/>
          <w:sz w:val="21"/>
        </w:rPr>
      </w:pPr>
    </w:p>
    <w:p w14:paraId="47CD5D1D">
      <w:pPr>
        <w:keepNext w:val="0"/>
        <w:keepLines w:val="0"/>
        <w:pageBreakBefore w:val="0"/>
        <w:widowControl/>
        <w:kinsoku/>
        <w:wordWrap/>
        <w:overflowPunct/>
        <w:topLinePunct w:val="0"/>
        <w:autoSpaceDE w:val="0"/>
        <w:autoSpaceDN w:val="0"/>
        <w:bidi w:val="0"/>
        <w:adjustRightInd w:val="0"/>
        <w:snapToGrid w:val="0"/>
        <w:spacing w:line="245" w:lineRule="auto"/>
        <w:outlineLvl w:val="9"/>
        <w:rPr>
          <w:rFonts w:hint="eastAsia" w:ascii="宋体" w:hAnsi="宋体" w:eastAsia="宋体" w:cs="宋体"/>
          <w:sz w:val="21"/>
        </w:rPr>
      </w:pPr>
    </w:p>
    <w:p w14:paraId="7DEE1E5D">
      <w:pPr>
        <w:keepNext w:val="0"/>
        <w:keepLines w:val="0"/>
        <w:pageBreakBefore w:val="0"/>
        <w:widowControl/>
        <w:kinsoku/>
        <w:wordWrap/>
        <w:overflowPunct/>
        <w:topLinePunct w:val="0"/>
        <w:autoSpaceDE w:val="0"/>
        <w:autoSpaceDN w:val="0"/>
        <w:bidi w:val="0"/>
        <w:adjustRightInd w:val="0"/>
        <w:snapToGrid w:val="0"/>
        <w:spacing w:line="246" w:lineRule="auto"/>
        <w:outlineLvl w:val="9"/>
        <w:rPr>
          <w:rFonts w:hint="eastAsia" w:ascii="宋体" w:hAnsi="宋体" w:eastAsia="宋体" w:cs="宋体"/>
          <w:sz w:val="21"/>
        </w:rPr>
      </w:pPr>
    </w:p>
    <w:p w14:paraId="0EB7C32F">
      <w:pPr>
        <w:keepNext w:val="0"/>
        <w:keepLines w:val="0"/>
        <w:pageBreakBefore w:val="0"/>
        <w:widowControl/>
        <w:kinsoku/>
        <w:wordWrap/>
        <w:overflowPunct/>
        <w:topLinePunct w:val="0"/>
        <w:autoSpaceDE w:val="0"/>
        <w:autoSpaceDN w:val="0"/>
        <w:bidi w:val="0"/>
        <w:adjustRightInd w:val="0"/>
        <w:snapToGrid w:val="0"/>
        <w:spacing w:line="246" w:lineRule="auto"/>
        <w:outlineLvl w:val="9"/>
        <w:rPr>
          <w:rFonts w:hint="eastAsia" w:ascii="宋体" w:hAnsi="宋体" w:eastAsia="宋体" w:cs="宋体"/>
          <w:sz w:val="21"/>
        </w:rPr>
      </w:pPr>
    </w:p>
    <w:p w14:paraId="757B8E19">
      <w:pPr>
        <w:keepNext w:val="0"/>
        <w:keepLines w:val="0"/>
        <w:pageBreakBefore w:val="0"/>
        <w:widowControl/>
        <w:kinsoku/>
        <w:wordWrap/>
        <w:overflowPunct/>
        <w:topLinePunct w:val="0"/>
        <w:autoSpaceDE w:val="0"/>
        <w:autoSpaceDN w:val="0"/>
        <w:bidi w:val="0"/>
        <w:adjustRightInd w:val="0"/>
        <w:snapToGrid w:val="0"/>
        <w:spacing w:line="246" w:lineRule="auto"/>
        <w:outlineLvl w:val="9"/>
        <w:rPr>
          <w:rFonts w:hint="eastAsia" w:ascii="宋体" w:hAnsi="宋体" w:eastAsia="宋体" w:cs="宋体"/>
          <w:sz w:val="21"/>
        </w:rPr>
      </w:pPr>
    </w:p>
    <w:p w14:paraId="68D1AB28">
      <w:pPr>
        <w:keepNext w:val="0"/>
        <w:keepLines w:val="0"/>
        <w:pageBreakBefore w:val="0"/>
        <w:widowControl/>
        <w:kinsoku/>
        <w:wordWrap/>
        <w:overflowPunct/>
        <w:topLinePunct w:val="0"/>
        <w:autoSpaceDE w:val="0"/>
        <w:autoSpaceDN w:val="0"/>
        <w:bidi w:val="0"/>
        <w:adjustRightInd w:val="0"/>
        <w:snapToGrid w:val="0"/>
        <w:spacing w:before="273" w:line="189" w:lineRule="auto"/>
        <w:ind w:firstLine="2207"/>
        <w:outlineLvl w:val="9"/>
        <w:rPr>
          <w:rFonts w:hint="eastAsia" w:ascii="宋体" w:hAnsi="宋体" w:eastAsia="宋体" w:cs="宋体"/>
          <w:sz w:val="84"/>
          <w:szCs w:val="84"/>
        </w:rPr>
      </w:pPr>
      <w:r>
        <w:rPr>
          <w:rFonts w:hint="eastAsia" w:ascii="宋体" w:hAnsi="宋体" w:eastAsia="宋体" w:cs="宋体"/>
          <w:spacing w:val="-49"/>
          <w:sz w:val="84"/>
          <w:szCs w:val="84"/>
          <w14:textOutline w14:w="15240" w14:cap="flat" w14:cmpd="sng">
            <w14:solidFill>
              <w14:srgbClr w14:val="000000"/>
            </w14:solidFill>
            <w14:prstDash w14:val="solid"/>
            <w14:miter w14:val="0"/>
          </w14:textOutline>
        </w:rPr>
        <w:t>响</w:t>
      </w:r>
      <w:r>
        <w:rPr>
          <w:rFonts w:hint="eastAsia" w:ascii="宋体" w:hAnsi="宋体" w:eastAsia="宋体" w:cs="宋体"/>
          <w:spacing w:val="301"/>
          <w:sz w:val="84"/>
          <w:szCs w:val="84"/>
        </w:rPr>
        <w:t xml:space="preserve"> </w:t>
      </w:r>
      <w:r>
        <w:rPr>
          <w:rFonts w:hint="eastAsia" w:ascii="宋体" w:hAnsi="宋体" w:eastAsia="宋体" w:cs="宋体"/>
          <w:spacing w:val="-49"/>
          <w:sz w:val="84"/>
          <w:szCs w:val="84"/>
          <w14:textOutline w14:w="15240" w14:cap="flat" w14:cmpd="sng">
            <w14:solidFill>
              <w14:srgbClr w14:val="000000"/>
            </w14:solidFill>
            <w14:prstDash w14:val="solid"/>
            <w14:miter w14:val="0"/>
          </w14:textOutline>
        </w:rPr>
        <w:t>应</w:t>
      </w:r>
      <w:r>
        <w:rPr>
          <w:rFonts w:hint="eastAsia" w:ascii="宋体" w:hAnsi="宋体" w:eastAsia="宋体" w:cs="宋体"/>
          <w:spacing w:val="299"/>
          <w:sz w:val="84"/>
          <w:szCs w:val="84"/>
        </w:rPr>
        <w:t xml:space="preserve"> </w:t>
      </w:r>
      <w:r>
        <w:rPr>
          <w:rFonts w:hint="eastAsia" w:ascii="宋体" w:hAnsi="宋体" w:eastAsia="宋体" w:cs="宋体"/>
          <w:spacing w:val="-49"/>
          <w:sz w:val="84"/>
          <w:szCs w:val="84"/>
          <w14:textOutline w14:w="15240" w14:cap="flat" w14:cmpd="sng">
            <w14:solidFill>
              <w14:srgbClr w14:val="000000"/>
            </w14:solidFill>
            <w14:prstDash w14:val="solid"/>
            <w14:miter w14:val="0"/>
          </w14:textOutline>
        </w:rPr>
        <w:t>文</w:t>
      </w:r>
      <w:r>
        <w:rPr>
          <w:rFonts w:hint="eastAsia" w:ascii="宋体" w:hAnsi="宋体" w:eastAsia="宋体" w:cs="宋体"/>
          <w:spacing w:val="299"/>
          <w:sz w:val="84"/>
          <w:szCs w:val="84"/>
        </w:rPr>
        <w:t xml:space="preserve"> </w:t>
      </w:r>
      <w:r>
        <w:rPr>
          <w:rFonts w:hint="eastAsia" w:ascii="宋体" w:hAnsi="宋体" w:eastAsia="宋体" w:cs="宋体"/>
          <w:spacing w:val="-49"/>
          <w:sz w:val="84"/>
          <w:szCs w:val="84"/>
          <w14:textOutline w14:w="15240" w14:cap="flat" w14:cmpd="sng">
            <w14:solidFill>
              <w14:srgbClr w14:val="000000"/>
            </w14:solidFill>
            <w14:prstDash w14:val="solid"/>
            <w14:miter w14:val="0"/>
          </w14:textOutline>
        </w:rPr>
        <w:t>件</w:t>
      </w:r>
    </w:p>
    <w:p w14:paraId="1562570F">
      <w:pPr>
        <w:keepNext w:val="0"/>
        <w:keepLines w:val="0"/>
        <w:pageBreakBefore w:val="0"/>
        <w:widowControl/>
        <w:kinsoku/>
        <w:wordWrap/>
        <w:overflowPunct/>
        <w:topLinePunct w:val="0"/>
        <w:autoSpaceDE w:val="0"/>
        <w:autoSpaceDN w:val="0"/>
        <w:bidi w:val="0"/>
        <w:adjustRightInd w:val="0"/>
        <w:snapToGrid w:val="0"/>
        <w:spacing w:line="257" w:lineRule="auto"/>
        <w:outlineLvl w:val="9"/>
        <w:rPr>
          <w:rFonts w:hint="eastAsia" w:ascii="宋体" w:hAnsi="宋体" w:eastAsia="宋体" w:cs="宋体"/>
          <w:sz w:val="21"/>
        </w:rPr>
      </w:pPr>
    </w:p>
    <w:p w14:paraId="3F60EB92">
      <w:pPr>
        <w:keepNext w:val="0"/>
        <w:keepLines w:val="0"/>
        <w:pageBreakBefore w:val="0"/>
        <w:widowControl/>
        <w:kinsoku/>
        <w:wordWrap/>
        <w:overflowPunct/>
        <w:topLinePunct w:val="0"/>
        <w:autoSpaceDE w:val="0"/>
        <w:autoSpaceDN w:val="0"/>
        <w:bidi w:val="0"/>
        <w:adjustRightInd w:val="0"/>
        <w:snapToGrid w:val="0"/>
        <w:spacing w:line="257" w:lineRule="auto"/>
        <w:outlineLvl w:val="9"/>
        <w:rPr>
          <w:rFonts w:hint="eastAsia" w:ascii="宋体" w:hAnsi="宋体" w:eastAsia="宋体" w:cs="宋体"/>
          <w:sz w:val="21"/>
        </w:rPr>
      </w:pPr>
    </w:p>
    <w:p w14:paraId="35153963">
      <w:pPr>
        <w:keepNext w:val="0"/>
        <w:keepLines w:val="0"/>
        <w:pageBreakBefore w:val="0"/>
        <w:widowControl/>
        <w:kinsoku/>
        <w:wordWrap/>
        <w:overflowPunct/>
        <w:topLinePunct w:val="0"/>
        <w:autoSpaceDE w:val="0"/>
        <w:autoSpaceDN w:val="0"/>
        <w:bidi w:val="0"/>
        <w:adjustRightInd w:val="0"/>
        <w:snapToGrid w:val="0"/>
        <w:spacing w:line="257" w:lineRule="auto"/>
        <w:outlineLvl w:val="9"/>
        <w:rPr>
          <w:rFonts w:hint="eastAsia" w:ascii="宋体" w:hAnsi="宋体" w:eastAsia="宋体" w:cs="宋体"/>
          <w:sz w:val="21"/>
        </w:rPr>
      </w:pPr>
    </w:p>
    <w:p w14:paraId="62195510">
      <w:pPr>
        <w:keepNext w:val="0"/>
        <w:keepLines w:val="0"/>
        <w:pageBreakBefore w:val="0"/>
        <w:widowControl/>
        <w:kinsoku/>
        <w:wordWrap/>
        <w:overflowPunct/>
        <w:topLinePunct w:val="0"/>
        <w:autoSpaceDE w:val="0"/>
        <w:autoSpaceDN w:val="0"/>
        <w:bidi w:val="0"/>
        <w:adjustRightInd w:val="0"/>
        <w:snapToGrid w:val="0"/>
        <w:spacing w:line="257" w:lineRule="auto"/>
        <w:outlineLvl w:val="9"/>
        <w:rPr>
          <w:rFonts w:hint="eastAsia" w:ascii="宋体" w:hAnsi="宋体" w:eastAsia="宋体" w:cs="宋体"/>
          <w:sz w:val="21"/>
        </w:rPr>
      </w:pPr>
    </w:p>
    <w:p w14:paraId="10AC3680">
      <w:pPr>
        <w:keepNext w:val="0"/>
        <w:keepLines w:val="0"/>
        <w:pageBreakBefore w:val="0"/>
        <w:widowControl/>
        <w:kinsoku/>
        <w:wordWrap/>
        <w:overflowPunct/>
        <w:topLinePunct w:val="0"/>
        <w:autoSpaceDE w:val="0"/>
        <w:autoSpaceDN w:val="0"/>
        <w:bidi w:val="0"/>
        <w:adjustRightInd w:val="0"/>
        <w:snapToGrid w:val="0"/>
        <w:spacing w:line="257" w:lineRule="auto"/>
        <w:outlineLvl w:val="9"/>
        <w:rPr>
          <w:rFonts w:hint="eastAsia" w:ascii="宋体" w:hAnsi="宋体" w:eastAsia="宋体" w:cs="宋体"/>
          <w:sz w:val="21"/>
        </w:rPr>
      </w:pPr>
    </w:p>
    <w:p w14:paraId="28F7DBDB">
      <w:pPr>
        <w:keepNext w:val="0"/>
        <w:keepLines w:val="0"/>
        <w:pageBreakBefore w:val="0"/>
        <w:widowControl/>
        <w:kinsoku/>
        <w:wordWrap/>
        <w:overflowPunct/>
        <w:topLinePunct w:val="0"/>
        <w:autoSpaceDE w:val="0"/>
        <w:autoSpaceDN w:val="0"/>
        <w:bidi w:val="0"/>
        <w:adjustRightInd w:val="0"/>
        <w:snapToGrid w:val="0"/>
        <w:spacing w:line="258" w:lineRule="auto"/>
        <w:outlineLvl w:val="9"/>
        <w:rPr>
          <w:rFonts w:hint="eastAsia" w:ascii="宋体" w:hAnsi="宋体" w:eastAsia="宋体" w:cs="宋体"/>
          <w:sz w:val="21"/>
        </w:rPr>
      </w:pPr>
    </w:p>
    <w:p w14:paraId="78D01044">
      <w:pPr>
        <w:keepNext w:val="0"/>
        <w:keepLines w:val="0"/>
        <w:pageBreakBefore w:val="0"/>
        <w:widowControl/>
        <w:kinsoku/>
        <w:wordWrap/>
        <w:overflowPunct/>
        <w:topLinePunct w:val="0"/>
        <w:autoSpaceDE w:val="0"/>
        <w:autoSpaceDN w:val="0"/>
        <w:bidi w:val="0"/>
        <w:adjustRightInd w:val="0"/>
        <w:snapToGrid w:val="0"/>
        <w:spacing w:line="258" w:lineRule="auto"/>
        <w:outlineLvl w:val="9"/>
        <w:rPr>
          <w:rFonts w:hint="eastAsia" w:ascii="宋体" w:hAnsi="宋体" w:eastAsia="宋体" w:cs="宋体"/>
          <w:sz w:val="21"/>
        </w:rPr>
      </w:pPr>
    </w:p>
    <w:p w14:paraId="3441BD23">
      <w:pPr>
        <w:keepNext w:val="0"/>
        <w:keepLines w:val="0"/>
        <w:pageBreakBefore w:val="0"/>
        <w:widowControl/>
        <w:kinsoku/>
        <w:wordWrap/>
        <w:overflowPunct/>
        <w:topLinePunct w:val="0"/>
        <w:autoSpaceDE w:val="0"/>
        <w:autoSpaceDN w:val="0"/>
        <w:bidi w:val="0"/>
        <w:adjustRightInd w:val="0"/>
        <w:snapToGrid w:val="0"/>
        <w:spacing w:line="258" w:lineRule="auto"/>
        <w:outlineLvl w:val="9"/>
        <w:rPr>
          <w:rFonts w:hint="eastAsia" w:ascii="宋体" w:hAnsi="宋体" w:eastAsia="宋体" w:cs="宋体"/>
          <w:sz w:val="21"/>
        </w:rPr>
      </w:pPr>
    </w:p>
    <w:p w14:paraId="133A07FF">
      <w:pPr>
        <w:keepNext w:val="0"/>
        <w:keepLines w:val="0"/>
        <w:pageBreakBefore w:val="0"/>
        <w:widowControl/>
        <w:kinsoku/>
        <w:wordWrap/>
        <w:overflowPunct/>
        <w:topLinePunct w:val="0"/>
        <w:autoSpaceDE w:val="0"/>
        <w:autoSpaceDN w:val="0"/>
        <w:bidi w:val="0"/>
        <w:adjustRightInd w:val="0"/>
        <w:snapToGrid w:val="0"/>
        <w:spacing w:line="258" w:lineRule="auto"/>
        <w:outlineLvl w:val="9"/>
        <w:rPr>
          <w:rFonts w:hint="eastAsia" w:ascii="宋体" w:hAnsi="宋体" w:eastAsia="宋体" w:cs="宋体"/>
          <w:sz w:val="21"/>
        </w:rPr>
      </w:pPr>
    </w:p>
    <w:p w14:paraId="583A24EF">
      <w:pPr>
        <w:keepNext w:val="0"/>
        <w:keepLines w:val="0"/>
        <w:pageBreakBefore w:val="0"/>
        <w:widowControl/>
        <w:kinsoku/>
        <w:wordWrap/>
        <w:overflowPunct/>
        <w:topLinePunct w:val="0"/>
        <w:autoSpaceDE w:val="0"/>
        <w:autoSpaceDN w:val="0"/>
        <w:bidi w:val="0"/>
        <w:adjustRightInd w:val="0"/>
        <w:snapToGrid w:val="0"/>
        <w:spacing w:line="258" w:lineRule="auto"/>
        <w:outlineLvl w:val="9"/>
        <w:rPr>
          <w:rFonts w:hint="eastAsia" w:ascii="宋体" w:hAnsi="宋体" w:eastAsia="宋体" w:cs="宋体"/>
          <w:sz w:val="21"/>
        </w:rPr>
      </w:pPr>
    </w:p>
    <w:p w14:paraId="3864F646">
      <w:pPr>
        <w:keepNext w:val="0"/>
        <w:keepLines w:val="0"/>
        <w:pageBreakBefore w:val="0"/>
        <w:widowControl/>
        <w:kinsoku/>
        <w:wordWrap/>
        <w:overflowPunct/>
        <w:topLinePunct w:val="0"/>
        <w:autoSpaceDE w:val="0"/>
        <w:autoSpaceDN w:val="0"/>
        <w:bidi w:val="0"/>
        <w:adjustRightInd w:val="0"/>
        <w:snapToGrid w:val="0"/>
        <w:spacing w:before="92" w:line="189" w:lineRule="auto"/>
        <w:ind w:firstLine="284"/>
        <w:outlineLvl w:val="9"/>
        <w:rPr>
          <w:rFonts w:hint="eastAsia" w:ascii="宋体" w:hAnsi="宋体" w:eastAsia="宋体" w:cs="宋体"/>
          <w:sz w:val="28"/>
          <w:szCs w:val="28"/>
        </w:rPr>
      </w:pPr>
      <w:r>
        <w:rPr>
          <w:rFonts w:hint="eastAsia" w:ascii="宋体" w:hAnsi="宋体" w:eastAsia="宋体" w:cs="宋体"/>
          <w:spacing w:val="-23"/>
          <w:sz w:val="28"/>
          <w:szCs w:val="28"/>
        </w:rPr>
        <w:t>投标人（电子签章</w:t>
      </w:r>
      <w:r>
        <w:rPr>
          <w:rFonts w:hint="eastAsia" w:ascii="宋体" w:hAnsi="宋体" w:eastAsia="宋体" w:cs="宋体"/>
          <w:spacing w:val="-19"/>
          <w:sz w:val="28"/>
          <w:szCs w:val="28"/>
        </w:rPr>
        <w:t>）：</w:t>
      </w:r>
      <w:r>
        <w:rPr>
          <w:rFonts w:hint="eastAsia" w:ascii="宋体" w:hAnsi="宋体" w:eastAsia="宋体" w:cs="宋体"/>
          <w:sz w:val="28"/>
          <w:szCs w:val="28"/>
          <w:u w:val="single" w:color="auto"/>
        </w:rPr>
        <w:t xml:space="preserve">                                      </w:t>
      </w:r>
    </w:p>
    <w:p w14:paraId="0EEE05EB">
      <w:pPr>
        <w:keepNext w:val="0"/>
        <w:keepLines w:val="0"/>
        <w:pageBreakBefore w:val="0"/>
        <w:widowControl/>
        <w:kinsoku/>
        <w:wordWrap/>
        <w:overflowPunct/>
        <w:topLinePunct w:val="0"/>
        <w:autoSpaceDE w:val="0"/>
        <w:autoSpaceDN w:val="0"/>
        <w:bidi w:val="0"/>
        <w:adjustRightInd w:val="0"/>
        <w:snapToGrid w:val="0"/>
        <w:spacing w:line="312" w:lineRule="auto"/>
        <w:outlineLvl w:val="9"/>
        <w:rPr>
          <w:rFonts w:hint="eastAsia" w:ascii="宋体" w:hAnsi="宋体" w:eastAsia="宋体" w:cs="宋体"/>
          <w:sz w:val="21"/>
        </w:rPr>
      </w:pPr>
    </w:p>
    <w:p w14:paraId="13BB38A8">
      <w:pPr>
        <w:keepNext w:val="0"/>
        <w:keepLines w:val="0"/>
        <w:pageBreakBefore w:val="0"/>
        <w:widowControl/>
        <w:kinsoku/>
        <w:wordWrap/>
        <w:overflowPunct/>
        <w:topLinePunct w:val="0"/>
        <w:autoSpaceDE w:val="0"/>
        <w:autoSpaceDN w:val="0"/>
        <w:bidi w:val="0"/>
        <w:adjustRightInd w:val="0"/>
        <w:snapToGrid w:val="0"/>
        <w:spacing w:line="313" w:lineRule="auto"/>
        <w:outlineLvl w:val="9"/>
        <w:rPr>
          <w:rFonts w:hint="eastAsia" w:ascii="宋体" w:hAnsi="宋体" w:eastAsia="宋体" w:cs="宋体"/>
          <w:sz w:val="21"/>
        </w:rPr>
      </w:pPr>
    </w:p>
    <w:p w14:paraId="4F36A017">
      <w:pPr>
        <w:keepNext w:val="0"/>
        <w:keepLines w:val="0"/>
        <w:pageBreakBefore w:val="0"/>
        <w:widowControl/>
        <w:kinsoku/>
        <w:wordWrap/>
        <w:overflowPunct/>
        <w:topLinePunct w:val="0"/>
        <w:autoSpaceDE w:val="0"/>
        <w:autoSpaceDN w:val="0"/>
        <w:bidi w:val="0"/>
        <w:adjustRightInd w:val="0"/>
        <w:snapToGrid w:val="0"/>
        <w:spacing w:before="91" w:line="189" w:lineRule="auto"/>
        <w:ind w:firstLine="294"/>
        <w:outlineLvl w:val="9"/>
        <w:rPr>
          <w:rFonts w:hint="eastAsia" w:ascii="宋体" w:hAnsi="宋体" w:eastAsia="宋体" w:cs="宋体"/>
          <w:sz w:val="28"/>
          <w:szCs w:val="28"/>
        </w:rPr>
      </w:pPr>
      <w:r>
        <w:rPr>
          <w:rFonts w:hint="eastAsia" w:ascii="宋体" w:hAnsi="宋体" w:eastAsia="宋体" w:cs="宋体"/>
          <w:spacing w:val="-20"/>
          <w:sz w:val="28"/>
          <w:szCs w:val="28"/>
        </w:rPr>
        <w:t>法定代表人（电子签名</w:t>
      </w:r>
      <w:r>
        <w:rPr>
          <w:rFonts w:hint="eastAsia" w:ascii="宋体" w:hAnsi="宋体" w:eastAsia="宋体" w:cs="宋体"/>
          <w:spacing w:val="-15"/>
          <w:sz w:val="28"/>
          <w:szCs w:val="28"/>
        </w:rPr>
        <w:t>）：</w:t>
      </w:r>
      <w:r>
        <w:rPr>
          <w:rFonts w:hint="eastAsia" w:ascii="宋体" w:hAnsi="宋体" w:eastAsia="宋体" w:cs="宋体"/>
          <w:sz w:val="28"/>
          <w:szCs w:val="28"/>
          <w:u w:val="single" w:color="auto"/>
        </w:rPr>
        <w:t xml:space="preserve">                                </w:t>
      </w:r>
    </w:p>
    <w:p w14:paraId="0DCFD0CF">
      <w:pPr>
        <w:keepNext w:val="0"/>
        <w:keepLines w:val="0"/>
        <w:pageBreakBefore w:val="0"/>
        <w:widowControl/>
        <w:kinsoku/>
        <w:wordWrap/>
        <w:overflowPunct/>
        <w:topLinePunct w:val="0"/>
        <w:autoSpaceDE w:val="0"/>
        <w:autoSpaceDN w:val="0"/>
        <w:bidi w:val="0"/>
        <w:adjustRightInd w:val="0"/>
        <w:snapToGrid w:val="0"/>
        <w:spacing w:line="266" w:lineRule="auto"/>
        <w:outlineLvl w:val="9"/>
        <w:rPr>
          <w:rFonts w:hint="eastAsia" w:ascii="宋体" w:hAnsi="宋体" w:eastAsia="宋体" w:cs="宋体"/>
          <w:sz w:val="21"/>
        </w:rPr>
      </w:pPr>
    </w:p>
    <w:p w14:paraId="4DDF993C">
      <w:pPr>
        <w:keepNext w:val="0"/>
        <w:keepLines w:val="0"/>
        <w:pageBreakBefore w:val="0"/>
        <w:widowControl/>
        <w:kinsoku/>
        <w:wordWrap/>
        <w:overflowPunct/>
        <w:topLinePunct w:val="0"/>
        <w:autoSpaceDE w:val="0"/>
        <w:autoSpaceDN w:val="0"/>
        <w:bidi w:val="0"/>
        <w:adjustRightInd w:val="0"/>
        <w:snapToGrid w:val="0"/>
        <w:spacing w:line="266" w:lineRule="auto"/>
        <w:outlineLvl w:val="9"/>
        <w:rPr>
          <w:rFonts w:hint="eastAsia" w:ascii="宋体" w:hAnsi="宋体" w:eastAsia="宋体" w:cs="宋体"/>
          <w:sz w:val="21"/>
        </w:rPr>
      </w:pPr>
    </w:p>
    <w:p w14:paraId="2F16ECA7">
      <w:pPr>
        <w:keepNext w:val="0"/>
        <w:keepLines w:val="0"/>
        <w:pageBreakBefore w:val="0"/>
        <w:widowControl/>
        <w:kinsoku/>
        <w:wordWrap/>
        <w:overflowPunct/>
        <w:topLinePunct w:val="0"/>
        <w:autoSpaceDE w:val="0"/>
        <w:autoSpaceDN w:val="0"/>
        <w:bidi w:val="0"/>
        <w:adjustRightInd w:val="0"/>
        <w:snapToGrid w:val="0"/>
        <w:spacing w:line="266" w:lineRule="auto"/>
        <w:outlineLvl w:val="9"/>
        <w:rPr>
          <w:rFonts w:hint="eastAsia" w:ascii="宋体" w:hAnsi="宋体" w:eastAsia="宋体" w:cs="宋体"/>
          <w:sz w:val="21"/>
        </w:rPr>
      </w:pPr>
    </w:p>
    <w:p w14:paraId="4BCBF3FA">
      <w:pPr>
        <w:keepNext w:val="0"/>
        <w:keepLines w:val="0"/>
        <w:pageBreakBefore w:val="0"/>
        <w:widowControl/>
        <w:kinsoku/>
        <w:wordWrap/>
        <w:overflowPunct/>
        <w:topLinePunct w:val="0"/>
        <w:autoSpaceDE w:val="0"/>
        <w:autoSpaceDN w:val="0"/>
        <w:bidi w:val="0"/>
        <w:adjustRightInd w:val="0"/>
        <w:snapToGrid w:val="0"/>
        <w:spacing w:before="91" w:line="189" w:lineRule="auto"/>
        <w:ind w:firstLine="484"/>
        <w:jc w:val="center"/>
        <w:outlineLvl w:val="9"/>
        <w:rPr>
          <w:rFonts w:hint="eastAsia" w:ascii="宋体" w:hAnsi="宋体" w:eastAsia="宋体" w:cs="宋体"/>
          <w:spacing w:val="-11"/>
          <w:sz w:val="28"/>
          <w:szCs w:val="28"/>
        </w:rPr>
      </w:pPr>
      <w:r>
        <w:rPr>
          <w:rFonts w:hint="eastAsia" w:ascii="宋体" w:hAnsi="宋体" w:eastAsia="宋体" w:cs="宋体"/>
          <w:spacing w:val="-11"/>
          <w:sz w:val="28"/>
          <w:szCs w:val="28"/>
        </w:rPr>
        <w:t>日期：年月日</w:t>
      </w:r>
    </w:p>
    <w:p w14:paraId="6B784FB3">
      <w:pPr>
        <w:pStyle w:val="13"/>
        <w:rPr>
          <w:rFonts w:hint="eastAsia" w:ascii="宋体" w:hAnsi="宋体" w:eastAsia="宋体" w:cs="宋体"/>
          <w:spacing w:val="-11"/>
          <w:sz w:val="28"/>
          <w:szCs w:val="28"/>
        </w:rPr>
      </w:pPr>
    </w:p>
    <w:p w14:paraId="5E18AE23">
      <w:pPr>
        <w:pStyle w:val="13"/>
        <w:rPr>
          <w:rFonts w:hint="eastAsia" w:ascii="宋体" w:hAnsi="宋体" w:eastAsia="宋体" w:cs="宋体"/>
          <w:spacing w:val="-11"/>
          <w:sz w:val="28"/>
          <w:szCs w:val="28"/>
        </w:rPr>
      </w:pPr>
    </w:p>
    <w:p w14:paraId="27A13393">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13" w:type="default"/>
          <w:pgSz w:w="11910" w:h="16840"/>
          <w:pgMar w:top="1431" w:right="1083" w:bottom="1427" w:left="1093" w:header="0" w:footer="1303" w:gutter="0"/>
          <w:pgNumType w:fmt="decimal"/>
          <w:cols w:space="720" w:num="1"/>
        </w:sectPr>
      </w:pPr>
    </w:p>
    <w:p w14:paraId="539DD4A2">
      <w:pPr>
        <w:keepNext w:val="0"/>
        <w:keepLines w:val="0"/>
        <w:pageBreakBefore w:val="0"/>
        <w:widowControl/>
        <w:kinsoku/>
        <w:wordWrap/>
        <w:overflowPunct/>
        <w:topLinePunct w:val="0"/>
        <w:autoSpaceDE w:val="0"/>
        <w:autoSpaceDN w:val="0"/>
        <w:bidi w:val="0"/>
        <w:adjustRightInd w:val="0"/>
        <w:snapToGrid w:val="0"/>
        <w:spacing w:before="73" w:line="189" w:lineRule="auto"/>
        <w:ind w:firstLine="4163"/>
        <w:outlineLvl w:val="9"/>
        <w:rPr>
          <w:rFonts w:hint="eastAsia" w:ascii="宋体" w:hAnsi="宋体" w:eastAsia="宋体" w:cs="宋体"/>
          <w:sz w:val="36"/>
          <w:szCs w:val="36"/>
        </w:rPr>
      </w:pPr>
      <w:r>
        <w:rPr>
          <w:rFonts w:hint="eastAsia" w:ascii="宋体" w:hAnsi="宋体" w:eastAsia="宋体" w:cs="宋体"/>
          <w:spacing w:val="-35"/>
          <w:w w:val="97"/>
          <w:sz w:val="36"/>
          <w:szCs w:val="36"/>
          <w14:textOutline w14:w="6531" w14:cap="flat" w14:cmpd="sng">
            <w14:solidFill>
              <w14:srgbClr w14:val="000000"/>
            </w14:solidFill>
            <w14:prstDash w14:val="solid"/>
            <w14:miter w14:val="0"/>
          </w14:textOutline>
        </w:rPr>
        <w:t>目</w:t>
      </w:r>
      <w:r>
        <w:rPr>
          <w:rFonts w:hint="eastAsia" w:ascii="宋体" w:hAnsi="宋体" w:eastAsia="宋体" w:cs="宋体"/>
          <w:spacing w:val="10"/>
          <w:sz w:val="36"/>
          <w:szCs w:val="36"/>
        </w:rPr>
        <w:t xml:space="preserve">    </w:t>
      </w:r>
      <w:r>
        <w:rPr>
          <w:rFonts w:hint="eastAsia" w:ascii="宋体" w:hAnsi="宋体" w:eastAsia="宋体" w:cs="宋体"/>
          <w:spacing w:val="-35"/>
          <w:w w:val="97"/>
          <w:sz w:val="36"/>
          <w:szCs w:val="36"/>
          <w14:textOutline w14:w="6531" w14:cap="flat" w14:cmpd="sng">
            <w14:solidFill>
              <w14:srgbClr w14:val="000000"/>
            </w14:solidFill>
            <w14:prstDash w14:val="solid"/>
            <w14:miter w14:val="0"/>
          </w14:textOutline>
        </w:rPr>
        <w:t>录</w:t>
      </w:r>
    </w:p>
    <w:p w14:paraId="59F7F107">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firstLine="5"/>
        <w:jc w:val="left"/>
        <w:outlineLvl w:val="9"/>
        <w:rPr>
          <w:rFonts w:hint="eastAsia" w:ascii="宋体" w:hAnsi="宋体" w:eastAsia="宋体" w:cs="宋体"/>
          <w:spacing w:val="-4"/>
          <w:sz w:val="28"/>
          <w:szCs w:val="28"/>
        </w:rPr>
      </w:pPr>
      <w:r>
        <w:rPr>
          <w:rFonts w:hint="eastAsia" w:ascii="宋体" w:hAnsi="宋体" w:eastAsia="宋体" w:cs="宋体"/>
          <w:spacing w:val="-4"/>
          <w:sz w:val="28"/>
          <w:szCs w:val="28"/>
        </w:rPr>
        <w:t>投标书</w:t>
      </w:r>
    </w:p>
    <w:p w14:paraId="7968A059">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firstLine="5"/>
        <w:jc w:val="left"/>
        <w:outlineLvl w:val="9"/>
        <w:rPr>
          <w:rFonts w:hint="eastAsia" w:ascii="宋体" w:hAnsi="宋体" w:eastAsia="宋体" w:cs="宋体"/>
          <w:sz w:val="28"/>
          <w:szCs w:val="28"/>
        </w:rPr>
      </w:pPr>
      <w:r>
        <w:rPr>
          <w:rFonts w:hint="eastAsia" w:ascii="宋体" w:hAnsi="宋体" w:eastAsia="宋体" w:cs="宋体"/>
          <w:spacing w:val="-4"/>
          <w:sz w:val="28"/>
          <w:szCs w:val="28"/>
        </w:rPr>
        <w:t>开标一览表</w:t>
      </w:r>
    </w:p>
    <w:p w14:paraId="349B141B">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firstLine="5"/>
        <w:jc w:val="left"/>
        <w:outlineLvl w:val="9"/>
        <w:rPr>
          <w:rFonts w:hint="eastAsia" w:ascii="宋体" w:hAnsi="宋体" w:eastAsia="宋体" w:cs="宋体"/>
          <w:spacing w:val="-4"/>
          <w:sz w:val="28"/>
          <w:szCs w:val="28"/>
        </w:rPr>
      </w:pPr>
      <w:r>
        <w:rPr>
          <w:rFonts w:hint="eastAsia" w:ascii="宋体" w:hAnsi="宋体" w:eastAsia="宋体" w:cs="宋体"/>
          <w:spacing w:val="-4"/>
          <w:sz w:val="28"/>
          <w:szCs w:val="28"/>
        </w:rPr>
        <w:t>已标价工程量清单</w:t>
      </w:r>
    </w:p>
    <w:p w14:paraId="4D0873C5">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left="0" w:leftChars="0" w:firstLine="5" w:firstLineChars="0"/>
        <w:jc w:val="left"/>
        <w:outlineLvl w:val="9"/>
        <w:rPr>
          <w:rFonts w:hint="eastAsia" w:ascii="宋体" w:hAnsi="宋体" w:eastAsia="宋体" w:cs="宋体"/>
          <w:spacing w:val="-6"/>
          <w:sz w:val="28"/>
          <w:szCs w:val="28"/>
        </w:rPr>
      </w:pPr>
      <w:r>
        <w:rPr>
          <w:rFonts w:hint="eastAsia" w:ascii="宋体" w:hAnsi="宋体" w:eastAsia="宋体" w:cs="宋体"/>
          <w:spacing w:val="-6"/>
          <w:sz w:val="28"/>
          <w:szCs w:val="28"/>
        </w:rPr>
        <w:t>项目管理机构</w:t>
      </w:r>
    </w:p>
    <w:p w14:paraId="3D2BEEC0">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left="0" w:leftChars="0" w:firstLine="5" w:firstLineChars="0"/>
        <w:jc w:val="left"/>
        <w:outlineLvl w:val="9"/>
        <w:rPr>
          <w:rFonts w:hint="eastAsia" w:ascii="宋体" w:hAnsi="宋体" w:eastAsia="宋体" w:cs="宋体"/>
          <w:spacing w:val="-3"/>
          <w:sz w:val="28"/>
          <w:szCs w:val="28"/>
        </w:rPr>
      </w:pPr>
      <w:r>
        <w:rPr>
          <w:rFonts w:hint="eastAsia" w:ascii="宋体" w:hAnsi="宋体" w:eastAsia="宋体" w:cs="宋体"/>
          <w:spacing w:val="-3"/>
          <w:sz w:val="28"/>
          <w:szCs w:val="28"/>
        </w:rPr>
        <w:t>资格要求相关证明材料（文件）</w:t>
      </w:r>
    </w:p>
    <w:p w14:paraId="66932A8D">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left="0" w:leftChars="0" w:firstLine="5" w:firstLineChars="0"/>
        <w:jc w:val="left"/>
        <w:outlineLvl w:val="9"/>
        <w:rPr>
          <w:rFonts w:hint="eastAsia" w:ascii="宋体" w:hAnsi="宋体" w:eastAsia="宋体" w:cs="宋体"/>
          <w:spacing w:val="-3"/>
          <w:sz w:val="28"/>
          <w:szCs w:val="28"/>
        </w:rPr>
      </w:pPr>
      <w:r>
        <w:rPr>
          <w:rFonts w:hint="eastAsia" w:ascii="宋体" w:hAnsi="宋体" w:eastAsia="宋体" w:cs="宋体"/>
          <w:spacing w:val="-3"/>
          <w:sz w:val="28"/>
          <w:szCs w:val="28"/>
        </w:rPr>
        <w:t>投标承诺函</w:t>
      </w:r>
    </w:p>
    <w:p w14:paraId="6D5794F4">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left="0" w:leftChars="0" w:firstLine="5" w:firstLineChars="0"/>
        <w:jc w:val="left"/>
        <w:outlineLvl w:val="9"/>
        <w:rPr>
          <w:rFonts w:hint="eastAsia" w:ascii="宋体" w:hAnsi="宋体" w:eastAsia="宋体" w:cs="宋体"/>
          <w:spacing w:val="-4"/>
          <w:sz w:val="28"/>
          <w:szCs w:val="28"/>
        </w:rPr>
      </w:pPr>
      <w:r>
        <w:rPr>
          <w:rFonts w:hint="eastAsia" w:ascii="宋体" w:hAnsi="宋体" w:eastAsia="宋体" w:cs="宋体"/>
          <w:spacing w:val="-4"/>
          <w:sz w:val="28"/>
          <w:szCs w:val="28"/>
        </w:rPr>
        <w:t>偏差表</w:t>
      </w:r>
    </w:p>
    <w:p w14:paraId="734E303A">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left="0" w:leftChars="0" w:firstLine="5" w:firstLineChars="0"/>
        <w:jc w:val="left"/>
        <w:outlineLvl w:val="9"/>
        <w:rPr>
          <w:rFonts w:hint="eastAsia" w:ascii="宋体" w:hAnsi="宋体" w:eastAsia="宋体" w:cs="宋体"/>
          <w:spacing w:val="-3"/>
          <w:sz w:val="28"/>
          <w:szCs w:val="28"/>
        </w:rPr>
      </w:pPr>
      <w:r>
        <w:rPr>
          <w:rFonts w:hint="eastAsia" w:ascii="宋体" w:hAnsi="宋体" w:eastAsia="宋体" w:cs="宋体"/>
          <w:spacing w:val="-3"/>
          <w:sz w:val="28"/>
          <w:szCs w:val="28"/>
        </w:rPr>
        <w:t>技术部分（施工组织设计）</w:t>
      </w:r>
    </w:p>
    <w:p w14:paraId="724C7624">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left="0" w:leftChars="0" w:firstLine="5" w:firstLineChars="0"/>
        <w:jc w:val="left"/>
        <w:outlineLvl w:val="9"/>
        <w:rPr>
          <w:rFonts w:hint="eastAsia" w:ascii="宋体" w:hAnsi="宋体" w:eastAsia="宋体" w:cs="宋体"/>
          <w:spacing w:val="-2"/>
          <w:sz w:val="28"/>
          <w:szCs w:val="28"/>
        </w:rPr>
      </w:pPr>
      <w:r>
        <w:rPr>
          <w:rFonts w:hint="eastAsia" w:ascii="宋体" w:hAnsi="宋体" w:eastAsia="宋体" w:cs="宋体"/>
          <w:spacing w:val="-2"/>
          <w:sz w:val="28"/>
          <w:szCs w:val="28"/>
        </w:rPr>
        <w:t>采购项目及技术服务要求所需的其他材料</w:t>
      </w:r>
    </w:p>
    <w:p w14:paraId="3A0FDFEF">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left="0" w:leftChars="0" w:firstLine="5" w:firstLineChars="0"/>
        <w:jc w:val="left"/>
        <w:outlineLvl w:val="9"/>
        <w:rPr>
          <w:rFonts w:hint="eastAsia" w:ascii="宋体" w:hAnsi="宋体" w:eastAsia="宋体" w:cs="宋体"/>
          <w:spacing w:val="-2"/>
          <w:sz w:val="28"/>
          <w:szCs w:val="28"/>
        </w:rPr>
      </w:pPr>
      <w:r>
        <w:rPr>
          <w:rFonts w:hint="eastAsia" w:ascii="宋体" w:hAnsi="宋体" w:eastAsia="宋体" w:cs="宋体"/>
          <w:spacing w:val="-2"/>
          <w:sz w:val="28"/>
          <w:szCs w:val="28"/>
        </w:rPr>
        <w:t>投标人须知所需的其他材料</w:t>
      </w:r>
    </w:p>
    <w:p w14:paraId="268FDC7A">
      <w:pPr>
        <w:keepNext w:val="0"/>
        <w:keepLines w:val="0"/>
        <w:pageBreakBefore w:val="0"/>
        <w:widowControl/>
        <w:numPr>
          <w:ilvl w:val="0"/>
          <w:numId w:val="5"/>
        </w:numPr>
        <w:kinsoku/>
        <w:wordWrap/>
        <w:overflowPunct/>
        <w:topLinePunct w:val="0"/>
        <w:autoSpaceDE w:val="0"/>
        <w:autoSpaceDN w:val="0"/>
        <w:bidi w:val="0"/>
        <w:adjustRightInd w:val="0"/>
        <w:snapToGrid w:val="0"/>
        <w:spacing w:before="85" w:line="240" w:lineRule="auto"/>
        <w:ind w:left="0" w:leftChars="0" w:firstLine="5" w:firstLineChars="0"/>
        <w:jc w:val="left"/>
        <w:outlineLvl w:val="9"/>
        <w:rPr>
          <w:rFonts w:hint="eastAsia" w:ascii="宋体" w:hAnsi="宋体" w:eastAsia="宋体" w:cs="宋体"/>
          <w:spacing w:val="-2"/>
          <w:sz w:val="28"/>
          <w:szCs w:val="28"/>
        </w:rPr>
      </w:pPr>
      <w:r>
        <w:rPr>
          <w:rFonts w:hint="eastAsia" w:ascii="宋体" w:hAnsi="宋体" w:eastAsia="宋体" w:cs="宋体"/>
          <w:spacing w:val="-2"/>
          <w:sz w:val="28"/>
          <w:szCs w:val="28"/>
        </w:rPr>
        <w:t>评审办法所需的其他材料</w:t>
      </w:r>
    </w:p>
    <w:p w14:paraId="38E91BD0">
      <w:pPr>
        <w:keepNext w:val="0"/>
        <w:keepLines w:val="0"/>
        <w:pageBreakBefore w:val="0"/>
        <w:widowControl/>
        <w:numPr>
          <w:ilvl w:val="0"/>
          <w:numId w:val="0"/>
        </w:numPr>
        <w:kinsoku/>
        <w:wordWrap/>
        <w:overflowPunct/>
        <w:topLinePunct w:val="0"/>
        <w:autoSpaceDE w:val="0"/>
        <w:autoSpaceDN w:val="0"/>
        <w:bidi w:val="0"/>
        <w:adjustRightInd w:val="0"/>
        <w:snapToGrid w:val="0"/>
        <w:spacing w:before="85" w:line="240" w:lineRule="auto"/>
        <w:ind w:left="5" w:leftChars="0"/>
        <w:jc w:val="left"/>
        <w:outlineLvl w:val="9"/>
        <w:rPr>
          <w:rFonts w:hint="eastAsia" w:ascii="宋体" w:hAnsi="宋体" w:eastAsia="宋体" w:cs="宋体"/>
          <w:sz w:val="28"/>
          <w:szCs w:val="28"/>
        </w:rPr>
      </w:pPr>
      <w:r>
        <w:rPr>
          <w:rFonts w:hint="eastAsia" w:ascii="宋体" w:hAnsi="宋体" w:eastAsia="宋体" w:cs="宋体"/>
          <w:spacing w:val="-2"/>
          <w:sz w:val="28"/>
          <w:szCs w:val="28"/>
        </w:rPr>
        <w:t>十二、投标人认为有必要提交的其它材料</w:t>
      </w:r>
    </w:p>
    <w:p w14:paraId="20BEB1E3">
      <w:pPr>
        <w:spacing w:line="240" w:lineRule="auto"/>
        <w:rPr>
          <w:rFonts w:hint="eastAsia" w:ascii="宋体" w:hAnsi="宋体" w:eastAsia="宋体" w:cs="宋体"/>
          <w:spacing w:val="-26"/>
          <w:sz w:val="36"/>
          <w:szCs w:val="36"/>
          <w14:textOutline w14:w="6531" w14:cap="flat" w14:cmpd="sng">
            <w14:solidFill>
              <w14:srgbClr w14:val="000000"/>
            </w14:solidFill>
            <w14:prstDash w14:val="solid"/>
            <w14:miter w14:val="0"/>
          </w14:textOutline>
        </w:rPr>
      </w:pPr>
      <w:r>
        <w:rPr>
          <w:rFonts w:hint="eastAsia" w:ascii="宋体" w:hAnsi="宋体" w:eastAsia="宋体" w:cs="宋体"/>
          <w:spacing w:val="-26"/>
          <w:sz w:val="36"/>
          <w:szCs w:val="36"/>
          <w14:textOutline w14:w="6531" w14:cap="flat" w14:cmpd="sng">
            <w14:solidFill>
              <w14:srgbClr w14:val="000000"/>
            </w14:solidFill>
            <w14:prstDash w14:val="solid"/>
            <w14:miter w14:val="0"/>
          </w14:textOutline>
        </w:rPr>
        <w:br w:type="page"/>
      </w:r>
    </w:p>
    <w:p w14:paraId="4CADF2B7">
      <w:pPr>
        <w:keepNext w:val="0"/>
        <w:keepLines w:val="0"/>
        <w:pageBreakBefore w:val="0"/>
        <w:widowControl/>
        <w:kinsoku/>
        <w:wordWrap/>
        <w:overflowPunct/>
        <w:topLinePunct w:val="0"/>
        <w:autoSpaceDE w:val="0"/>
        <w:autoSpaceDN w:val="0"/>
        <w:bidi w:val="0"/>
        <w:adjustRightInd w:val="0"/>
        <w:snapToGrid w:val="0"/>
        <w:spacing w:before="73" w:line="189" w:lineRule="auto"/>
        <w:ind w:firstLine="3687"/>
        <w:outlineLvl w:val="1"/>
        <w:rPr>
          <w:rFonts w:hint="eastAsia" w:ascii="宋体" w:hAnsi="宋体" w:eastAsia="宋体" w:cs="宋体"/>
          <w:sz w:val="36"/>
          <w:szCs w:val="36"/>
        </w:rPr>
      </w:pPr>
      <w:r>
        <w:rPr>
          <w:rFonts w:hint="eastAsia" w:ascii="宋体" w:hAnsi="宋体" w:eastAsia="宋体" w:cs="宋体"/>
          <w:spacing w:val="-26"/>
          <w:sz w:val="36"/>
          <w:szCs w:val="36"/>
          <w14:textOutline w14:w="6531" w14:cap="flat" w14:cmpd="sng">
            <w14:solidFill>
              <w14:srgbClr w14:val="000000"/>
            </w14:solidFill>
            <w14:prstDash w14:val="solid"/>
            <w14:miter w14:val="0"/>
          </w14:textOutline>
        </w:rPr>
        <w:t>一</w:t>
      </w:r>
      <w:r>
        <w:rPr>
          <w:rFonts w:hint="eastAsia" w:ascii="宋体" w:hAnsi="宋体" w:eastAsia="宋体" w:cs="宋体"/>
          <w:spacing w:val="-4"/>
          <w:sz w:val="36"/>
          <w:szCs w:val="36"/>
        </w:rPr>
        <w:t xml:space="preserve"> </w:t>
      </w:r>
      <w:r>
        <w:rPr>
          <w:rFonts w:hint="eastAsia" w:ascii="宋体" w:hAnsi="宋体" w:eastAsia="宋体" w:cs="宋体"/>
          <w:spacing w:val="-26"/>
          <w:sz w:val="36"/>
          <w:szCs w:val="36"/>
          <w14:textOutline w14:w="6531" w14:cap="flat" w14:cmpd="sng">
            <w14:solidFill>
              <w14:srgbClr w14:val="000000"/>
            </w14:solidFill>
            <w14:prstDash w14:val="solid"/>
            <w14:miter w14:val="0"/>
          </w14:textOutline>
        </w:rPr>
        <w:t>、</w:t>
      </w:r>
      <w:r>
        <w:rPr>
          <w:rFonts w:hint="eastAsia" w:ascii="宋体" w:hAnsi="宋体" w:eastAsia="宋体" w:cs="宋体"/>
          <w:spacing w:val="-36"/>
          <w:sz w:val="36"/>
          <w:szCs w:val="36"/>
        </w:rPr>
        <w:t xml:space="preserve"> </w:t>
      </w:r>
      <w:r>
        <w:rPr>
          <w:rFonts w:hint="eastAsia" w:ascii="宋体" w:hAnsi="宋体" w:eastAsia="宋体" w:cs="宋体"/>
          <w:spacing w:val="-26"/>
          <w:sz w:val="36"/>
          <w:szCs w:val="36"/>
          <w14:textOutline w14:w="6531" w14:cap="flat" w14:cmpd="sng">
            <w14:solidFill>
              <w14:srgbClr w14:val="000000"/>
            </w14:solidFill>
            <w14:prstDash w14:val="solid"/>
            <w14:miter w14:val="0"/>
          </w14:textOutline>
        </w:rPr>
        <w:t>投</w:t>
      </w:r>
      <w:r>
        <w:rPr>
          <w:rFonts w:hint="eastAsia" w:ascii="宋体" w:hAnsi="宋体" w:eastAsia="宋体" w:cs="宋体"/>
          <w:spacing w:val="-36"/>
          <w:sz w:val="36"/>
          <w:szCs w:val="36"/>
        </w:rPr>
        <w:t xml:space="preserve"> </w:t>
      </w:r>
      <w:r>
        <w:rPr>
          <w:rFonts w:hint="eastAsia" w:ascii="宋体" w:hAnsi="宋体" w:eastAsia="宋体" w:cs="宋体"/>
          <w:spacing w:val="-26"/>
          <w:sz w:val="36"/>
          <w:szCs w:val="36"/>
          <w14:textOutline w14:w="6531" w14:cap="flat" w14:cmpd="sng">
            <w14:solidFill>
              <w14:srgbClr w14:val="000000"/>
            </w14:solidFill>
            <w14:prstDash w14:val="solid"/>
            <w14:miter w14:val="0"/>
          </w14:textOutline>
        </w:rPr>
        <w:t>标</w:t>
      </w:r>
      <w:r>
        <w:rPr>
          <w:rFonts w:hint="eastAsia" w:ascii="宋体" w:hAnsi="宋体" w:eastAsia="宋体" w:cs="宋体"/>
          <w:spacing w:val="-18"/>
          <w:sz w:val="36"/>
          <w:szCs w:val="36"/>
        </w:rPr>
        <w:t xml:space="preserve"> </w:t>
      </w:r>
      <w:r>
        <w:rPr>
          <w:rFonts w:hint="eastAsia" w:ascii="宋体" w:hAnsi="宋体" w:eastAsia="宋体" w:cs="宋体"/>
          <w:spacing w:val="-26"/>
          <w:sz w:val="36"/>
          <w:szCs w:val="36"/>
          <w14:textOutline w14:w="6531" w14:cap="flat" w14:cmpd="sng">
            <w14:solidFill>
              <w14:srgbClr w14:val="000000"/>
            </w14:solidFill>
            <w14:prstDash w14:val="solid"/>
            <w14:miter w14:val="0"/>
          </w14:textOutline>
        </w:rPr>
        <w:t>书</w:t>
      </w:r>
    </w:p>
    <w:p w14:paraId="7E30579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16" w:firstLineChars="200"/>
        <w:jc w:val="both"/>
        <w:textAlignment w:val="baseline"/>
        <w:outlineLvl w:val="9"/>
        <w:rPr>
          <w:rFonts w:hint="eastAsia" w:ascii="宋体" w:hAnsi="宋体" w:eastAsia="宋体" w:cs="宋体"/>
          <w:spacing w:val="-16"/>
          <w:sz w:val="24"/>
          <w:szCs w:val="24"/>
        </w:rPr>
      </w:pPr>
      <w:r>
        <w:rPr>
          <w:rFonts w:hint="eastAsia" w:ascii="宋体" w:hAnsi="宋体" w:eastAsia="宋体" w:cs="宋体"/>
          <w:spacing w:val="-16"/>
          <w:sz w:val="24"/>
          <w:szCs w:val="24"/>
        </w:rPr>
        <w:t>致：（采购人）、（采购代理机构）</w:t>
      </w:r>
    </w:p>
    <w:p w14:paraId="29B9AA3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1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6"/>
          <w:sz w:val="24"/>
          <w:szCs w:val="24"/>
        </w:rPr>
        <w:t>根据贵方     （项目名称）</w:t>
      </w:r>
      <w:r>
        <w:rPr>
          <w:rFonts w:hint="eastAsia" w:ascii="宋体" w:hAnsi="宋体" w:eastAsia="宋体" w:cs="宋体"/>
          <w:spacing w:val="7"/>
          <w:position w:val="5"/>
          <w:sz w:val="24"/>
          <w:szCs w:val="24"/>
          <w:u w:val="single" w:color="auto"/>
        </w:rPr>
        <w:t xml:space="preserve">      </w:t>
      </w:r>
      <w:r>
        <w:rPr>
          <w:rFonts w:hint="eastAsia" w:ascii="宋体" w:hAnsi="宋体" w:eastAsia="宋体" w:cs="宋体"/>
          <w:spacing w:val="-16"/>
          <w:sz w:val="24"/>
          <w:szCs w:val="24"/>
        </w:rPr>
        <w:t>的《磋商文件》（项目编号</w:t>
      </w:r>
      <w:r>
        <w:rPr>
          <w:rFonts w:hint="eastAsia" w:ascii="宋体" w:hAnsi="宋体" w:eastAsia="宋体" w:cs="宋体"/>
          <w:spacing w:val="-9"/>
          <w:sz w:val="24"/>
          <w:szCs w:val="24"/>
        </w:rPr>
        <w:t>：</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w:t>
      </w:r>
      <w:r>
        <w:rPr>
          <w:rFonts w:hint="eastAsia" w:ascii="宋体" w:hAnsi="宋体" w:eastAsia="宋体" w:cs="宋体"/>
          <w:spacing w:val="-16"/>
          <w:sz w:val="24"/>
          <w:szCs w:val="24"/>
        </w:rPr>
        <w:t>经详细研究，</w:t>
      </w:r>
      <w:r>
        <w:rPr>
          <w:rFonts w:hint="eastAsia" w:ascii="宋体" w:hAnsi="宋体" w:eastAsia="宋体" w:cs="宋体"/>
          <w:spacing w:val="-3"/>
          <w:sz w:val="24"/>
          <w:szCs w:val="24"/>
        </w:rPr>
        <w:t>我们决定参加该项目的采购活动并按要求提交《响应文件》。我们郑重声明对我单位提交的所</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有投标资料的真实准确完整承担完全责任、并对之负法律责任。</w:t>
      </w:r>
    </w:p>
    <w:p w14:paraId="197A2AB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4" w:firstLineChars="200"/>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一、投标书</w:t>
      </w:r>
    </w:p>
    <w:p w14:paraId="3043A81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8" w:firstLineChars="200"/>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二、开标一览表</w:t>
      </w:r>
    </w:p>
    <w:p w14:paraId="785EE2A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4" w:firstLineChars="200"/>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三、已标价工程量清单</w:t>
      </w:r>
    </w:p>
    <w:p w14:paraId="3C8266A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0" w:firstLineChars="200"/>
        <w:textAlignment w:val="baseline"/>
        <w:outlineLvl w:val="9"/>
        <w:rPr>
          <w:rFonts w:hint="eastAsia" w:ascii="宋体" w:hAnsi="宋体" w:eastAsia="宋体" w:cs="宋体"/>
          <w:sz w:val="24"/>
          <w:szCs w:val="24"/>
        </w:rPr>
      </w:pPr>
      <w:r>
        <w:rPr>
          <w:rFonts w:hint="eastAsia" w:ascii="宋体" w:hAnsi="宋体" w:eastAsia="宋体" w:cs="宋体"/>
          <w:spacing w:val="-5"/>
          <w:sz w:val="24"/>
          <w:szCs w:val="24"/>
        </w:rPr>
        <w:t>四、项目管理机构</w:t>
      </w:r>
    </w:p>
    <w:p w14:paraId="68BB8D9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8" w:firstLineChars="200"/>
        <w:textAlignment w:val="baseline"/>
        <w:outlineLvl w:val="9"/>
        <w:rPr>
          <w:rFonts w:hint="eastAsia" w:ascii="宋体" w:hAnsi="宋体" w:eastAsia="宋体" w:cs="宋体"/>
          <w:spacing w:val="-3"/>
          <w:sz w:val="24"/>
          <w:szCs w:val="24"/>
        </w:rPr>
      </w:pPr>
      <w:r>
        <w:rPr>
          <w:rFonts w:hint="eastAsia" w:ascii="宋体" w:hAnsi="宋体" w:eastAsia="宋体" w:cs="宋体"/>
          <w:spacing w:val="-3"/>
          <w:sz w:val="24"/>
          <w:szCs w:val="24"/>
        </w:rPr>
        <w:t>五、资格要求相关证明材料（文件）</w:t>
      </w:r>
    </w:p>
    <w:p w14:paraId="11A155B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8" w:firstLineChars="200"/>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六、投标承诺函</w:t>
      </w:r>
    </w:p>
    <w:p w14:paraId="3237CF0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4" w:firstLineChars="200"/>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rPr>
        <w:t>七、偏差表</w:t>
      </w:r>
    </w:p>
    <w:p w14:paraId="392D60F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八、施工组织设计</w:t>
      </w:r>
    </w:p>
    <w:p w14:paraId="5471D43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九、采购项目及技术服务要求所需的其他材料</w:t>
      </w:r>
    </w:p>
    <w:p w14:paraId="7E04FBB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outlineLvl w:val="9"/>
        <w:rPr>
          <w:rFonts w:hint="eastAsia" w:ascii="宋体" w:hAnsi="宋体" w:eastAsia="宋体" w:cs="宋体"/>
          <w:spacing w:val="-2"/>
          <w:sz w:val="24"/>
          <w:szCs w:val="24"/>
        </w:rPr>
      </w:pPr>
      <w:r>
        <w:rPr>
          <w:rFonts w:hint="eastAsia" w:ascii="宋体" w:hAnsi="宋体" w:eastAsia="宋体" w:cs="宋体"/>
          <w:spacing w:val="-2"/>
          <w:sz w:val="24"/>
          <w:szCs w:val="24"/>
        </w:rPr>
        <w:t>十、投标人须知所需的其他材料</w:t>
      </w:r>
    </w:p>
    <w:p w14:paraId="06D676D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十一、评审办法所需的其他材料</w:t>
      </w:r>
    </w:p>
    <w:p w14:paraId="19F3641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十二、投标人认为有必要提交的其它材料</w:t>
      </w:r>
    </w:p>
    <w:p w14:paraId="33DEBFC9">
      <w:pPr>
        <w:keepNext w:val="0"/>
        <w:keepLines w:val="0"/>
        <w:pageBreakBefore w:val="0"/>
        <w:widowControl/>
        <w:kinsoku/>
        <w:wordWrap/>
        <w:overflowPunct/>
        <w:topLinePunct w:val="0"/>
        <w:autoSpaceDE w:val="0"/>
        <w:autoSpaceDN w:val="0"/>
        <w:bidi w:val="0"/>
        <w:adjustRightInd w:val="0"/>
        <w:snapToGrid w:val="0"/>
        <w:spacing w:line="344" w:lineRule="auto"/>
        <w:outlineLvl w:val="9"/>
        <w:rPr>
          <w:rFonts w:hint="eastAsia" w:ascii="宋体" w:hAnsi="宋体" w:eastAsia="宋体" w:cs="宋体"/>
          <w:sz w:val="21"/>
        </w:rPr>
      </w:pPr>
    </w:p>
    <w:p w14:paraId="45B1682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0" w:firstLineChars="200"/>
        <w:jc w:val="both"/>
        <w:textAlignment w:val="baseline"/>
        <w:outlineLvl w:val="9"/>
        <w:rPr>
          <w:rFonts w:hint="eastAsia" w:ascii="宋体" w:hAnsi="宋体" w:eastAsia="宋体" w:cs="宋体"/>
          <w:spacing w:val="-5"/>
          <w:sz w:val="24"/>
          <w:szCs w:val="24"/>
        </w:rPr>
      </w:pPr>
      <w:r>
        <w:rPr>
          <w:rFonts w:hint="eastAsia" w:ascii="宋体" w:hAnsi="宋体" w:eastAsia="宋体" w:cs="宋体"/>
          <w:spacing w:val="-5"/>
          <w:sz w:val="24"/>
          <w:szCs w:val="24"/>
        </w:rPr>
        <w:t>据此函，签字代表宣布同意如下：</w:t>
      </w:r>
    </w:p>
    <w:p w14:paraId="0C12DE8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1.所附“《响应文件》开启一览表”中规定的应提供和交付的投标总价为：</w:t>
      </w:r>
      <w:r>
        <w:rPr>
          <w:rFonts w:hint="eastAsia" w:ascii="宋体" w:hAnsi="宋体" w:eastAsia="宋体" w:cs="宋体"/>
          <w:spacing w:val="-19"/>
          <w:sz w:val="24"/>
          <w:szCs w:val="24"/>
        </w:rPr>
        <w:t>人民币</w:t>
      </w:r>
      <w:r>
        <w:rPr>
          <w:rFonts w:hint="eastAsia" w:ascii="宋体" w:hAnsi="宋体" w:eastAsia="宋体" w:cs="宋体"/>
          <w:spacing w:val="27"/>
          <w:sz w:val="24"/>
          <w:szCs w:val="24"/>
          <w:u w:val="single" w:color="auto"/>
        </w:rPr>
        <w:t xml:space="preserve">   </w:t>
      </w:r>
      <w:r>
        <w:rPr>
          <w:rFonts w:hint="eastAsia" w:ascii="宋体" w:hAnsi="宋体" w:eastAsia="宋体" w:cs="宋体"/>
          <w:spacing w:val="-19"/>
          <w:sz w:val="24"/>
          <w:szCs w:val="24"/>
        </w:rPr>
        <w:t>，即</w:t>
      </w:r>
      <w:r>
        <w:rPr>
          <w:rFonts w:hint="eastAsia" w:ascii="宋体" w:hAnsi="宋体" w:eastAsia="宋体" w:cs="宋体"/>
          <w:spacing w:val="3"/>
          <w:sz w:val="24"/>
          <w:szCs w:val="24"/>
          <w:u w:val="single" w:color="auto"/>
        </w:rPr>
        <w:t xml:space="preserve">           </w:t>
      </w:r>
      <w:r>
        <w:rPr>
          <w:rFonts w:hint="eastAsia" w:ascii="宋体" w:hAnsi="宋体" w:eastAsia="宋体" w:cs="宋体"/>
          <w:spacing w:val="-19"/>
          <w:sz w:val="24"/>
          <w:szCs w:val="24"/>
        </w:rPr>
        <w:t>（文字表述）</w:t>
      </w:r>
    </w:p>
    <w:p w14:paraId="6332866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2.如果我单位的投标书被接受，我单位将履行《磋商文件》中规定的每一项要求，按期、</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按质、按量履行合同。</w:t>
      </w:r>
    </w:p>
    <w:p w14:paraId="71A9BF6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3.我单位愿按《中华人民共和国</w:t>
      </w:r>
      <w:r>
        <w:rPr>
          <w:rFonts w:hint="eastAsia" w:ascii="宋体" w:hAnsi="宋体" w:eastAsia="宋体" w:cs="宋体"/>
          <w:spacing w:val="-3"/>
          <w:sz w:val="24"/>
          <w:szCs w:val="24"/>
          <w:lang w:eastAsia="zh-CN"/>
        </w:rPr>
        <w:t>民法典</w:t>
      </w:r>
      <w:r>
        <w:rPr>
          <w:rFonts w:hint="eastAsia" w:ascii="宋体" w:hAnsi="宋体" w:eastAsia="宋体" w:cs="宋体"/>
          <w:spacing w:val="-3"/>
          <w:sz w:val="24"/>
          <w:szCs w:val="24"/>
        </w:rPr>
        <w:t>》履行我单位的全部责任。</w:t>
      </w:r>
    </w:p>
    <w:p w14:paraId="7259998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4.我单位已详细阅读并完全理解、同意《磋商文件》的全部内容，包括澄清、修改、补</w:t>
      </w:r>
      <w:r>
        <w:rPr>
          <w:rFonts w:hint="eastAsia" w:ascii="宋体" w:hAnsi="宋体" w:eastAsia="宋体" w:cs="宋体"/>
          <w:spacing w:val="-10"/>
          <w:sz w:val="24"/>
          <w:szCs w:val="24"/>
        </w:rPr>
        <w:t>充文件（竞争性磋商公告所述媒体公布）以及全部参考资料和有关附件；除我单位在《磋商文</w:t>
      </w:r>
      <w:r>
        <w:rPr>
          <w:rFonts w:hint="eastAsia" w:ascii="宋体" w:hAnsi="宋体" w:eastAsia="宋体" w:cs="宋体"/>
          <w:spacing w:val="-2"/>
          <w:sz w:val="24"/>
          <w:szCs w:val="24"/>
        </w:rPr>
        <w:t>件》规定期间内提出的疑问外，我单位放弃对这方面有不明及误解的权力。</w:t>
      </w:r>
    </w:p>
    <w:p w14:paraId="569888B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3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2"/>
          <w:sz w:val="24"/>
          <w:szCs w:val="24"/>
        </w:rPr>
        <w:t>5.《响应文件》自开启日起有效期为90日历天。</w:t>
      </w:r>
    </w:p>
    <w:p w14:paraId="5E61422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6.我单位同意提供按照贵方可能要求的与磋商有关的一切数据或资料，理解贵方不一定</w:t>
      </w:r>
      <w:r>
        <w:rPr>
          <w:rFonts w:hint="eastAsia" w:ascii="宋体" w:hAnsi="宋体" w:eastAsia="宋体" w:cs="宋体"/>
          <w:spacing w:val="-3"/>
          <w:sz w:val="24"/>
          <w:szCs w:val="24"/>
        </w:rPr>
        <w:t>要接受最低价的投标或收到的任何投标。</w:t>
      </w:r>
    </w:p>
    <w:p w14:paraId="78F6D298">
      <w:pPr>
        <w:keepNext w:val="0"/>
        <w:keepLines w:val="0"/>
        <w:pageBreakBefore w:val="0"/>
        <w:widowControl/>
        <w:kinsoku/>
        <w:wordWrap/>
        <w:overflowPunct/>
        <w:topLinePunct w:val="0"/>
        <w:autoSpaceDE w:val="0"/>
        <w:autoSpaceDN w:val="0"/>
        <w:bidi w:val="0"/>
        <w:adjustRightInd w:val="0"/>
        <w:snapToGrid w:val="0"/>
        <w:spacing w:before="250" w:line="189" w:lineRule="auto"/>
        <w:ind w:firstLine="554"/>
        <w:outlineLvl w:val="9"/>
        <w:rPr>
          <w:rFonts w:hint="eastAsia" w:ascii="宋体" w:hAnsi="宋体" w:eastAsia="宋体" w:cs="宋体"/>
          <w:spacing w:val="-4"/>
          <w:sz w:val="24"/>
          <w:szCs w:val="24"/>
        </w:rPr>
      </w:pPr>
      <w:r>
        <w:rPr>
          <w:rFonts w:hint="eastAsia" w:ascii="宋体" w:hAnsi="宋体" w:eastAsia="宋体" w:cs="宋体"/>
          <w:spacing w:val="-4"/>
          <w:sz w:val="24"/>
          <w:szCs w:val="24"/>
        </w:rPr>
        <w:t>7.与本投标有关的一切正式往来请寄：</w:t>
      </w:r>
    </w:p>
    <w:p w14:paraId="26BF2AFF">
      <w:pPr>
        <w:pStyle w:val="13"/>
        <w:rPr>
          <w:rFonts w:hint="eastAsia" w:ascii="宋体" w:hAnsi="宋体" w:eastAsia="宋体" w:cs="宋体"/>
        </w:rPr>
      </w:pPr>
    </w:p>
    <w:p w14:paraId="0D1EA7B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投标人（电子签章）：</w:t>
      </w:r>
    </w:p>
    <w:p w14:paraId="34A2EDF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法定代表人（电子签名）：</w:t>
      </w:r>
    </w:p>
    <w:p w14:paraId="15815AE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地址：</w:t>
      </w:r>
    </w:p>
    <w:p w14:paraId="0F5D446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电话：</w:t>
      </w:r>
    </w:p>
    <w:p w14:paraId="57814C5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传真：</w:t>
      </w:r>
    </w:p>
    <w:p w14:paraId="2FF1389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邮政编码：</w:t>
      </w:r>
    </w:p>
    <w:p w14:paraId="0D09F58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日期：    年   月   日</w:t>
      </w:r>
    </w:p>
    <w:p w14:paraId="1517B89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14" w:type="default"/>
          <w:type w:val="continuous"/>
          <w:pgSz w:w="11910" w:h="16840"/>
          <w:pgMar w:top="1431" w:right="1085" w:bottom="1427" w:left="1095" w:header="0" w:footer="1303" w:gutter="0"/>
          <w:pgNumType w:fmt="decimal"/>
          <w:cols w:equalWidth="0" w:num="1">
            <w:col w:w="9730"/>
          </w:cols>
        </w:sectPr>
      </w:pPr>
    </w:p>
    <w:p w14:paraId="15EBFF79">
      <w:pPr>
        <w:keepNext w:val="0"/>
        <w:keepLines w:val="0"/>
        <w:pageBreakBefore w:val="0"/>
        <w:widowControl/>
        <w:kinsoku/>
        <w:wordWrap/>
        <w:overflowPunct/>
        <w:topLinePunct w:val="0"/>
        <w:autoSpaceDE w:val="0"/>
        <w:autoSpaceDN w:val="0"/>
        <w:bidi w:val="0"/>
        <w:adjustRightInd w:val="0"/>
        <w:snapToGrid w:val="0"/>
        <w:spacing w:before="198" w:line="189" w:lineRule="auto"/>
        <w:ind w:firstLine="3825"/>
        <w:outlineLvl w:val="1"/>
        <w:rPr>
          <w:rFonts w:hint="eastAsia" w:ascii="宋体" w:hAnsi="宋体" w:eastAsia="宋体" w:cs="宋体"/>
          <w:sz w:val="30"/>
          <w:szCs w:val="30"/>
        </w:rPr>
      </w:pPr>
      <w:r>
        <w:rPr>
          <w:rFonts w:hint="eastAsia" w:ascii="宋体" w:hAnsi="宋体" w:eastAsia="宋体" w:cs="宋体"/>
          <w:spacing w:val="-4"/>
          <w:sz w:val="30"/>
          <w:szCs w:val="30"/>
          <w14:textOutline w14:w="5442" w14:cap="flat" w14:cmpd="sng">
            <w14:solidFill>
              <w14:srgbClr w14:val="000000"/>
            </w14:solidFill>
            <w14:prstDash w14:val="solid"/>
            <w14:miter w14:val="0"/>
          </w14:textOutline>
        </w:rPr>
        <w:t>二、开标一览表</w:t>
      </w:r>
    </w:p>
    <w:p w14:paraId="2195B06D">
      <w:pPr>
        <w:keepNext w:val="0"/>
        <w:keepLines w:val="0"/>
        <w:pageBreakBefore w:val="0"/>
        <w:widowControl/>
        <w:kinsoku/>
        <w:wordWrap/>
        <w:overflowPunct/>
        <w:topLinePunct w:val="0"/>
        <w:autoSpaceDE w:val="0"/>
        <w:autoSpaceDN w:val="0"/>
        <w:bidi w:val="0"/>
        <w:adjustRightInd w:val="0"/>
        <w:snapToGrid w:val="0"/>
        <w:spacing w:line="345" w:lineRule="auto"/>
        <w:outlineLvl w:val="9"/>
        <w:rPr>
          <w:rFonts w:hint="eastAsia" w:ascii="宋体" w:hAnsi="宋体" w:eastAsia="宋体" w:cs="宋体"/>
          <w:sz w:val="21"/>
        </w:rPr>
      </w:pPr>
    </w:p>
    <w:p w14:paraId="796A8DB7">
      <w:pPr>
        <w:keepNext w:val="0"/>
        <w:keepLines w:val="0"/>
        <w:pageBreakBefore w:val="0"/>
        <w:widowControl/>
        <w:kinsoku/>
        <w:wordWrap/>
        <w:overflowPunct/>
        <w:topLinePunct w:val="0"/>
        <w:autoSpaceDE w:val="0"/>
        <w:autoSpaceDN w:val="0"/>
        <w:bidi w:val="0"/>
        <w:adjustRightInd w:val="0"/>
        <w:snapToGrid w:val="0"/>
        <w:spacing w:line="346" w:lineRule="auto"/>
        <w:outlineLvl w:val="9"/>
        <w:rPr>
          <w:rFonts w:hint="eastAsia" w:ascii="宋体" w:hAnsi="宋体" w:eastAsia="宋体" w:cs="宋体"/>
          <w:sz w:val="21"/>
        </w:rPr>
      </w:pPr>
    </w:p>
    <w:p w14:paraId="33F944CF">
      <w:pPr>
        <w:keepNext w:val="0"/>
        <w:keepLines w:val="0"/>
        <w:pageBreakBefore w:val="0"/>
        <w:widowControl/>
        <w:kinsoku/>
        <w:wordWrap/>
        <w:overflowPunct/>
        <w:topLinePunct w:val="0"/>
        <w:autoSpaceDE w:val="0"/>
        <w:autoSpaceDN w:val="0"/>
        <w:bidi w:val="0"/>
        <w:adjustRightInd w:val="0"/>
        <w:snapToGrid w:val="0"/>
        <w:spacing w:before="78" w:line="431" w:lineRule="auto"/>
        <w:ind w:firstLine="477"/>
        <w:outlineLvl w:val="9"/>
        <w:rPr>
          <w:rFonts w:hint="eastAsia" w:ascii="宋体" w:hAnsi="宋体" w:eastAsia="宋体" w:cs="宋体"/>
          <w:sz w:val="24"/>
          <w:szCs w:val="24"/>
        </w:rPr>
      </w:pP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注：投标人需在“安阳市政府采购投标文件编制系统”中、按系统要求填列开标一览表，</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系统中填列的开标一览表为投标人《响应文件》的一部分。</w:t>
      </w:r>
    </w:p>
    <w:p w14:paraId="798CAE8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15" w:type="default"/>
          <w:pgSz w:w="11910" w:h="16840"/>
          <w:pgMar w:top="1431" w:right="1010" w:bottom="1427" w:left="1105" w:header="0" w:footer="1303" w:gutter="0"/>
          <w:pgNumType w:fmt="decimal"/>
          <w:cols w:space="720" w:num="1"/>
        </w:sectPr>
      </w:pPr>
    </w:p>
    <w:p w14:paraId="632E94A6">
      <w:pPr>
        <w:pStyle w:val="13"/>
        <w:rPr>
          <w:rFonts w:hint="eastAsia" w:ascii="宋体" w:hAnsi="宋体" w:eastAsia="宋体" w:cs="宋体"/>
        </w:rPr>
      </w:pPr>
    </w:p>
    <w:p w14:paraId="1B66B8E0">
      <w:pPr>
        <w:keepNext w:val="0"/>
        <w:keepLines w:val="0"/>
        <w:pageBreakBefore w:val="0"/>
        <w:widowControl/>
        <w:kinsoku/>
        <w:wordWrap/>
        <w:overflowPunct/>
        <w:topLinePunct w:val="0"/>
        <w:autoSpaceDE w:val="0"/>
        <w:autoSpaceDN w:val="0"/>
        <w:bidi w:val="0"/>
        <w:adjustRightInd w:val="0"/>
        <w:snapToGrid w:val="0"/>
        <w:spacing w:before="198" w:line="189" w:lineRule="auto"/>
        <w:ind w:firstLine="3230"/>
        <w:outlineLvl w:val="1"/>
        <w:rPr>
          <w:rFonts w:hint="eastAsia" w:ascii="宋体" w:hAnsi="宋体" w:eastAsia="宋体" w:cs="宋体"/>
          <w:sz w:val="30"/>
          <w:szCs w:val="30"/>
        </w:rPr>
      </w:pPr>
      <w:r>
        <w:rPr>
          <w:rFonts w:hint="eastAsia" w:ascii="宋体" w:hAnsi="宋体" w:eastAsia="宋体" w:cs="宋体"/>
          <w:spacing w:val="-2"/>
          <w:sz w:val="30"/>
          <w:szCs w:val="30"/>
          <w14:textOutline w14:w="5442" w14:cap="flat" w14:cmpd="sng">
            <w14:solidFill>
              <w14:srgbClr w14:val="000000"/>
            </w14:solidFill>
            <w14:prstDash w14:val="solid"/>
            <w14:miter w14:val="0"/>
          </w14:textOutline>
        </w:rPr>
        <w:t>三、已标价工程量清单</w:t>
      </w:r>
    </w:p>
    <w:p w14:paraId="69D030F3">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0516713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754C707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1CCACAE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208FD0C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6C9686D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34A5699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084987A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6A250F4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668C7BF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03F2C31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0322402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0A7A29F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254538E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01BDD6F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3079704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5EA51DF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24BAA84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6AB386D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347FF99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21F2757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3FCAAEEC">
      <w:pPr>
        <w:keepNext w:val="0"/>
        <w:keepLines w:val="0"/>
        <w:pageBreakBefore w:val="0"/>
        <w:widowControl/>
        <w:kinsoku/>
        <w:wordWrap/>
        <w:overflowPunct/>
        <w:topLinePunct w:val="0"/>
        <w:autoSpaceDE w:val="0"/>
        <w:autoSpaceDN w:val="0"/>
        <w:bidi w:val="0"/>
        <w:adjustRightInd w:val="0"/>
        <w:snapToGrid w:val="0"/>
        <w:spacing w:line="241" w:lineRule="auto"/>
        <w:outlineLvl w:val="9"/>
        <w:rPr>
          <w:rFonts w:hint="eastAsia" w:ascii="宋体" w:hAnsi="宋体" w:eastAsia="宋体" w:cs="宋体"/>
          <w:sz w:val="21"/>
        </w:rPr>
      </w:pPr>
    </w:p>
    <w:p w14:paraId="1DDBD89C">
      <w:pPr>
        <w:keepNext w:val="0"/>
        <w:keepLines w:val="0"/>
        <w:pageBreakBefore w:val="0"/>
        <w:widowControl/>
        <w:kinsoku/>
        <w:wordWrap/>
        <w:overflowPunct/>
        <w:topLinePunct w:val="0"/>
        <w:autoSpaceDE w:val="0"/>
        <w:autoSpaceDN w:val="0"/>
        <w:bidi w:val="0"/>
        <w:adjustRightInd w:val="0"/>
        <w:snapToGrid w:val="0"/>
        <w:spacing w:line="241" w:lineRule="auto"/>
        <w:outlineLvl w:val="9"/>
        <w:rPr>
          <w:rFonts w:hint="eastAsia" w:ascii="宋体" w:hAnsi="宋体" w:eastAsia="宋体" w:cs="宋体"/>
          <w:sz w:val="21"/>
        </w:rPr>
      </w:pPr>
    </w:p>
    <w:p w14:paraId="784CEE7F">
      <w:pPr>
        <w:keepNext w:val="0"/>
        <w:keepLines w:val="0"/>
        <w:pageBreakBefore w:val="0"/>
        <w:widowControl/>
        <w:kinsoku/>
        <w:wordWrap/>
        <w:overflowPunct/>
        <w:topLinePunct w:val="0"/>
        <w:autoSpaceDE w:val="0"/>
        <w:autoSpaceDN w:val="0"/>
        <w:bidi w:val="0"/>
        <w:adjustRightInd w:val="0"/>
        <w:snapToGrid w:val="0"/>
        <w:spacing w:line="241" w:lineRule="auto"/>
        <w:outlineLvl w:val="9"/>
        <w:rPr>
          <w:rFonts w:hint="eastAsia" w:ascii="宋体" w:hAnsi="宋体" w:eastAsia="宋体" w:cs="宋体"/>
          <w:sz w:val="21"/>
        </w:rPr>
      </w:pPr>
    </w:p>
    <w:p w14:paraId="0D3D199D">
      <w:pPr>
        <w:keepNext w:val="0"/>
        <w:keepLines w:val="0"/>
        <w:pageBreakBefore w:val="0"/>
        <w:widowControl/>
        <w:kinsoku/>
        <w:wordWrap/>
        <w:overflowPunct/>
        <w:topLinePunct w:val="0"/>
        <w:autoSpaceDE w:val="0"/>
        <w:autoSpaceDN w:val="0"/>
        <w:bidi w:val="0"/>
        <w:adjustRightInd w:val="0"/>
        <w:snapToGrid w:val="0"/>
        <w:spacing w:line="241" w:lineRule="auto"/>
        <w:outlineLvl w:val="9"/>
        <w:rPr>
          <w:rFonts w:hint="eastAsia" w:ascii="宋体" w:hAnsi="宋体" w:eastAsia="宋体" w:cs="宋体"/>
          <w:sz w:val="21"/>
        </w:rPr>
      </w:pPr>
    </w:p>
    <w:p w14:paraId="34B7BE22">
      <w:pPr>
        <w:keepNext w:val="0"/>
        <w:keepLines w:val="0"/>
        <w:pageBreakBefore w:val="0"/>
        <w:widowControl/>
        <w:kinsoku/>
        <w:wordWrap/>
        <w:overflowPunct/>
        <w:topLinePunct w:val="0"/>
        <w:autoSpaceDE w:val="0"/>
        <w:autoSpaceDN w:val="0"/>
        <w:bidi w:val="0"/>
        <w:adjustRightInd w:val="0"/>
        <w:snapToGrid w:val="0"/>
        <w:spacing w:line="241" w:lineRule="auto"/>
        <w:outlineLvl w:val="9"/>
        <w:rPr>
          <w:rFonts w:hint="eastAsia" w:ascii="宋体" w:hAnsi="宋体" w:eastAsia="宋体" w:cs="宋体"/>
          <w:sz w:val="21"/>
        </w:rPr>
      </w:pPr>
    </w:p>
    <w:p w14:paraId="3681D7F4">
      <w:pPr>
        <w:keepNext w:val="0"/>
        <w:keepLines w:val="0"/>
        <w:pageBreakBefore w:val="0"/>
        <w:widowControl/>
        <w:kinsoku/>
        <w:wordWrap/>
        <w:overflowPunct/>
        <w:topLinePunct w:val="0"/>
        <w:autoSpaceDE w:val="0"/>
        <w:autoSpaceDN w:val="0"/>
        <w:bidi w:val="0"/>
        <w:adjustRightInd w:val="0"/>
        <w:snapToGrid w:val="0"/>
        <w:spacing w:before="78" w:line="189" w:lineRule="auto"/>
        <w:outlineLvl w:val="9"/>
        <w:rPr>
          <w:rFonts w:hint="eastAsia" w:ascii="宋体" w:hAnsi="宋体" w:eastAsia="宋体" w:cs="宋体"/>
          <w:sz w:val="24"/>
          <w:szCs w:val="24"/>
        </w:rPr>
      </w:pPr>
      <w:r>
        <w:rPr>
          <w:rFonts w:hint="eastAsia" w:ascii="宋体" w:hAnsi="宋体" w:eastAsia="宋体" w:cs="宋体"/>
          <w:spacing w:val="-7"/>
          <w:sz w:val="24"/>
          <w:szCs w:val="24"/>
        </w:rPr>
        <w:t>投标人（电子签章</w:t>
      </w:r>
      <w:r>
        <w:rPr>
          <w:rFonts w:hint="eastAsia" w:ascii="宋体" w:hAnsi="宋体" w:eastAsia="宋体" w:cs="宋体"/>
          <w:spacing w:val="-3"/>
          <w:sz w:val="24"/>
          <w:szCs w:val="24"/>
        </w:rPr>
        <w:t>）：</w:t>
      </w:r>
    </w:p>
    <w:p w14:paraId="050CA2A9">
      <w:pPr>
        <w:keepNext w:val="0"/>
        <w:keepLines w:val="0"/>
        <w:pageBreakBefore w:val="0"/>
        <w:widowControl/>
        <w:kinsoku/>
        <w:wordWrap/>
        <w:overflowPunct/>
        <w:topLinePunct w:val="0"/>
        <w:autoSpaceDE w:val="0"/>
        <w:autoSpaceDN w:val="0"/>
        <w:bidi w:val="0"/>
        <w:adjustRightInd w:val="0"/>
        <w:snapToGrid w:val="0"/>
        <w:spacing w:before="221" w:line="189" w:lineRule="auto"/>
        <w:ind w:firstLine="10"/>
        <w:outlineLvl w:val="9"/>
        <w:rPr>
          <w:rFonts w:hint="eastAsia" w:ascii="宋体" w:hAnsi="宋体" w:eastAsia="宋体" w:cs="宋体"/>
          <w:sz w:val="24"/>
          <w:szCs w:val="24"/>
        </w:rPr>
      </w:pPr>
      <w:r>
        <w:rPr>
          <w:rFonts w:hint="eastAsia" w:ascii="宋体" w:hAnsi="宋体" w:eastAsia="宋体" w:cs="宋体"/>
          <w:spacing w:val="-7"/>
          <w:sz w:val="24"/>
          <w:szCs w:val="24"/>
        </w:rPr>
        <w:t>法定代表人（电子签名</w:t>
      </w:r>
      <w:r>
        <w:rPr>
          <w:rFonts w:hint="eastAsia" w:ascii="宋体" w:hAnsi="宋体" w:eastAsia="宋体" w:cs="宋体"/>
          <w:spacing w:val="-1"/>
          <w:sz w:val="24"/>
          <w:szCs w:val="24"/>
        </w:rPr>
        <w:t>）：</w:t>
      </w:r>
    </w:p>
    <w:p w14:paraId="3BA316E2">
      <w:pPr>
        <w:keepNext w:val="0"/>
        <w:keepLines w:val="0"/>
        <w:pageBreakBefore w:val="0"/>
        <w:widowControl/>
        <w:kinsoku/>
        <w:wordWrap/>
        <w:overflowPunct/>
        <w:topLinePunct w:val="0"/>
        <w:autoSpaceDE w:val="0"/>
        <w:autoSpaceDN w:val="0"/>
        <w:bidi w:val="0"/>
        <w:adjustRightInd w:val="0"/>
        <w:snapToGrid w:val="0"/>
        <w:spacing w:before="265" w:line="189" w:lineRule="auto"/>
        <w:ind w:firstLine="51"/>
        <w:outlineLvl w:val="9"/>
        <w:rPr>
          <w:rFonts w:hint="eastAsia" w:ascii="宋体" w:hAnsi="宋体" w:eastAsia="宋体" w:cs="宋体"/>
          <w:sz w:val="24"/>
          <w:szCs w:val="24"/>
        </w:rPr>
      </w:pPr>
      <w:r>
        <w:rPr>
          <w:rFonts w:hint="eastAsia" w:ascii="宋体" w:hAnsi="宋体" w:eastAsia="宋体" w:cs="宋体"/>
          <w:spacing w:val="-22"/>
          <w:w w:val="92"/>
          <w:sz w:val="24"/>
          <w:szCs w:val="24"/>
        </w:rPr>
        <w:t>日期：</w:t>
      </w:r>
      <w:r>
        <w:rPr>
          <w:rFonts w:hint="eastAsia" w:ascii="宋体" w:hAnsi="宋体" w:eastAsia="宋体" w:cs="宋体"/>
          <w:spacing w:val="8"/>
          <w:sz w:val="24"/>
          <w:szCs w:val="24"/>
        </w:rPr>
        <w:t xml:space="preserve">    </w:t>
      </w:r>
      <w:r>
        <w:rPr>
          <w:rFonts w:hint="eastAsia" w:ascii="宋体" w:hAnsi="宋体" w:eastAsia="宋体" w:cs="宋体"/>
          <w:spacing w:val="-22"/>
          <w:w w:val="92"/>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22"/>
          <w:w w:val="92"/>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22"/>
          <w:w w:val="92"/>
          <w:sz w:val="24"/>
          <w:szCs w:val="24"/>
        </w:rPr>
        <w:t>日</w:t>
      </w:r>
    </w:p>
    <w:p w14:paraId="7986849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16" w:type="default"/>
          <w:pgSz w:w="11910" w:h="16840"/>
          <w:pgMar w:top="1431" w:right="1085" w:bottom="1427" w:left="1095" w:header="0" w:footer="1303" w:gutter="0"/>
          <w:pgNumType w:fmt="decimal"/>
          <w:cols w:space="720" w:num="1"/>
        </w:sectPr>
      </w:pPr>
    </w:p>
    <w:p w14:paraId="3EA9B32D">
      <w:pPr>
        <w:keepNext w:val="0"/>
        <w:keepLines w:val="0"/>
        <w:pageBreakBefore w:val="0"/>
        <w:widowControl/>
        <w:kinsoku/>
        <w:wordWrap/>
        <w:overflowPunct/>
        <w:topLinePunct w:val="0"/>
        <w:autoSpaceDE w:val="0"/>
        <w:autoSpaceDN w:val="0"/>
        <w:bidi w:val="0"/>
        <w:adjustRightInd w:val="0"/>
        <w:snapToGrid w:val="0"/>
        <w:spacing w:before="198" w:line="189" w:lineRule="auto"/>
        <w:ind w:firstLine="3391"/>
        <w:outlineLvl w:val="1"/>
        <w:rPr>
          <w:rFonts w:hint="eastAsia" w:ascii="宋体" w:hAnsi="宋体" w:eastAsia="宋体" w:cs="宋体"/>
          <w:sz w:val="30"/>
          <w:szCs w:val="30"/>
        </w:rPr>
      </w:pPr>
      <w:r>
        <w:rPr>
          <w:rFonts w:hint="eastAsia" w:ascii="宋体" w:hAnsi="宋体" w:eastAsia="宋体" w:cs="宋体"/>
          <w:spacing w:val="-6"/>
          <w:sz w:val="30"/>
          <w:szCs w:val="30"/>
          <w14:textOutline w14:w="5442" w14:cap="flat" w14:cmpd="sng">
            <w14:solidFill>
              <w14:srgbClr w14:val="000000"/>
            </w14:solidFill>
            <w14:prstDash w14:val="solid"/>
            <w14:miter w14:val="0"/>
          </w14:textOutline>
        </w:rPr>
        <w:t>四、项目管理机构</w:t>
      </w:r>
    </w:p>
    <w:p w14:paraId="725CBF5A">
      <w:pPr>
        <w:keepNext w:val="0"/>
        <w:keepLines w:val="0"/>
        <w:pageBreakBefore w:val="0"/>
        <w:widowControl/>
        <w:kinsoku/>
        <w:wordWrap/>
        <w:overflowPunct/>
        <w:topLinePunct w:val="0"/>
        <w:autoSpaceDE w:val="0"/>
        <w:autoSpaceDN w:val="0"/>
        <w:bidi w:val="0"/>
        <w:adjustRightInd w:val="0"/>
        <w:snapToGrid w:val="0"/>
        <w:spacing w:before="109" w:line="189" w:lineRule="auto"/>
        <w:ind w:firstLine="2753"/>
        <w:outlineLvl w:val="2"/>
        <w:rPr>
          <w:rFonts w:hint="eastAsia" w:ascii="宋体" w:hAnsi="宋体" w:eastAsia="宋体" w:cs="宋体"/>
          <w:sz w:val="30"/>
          <w:szCs w:val="30"/>
        </w:rPr>
      </w:pPr>
      <w:r>
        <w:rPr>
          <w:rFonts w:hint="eastAsia" w:ascii="宋体" w:hAnsi="宋体" w:eastAsia="宋体" w:cs="宋体"/>
          <w:spacing w:val="-13"/>
          <w:sz w:val="30"/>
          <w:szCs w:val="30"/>
          <w14:textOutline w14:w="5442" w14:cap="flat" w14:cmpd="sng">
            <w14:solidFill>
              <w14:srgbClr w14:val="000000"/>
            </w14:solidFill>
            <w14:prstDash w14:val="solid"/>
            <w14:miter w14:val="0"/>
          </w14:textOutline>
        </w:rPr>
        <w:t>（一）</w:t>
      </w:r>
      <w:r>
        <w:rPr>
          <w:rFonts w:hint="eastAsia" w:ascii="宋体" w:hAnsi="宋体" w:eastAsia="宋体" w:cs="宋体"/>
          <w:spacing w:val="-13"/>
          <w:sz w:val="30"/>
          <w:szCs w:val="30"/>
          <w:lang w:val="en-US" w:eastAsia="zh-CN"/>
          <w14:textOutline w14:w="5442" w14:cap="flat" w14:cmpd="sng">
            <w14:solidFill>
              <w14:srgbClr w14:val="000000"/>
            </w14:solidFill>
            <w14:prstDash w14:val="solid"/>
            <w14:miter w14:val="0"/>
          </w14:textOutline>
        </w:rPr>
        <w:t xml:space="preserve"> </w:t>
      </w:r>
      <w:r>
        <w:rPr>
          <w:rFonts w:hint="eastAsia" w:ascii="宋体" w:hAnsi="宋体" w:eastAsia="宋体" w:cs="宋体"/>
          <w:spacing w:val="-13"/>
          <w:sz w:val="30"/>
          <w:szCs w:val="30"/>
          <w14:textOutline w14:w="5442" w14:cap="flat" w14:cmpd="sng">
            <w14:solidFill>
              <w14:srgbClr w14:val="000000"/>
            </w14:solidFill>
            <w14:prstDash w14:val="solid"/>
            <w14:miter w14:val="0"/>
          </w14:textOutline>
        </w:rPr>
        <w:t>项目管理机构组成表</w:t>
      </w:r>
    </w:p>
    <w:p w14:paraId="65A8E6C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pPr>
    </w:p>
    <w:p w14:paraId="6B2C6B45">
      <w:pPr>
        <w:keepNext w:val="0"/>
        <w:keepLines w:val="0"/>
        <w:pageBreakBefore w:val="0"/>
        <w:widowControl/>
        <w:kinsoku/>
        <w:wordWrap/>
        <w:overflowPunct/>
        <w:topLinePunct w:val="0"/>
        <w:autoSpaceDE w:val="0"/>
        <w:autoSpaceDN w:val="0"/>
        <w:bidi w:val="0"/>
        <w:adjustRightInd w:val="0"/>
        <w:snapToGrid w:val="0"/>
        <w:spacing w:line="150" w:lineRule="exact"/>
        <w:outlineLvl w:val="9"/>
        <w:rPr>
          <w:rFonts w:hint="eastAsia" w:ascii="宋体" w:hAnsi="宋体" w:eastAsia="宋体" w:cs="宋体"/>
        </w:rPr>
      </w:pPr>
    </w:p>
    <w:tbl>
      <w:tblPr>
        <w:tblStyle w:val="30"/>
        <w:tblW w:w="93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720"/>
        <w:gridCol w:w="881"/>
        <w:gridCol w:w="1438"/>
        <w:gridCol w:w="892"/>
        <w:gridCol w:w="2047"/>
        <w:gridCol w:w="1394"/>
        <w:gridCol w:w="1288"/>
      </w:tblGrid>
      <w:tr w14:paraId="3BB38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713" w:type="dxa"/>
            <w:vMerge w:val="restart"/>
            <w:tcBorders>
              <w:bottom w:val="nil"/>
            </w:tcBorders>
            <w:vAlign w:val="top"/>
          </w:tcPr>
          <w:p w14:paraId="017D1491">
            <w:pPr>
              <w:keepNext w:val="0"/>
              <w:keepLines w:val="0"/>
              <w:pageBreakBefore w:val="0"/>
              <w:widowControl/>
              <w:kinsoku/>
              <w:wordWrap/>
              <w:overflowPunct/>
              <w:topLinePunct w:val="0"/>
              <w:autoSpaceDE w:val="0"/>
              <w:autoSpaceDN w:val="0"/>
              <w:bidi w:val="0"/>
              <w:adjustRightInd w:val="0"/>
              <w:snapToGrid w:val="0"/>
              <w:spacing w:line="290" w:lineRule="auto"/>
              <w:outlineLvl w:val="9"/>
              <w:rPr>
                <w:rFonts w:hint="eastAsia" w:ascii="宋体" w:hAnsi="宋体" w:eastAsia="宋体" w:cs="宋体"/>
                <w:sz w:val="21"/>
              </w:rPr>
            </w:pPr>
          </w:p>
          <w:p w14:paraId="24D2B2F1">
            <w:pPr>
              <w:keepNext w:val="0"/>
              <w:keepLines w:val="0"/>
              <w:pageBreakBefore w:val="0"/>
              <w:widowControl/>
              <w:kinsoku/>
              <w:wordWrap/>
              <w:overflowPunct/>
              <w:topLinePunct w:val="0"/>
              <w:autoSpaceDE w:val="0"/>
              <w:autoSpaceDN w:val="0"/>
              <w:bidi w:val="0"/>
              <w:adjustRightInd w:val="0"/>
              <w:snapToGrid w:val="0"/>
              <w:spacing w:line="291" w:lineRule="auto"/>
              <w:outlineLvl w:val="9"/>
              <w:rPr>
                <w:rFonts w:hint="eastAsia" w:ascii="宋体" w:hAnsi="宋体" w:eastAsia="宋体" w:cs="宋体"/>
                <w:sz w:val="21"/>
              </w:rPr>
            </w:pPr>
          </w:p>
          <w:p w14:paraId="3C4F034A">
            <w:pPr>
              <w:keepNext w:val="0"/>
              <w:keepLines w:val="0"/>
              <w:pageBreakBefore w:val="0"/>
              <w:widowControl/>
              <w:kinsoku/>
              <w:wordWrap/>
              <w:overflowPunct/>
              <w:topLinePunct w:val="0"/>
              <w:autoSpaceDE w:val="0"/>
              <w:autoSpaceDN w:val="0"/>
              <w:bidi w:val="0"/>
              <w:adjustRightInd w:val="0"/>
              <w:snapToGrid w:val="0"/>
              <w:spacing w:line="291" w:lineRule="auto"/>
              <w:outlineLvl w:val="9"/>
              <w:rPr>
                <w:rFonts w:hint="eastAsia" w:ascii="宋体" w:hAnsi="宋体" w:eastAsia="宋体" w:cs="宋体"/>
                <w:sz w:val="21"/>
              </w:rPr>
            </w:pPr>
          </w:p>
          <w:p w14:paraId="4F3E1789">
            <w:pPr>
              <w:keepNext w:val="0"/>
              <w:keepLines w:val="0"/>
              <w:pageBreakBefore w:val="0"/>
              <w:widowControl/>
              <w:kinsoku/>
              <w:wordWrap/>
              <w:overflowPunct/>
              <w:topLinePunct w:val="0"/>
              <w:autoSpaceDE w:val="0"/>
              <w:autoSpaceDN w:val="0"/>
              <w:bidi w:val="0"/>
              <w:adjustRightInd w:val="0"/>
              <w:snapToGrid w:val="0"/>
              <w:spacing w:before="68" w:line="189" w:lineRule="auto"/>
              <w:ind w:firstLine="152"/>
              <w:outlineLvl w:val="9"/>
              <w:rPr>
                <w:rFonts w:hint="eastAsia" w:ascii="宋体" w:hAnsi="宋体" w:eastAsia="宋体" w:cs="宋体"/>
                <w:sz w:val="21"/>
                <w:szCs w:val="21"/>
              </w:rPr>
            </w:pPr>
            <w:r>
              <w:rPr>
                <w:rFonts w:hint="eastAsia" w:ascii="宋体" w:hAnsi="宋体" w:eastAsia="宋体" w:cs="宋体"/>
                <w:spacing w:val="-4"/>
                <w:sz w:val="21"/>
                <w:szCs w:val="21"/>
              </w:rPr>
              <w:t>职务</w:t>
            </w:r>
          </w:p>
        </w:tc>
        <w:tc>
          <w:tcPr>
            <w:tcW w:w="720" w:type="dxa"/>
            <w:vMerge w:val="restart"/>
            <w:tcBorders>
              <w:bottom w:val="nil"/>
            </w:tcBorders>
            <w:vAlign w:val="top"/>
          </w:tcPr>
          <w:p w14:paraId="2ED6EF73">
            <w:pPr>
              <w:keepNext w:val="0"/>
              <w:keepLines w:val="0"/>
              <w:pageBreakBefore w:val="0"/>
              <w:widowControl/>
              <w:kinsoku/>
              <w:wordWrap/>
              <w:overflowPunct/>
              <w:topLinePunct w:val="0"/>
              <w:autoSpaceDE w:val="0"/>
              <w:autoSpaceDN w:val="0"/>
              <w:bidi w:val="0"/>
              <w:adjustRightInd w:val="0"/>
              <w:snapToGrid w:val="0"/>
              <w:spacing w:line="290" w:lineRule="auto"/>
              <w:outlineLvl w:val="9"/>
              <w:rPr>
                <w:rFonts w:hint="eastAsia" w:ascii="宋体" w:hAnsi="宋体" w:eastAsia="宋体" w:cs="宋体"/>
                <w:sz w:val="21"/>
              </w:rPr>
            </w:pPr>
          </w:p>
          <w:p w14:paraId="3CB93D7A">
            <w:pPr>
              <w:keepNext w:val="0"/>
              <w:keepLines w:val="0"/>
              <w:pageBreakBefore w:val="0"/>
              <w:widowControl/>
              <w:kinsoku/>
              <w:wordWrap/>
              <w:overflowPunct/>
              <w:topLinePunct w:val="0"/>
              <w:autoSpaceDE w:val="0"/>
              <w:autoSpaceDN w:val="0"/>
              <w:bidi w:val="0"/>
              <w:adjustRightInd w:val="0"/>
              <w:snapToGrid w:val="0"/>
              <w:spacing w:line="291" w:lineRule="auto"/>
              <w:outlineLvl w:val="9"/>
              <w:rPr>
                <w:rFonts w:hint="eastAsia" w:ascii="宋体" w:hAnsi="宋体" w:eastAsia="宋体" w:cs="宋体"/>
                <w:sz w:val="21"/>
              </w:rPr>
            </w:pPr>
          </w:p>
          <w:p w14:paraId="7AD2AD68">
            <w:pPr>
              <w:keepNext w:val="0"/>
              <w:keepLines w:val="0"/>
              <w:pageBreakBefore w:val="0"/>
              <w:widowControl/>
              <w:kinsoku/>
              <w:wordWrap/>
              <w:overflowPunct/>
              <w:topLinePunct w:val="0"/>
              <w:autoSpaceDE w:val="0"/>
              <w:autoSpaceDN w:val="0"/>
              <w:bidi w:val="0"/>
              <w:adjustRightInd w:val="0"/>
              <w:snapToGrid w:val="0"/>
              <w:spacing w:line="291" w:lineRule="auto"/>
              <w:outlineLvl w:val="9"/>
              <w:rPr>
                <w:rFonts w:hint="eastAsia" w:ascii="宋体" w:hAnsi="宋体" w:eastAsia="宋体" w:cs="宋体"/>
                <w:sz w:val="21"/>
              </w:rPr>
            </w:pPr>
          </w:p>
          <w:p w14:paraId="2A41D636">
            <w:pPr>
              <w:keepNext w:val="0"/>
              <w:keepLines w:val="0"/>
              <w:pageBreakBefore w:val="0"/>
              <w:widowControl/>
              <w:kinsoku/>
              <w:wordWrap/>
              <w:overflowPunct/>
              <w:topLinePunct w:val="0"/>
              <w:autoSpaceDE w:val="0"/>
              <w:autoSpaceDN w:val="0"/>
              <w:bidi w:val="0"/>
              <w:adjustRightInd w:val="0"/>
              <w:snapToGrid w:val="0"/>
              <w:spacing w:before="68" w:line="189" w:lineRule="auto"/>
              <w:ind w:firstLine="155"/>
              <w:outlineLvl w:val="9"/>
              <w:rPr>
                <w:rFonts w:hint="eastAsia" w:ascii="宋体" w:hAnsi="宋体" w:eastAsia="宋体" w:cs="宋体"/>
                <w:sz w:val="21"/>
                <w:szCs w:val="21"/>
              </w:rPr>
            </w:pPr>
            <w:r>
              <w:rPr>
                <w:rFonts w:hint="eastAsia" w:ascii="宋体" w:hAnsi="宋体" w:eastAsia="宋体" w:cs="宋体"/>
                <w:spacing w:val="-4"/>
                <w:sz w:val="21"/>
                <w:szCs w:val="21"/>
              </w:rPr>
              <w:t>姓名</w:t>
            </w:r>
          </w:p>
        </w:tc>
        <w:tc>
          <w:tcPr>
            <w:tcW w:w="881" w:type="dxa"/>
            <w:vMerge w:val="restart"/>
            <w:tcBorders>
              <w:bottom w:val="nil"/>
            </w:tcBorders>
            <w:vAlign w:val="top"/>
          </w:tcPr>
          <w:p w14:paraId="05E22A17">
            <w:pPr>
              <w:keepNext w:val="0"/>
              <w:keepLines w:val="0"/>
              <w:pageBreakBefore w:val="0"/>
              <w:widowControl/>
              <w:kinsoku/>
              <w:wordWrap/>
              <w:overflowPunct/>
              <w:topLinePunct w:val="0"/>
              <w:autoSpaceDE w:val="0"/>
              <w:autoSpaceDN w:val="0"/>
              <w:bidi w:val="0"/>
              <w:adjustRightInd w:val="0"/>
              <w:snapToGrid w:val="0"/>
              <w:spacing w:line="290" w:lineRule="auto"/>
              <w:outlineLvl w:val="9"/>
              <w:rPr>
                <w:rFonts w:hint="eastAsia" w:ascii="宋体" w:hAnsi="宋体" w:eastAsia="宋体" w:cs="宋体"/>
                <w:sz w:val="21"/>
              </w:rPr>
            </w:pPr>
          </w:p>
          <w:p w14:paraId="4022B8F6">
            <w:pPr>
              <w:keepNext w:val="0"/>
              <w:keepLines w:val="0"/>
              <w:pageBreakBefore w:val="0"/>
              <w:widowControl/>
              <w:kinsoku/>
              <w:wordWrap/>
              <w:overflowPunct/>
              <w:topLinePunct w:val="0"/>
              <w:autoSpaceDE w:val="0"/>
              <w:autoSpaceDN w:val="0"/>
              <w:bidi w:val="0"/>
              <w:adjustRightInd w:val="0"/>
              <w:snapToGrid w:val="0"/>
              <w:spacing w:line="291" w:lineRule="auto"/>
              <w:outlineLvl w:val="9"/>
              <w:rPr>
                <w:rFonts w:hint="eastAsia" w:ascii="宋体" w:hAnsi="宋体" w:eastAsia="宋体" w:cs="宋体"/>
                <w:sz w:val="21"/>
              </w:rPr>
            </w:pPr>
          </w:p>
          <w:p w14:paraId="0E7155C7">
            <w:pPr>
              <w:keepNext w:val="0"/>
              <w:keepLines w:val="0"/>
              <w:pageBreakBefore w:val="0"/>
              <w:widowControl/>
              <w:kinsoku/>
              <w:wordWrap/>
              <w:overflowPunct/>
              <w:topLinePunct w:val="0"/>
              <w:autoSpaceDE w:val="0"/>
              <w:autoSpaceDN w:val="0"/>
              <w:bidi w:val="0"/>
              <w:adjustRightInd w:val="0"/>
              <w:snapToGrid w:val="0"/>
              <w:spacing w:line="291" w:lineRule="auto"/>
              <w:outlineLvl w:val="9"/>
              <w:rPr>
                <w:rFonts w:hint="eastAsia" w:ascii="宋体" w:hAnsi="宋体" w:eastAsia="宋体" w:cs="宋体"/>
                <w:sz w:val="21"/>
              </w:rPr>
            </w:pPr>
          </w:p>
          <w:p w14:paraId="57CB8E5C">
            <w:pPr>
              <w:keepNext w:val="0"/>
              <w:keepLines w:val="0"/>
              <w:pageBreakBefore w:val="0"/>
              <w:widowControl/>
              <w:kinsoku/>
              <w:wordWrap/>
              <w:overflowPunct/>
              <w:topLinePunct w:val="0"/>
              <w:autoSpaceDE w:val="0"/>
              <w:autoSpaceDN w:val="0"/>
              <w:bidi w:val="0"/>
              <w:adjustRightInd w:val="0"/>
              <w:snapToGrid w:val="0"/>
              <w:spacing w:before="68" w:line="189" w:lineRule="auto"/>
              <w:ind w:firstLine="236"/>
              <w:outlineLvl w:val="9"/>
              <w:rPr>
                <w:rFonts w:hint="eastAsia" w:ascii="宋体" w:hAnsi="宋体" w:eastAsia="宋体" w:cs="宋体"/>
                <w:sz w:val="21"/>
                <w:szCs w:val="21"/>
              </w:rPr>
            </w:pPr>
            <w:r>
              <w:rPr>
                <w:rFonts w:hint="eastAsia" w:ascii="宋体" w:hAnsi="宋体" w:eastAsia="宋体" w:cs="宋体"/>
                <w:spacing w:val="-4"/>
                <w:sz w:val="21"/>
                <w:szCs w:val="21"/>
              </w:rPr>
              <w:t>职称</w:t>
            </w:r>
          </w:p>
        </w:tc>
        <w:tc>
          <w:tcPr>
            <w:tcW w:w="5771" w:type="dxa"/>
            <w:gridSpan w:val="4"/>
            <w:vAlign w:val="top"/>
          </w:tcPr>
          <w:p w14:paraId="4F2F9ECE">
            <w:pPr>
              <w:keepNext w:val="0"/>
              <w:keepLines w:val="0"/>
              <w:pageBreakBefore w:val="0"/>
              <w:widowControl/>
              <w:kinsoku/>
              <w:wordWrap/>
              <w:overflowPunct/>
              <w:topLinePunct w:val="0"/>
              <w:autoSpaceDE w:val="0"/>
              <w:autoSpaceDN w:val="0"/>
              <w:bidi w:val="0"/>
              <w:adjustRightInd w:val="0"/>
              <w:snapToGrid w:val="0"/>
              <w:spacing w:line="377" w:lineRule="auto"/>
              <w:outlineLvl w:val="9"/>
              <w:rPr>
                <w:rFonts w:hint="eastAsia" w:ascii="宋体" w:hAnsi="宋体" w:eastAsia="宋体" w:cs="宋体"/>
                <w:sz w:val="21"/>
              </w:rPr>
            </w:pPr>
          </w:p>
          <w:p w14:paraId="2E68A3D4">
            <w:pPr>
              <w:keepNext w:val="0"/>
              <w:keepLines w:val="0"/>
              <w:pageBreakBefore w:val="0"/>
              <w:widowControl/>
              <w:kinsoku/>
              <w:wordWrap/>
              <w:overflowPunct/>
              <w:topLinePunct w:val="0"/>
              <w:autoSpaceDE w:val="0"/>
              <w:autoSpaceDN w:val="0"/>
              <w:bidi w:val="0"/>
              <w:adjustRightInd w:val="0"/>
              <w:snapToGrid w:val="0"/>
              <w:spacing w:before="68" w:line="189" w:lineRule="auto"/>
              <w:ind w:firstLine="1949"/>
              <w:outlineLvl w:val="9"/>
              <w:rPr>
                <w:rFonts w:hint="eastAsia" w:ascii="宋体" w:hAnsi="宋体" w:eastAsia="宋体" w:cs="宋体"/>
                <w:sz w:val="21"/>
                <w:szCs w:val="21"/>
              </w:rPr>
            </w:pPr>
            <w:r>
              <w:rPr>
                <w:rFonts w:hint="eastAsia" w:ascii="宋体" w:hAnsi="宋体" w:eastAsia="宋体" w:cs="宋体"/>
                <w:spacing w:val="-2"/>
                <w:sz w:val="21"/>
                <w:szCs w:val="21"/>
              </w:rPr>
              <w:t>执业或职业资格证明</w:t>
            </w:r>
          </w:p>
        </w:tc>
        <w:tc>
          <w:tcPr>
            <w:tcW w:w="1288" w:type="dxa"/>
            <w:vMerge w:val="restart"/>
            <w:tcBorders>
              <w:bottom w:val="nil"/>
            </w:tcBorders>
            <w:vAlign w:val="top"/>
          </w:tcPr>
          <w:p w14:paraId="6831800E">
            <w:pPr>
              <w:keepNext w:val="0"/>
              <w:keepLines w:val="0"/>
              <w:pageBreakBefore w:val="0"/>
              <w:widowControl/>
              <w:kinsoku/>
              <w:wordWrap/>
              <w:overflowPunct/>
              <w:topLinePunct w:val="0"/>
              <w:autoSpaceDE w:val="0"/>
              <w:autoSpaceDN w:val="0"/>
              <w:bidi w:val="0"/>
              <w:adjustRightInd w:val="0"/>
              <w:snapToGrid w:val="0"/>
              <w:spacing w:line="279" w:lineRule="auto"/>
              <w:outlineLvl w:val="9"/>
              <w:rPr>
                <w:rFonts w:hint="eastAsia" w:ascii="宋体" w:hAnsi="宋体" w:eastAsia="宋体" w:cs="宋体"/>
                <w:sz w:val="21"/>
              </w:rPr>
            </w:pPr>
          </w:p>
          <w:p w14:paraId="3A6FF390">
            <w:pPr>
              <w:keepNext w:val="0"/>
              <w:keepLines w:val="0"/>
              <w:pageBreakBefore w:val="0"/>
              <w:widowControl/>
              <w:kinsoku/>
              <w:wordWrap/>
              <w:overflowPunct/>
              <w:topLinePunct w:val="0"/>
              <w:autoSpaceDE w:val="0"/>
              <w:autoSpaceDN w:val="0"/>
              <w:bidi w:val="0"/>
              <w:adjustRightInd w:val="0"/>
              <w:snapToGrid w:val="0"/>
              <w:spacing w:line="279" w:lineRule="auto"/>
              <w:outlineLvl w:val="9"/>
              <w:rPr>
                <w:rFonts w:hint="eastAsia" w:ascii="宋体" w:hAnsi="宋体" w:eastAsia="宋体" w:cs="宋体"/>
                <w:sz w:val="21"/>
              </w:rPr>
            </w:pPr>
          </w:p>
          <w:p w14:paraId="3513BEEE">
            <w:pPr>
              <w:keepNext w:val="0"/>
              <w:keepLines w:val="0"/>
              <w:pageBreakBefore w:val="0"/>
              <w:widowControl/>
              <w:kinsoku/>
              <w:wordWrap/>
              <w:overflowPunct/>
              <w:topLinePunct w:val="0"/>
              <w:autoSpaceDE w:val="0"/>
              <w:autoSpaceDN w:val="0"/>
              <w:bidi w:val="0"/>
              <w:adjustRightInd w:val="0"/>
              <w:snapToGrid w:val="0"/>
              <w:spacing w:before="69" w:line="189" w:lineRule="auto"/>
              <w:ind w:firstLine="446"/>
              <w:outlineLvl w:val="9"/>
              <w:rPr>
                <w:rFonts w:hint="eastAsia" w:ascii="宋体" w:hAnsi="宋体" w:eastAsia="宋体" w:cs="宋体"/>
                <w:sz w:val="21"/>
                <w:szCs w:val="21"/>
              </w:rPr>
            </w:pPr>
            <w:r>
              <w:rPr>
                <w:rFonts w:hint="eastAsia" w:ascii="宋体" w:hAnsi="宋体" w:eastAsia="宋体" w:cs="宋体"/>
                <w:spacing w:val="-4"/>
                <w:sz w:val="21"/>
                <w:szCs w:val="21"/>
              </w:rPr>
              <w:t>备注</w:t>
            </w:r>
          </w:p>
        </w:tc>
      </w:tr>
      <w:tr w14:paraId="0E9C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713" w:type="dxa"/>
            <w:vMerge w:val="continue"/>
            <w:tcBorders>
              <w:top w:val="nil"/>
            </w:tcBorders>
            <w:vAlign w:val="top"/>
          </w:tcPr>
          <w:p w14:paraId="5C32950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Merge w:val="continue"/>
            <w:tcBorders>
              <w:top w:val="nil"/>
            </w:tcBorders>
            <w:vAlign w:val="top"/>
          </w:tcPr>
          <w:p w14:paraId="3D50E86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Merge w:val="continue"/>
            <w:tcBorders>
              <w:top w:val="nil"/>
            </w:tcBorders>
            <w:vAlign w:val="top"/>
          </w:tcPr>
          <w:p w14:paraId="4977F80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58BFE96C">
            <w:pPr>
              <w:keepNext w:val="0"/>
              <w:keepLines w:val="0"/>
              <w:pageBreakBefore w:val="0"/>
              <w:widowControl/>
              <w:kinsoku/>
              <w:wordWrap/>
              <w:overflowPunct/>
              <w:topLinePunct w:val="0"/>
              <w:autoSpaceDE w:val="0"/>
              <w:autoSpaceDN w:val="0"/>
              <w:bidi w:val="0"/>
              <w:adjustRightInd w:val="0"/>
              <w:snapToGrid w:val="0"/>
              <w:spacing w:line="373" w:lineRule="auto"/>
              <w:outlineLvl w:val="9"/>
              <w:rPr>
                <w:rFonts w:hint="eastAsia" w:ascii="宋体" w:hAnsi="宋体" w:eastAsia="宋体" w:cs="宋体"/>
                <w:sz w:val="21"/>
              </w:rPr>
            </w:pPr>
          </w:p>
          <w:p w14:paraId="3A3AEE63">
            <w:pPr>
              <w:keepNext w:val="0"/>
              <w:keepLines w:val="0"/>
              <w:pageBreakBefore w:val="0"/>
              <w:widowControl/>
              <w:kinsoku/>
              <w:wordWrap/>
              <w:overflowPunct/>
              <w:topLinePunct w:val="0"/>
              <w:autoSpaceDE w:val="0"/>
              <w:autoSpaceDN w:val="0"/>
              <w:bidi w:val="0"/>
              <w:adjustRightInd w:val="0"/>
              <w:snapToGrid w:val="0"/>
              <w:spacing w:before="69" w:line="189" w:lineRule="auto"/>
              <w:ind w:firstLine="306"/>
              <w:outlineLvl w:val="9"/>
              <w:rPr>
                <w:rFonts w:hint="eastAsia" w:ascii="宋体" w:hAnsi="宋体" w:eastAsia="宋体" w:cs="宋体"/>
                <w:sz w:val="21"/>
                <w:szCs w:val="21"/>
              </w:rPr>
            </w:pPr>
            <w:r>
              <w:rPr>
                <w:rFonts w:hint="eastAsia" w:ascii="宋体" w:hAnsi="宋体" w:eastAsia="宋体" w:cs="宋体"/>
                <w:spacing w:val="-3"/>
                <w:sz w:val="21"/>
                <w:szCs w:val="21"/>
              </w:rPr>
              <w:t>证书名称</w:t>
            </w:r>
          </w:p>
        </w:tc>
        <w:tc>
          <w:tcPr>
            <w:tcW w:w="892" w:type="dxa"/>
            <w:vAlign w:val="top"/>
          </w:tcPr>
          <w:p w14:paraId="3C002AA6">
            <w:pPr>
              <w:keepNext w:val="0"/>
              <w:keepLines w:val="0"/>
              <w:pageBreakBefore w:val="0"/>
              <w:widowControl/>
              <w:kinsoku/>
              <w:wordWrap/>
              <w:overflowPunct/>
              <w:topLinePunct w:val="0"/>
              <w:autoSpaceDE w:val="0"/>
              <w:autoSpaceDN w:val="0"/>
              <w:bidi w:val="0"/>
              <w:adjustRightInd w:val="0"/>
              <w:snapToGrid w:val="0"/>
              <w:spacing w:line="373" w:lineRule="auto"/>
              <w:outlineLvl w:val="9"/>
              <w:rPr>
                <w:rFonts w:hint="eastAsia" w:ascii="宋体" w:hAnsi="宋体" w:eastAsia="宋体" w:cs="宋体"/>
                <w:sz w:val="21"/>
              </w:rPr>
            </w:pPr>
          </w:p>
          <w:p w14:paraId="6B50E42F">
            <w:pPr>
              <w:keepNext w:val="0"/>
              <w:keepLines w:val="0"/>
              <w:pageBreakBefore w:val="0"/>
              <w:widowControl/>
              <w:kinsoku/>
              <w:wordWrap/>
              <w:overflowPunct/>
              <w:topLinePunct w:val="0"/>
              <w:autoSpaceDE w:val="0"/>
              <w:autoSpaceDN w:val="0"/>
              <w:bidi w:val="0"/>
              <w:adjustRightInd w:val="0"/>
              <w:snapToGrid w:val="0"/>
              <w:spacing w:before="69" w:line="189" w:lineRule="auto"/>
              <w:ind w:firstLine="247"/>
              <w:outlineLvl w:val="9"/>
              <w:rPr>
                <w:rFonts w:hint="eastAsia" w:ascii="宋体" w:hAnsi="宋体" w:eastAsia="宋体" w:cs="宋体"/>
                <w:sz w:val="21"/>
                <w:szCs w:val="21"/>
              </w:rPr>
            </w:pPr>
            <w:r>
              <w:rPr>
                <w:rFonts w:hint="eastAsia" w:ascii="宋体" w:hAnsi="宋体" w:eastAsia="宋体" w:cs="宋体"/>
                <w:spacing w:val="-5"/>
                <w:sz w:val="21"/>
                <w:szCs w:val="21"/>
              </w:rPr>
              <w:t>级别</w:t>
            </w:r>
          </w:p>
        </w:tc>
        <w:tc>
          <w:tcPr>
            <w:tcW w:w="2047" w:type="dxa"/>
            <w:vAlign w:val="top"/>
          </w:tcPr>
          <w:p w14:paraId="3C9ED58A">
            <w:pPr>
              <w:keepNext w:val="0"/>
              <w:keepLines w:val="0"/>
              <w:pageBreakBefore w:val="0"/>
              <w:widowControl/>
              <w:kinsoku/>
              <w:wordWrap/>
              <w:overflowPunct/>
              <w:topLinePunct w:val="0"/>
              <w:autoSpaceDE w:val="0"/>
              <w:autoSpaceDN w:val="0"/>
              <w:bidi w:val="0"/>
              <w:adjustRightInd w:val="0"/>
              <w:snapToGrid w:val="0"/>
              <w:spacing w:line="373" w:lineRule="auto"/>
              <w:outlineLvl w:val="9"/>
              <w:rPr>
                <w:rFonts w:hint="eastAsia" w:ascii="宋体" w:hAnsi="宋体" w:eastAsia="宋体" w:cs="宋体"/>
                <w:sz w:val="21"/>
              </w:rPr>
            </w:pPr>
          </w:p>
          <w:p w14:paraId="7D79FF7A">
            <w:pPr>
              <w:keepNext w:val="0"/>
              <w:keepLines w:val="0"/>
              <w:pageBreakBefore w:val="0"/>
              <w:widowControl/>
              <w:kinsoku/>
              <w:wordWrap/>
              <w:overflowPunct/>
              <w:topLinePunct w:val="0"/>
              <w:autoSpaceDE w:val="0"/>
              <w:autoSpaceDN w:val="0"/>
              <w:bidi w:val="0"/>
              <w:adjustRightInd w:val="0"/>
              <w:snapToGrid w:val="0"/>
              <w:spacing w:before="69" w:line="189" w:lineRule="auto"/>
              <w:ind w:firstLine="823"/>
              <w:outlineLvl w:val="9"/>
              <w:rPr>
                <w:rFonts w:hint="eastAsia" w:ascii="宋体" w:hAnsi="宋体" w:eastAsia="宋体" w:cs="宋体"/>
                <w:sz w:val="21"/>
                <w:szCs w:val="21"/>
              </w:rPr>
            </w:pPr>
            <w:r>
              <w:rPr>
                <w:rFonts w:hint="eastAsia" w:ascii="宋体" w:hAnsi="宋体" w:eastAsia="宋体" w:cs="宋体"/>
                <w:spacing w:val="-4"/>
                <w:sz w:val="21"/>
                <w:szCs w:val="21"/>
              </w:rPr>
              <w:t>证号</w:t>
            </w:r>
          </w:p>
        </w:tc>
        <w:tc>
          <w:tcPr>
            <w:tcW w:w="1394" w:type="dxa"/>
            <w:vAlign w:val="top"/>
          </w:tcPr>
          <w:p w14:paraId="366529DA">
            <w:pPr>
              <w:keepNext w:val="0"/>
              <w:keepLines w:val="0"/>
              <w:pageBreakBefore w:val="0"/>
              <w:widowControl/>
              <w:kinsoku/>
              <w:wordWrap/>
              <w:overflowPunct/>
              <w:topLinePunct w:val="0"/>
              <w:autoSpaceDE w:val="0"/>
              <w:autoSpaceDN w:val="0"/>
              <w:bidi w:val="0"/>
              <w:adjustRightInd w:val="0"/>
              <w:snapToGrid w:val="0"/>
              <w:spacing w:line="373" w:lineRule="auto"/>
              <w:outlineLvl w:val="9"/>
              <w:rPr>
                <w:rFonts w:hint="eastAsia" w:ascii="宋体" w:hAnsi="宋体" w:eastAsia="宋体" w:cs="宋体"/>
                <w:sz w:val="21"/>
              </w:rPr>
            </w:pPr>
          </w:p>
          <w:p w14:paraId="31E1C7B5">
            <w:pPr>
              <w:keepNext w:val="0"/>
              <w:keepLines w:val="0"/>
              <w:pageBreakBefore w:val="0"/>
              <w:widowControl/>
              <w:kinsoku/>
              <w:wordWrap/>
              <w:overflowPunct/>
              <w:topLinePunct w:val="0"/>
              <w:autoSpaceDE w:val="0"/>
              <w:autoSpaceDN w:val="0"/>
              <w:bidi w:val="0"/>
              <w:adjustRightInd w:val="0"/>
              <w:snapToGrid w:val="0"/>
              <w:spacing w:before="69" w:line="189" w:lineRule="auto"/>
              <w:ind w:firstLine="501"/>
              <w:outlineLvl w:val="9"/>
              <w:rPr>
                <w:rFonts w:hint="eastAsia" w:ascii="宋体" w:hAnsi="宋体" w:eastAsia="宋体" w:cs="宋体"/>
                <w:sz w:val="21"/>
                <w:szCs w:val="21"/>
              </w:rPr>
            </w:pPr>
            <w:r>
              <w:rPr>
                <w:rFonts w:hint="eastAsia" w:ascii="宋体" w:hAnsi="宋体" w:eastAsia="宋体" w:cs="宋体"/>
                <w:spacing w:val="-5"/>
                <w:sz w:val="21"/>
                <w:szCs w:val="21"/>
              </w:rPr>
              <w:t>专业</w:t>
            </w:r>
          </w:p>
        </w:tc>
        <w:tc>
          <w:tcPr>
            <w:tcW w:w="1288" w:type="dxa"/>
            <w:vMerge w:val="continue"/>
            <w:tcBorders>
              <w:top w:val="nil"/>
            </w:tcBorders>
            <w:vAlign w:val="top"/>
          </w:tcPr>
          <w:p w14:paraId="6BC118B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60D19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3" w:type="dxa"/>
            <w:vAlign w:val="top"/>
          </w:tcPr>
          <w:p w14:paraId="1689CA1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6ED9707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74992B8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53CB038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4644F79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6735B54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00B8170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46DFBBA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0257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713" w:type="dxa"/>
            <w:vAlign w:val="top"/>
          </w:tcPr>
          <w:p w14:paraId="0AC38F6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5715260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71455D3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2491A7C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06E985F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31DC356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7E1C705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7236585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21FCB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3" w:type="dxa"/>
            <w:vAlign w:val="top"/>
          </w:tcPr>
          <w:p w14:paraId="79602CB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640EC89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32BE490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2DAD1AC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4B5E25B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16C2F0F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4064174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66AE7ED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78EE1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713" w:type="dxa"/>
            <w:vAlign w:val="top"/>
          </w:tcPr>
          <w:p w14:paraId="547D7CE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50A805A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4C78235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65E1E79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5E716F3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7F7B093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23C7D77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53C5F7C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4853E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713" w:type="dxa"/>
            <w:vAlign w:val="top"/>
          </w:tcPr>
          <w:p w14:paraId="556BF32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331602F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10CE3A8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025483D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05A45C4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017BA68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08871A8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68BA73E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5CA4E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3" w:type="dxa"/>
            <w:vAlign w:val="top"/>
          </w:tcPr>
          <w:p w14:paraId="6E64CC0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3360BEE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2C00F24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4B3D9B0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6DB7C9D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74BD356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0D4280E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7EC37A6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67EE3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713" w:type="dxa"/>
            <w:vAlign w:val="top"/>
          </w:tcPr>
          <w:p w14:paraId="1ADBBCA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19A144F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46CC33A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514450C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636DA37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30A85E2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674ECB6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1B21D7A3">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55431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713" w:type="dxa"/>
            <w:vAlign w:val="top"/>
          </w:tcPr>
          <w:p w14:paraId="72FBD2E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4BC0504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0195ABA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460721A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16012E3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48FF607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0B61704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33068F3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11567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3" w:type="dxa"/>
            <w:vAlign w:val="top"/>
          </w:tcPr>
          <w:p w14:paraId="71CE463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26CCF13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755B820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7DEAF5F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5FF96CA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5379A4A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0ACFDB9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43A415E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3469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713" w:type="dxa"/>
            <w:vAlign w:val="top"/>
          </w:tcPr>
          <w:p w14:paraId="721A1BB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5819905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73C542A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7D41A8D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52F61AF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544C56F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081AA19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00AFF8C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71E08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713" w:type="dxa"/>
            <w:vAlign w:val="top"/>
          </w:tcPr>
          <w:p w14:paraId="1B722053">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45AE16F3">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76E1E8B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1DC222F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7F098FD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6060772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24283A6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61C38E5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3BE9F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713" w:type="dxa"/>
            <w:vAlign w:val="top"/>
          </w:tcPr>
          <w:p w14:paraId="7D40B43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0332DC4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248037A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26FC633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6F60489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6242A6D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08C1810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232844F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72D3C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3" w:type="dxa"/>
            <w:vAlign w:val="top"/>
          </w:tcPr>
          <w:p w14:paraId="4798312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72318F3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33D2C04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65A23A0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45FEEDF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7060130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5DEDBD4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7DB8433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29E0E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713" w:type="dxa"/>
            <w:vAlign w:val="top"/>
          </w:tcPr>
          <w:p w14:paraId="5469C78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720" w:type="dxa"/>
            <w:vAlign w:val="top"/>
          </w:tcPr>
          <w:p w14:paraId="18E1A66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81" w:type="dxa"/>
            <w:vAlign w:val="top"/>
          </w:tcPr>
          <w:p w14:paraId="23450C3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438" w:type="dxa"/>
            <w:vAlign w:val="top"/>
          </w:tcPr>
          <w:p w14:paraId="63275C9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892" w:type="dxa"/>
            <w:vAlign w:val="top"/>
          </w:tcPr>
          <w:p w14:paraId="6F8C58C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047" w:type="dxa"/>
            <w:vAlign w:val="top"/>
          </w:tcPr>
          <w:p w14:paraId="3AAB8CF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394" w:type="dxa"/>
            <w:vAlign w:val="top"/>
          </w:tcPr>
          <w:p w14:paraId="01A606B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288" w:type="dxa"/>
            <w:vAlign w:val="top"/>
          </w:tcPr>
          <w:p w14:paraId="0A6D63D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bl>
    <w:p w14:paraId="62E0CDD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6920817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17" w:type="default"/>
          <w:pgSz w:w="11910" w:h="16840"/>
          <w:pgMar w:top="1431" w:right="1085" w:bottom="1427" w:left="1413" w:header="0" w:footer="1303" w:gutter="0"/>
          <w:pgNumType w:fmt="decimal"/>
          <w:cols w:space="720" w:num="1"/>
        </w:sectPr>
      </w:pPr>
    </w:p>
    <w:p w14:paraId="272C09CE">
      <w:pPr>
        <w:keepNext w:val="0"/>
        <w:keepLines w:val="0"/>
        <w:pageBreakBefore w:val="0"/>
        <w:widowControl/>
        <w:kinsoku/>
        <w:wordWrap/>
        <w:overflowPunct/>
        <w:topLinePunct w:val="0"/>
        <w:autoSpaceDE w:val="0"/>
        <w:autoSpaceDN w:val="0"/>
        <w:bidi w:val="0"/>
        <w:adjustRightInd w:val="0"/>
        <w:snapToGrid w:val="0"/>
        <w:spacing w:before="65" w:line="189" w:lineRule="auto"/>
        <w:ind w:firstLine="38"/>
        <w:jc w:val="center"/>
        <w:outlineLvl w:val="2"/>
        <w:rPr>
          <w:rFonts w:hint="eastAsia" w:ascii="宋体" w:hAnsi="宋体" w:eastAsia="宋体" w:cs="宋体"/>
          <w:sz w:val="32"/>
          <w:szCs w:val="32"/>
        </w:rPr>
      </w:pPr>
      <w:r>
        <w:rPr>
          <w:rFonts w:hint="eastAsia" w:ascii="宋体" w:hAnsi="宋体" w:eastAsia="宋体" w:cs="宋体"/>
          <w:spacing w:val="-18"/>
          <w:sz w:val="32"/>
          <w:szCs w:val="32"/>
          <w14:textOutline w14:w="5805" w14:cap="flat" w14:cmpd="sng">
            <w14:solidFill>
              <w14:srgbClr w14:val="000000"/>
            </w14:solidFill>
            <w14:prstDash w14:val="solid"/>
            <w14:miter w14:val="0"/>
          </w14:textOutline>
        </w:rPr>
        <w:t>（二）</w:t>
      </w:r>
      <w:r>
        <w:rPr>
          <w:rFonts w:hint="eastAsia" w:ascii="宋体" w:hAnsi="宋体" w:eastAsia="宋体" w:cs="宋体"/>
          <w:spacing w:val="10"/>
          <w:sz w:val="32"/>
          <w:szCs w:val="32"/>
        </w:rPr>
        <w:t xml:space="preserve"> </w:t>
      </w:r>
      <w:r>
        <w:rPr>
          <w:rFonts w:hint="eastAsia" w:ascii="宋体" w:hAnsi="宋体" w:eastAsia="宋体" w:cs="宋体"/>
          <w:spacing w:val="-18"/>
          <w:sz w:val="32"/>
          <w:szCs w:val="32"/>
          <w14:textOutline w14:w="5805" w14:cap="flat" w14:cmpd="sng">
            <w14:solidFill>
              <w14:srgbClr w14:val="000000"/>
            </w14:solidFill>
            <w14:prstDash w14:val="solid"/>
            <w14:miter w14:val="0"/>
          </w14:textOutline>
        </w:rPr>
        <w:t>主要人员简历表</w:t>
      </w:r>
    </w:p>
    <w:p w14:paraId="3C86F8AF">
      <w:pPr>
        <w:keepNext w:val="0"/>
        <w:keepLines w:val="0"/>
        <w:pageBreakBefore w:val="0"/>
        <w:widowControl/>
        <w:kinsoku/>
        <w:wordWrap/>
        <w:overflowPunct/>
        <w:topLinePunct w:val="0"/>
        <w:autoSpaceDE w:val="0"/>
        <w:autoSpaceDN w:val="0"/>
        <w:bidi w:val="0"/>
        <w:adjustRightInd w:val="0"/>
        <w:snapToGrid w:val="0"/>
        <w:spacing w:line="315" w:lineRule="auto"/>
        <w:outlineLvl w:val="9"/>
        <w:rPr>
          <w:rFonts w:hint="eastAsia" w:ascii="宋体" w:hAnsi="宋体" w:eastAsia="宋体" w:cs="宋体"/>
          <w:sz w:val="21"/>
        </w:rPr>
      </w:pPr>
    </w:p>
    <w:p w14:paraId="0A562D33">
      <w:pPr>
        <w:spacing w:line="360" w:lineRule="auto"/>
        <w:rPr>
          <w:rFonts w:hint="eastAsia" w:ascii="宋体" w:hAnsi="宋体" w:eastAsia="宋体" w:cs="宋体"/>
        </w:rPr>
      </w:pPr>
      <w:r>
        <w:rPr>
          <w:rFonts w:hint="eastAsia" w:ascii="宋体" w:hAnsi="宋体" w:eastAsia="宋体" w:cs="宋体"/>
        </w:rPr>
        <w:t>“主要人员简历表”中的技术负责人应附身份证复印件、相关证书；其他主要人员应附相关证书（资格证或执业证或上岗证书或职称证书）、身份证复印件。拟投入人员每人一张表格，表格后附相应复印件</w:t>
      </w:r>
    </w:p>
    <w:p w14:paraId="34F694D8">
      <w:pPr>
        <w:keepNext w:val="0"/>
        <w:keepLines w:val="0"/>
        <w:pageBreakBefore w:val="0"/>
        <w:widowControl/>
        <w:kinsoku/>
        <w:wordWrap/>
        <w:overflowPunct/>
        <w:topLinePunct w:val="0"/>
        <w:autoSpaceDE w:val="0"/>
        <w:autoSpaceDN w:val="0"/>
        <w:bidi w:val="0"/>
        <w:adjustRightInd w:val="0"/>
        <w:snapToGrid w:val="0"/>
        <w:spacing w:line="91" w:lineRule="exact"/>
        <w:outlineLvl w:val="9"/>
        <w:rPr>
          <w:rFonts w:hint="eastAsia" w:ascii="宋体" w:hAnsi="宋体" w:eastAsia="宋体" w:cs="宋体"/>
        </w:rPr>
      </w:pPr>
    </w:p>
    <w:tbl>
      <w:tblPr>
        <w:tblStyle w:val="30"/>
        <w:tblW w:w="9334"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4"/>
        <w:gridCol w:w="348"/>
        <w:gridCol w:w="1590"/>
        <w:gridCol w:w="1057"/>
        <w:gridCol w:w="881"/>
        <w:gridCol w:w="529"/>
        <w:gridCol w:w="1226"/>
        <w:gridCol w:w="711"/>
        <w:gridCol w:w="1758"/>
      </w:tblGrid>
      <w:tr w14:paraId="6B3DA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1582" w:type="dxa"/>
            <w:gridSpan w:val="2"/>
            <w:tcBorders>
              <w:left w:val="single" w:color="000000" w:sz="2" w:space="0"/>
            </w:tcBorders>
            <w:textDirection w:val="tbRlV"/>
            <w:vAlign w:val="center"/>
          </w:tcPr>
          <w:p w14:paraId="6F9E4088">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z w:val="21"/>
                <w:szCs w:val="21"/>
              </w:rPr>
              <w:t>姓</w:t>
            </w:r>
            <w:r>
              <w:rPr>
                <w:rFonts w:hint="eastAsia" w:ascii="宋体" w:hAnsi="宋体" w:eastAsia="宋体" w:cs="宋体"/>
                <w:spacing w:val="42"/>
                <w:sz w:val="21"/>
                <w:szCs w:val="21"/>
              </w:rPr>
              <w:t xml:space="preserve"> </w:t>
            </w:r>
            <w:r>
              <w:rPr>
                <w:rFonts w:hint="eastAsia" w:ascii="宋体" w:hAnsi="宋体" w:eastAsia="宋体" w:cs="宋体"/>
                <w:sz w:val="21"/>
                <w:szCs w:val="21"/>
              </w:rPr>
              <w:t>名</w:t>
            </w:r>
          </w:p>
        </w:tc>
        <w:tc>
          <w:tcPr>
            <w:tcW w:w="1590" w:type="dxa"/>
            <w:vAlign w:val="center"/>
          </w:tcPr>
          <w:p w14:paraId="5A8DD184">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rPr>
            </w:pPr>
          </w:p>
        </w:tc>
        <w:tc>
          <w:tcPr>
            <w:tcW w:w="1057" w:type="dxa"/>
            <w:textDirection w:val="tbRlV"/>
            <w:vAlign w:val="center"/>
          </w:tcPr>
          <w:p w14:paraId="04D27F03">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pacing w:val="42"/>
                <w:sz w:val="21"/>
                <w:szCs w:val="21"/>
              </w:rPr>
              <w:t xml:space="preserve"> </w:t>
            </w:r>
            <w:r>
              <w:rPr>
                <w:rFonts w:hint="eastAsia" w:ascii="宋体" w:hAnsi="宋体" w:eastAsia="宋体" w:cs="宋体"/>
                <w:sz w:val="21"/>
                <w:szCs w:val="21"/>
              </w:rPr>
              <w:t>龄</w:t>
            </w:r>
          </w:p>
        </w:tc>
        <w:tc>
          <w:tcPr>
            <w:tcW w:w="1410" w:type="dxa"/>
            <w:gridSpan w:val="2"/>
            <w:vAlign w:val="center"/>
          </w:tcPr>
          <w:p w14:paraId="4E011D06">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rPr>
            </w:pPr>
          </w:p>
        </w:tc>
        <w:tc>
          <w:tcPr>
            <w:tcW w:w="1937" w:type="dxa"/>
            <w:gridSpan w:val="2"/>
            <w:vAlign w:val="center"/>
          </w:tcPr>
          <w:p w14:paraId="49F698F9">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pacing w:val="-7"/>
                <w:sz w:val="21"/>
                <w:szCs w:val="21"/>
              </w:rPr>
              <w:t>学</w:t>
            </w:r>
            <w:r>
              <w:rPr>
                <w:rFonts w:hint="eastAsia" w:ascii="宋体" w:hAnsi="宋体" w:eastAsia="宋体" w:cs="宋体"/>
                <w:spacing w:val="2"/>
                <w:sz w:val="21"/>
                <w:szCs w:val="21"/>
              </w:rPr>
              <w:t xml:space="preserve">      </w:t>
            </w:r>
            <w:r>
              <w:rPr>
                <w:rFonts w:hint="eastAsia" w:ascii="宋体" w:hAnsi="宋体" w:eastAsia="宋体" w:cs="宋体"/>
                <w:spacing w:val="-7"/>
                <w:sz w:val="21"/>
                <w:szCs w:val="21"/>
              </w:rPr>
              <w:t>历</w:t>
            </w:r>
          </w:p>
        </w:tc>
        <w:tc>
          <w:tcPr>
            <w:tcW w:w="1758" w:type="dxa"/>
            <w:vAlign w:val="top"/>
          </w:tcPr>
          <w:p w14:paraId="3F64358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1400C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1582" w:type="dxa"/>
            <w:gridSpan w:val="2"/>
            <w:tcBorders>
              <w:left w:val="single" w:color="000000" w:sz="2" w:space="0"/>
            </w:tcBorders>
            <w:textDirection w:val="tbRlV"/>
            <w:vAlign w:val="center"/>
          </w:tcPr>
          <w:p w14:paraId="4C45A867">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z w:val="21"/>
                <w:szCs w:val="21"/>
              </w:rPr>
              <w:t>职</w:t>
            </w:r>
            <w:r>
              <w:rPr>
                <w:rFonts w:hint="eastAsia" w:ascii="宋体" w:hAnsi="宋体" w:eastAsia="宋体" w:cs="宋体"/>
                <w:spacing w:val="42"/>
                <w:sz w:val="21"/>
                <w:szCs w:val="21"/>
              </w:rPr>
              <w:t xml:space="preserve"> </w:t>
            </w:r>
            <w:r>
              <w:rPr>
                <w:rFonts w:hint="eastAsia" w:ascii="宋体" w:hAnsi="宋体" w:eastAsia="宋体" w:cs="宋体"/>
                <w:sz w:val="21"/>
                <w:szCs w:val="21"/>
              </w:rPr>
              <w:t>称</w:t>
            </w:r>
          </w:p>
        </w:tc>
        <w:tc>
          <w:tcPr>
            <w:tcW w:w="1590" w:type="dxa"/>
            <w:vAlign w:val="center"/>
          </w:tcPr>
          <w:p w14:paraId="75BB4D48">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rPr>
            </w:pPr>
          </w:p>
        </w:tc>
        <w:tc>
          <w:tcPr>
            <w:tcW w:w="1057" w:type="dxa"/>
            <w:textDirection w:val="tbRlV"/>
            <w:vAlign w:val="center"/>
          </w:tcPr>
          <w:p w14:paraId="2EC0552A">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z w:val="21"/>
                <w:szCs w:val="21"/>
              </w:rPr>
              <w:t>职</w:t>
            </w:r>
            <w:r>
              <w:rPr>
                <w:rFonts w:hint="eastAsia" w:ascii="宋体" w:hAnsi="宋体" w:eastAsia="宋体" w:cs="宋体"/>
                <w:spacing w:val="42"/>
                <w:sz w:val="21"/>
                <w:szCs w:val="21"/>
              </w:rPr>
              <w:t xml:space="preserve"> </w:t>
            </w:r>
            <w:r>
              <w:rPr>
                <w:rFonts w:hint="eastAsia" w:ascii="宋体" w:hAnsi="宋体" w:eastAsia="宋体" w:cs="宋体"/>
                <w:sz w:val="21"/>
                <w:szCs w:val="21"/>
              </w:rPr>
              <w:t>务</w:t>
            </w:r>
          </w:p>
        </w:tc>
        <w:tc>
          <w:tcPr>
            <w:tcW w:w="1410" w:type="dxa"/>
            <w:gridSpan w:val="2"/>
            <w:vAlign w:val="center"/>
          </w:tcPr>
          <w:p w14:paraId="59357B66">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rPr>
            </w:pPr>
          </w:p>
        </w:tc>
        <w:tc>
          <w:tcPr>
            <w:tcW w:w="1937" w:type="dxa"/>
            <w:gridSpan w:val="2"/>
            <w:vAlign w:val="center"/>
          </w:tcPr>
          <w:p w14:paraId="70178C80">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拟在本合同任职</w:t>
            </w:r>
          </w:p>
        </w:tc>
        <w:tc>
          <w:tcPr>
            <w:tcW w:w="1758" w:type="dxa"/>
            <w:vAlign w:val="top"/>
          </w:tcPr>
          <w:p w14:paraId="238BF20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4723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1582" w:type="dxa"/>
            <w:gridSpan w:val="2"/>
            <w:tcBorders>
              <w:left w:val="single" w:color="000000" w:sz="2" w:space="0"/>
            </w:tcBorders>
            <w:vAlign w:val="center"/>
          </w:tcPr>
          <w:p w14:paraId="10137931">
            <w:pPr>
              <w:keepNext w:val="0"/>
              <w:keepLines w:val="0"/>
              <w:pageBreakBefore w:val="0"/>
              <w:widowControl/>
              <w:kinsoku/>
              <w:wordWrap/>
              <w:overflowPunct/>
              <w:topLinePunct w:val="0"/>
              <w:autoSpaceDE w:val="0"/>
              <w:autoSpaceDN w:val="0"/>
              <w:bidi w:val="0"/>
              <w:adjustRightInd w:val="0"/>
              <w:snapToGrid w:val="0"/>
              <w:spacing w:line="36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pacing w:val="-3"/>
                <w:sz w:val="21"/>
                <w:szCs w:val="21"/>
              </w:rPr>
              <w:t>毕业学校</w:t>
            </w:r>
          </w:p>
        </w:tc>
        <w:tc>
          <w:tcPr>
            <w:tcW w:w="7752" w:type="dxa"/>
            <w:gridSpan w:val="7"/>
            <w:vAlign w:val="center"/>
          </w:tcPr>
          <w:p w14:paraId="032127B2">
            <w:pPr>
              <w:keepNext w:val="0"/>
              <w:keepLines w:val="0"/>
              <w:pageBreakBefore w:val="0"/>
              <w:widowControl/>
              <w:kinsoku/>
              <w:wordWrap/>
              <w:overflowPunct/>
              <w:topLinePunct w:val="0"/>
              <w:autoSpaceDE w:val="0"/>
              <w:autoSpaceDN w:val="0"/>
              <w:bidi w:val="0"/>
              <w:adjustRightInd w:val="0"/>
              <w:snapToGrid w:val="0"/>
              <w:spacing w:line="36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pacing w:val="-4"/>
                <w:sz w:val="21"/>
                <w:szCs w:val="21"/>
              </w:rPr>
              <w:t>年毕业于</w:t>
            </w:r>
            <w:r>
              <w:rPr>
                <w:rFonts w:hint="eastAsia" w:ascii="宋体" w:hAnsi="宋体" w:eastAsia="宋体" w:cs="宋体"/>
                <w:sz w:val="21"/>
                <w:szCs w:val="21"/>
              </w:rPr>
              <w:t xml:space="preserve">                 </w:t>
            </w:r>
            <w:r>
              <w:rPr>
                <w:rFonts w:hint="eastAsia" w:ascii="宋体" w:hAnsi="宋体" w:eastAsia="宋体" w:cs="宋体"/>
                <w:spacing w:val="-4"/>
                <w:sz w:val="21"/>
                <w:szCs w:val="21"/>
              </w:rPr>
              <w:t>学校</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专业</w:t>
            </w:r>
          </w:p>
        </w:tc>
      </w:tr>
      <w:tr w14:paraId="342DF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9334" w:type="dxa"/>
            <w:gridSpan w:val="9"/>
            <w:tcBorders>
              <w:left w:val="single" w:color="000000" w:sz="2" w:space="0"/>
            </w:tcBorders>
            <w:vAlign w:val="top"/>
          </w:tcPr>
          <w:p w14:paraId="5D767808">
            <w:pPr>
              <w:keepNext w:val="0"/>
              <w:keepLines w:val="0"/>
              <w:pageBreakBefore w:val="0"/>
              <w:widowControl/>
              <w:kinsoku/>
              <w:wordWrap/>
              <w:overflowPunct/>
              <w:topLinePunct w:val="0"/>
              <w:autoSpaceDE w:val="0"/>
              <w:autoSpaceDN w:val="0"/>
              <w:bidi w:val="0"/>
              <w:adjustRightInd w:val="0"/>
              <w:snapToGrid w:val="0"/>
              <w:spacing w:before="214" w:line="185" w:lineRule="auto"/>
              <w:ind w:firstLine="120"/>
              <w:outlineLvl w:val="9"/>
              <w:rPr>
                <w:rFonts w:hint="eastAsia" w:ascii="宋体" w:hAnsi="宋体" w:eastAsia="宋体" w:cs="宋体"/>
                <w:sz w:val="21"/>
                <w:szCs w:val="21"/>
              </w:rPr>
            </w:pPr>
            <w:r>
              <w:rPr>
                <w:rFonts w:hint="eastAsia" w:ascii="宋体" w:hAnsi="宋体" w:eastAsia="宋体" w:cs="宋体"/>
                <w:spacing w:val="-2"/>
                <w:sz w:val="21"/>
                <w:szCs w:val="21"/>
              </w:rPr>
              <w:t>主要工作经历</w:t>
            </w:r>
          </w:p>
        </w:tc>
      </w:tr>
      <w:tr w14:paraId="7D7E4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1234" w:type="dxa"/>
            <w:tcBorders>
              <w:left w:val="single" w:color="000000" w:sz="2" w:space="0"/>
            </w:tcBorders>
            <w:textDirection w:val="tbRlV"/>
            <w:vAlign w:val="center"/>
          </w:tcPr>
          <w:p w14:paraId="4829852B">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z w:val="21"/>
                <w:szCs w:val="21"/>
              </w:rPr>
              <w:t>时</w:t>
            </w:r>
            <w:r>
              <w:rPr>
                <w:rFonts w:hint="eastAsia" w:ascii="宋体" w:hAnsi="宋体" w:eastAsia="宋体" w:cs="宋体"/>
                <w:spacing w:val="42"/>
                <w:sz w:val="21"/>
                <w:szCs w:val="21"/>
              </w:rPr>
              <w:t xml:space="preserve"> </w:t>
            </w:r>
            <w:r>
              <w:rPr>
                <w:rFonts w:hint="eastAsia" w:ascii="宋体" w:hAnsi="宋体" w:eastAsia="宋体" w:cs="宋体"/>
                <w:sz w:val="21"/>
                <w:szCs w:val="21"/>
              </w:rPr>
              <w:t>间</w:t>
            </w:r>
          </w:p>
        </w:tc>
        <w:tc>
          <w:tcPr>
            <w:tcW w:w="3876" w:type="dxa"/>
            <w:gridSpan w:val="4"/>
            <w:vAlign w:val="center"/>
          </w:tcPr>
          <w:p w14:paraId="667BB3B3">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参加过的类似项目</w:t>
            </w:r>
          </w:p>
        </w:tc>
        <w:tc>
          <w:tcPr>
            <w:tcW w:w="1755" w:type="dxa"/>
            <w:gridSpan w:val="2"/>
            <w:vAlign w:val="center"/>
          </w:tcPr>
          <w:p w14:paraId="543892BB">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担任职务</w:t>
            </w:r>
          </w:p>
        </w:tc>
        <w:tc>
          <w:tcPr>
            <w:tcW w:w="2469" w:type="dxa"/>
            <w:gridSpan w:val="2"/>
            <w:vAlign w:val="center"/>
          </w:tcPr>
          <w:p w14:paraId="64DA1A8A">
            <w:pPr>
              <w:keepNext w:val="0"/>
              <w:keepLines w:val="0"/>
              <w:pageBreakBefore w:val="0"/>
              <w:widowControl/>
              <w:kinsoku/>
              <w:wordWrap/>
              <w:overflowPunct/>
              <w:topLinePunct w:val="0"/>
              <w:autoSpaceDE w:val="0"/>
              <w:autoSpaceDN w:val="0"/>
              <w:bidi w:val="0"/>
              <w:adjustRightInd w:val="0"/>
              <w:snapToGrid w:val="0"/>
              <w:spacing w:line="240" w:lineRule="auto"/>
              <w:ind w:firstLine="0"/>
              <w:jc w:val="center"/>
              <w:textAlignment w:val="baseline"/>
              <w:outlineLvl w:val="9"/>
              <w:rPr>
                <w:rFonts w:hint="eastAsia" w:ascii="宋体" w:hAnsi="宋体" w:eastAsia="宋体" w:cs="宋体"/>
                <w:sz w:val="21"/>
                <w:szCs w:val="21"/>
              </w:rPr>
            </w:pPr>
            <w:r>
              <w:rPr>
                <w:rFonts w:hint="eastAsia" w:ascii="宋体" w:hAnsi="宋体" w:eastAsia="宋体" w:cs="宋体"/>
                <w:spacing w:val="-2"/>
                <w:sz w:val="21"/>
                <w:szCs w:val="21"/>
              </w:rPr>
              <w:t>发包人及联系电话</w:t>
            </w:r>
          </w:p>
        </w:tc>
      </w:tr>
      <w:tr w14:paraId="381F5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234" w:type="dxa"/>
            <w:tcBorders>
              <w:left w:val="single" w:color="000000" w:sz="2" w:space="0"/>
            </w:tcBorders>
            <w:vAlign w:val="top"/>
          </w:tcPr>
          <w:p w14:paraId="297AAB93">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3876" w:type="dxa"/>
            <w:gridSpan w:val="4"/>
            <w:vAlign w:val="top"/>
          </w:tcPr>
          <w:p w14:paraId="0CC288E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755" w:type="dxa"/>
            <w:gridSpan w:val="2"/>
            <w:vAlign w:val="top"/>
          </w:tcPr>
          <w:p w14:paraId="3EEE683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469" w:type="dxa"/>
            <w:gridSpan w:val="2"/>
            <w:vAlign w:val="top"/>
          </w:tcPr>
          <w:p w14:paraId="3F66A22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6D6EB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234" w:type="dxa"/>
            <w:tcBorders>
              <w:left w:val="single" w:color="000000" w:sz="2" w:space="0"/>
            </w:tcBorders>
            <w:vAlign w:val="top"/>
          </w:tcPr>
          <w:p w14:paraId="003565B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3876" w:type="dxa"/>
            <w:gridSpan w:val="4"/>
            <w:vAlign w:val="top"/>
          </w:tcPr>
          <w:p w14:paraId="0B5B162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755" w:type="dxa"/>
            <w:gridSpan w:val="2"/>
            <w:vAlign w:val="top"/>
          </w:tcPr>
          <w:p w14:paraId="4F4A9F2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469" w:type="dxa"/>
            <w:gridSpan w:val="2"/>
            <w:vAlign w:val="top"/>
          </w:tcPr>
          <w:p w14:paraId="5EE1562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38731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234" w:type="dxa"/>
            <w:tcBorders>
              <w:left w:val="single" w:color="000000" w:sz="2" w:space="0"/>
            </w:tcBorders>
            <w:vAlign w:val="top"/>
          </w:tcPr>
          <w:p w14:paraId="630BCA1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3876" w:type="dxa"/>
            <w:gridSpan w:val="4"/>
            <w:vAlign w:val="top"/>
          </w:tcPr>
          <w:p w14:paraId="2171590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755" w:type="dxa"/>
            <w:gridSpan w:val="2"/>
            <w:vAlign w:val="top"/>
          </w:tcPr>
          <w:p w14:paraId="7BF02B0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469" w:type="dxa"/>
            <w:gridSpan w:val="2"/>
            <w:vAlign w:val="top"/>
          </w:tcPr>
          <w:p w14:paraId="3406486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6E84E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234" w:type="dxa"/>
            <w:tcBorders>
              <w:left w:val="single" w:color="000000" w:sz="2" w:space="0"/>
            </w:tcBorders>
            <w:vAlign w:val="top"/>
          </w:tcPr>
          <w:p w14:paraId="4BFCDB2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3876" w:type="dxa"/>
            <w:gridSpan w:val="4"/>
            <w:vAlign w:val="top"/>
          </w:tcPr>
          <w:p w14:paraId="7CFA922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755" w:type="dxa"/>
            <w:gridSpan w:val="2"/>
            <w:vAlign w:val="top"/>
          </w:tcPr>
          <w:p w14:paraId="2054F7B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469" w:type="dxa"/>
            <w:gridSpan w:val="2"/>
            <w:vAlign w:val="top"/>
          </w:tcPr>
          <w:p w14:paraId="5728DC1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76AF9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234" w:type="dxa"/>
            <w:tcBorders>
              <w:left w:val="single" w:color="000000" w:sz="2" w:space="0"/>
            </w:tcBorders>
            <w:vAlign w:val="top"/>
          </w:tcPr>
          <w:p w14:paraId="178375E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3876" w:type="dxa"/>
            <w:gridSpan w:val="4"/>
            <w:vAlign w:val="top"/>
          </w:tcPr>
          <w:p w14:paraId="2AAD02D3">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755" w:type="dxa"/>
            <w:gridSpan w:val="2"/>
            <w:vAlign w:val="top"/>
          </w:tcPr>
          <w:p w14:paraId="7DBBB6A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469" w:type="dxa"/>
            <w:gridSpan w:val="2"/>
            <w:vAlign w:val="top"/>
          </w:tcPr>
          <w:p w14:paraId="741DE3C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7D88C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234" w:type="dxa"/>
            <w:tcBorders>
              <w:left w:val="single" w:color="000000" w:sz="2" w:space="0"/>
            </w:tcBorders>
            <w:vAlign w:val="top"/>
          </w:tcPr>
          <w:p w14:paraId="183F3DC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3876" w:type="dxa"/>
            <w:gridSpan w:val="4"/>
            <w:vAlign w:val="top"/>
          </w:tcPr>
          <w:p w14:paraId="5C981E7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1755" w:type="dxa"/>
            <w:gridSpan w:val="2"/>
            <w:vAlign w:val="top"/>
          </w:tcPr>
          <w:p w14:paraId="7D565FC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469" w:type="dxa"/>
            <w:gridSpan w:val="2"/>
            <w:vAlign w:val="top"/>
          </w:tcPr>
          <w:p w14:paraId="62276AB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bl>
    <w:p w14:paraId="4EB3F09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p w14:paraId="6D72F9F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18" w:type="default"/>
          <w:pgSz w:w="11910" w:h="16840"/>
          <w:pgMar w:top="1425" w:right="1079" w:bottom="1427" w:left="1062" w:header="0" w:footer="1303" w:gutter="0"/>
          <w:pgNumType w:fmt="decimal"/>
          <w:cols w:space="720" w:num="1"/>
        </w:sectPr>
      </w:pPr>
    </w:p>
    <w:p w14:paraId="7CD731B5">
      <w:pPr>
        <w:keepNext w:val="0"/>
        <w:keepLines w:val="0"/>
        <w:pageBreakBefore w:val="0"/>
        <w:widowControl/>
        <w:kinsoku/>
        <w:wordWrap/>
        <w:overflowPunct/>
        <w:topLinePunct w:val="0"/>
        <w:autoSpaceDE w:val="0"/>
        <w:autoSpaceDN w:val="0"/>
        <w:bidi w:val="0"/>
        <w:adjustRightInd w:val="0"/>
        <w:snapToGrid w:val="0"/>
        <w:spacing w:line="305" w:lineRule="auto"/>
        <w:outlineLvl w:val="9"/>
        <w:rPr>
          <w:rFonts w:hint="eastAsia" w:ascii="宋体" w:hAnsi="宋体" w:eastAsia="宋体" w:cs="宋体"/>
          <w:sz w:val="21"/>
        </w:rPr>
      </w:pPr>
    </w:p>
    <w:p w14:paraId="36C30B14">
      <w:pPr>
        <w:keepNext w:val="0"/>
        <w:keepLines w:val="0"/>
        <w:pageBreakBefore w:val="0"/>
        <w:widowControl/>
        <w:kinsoku/>
        <w:wordWrap/>
        <w:overflowPunct/>
        <w:topLinePunct w:val="0"/>
        <w:autoSpaceDE w:val="0"/>
        <w:autoSpaceDN w:val="0"/>
        <w:bidi w:val="0"/>
        <w:adjustRightInd w:val="0"/>
        <w:snapToGrid w:val="0"/>
        <w:spacing w:before="97" w:line="189" w:lineRule="auto"/>
        <w:jc w:val="center"/>
        <w:outlineLvl w:val="1"/>
        <w:rPr>
          <w:rFonts w:hint="eastAsia" w:ascii="宋体" w:hAnsi="宋体" w:eastAsia="宋体" w:cs="宋体"/>
          <w:sz w:val="30"/>
          <w:szCs w:val="30"/>
        </w:rPr>
      </w:pPr>
      <w:r>
        <w:rPr>
          <w:rFonts w:hint="eastAsia" w:ascii="宋体" w:hAnsi="宋体" w:eastAsia="宋体" w:cs="宋体"/>
          <w:spacing w:val="-1"/>
          <w:sz w:val="30"/>
          <w:szCs w:val="30"/>
          <w14:textOutline w14:w="5442" w14:cap="flat" w14:cmpd="sng">
            <w14:solidFill>
              <w14:srgbClr w14:val="000000"/>
            </w14:solidFill>
            <w14:prstDash w14:val="solid"/>
            <w14:miter w14:val="0"/>
          </w14:textOutline>
        </w:rPr>
        <w:t>五、资格要求相关证明材料（文件）</w:t>
      </w:r>
    </w:p>
    <w:p w14:paraId="231EE77E">
      <w:pPr>
        <w:keepNext w:val="0"/>
        <w:keepLines w:val="0"/>
        <w:pageBreakBefore w:val="0"/>
        <w:widowControl/>
        <w:kinsoku/>
        <w:wordWrap/>
        <w:overflowPunct/>
        <w:topLinePunct w:val="0"/>
        <w:autoSpaceDE w:val="0"/>
        <w:autoSpaceDN w:val="0"/>
        <w:bidi w:val="0"/>
        <w:adjustRightInd w:val="0"/>
        <w:snapToGrid w:val="0"/>
        <w:spacing w:line="309" w:lineRule="auto"/>
        <w:outlineLvl w:val="9"/>
        <w:rPr>
          <w:rFonts w:hint="eastAsia" w:ascii="宋体" w:hAnsi="宋体" w:eastAsia="宋体" w:cs="宋体"/>
          <w:sz w:val="21"/>
        </w:rPr>
      </w:pPr>
    </w:p>
    <w:p w14:paraId="6544489A">
      <w:pPr>
        <w:keepNext w:val="0"/>
        <w:keepLines w:val="0"/>
        <w:pageBreakBefore w:val="0"/>
        <w:widowControl/>
        <w:kinsoku/>
        <w:wordWrap/>
        <w:overflowPunct/>
        <w:topLinePunct w:val="0"/>
        <w:autoSpaceDE w:val="0"/>
        <w:autoSpaceDN w:val="0"/>
        <w:bidi w:val="0"/>
        <w:adjustRightInd w:val="0"/>
        <w:snapToGrid w:val="0"/>
        <w:spacing w:line="309" w:lineRule="auto"/>
        <w:outlineLvl w:val="9"/>
        <w:rPr>
          <w:rFonts w:hint="eastAsia" w:ascii="宋体" w:hAnsi="宋体" w:eastAsia="宋体" w:cs="宋体"/>
          <w:sz w:val="21"/>
        </w:rPr>
      </w:pPr>
    </w:p>
    <w:p w14:paraId="7C771058">
      <w:pPr>
        <w:keepNext w:val="0"/>
        <w:keepLines w:val="0"/>
        <w:pageBreakBefore w:val="0"/>
        <w:widowControl/>
        <w:kinsoku/>
        <w:wordWrap/>
        <w:overflowPunct/>
        <w:topLinePunct w:val="0"/>
        <w:autoSpaceDE w:val="0"/>
        <w:autoSpaceDN w:val="0"/>
        <w:bidi w:val="0"/>
        <w:adjustRightInd w:val="0"/>
        <w:snapToGrid w:val="0"/>
        <w:spacing w:line="310" w:lineRule="auto"/>
        <w:outlineLvl w:val="9"/>
        <w:rPr>
          <w:rFonts w:hint="eastAsia" w:ascii="宋体" w:hAnsi="宋体" w:eastAsia="宋体" w:cs="宋体"/>
          <w:sz w:val="21"/>
        </w:rPr>
      </w:pPr>
    </w:p>
    <w:p w14:paraId="633821CA">
      <w:pPr>
        <w:keepNext w:val="0"/>
        <w:keepLines w:val="0"/>
        <w:pageBreakBefore w:val="0"/>
        <w:widowControl/>
        <w:kinsoku/>
        <w:wordWrap/>
        <w:overflowPunct/>
        <w:topLinePunct w:val="0"/>
        <w:autoSpaceDE w:val="0"/>
        <w:autoSpaceDN w:val="0"/>
        <w:bidi w:val="0"/>
        <w:adjustRightInd w:val="0"/>
        <w:snapToGrid w:val="0"/>
        <w:spacing w:before="78" w:line="359" w:lineRule="auto"/>
        <w:ind w:left="1856" w:right="51" w:hanging="1813"/>
        <w:outlineLvl w:val="9"/>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eastAsia="宋体" w:cs="宋体"/>
          <w:spacing w:val="-9"/>
          <w:sz w:val="24"/>
          <w:szCs w:val="24"/>
          <w14:textOutline w14:w="4354" w14:cap="flat" w14:cmpd="sng">
            <w14:solidFill>
              <w14:srgbClr w14:val="000000"/>
            </w14:solidFill>
            <w14:prstDash w14:val="solid"/>
            <w14:miter w14:val="0"/>
          </w14:textOutline>
        </w:rPr>
        <w:t>请注意：</w:t>
      </w:r>
      <w:r>
        <w:rPr>
          <w:rFonts w:hint="eastAsia" w:ascii="宋体" w:hAnsi="宋体" w:eastAsia="宋体" w:cs="宋体"/>
          <w:spacing w:val="80"/>
          <w:sz w:val="24"/>
          <w:szCs w:val="24"/>
        </w:rPr>
        <w:t xml:space="preserve"> </w:t>
      </w:r>
      <w:r>
        <w:rPr>
          <w:rFonts w:hint="eastAsia" w:ascii="宋体" w:hAnsi="宋体" w:eastAsia="宋体" w:cs="宋体"/>
          <w:spacing w:val="-9"/>
          <w:sz w:val="24"/>
          <w:szCs w:val="24"/>
          <w14:textOutline w14:w="4354" w14:cap="flat" w14:cmpd="sng">
            <w14:solidFill>
              <w14:srgbClr w14:val="000000"/>
            </w14:solidFill>
            <w14:prstDash w14:val="solid"/>
            <w14:miter w14:val="0"/>
          </w14:textOutline>
        </w:rPr>
        <w:t>未按公告要求逐一提交资格证明资料的将导致无效投标，</w:t>
      </w:r>
      <w:r>
        <w:rPr>
          <w:rFonts w:hint="eastAsia" w:ascii="宋体" w:hAnsi="宋体" w:eastAsia="宋体" w:cs="宋体"/>
          <w:spacing w:val="59"/>
          <w:sz w:val="24"/>
          <w:szCs w:val="24"/>
        </w:rPr>
        <w:t xml:space="preserve"> </w:t>
      </w:r>
      <w:r>
        <w:rPr>
          <w:rFonts w:hint="eastAsia" w:ascii="宋体" w:hAnsi="宋体" w:eastAsia="宋体" w:cs="宋体"/>
          <w:spacing w:val="-9"/>
          <w:sz w:val="24"/>
          <w:szCs w:val="24"/>
          <w14:textOutline w14:w="4354" w14:cap="flat" w14:cmpd="sng">
            <w14:solidFill>
              <w14:srgbClr w14:val="000000"/>
            </w14:solidFill>
            <w14:prstDash w14:val="solid"/>
            <w14:miter w14:val="0"/>
          </w14:textOutline>
        </w:rPr>
        <w:t>为近期常见的因</w:t>
      </w:r>
      <w:r>
        <w:rPr>
          <w:rFonts w:hint="eastAsia" w:ascii="宋体" w:hAnsi="宋体" w:eastAsia="宋体" w:cs="宋体"/>
          <w:sz w:val="24"/>
          <w:szCs w:val="24"/>
        </w:rPr>
        <w:t xml:space="preserve"> </w:t>
      </w:r>
      <w:r>
        <w:rPr>
          <w:rFonts w:hint="eastAsia" w:ascii="宋体" w:hAnsi="宋体" w:eastAsia="宋体" w:cs="宋体"/>
          <w:spacing w:val="-7"/>
          <w:sz w:val="24"/>
          <w:szCs w:val="24"/>
          <w14:textOutline w14:w="4354" w14:cap="flat" w14:cmpd="sng">
            <w14:solidFill>
              <w14:srgbClr w14:val="000000"/>
            </w14:solidFill>
            <w14:prstDash w14:val="solid"/>
            <w14:miter w14:val="0"/>
          </w14:textOutline>
        </w:rPr>
        <w:t>不仔细而缺少某一资格证明资料、导致无效，</w:t>
      </w:r>
      <w:r>
        <w:rPr>
          <w:rFonts w:hint="eastAsia" w:ascii="宋体" w:hAnsi="宋体" w:eastAsia="宋体" w:cs="宋体"/>
          <w:spacing w:val="55"/>
          <w:sz w:val="24"/>
          <w:szCs w:val="24"/>
        </w:rPr>
        <w:t xml:space="preserve"> </w:t>
      </w:r>
      <w:r>
        <w:rPr>
          <w:rFonts w:hint="eastAsia" w:ascii="宋体" w:hAnsi="宋体" w:eastAsia="宋体" w:cs="宋体"/>
          <w:spacing w:val="-7"/>
          <w:sz w:val="24"/>
          <w:szCs w:val="24"/>
          <w14:textOutline w14:w="4354" w14:cap="flat" w14:cmpd="sng">
            <w14:solidFill>
              <w14:srgbClr w14:val="000000"/>
            </w14:solidFill>
            <w14:prstDash w14:val="solid"/>
            <w14:miter w14:val="0"/>
          </w14:textOutline>
        </w:rPr>
        <w:t>特此提醒】</w:t>
      </w:r>
    </w:p>
    <w:p w14:paraId="290425D7">
      <w:pPr>
        <w:keepNext w:val="0"/>
        <w:keepLines w:val="0"/>
        <w:pageBreakBefore w:val="0"/>
        <w:widowControl/>
        <w:kinsoku/>
        <w:wordWrap/>
        <w:overflowPunct/>
        <w:topLinePunct w:val="0"/>
        <w:autoSpaceDE w:val="0"/>
        <w:autoSpaceDN w:val="0"/>
        <w:bidi w:val="0"/>
        <w:adjustRightInd w:val="0"/>
        <w:snapToGrid w:val="0"/>
        <w:spacing w:line="290" w:lineRule="auto"/>
        <w:outlineLvl w:val="9"/>
        <w:rPr>
          <w:rFonts w:hint="eastAsia" w:ascii="宋体" w:hAnsi="宋体" w:eastAsia="宋体" w:cs="宋体"/>
          <w:sz w:val="21"/>
        </w:rPr>
      </w:pPr>
    </w:p>
    <w:p w14:paraId="29FF4FBA">
      <w:pPr>
        <w:keepNext w:val="0"/>
        <w:keepLines w:val="0"/>
        <w:pageBreakBefore w:val="0"/>
        <w:widowControl/>
        <w:kinsoku/>
        <w:wordWrap/>
        <w:overflowPunct/>
        <w:topLinePunct w:val="0"/>
        <w:autoSpaceDE w:val="0"/>
        <w:autoSpaceDN w:val="0"/>
        <w:bidi w:val="0"/>
        <w:adjustRightInd w:val="0"/>
        <w:snapToGrid w:val="0"/>
        <w:spacing w:line="291" w:lineRule="auto"/>
        <w:outlineLvl w:val="9"/>
        <w:rPr>
          <w:rFonts w:hint="eastAsia" w:ascii="宋体" w:hAnsi="宋体" w:eastAsia="宋体" w:cs="宋体"/>
          <w:sz w:val="21"/>
        </w:rPr>
      </w:pPr>
    </w:p>
    <w:p w14:paraId="1560E0B6">
      <w:pPr>
        <w:keepNext w:val="0"/>
        <w:keepLines w:val="0"/>
        <w:pageBreakBefore w:val="0"/>
        <w:widowControl/>
        <w:kinsoku/>
        <w:wordWrap/>
        <w:overflowPunct/>
        <w:topLinePunct w:val="0"/>
        <w:autoSpaceDE w:val="0"/>
        <w:autoSpaceDN w:val="0"/>
        <w:bidi w:val="0"/>
        <w:adjustRightInd w:val="0"/>
        <w:snapToGrid w:val="0"/>
        <w:spacing w:line="291" w:lineRule="auto"/>
        <w:outlineLvl w:val="9"/>
        <w:rPr>
          <w:rFonts w:hint="eastAsia" w:ascii="宋体" w:hAnsi="宋体" w:eastAsia="宋体" w:cs="宋体"/>
          <w:sz w:val="21"/>
        </w:rPr>
      </w:pPr>
    </w:p>
    <w:p w14:paraId="1091FD67">
      <w:pPr>
        <w:keepNext w:val="0"/>
        <w:keepLines w:val="0"/>
        <w:pageBreakBefore w:val="0"/>
        <w:widowControl/>
        <w:kinsoku/>
        <w:wordWrap/>
        <w:overflowPunct/>
        <w:topLinePunct w:val="0"/>
        <w:autoSpaceDE w:val="0"/>
        <w:autoSpaceDN w:val="0"/>
        <w:bidi w:val="0"/>
        <w:adjustRightInd w:val="0"/>
        <w:snapToGrid w:val="0"/>
        <w:spacing w:before="79" w:line="189" w:lineRule="auto"/>
        <w:outlineLvl w:val="9"/>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eastAsia="宋体" w:cs="宋体"/>
          <w:spacing w:val="-9"/>
          <w:sz w:val="24"/>
          <w:szCs w:val="24"/>
          <w14:textOutline w14:w="4354" w14:cap="flat" w14:cmpd="sng">
            <w14:solidFill>
              <w14:srgbClr w14:val="000000"/>
            </w14:solidFill>
            <w14:prstDash w14:val="solid"/>
            <w14:miter w14:val="0"/>
          </w14:textOutline>
        </w:rPr>
        <w:t>请注意：</w:t>
      </w:r>
      <w:r>
        <w:rPr>
          <w:rFonts w:hint="eastAsia" w:ascii="宋体" w:hAnsi="宋体" w:eastAsia="宋体" w:cs="宋体"/>
          <w:spacing w:val="99"/>
          <w:sz w:val="24"/>
          <w:szCs w:val="24"/>
        </w:rPr>
        <w:t xml:space="preserve"> </w:t>
      </w:r>
      <w:r>
        <w:rPr>
          <w:rFonts w:hint="eastAsia" w:ascii="宋体" w:hAnsi="宋体" w:eastAsia="宋体" w:cs="宋体"/>
          <w:spacing w:val="-9"/>
          <w:sz w:val="24"/>
          <w:szCs w:val="24"/>
          <w14:textOutline w14:w="4354" w14:cap="flat" w14:cmpd="sng">
            <w14:solidFill>
              <w14:srgbClr w14:val="000000"/>
            </w14:solidFill>
            <w14:prstDash w14:val="solid"/>
            <w14:miter w14:val="0"/>
          </w14:textOutline>
        </w:rPr>
        <w:t>未按竞争性磋商公告要求电子签名&lt;签章&gt;的将导致无效投标，</w:t>
      </w:r>
      <w:r>
        <w:rPr>
          <w:rFonts w:hint="eastAsia" w:ascii="宋体" w:hAnsi="宋体" w:eastAsia="宋体" w:cs="宋体"/>
          <w:spacing w:val="50"/>
          <w:sz w:val="24"/>
          <w:szCs w:val="24"/>
        </w:rPr>
        <w:t xml:space="preserve"> </w:t>
      </w:r>
      <w:r>
        <w:rPr>
          <w:rFonts w:hint="eastAsia" w:ascii="宋体" w:hAnsi="宋体" w:eastAsia="宋体" w:cs="宋体"/>
          <w:spacing w:val="-9"/>
          <w:sz w:val="24"/>
          <w:szCs w:val="24"/>
          <w14:textOutline w14:w="4354" w14:cap="flat" w14:cmpd="sng">
            <w14:solidFill>
              <w14:srgbClr w14:val="000000"/>
            </w14:solidFill>
            <w14:prstDash w14:val="solid"/>
            <w14:miter w14:val="0"/>
          </w14:textOutline>
        </w:rPr>
        <w:t>特此提醒】</w:t>
      </w:r>
    </w:p>
    <w:p w14:paraId="17108DC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19" w:type="default"/>
          <w:pgSz w:w="11905" w:h="16837"/>
          <w:pgMar w:top="1431" w:right="1085" w:bottom="922" w:left="1104" w:header="0" w:footer="798" w:gutter="0"/>
          <w:pgNumType w:fmt="decimal"/>
          <w:cols w:space="720" w:num="1"/>
        </w:sectPr>
      </w:pPr>
    </w:p>
    <w:p w14:paraId="034D0959">
      <w:pPr>
        <w:spacing w:before="133" w:line="219" w:lineRule="auto"/>
        <w:ind w:left="1605" w:firstLine="450" w:firstLineChars="100"/>
        <w:outlineLvl w:val="2"/>
        <w:rPr>
          <w:rFonts w:ascii="宋体" w:hAnsi="宋体" w:eastAsia="宋体" w:cs="宋体"/>
          <w:sz w:val="41"/>
          <w:szCs w:val="41"/>
        </w:rPr>
      </w:pPr>
      <w:r>
        <w:rPr>
          <w:rFonts w:ascii="宋体" w:hAnsi="宋体" w:eastAsia="宋体" w:cs="宋体"/>
          <w:b/>
          <w:bCs/>
          <w:spacing w:val="19"/>
          <w:sz w:val="41"/>
          <w:szCs w:val="41"/>
        </w:rPr>
        <w:t>供应商资格条件及履约承诺函</w:t>
      </w:r>
    </w:p>
    <w:p w14:paraId="0F1D3F26">
      <w:pPr>
        <w:spacing w:line="289" w:lineRule="auto"/>
        <w:rPr>
          <w:rFonts w:ascii="Arial"/>
          <w:sz w:val="21"/>
        </w:rPr>
      </w:pPr>
    </w:p>
    <w:p w14:paraId="51289254">
      <w:pPr>
        <w:spacing w:line="289" w:lineRule="auto"/>
        <w:rPr>
          <w:rFonts w:ascii="Arial"/>
          <w:sz w:val="21"/>
        </w:rPr>
      </w:pPr>
    </w:p>
    <w:p w14:paraId="515A50AA">
      <w:pPr>
        <w:pStyle w:val="2"/>
        <w:keepNext w:val="0"/>
        <w:keepLines w:val="0"/>
        <w:pageBreakBefore w:val="0"/>
        <w:widowControl/>
        <w:kinsoku/>
        <w:wordWrap/>
        <w:overflowPunct/>
        <w:topLinePunct/>
        <w:autoSpaceDE/>
        <w:autoSpaceDN/>
        <w:bidi w:val="0"/>
        <w:adjustRightInd w:val="0"/>
        <w:snapToGrid w:val="0"/>
        <w:spacing w:before="94" w:line="360" w:lineRule="auto"/>
        <w:ind w:left="39"/>
        <w:jc w:val="both"/>
        <w:textAlignment w:val="baseline"/>
        <w:rPr>
          <w:rFonts w:hint="default" w:ascii="宋体" w:hAnsi="宋体" w:eastAsia="宋体" w:cs="宋体"/>
          <w:sz w:val="24"/>
          <w:szCs w:val="24"/>
          <w:u w:val="single" w:color="auto"/>
          <w:lang w:val="en-US" w:eastAsia="zh-CN"/>
        </w:rPr>
      </w:pPr>
      <w:r>
        <w:rPr>
          <w:rFonts w:hint="eastAsia" w:ascii="宋体" w:hAnsi="宋体" w:eastAsia="宋体" w:cs="宋体"/>
          <w:spacing w:val="-20"/>
          <w:position w:val="2"/>
          <w:sz w:val="24"/>
          <w:szCs w:val="24"/>
        </w:rPr>
        <w:t>致：</w:t>
      </w:r>
      <w:r>
        <w:rPr>
          <w:rFonts w:hint="eastAsia" w:ascii="宋体" w:hAnsi="宋体" w:eastAsia="宋体" w:cs="宋体"/>
          <w:spacing w:val="-20"/>
          <w:position w:val="2"/>
          <w:sz w:val="24"/>
          <w:szCs w:val="24"/>
          <w:u w:val="single" w:color="auto"/>
          <w:lang w:val="en-US" w:eastAsia="zh-CN"/>
        </w:rPr>
        <w:t xml:space="preserve">     </w:t>
      </w:r>
      <w:r>
        <w:rPr>
          <w:rFonts w:hint="eastAsia" w:ascii="宋体" w:hAnsi="宋体" w:eastAsia="宋体" w:cs="宋体"/>
          <w:spacing w:val="-20"/>
          <w:sz w:val="24"/>
          <w:szCs w:val="24"/>
          <w:u w:val="single" w:color="auto"/>
        </w:rPr>
        <w:t>(采购人名称)</w:t>
      </w:r>
      <w:r>
        <w:rPr>
          <w:rFonts w:hint="eastAsia" w:ascii="宋体" w:hAnsi="宋体" w:eastAsia="宋体" w:cs="宋体"/>
          <w:spacing w:val="-20"/>
          <w:sz w:val="24"/>
          <w:szCs w:val="24"/>
          <w:u w:val="single" w:color="auto"/>
          <w:lang w:val="en-US" w:eastAsia="zh-CN"/>
        </w:rPr>
        <w:t xml:space="preserve">          </w:t>
      </w:r>
    </w:p>
    <w:p w14:paraId="0A82B91E">
      <w:pPr>
        <w:pStyle w:val="2"/>
        <w:keepNext w:val="0"/>
        <w:keepLines w:val="0"/>
        <w:pageBreakBefore w:val="0"/>
        <w:widowControl/>
        <w:kinsoku/>
        <w:wordWrap/>
        <w:overflowPunct/>
        <w:topLinePunct/>
        <w:autoSpaceDE/>
        <w:autoSpaceDN/>
        <w:bidi w:val="0"/>
        <w:adjustRightInd w:val="0"/>
        <w:snapToGrid w:val="0"/>
        <w:spacing w:line="360" w:lineRule="auto"/>
        <w:ind w:left="0" w:right="0" w:firstLine="639"/>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在采购编号为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的</w:t>
      </w:r>
      <w:r>
        <w:rPr>
          <w:rFonts w:hint="eastAsia" w:ascii="宋体" w:hAnsi="宋体" w:eastAsia="宋体" w:cs="宋体"/>
          <w:spacing w:val="-3"/>
          <w:sz w:val="24"/>
          <w:szCs w:val="24"/>
          <w:u w:val="single" w:color="auto"/>
          <w:lang w:val="en-US" w:eastAsia="zh-CN"/>
        </w:rPr>
        <w:t xml:space="preserve">    </w:t>
      </w:r>
      <w:r>
        <w:rPr>
          <w:rFonts w:hint="eastAsia" w:ascii="宋体" w:hAnsi="宋体" w:eastAsia="宋体" w:cs="宋体"/>
          <w:spacing w:val="-3"/>
          <w:sz w:val="24"/>
          <w:szCs w:val="24"/>
          <w:u w:val="single" w:color="auto"/>
        </w:rPr>
        <w:t>(项目名称)</w:t>
      </w:r>
      <w:r>
        <w:rPr>
          <w:rFonts w:hint="eastAsia" w:ascii="宋体" w:hAnsi="宋体" w:eastAsia="宋体" w:cs="宋体"/>
          <w:spacing w:val="-3"/>
          <w:sz w:val="24"/>
          <w:szCs w:val="24"/>
          <w:u w:val="single" w:color="auto"/>
          <w:lang w:val="en-US" w:eastAsia="zh-CN"/>
        </w:rPr>
        <w:t xml:space="preserve">    </w:t>
      </w:r>
      <w:r>
        <w:rPr>
          <w:rFonts w:hint="eastAsia" w:ascii="宋体" w:hAnsi="宋体" w:eastAsia="宋体" w:cs="宋体"/>
          <w:spacing w:val="-3"/>
          <w:sz w:val="24"/>
          <w:szCs w:val="24"/>
        </w:rPr>
        <w:t>采购</w:t>
      </w:r>
      <w:r>
        <w:rPr>
          <w:rFonts w:hint="eastAsia" w:ascii="宋体" w:hAnsi="宋体" w:eastAsia="宋体" w:cs="宋体"/>
          <w:spacing w:val="22"/>
          <w:sz w:val="24"/>
          <w:szCs w:val="24"/>
        </w:rPr>
        <w:t>活动中，我单位严格遵守《中华人民共和国政府采购法》及相关法律法规，坚守公开、公平、公正和诚实信用的原则，依法诚信</w:t>
      </w:r>
      <w:r>
        <w:rPr>
          <w:rFonts w:hint="eastAsia" w:ascii="宋体" w:hAnsi="宋体" w:eastAsia="宋体" w:cs="宋体"/>
          <w:spacing w:val="23"/>
          <w:sz w:val="24"/>
          <w:szCs w:val="24"/>
        </w:rPr>
        <w:t>经营，无条件遵守本次政府采购活动的各项规定。我公司郑重承</w:t>
      </w:r>
      <w:r>
        <w:rPr>
          <w:rFonts w:hint="eastAsia" w:ascii="宋体" w:hAnsi="宋体" w:eastAsia="宋体" w:cs="宋体"/>
          <w:spacing w:val="-9"/>
          <w:sz w:val="24"/>
          <w:szCs w:val="24"/>
        </w:rPr>
        <w:t>诺：</w:t>
      </w:r>
    </w:p>
    <w:p w14:paraId="26BF542E">
      <w:pPr>
        <w:pStyle w:val="2"/>
        <w:keepNext w:val="0"/>
        <w:keepLines w:val="0"/>
        <w:pageBreakBefore w:val="0"/>
        <w:widowControl/>
        <w:kinsoku/>
        <w:wordWrap/>
        <w:overflowPunct/>
        <w:topLinePunct/>
        <w:autoSpaceDE/>
        <w:autoSpaceDN/>
        <w:bidi w:val="0"/>
        <w:adjustRightInd w:val="0"/>
        <w:snapToGrid w:val="0"/>
        <w:spacing w:line="360" w:lineRule="auto"/>
        <w:ind w:left="0" w:right="0" w:firstLine="610"/>
        <w:jc w:val="both"/>
        <w:textAlignment w:val="baseline"/>
        <w:rPr>
          <w:rFonts w:hint="eastAsia" w:ascii="宋体" w:hAnsi="宋体" w:eastAsia="宋体" w:cs="宋体"/>
          <w:sz w:val="24"/>
          <w:szCs w:val="24"/>
        </w:rPr>
      </w:pPr>
      <w:r>
        <w:rPr>
          <w:rFonts w:hint="eastAsia" w:ascii="宋体" w:hAnsi="宋体" w:eastAsia="宋体" w:cs="宋体"/>
          <w:spacing w:val="19"/>
          <w:sz w:val="24"/>
          <w:szCs w:val="24"/>
        </w:rPr>
        <w:t>一、我公司具备《中华人民共和国政府采购法》第二十二条</w:t>
      </w:r>
      <w:r>
        <w:rPr>
          <w:rFonts w:hint="eastAsia" w:ascii="宋体" w:hAnsi="宋体" w:eastAsia="宋体" w:cs="宋体"/>
          <w:spacing w:val="26"/>
          <w:sz w:val="24"/>
          <w:szCs w:val="24"/>
        </w:rPr>
        <w:t>第一款规定的六项条件(具有独立承担民事责任的能力；具有良</w:t>
      </w:r>
      <w:r>
        <w:rPr>
          <w:rFonts w:hint="eastAsia" w:ascii="宋体" w:hAnsi="宋体" w:eastAsia="宋体" w:cs="宋体"/>
          <w:spacing w:val="21"/>
          <w:sz w:val="24"/>
          <w:szCs w:val="24"/>
        </w:rPr>
        <w:t>好的商业信誉和健全的财务会计制度；具有履行合同所必需的设</w:t>
      </w:r>
      <w:r>
        <w:rPr>
          <w:rFonts w:hint="eastAsia" w:ascii="宋体" w:hAnsi="宋体" w:eastAsia="宋体" w:cs="宋体"/>
          <w:spacing w:val="33"/>
          <w:sz w:val="24"/>
          <w:szCs w:val="24"/>
        </w:rPr>
        <w:t>备和专业技术能力；有依法缴纳税收和社会保障</w:t>
      </w:r>
      <w:r>
        <w:rPr>
          <w:rFonts w:hint="eastAsia" w:ascii="宋体" w:hAnsi="宋体" w:eastAsia="宋体" w:cs="宋体"/>
          <w:spacing w:val="32"/>
          <w:sz w:val="24"/>
          <w:szCs w:val="24"/>
        </w:rPr>
        <w:t>资金的良好记</w:t>
      </w:r>
      <w:r>
        <w:rPr>
          <w:rFonts w:hint="eastAsia" w:ascii="宋体" w:hAnsi="宋体" w:eastAsia="宋体" w:cs="宋体"/>
          <w:spacing w:val="21"/>
          <w:sz w:val="24"/>
          <w:szCs w:val="24"/>
        </w:rPr>
        <w:t>录；参加政府采购活动前三年内，在经营活动中没有重大违法记</w:t>
      </w:r>
      <w:r>
        <w:rPr>
          <w:rFonts w:hint="eastAsia" w:ascii="宋体" w:hAnsi="宋体" w:eastAsia="宋体" w:cs="宋体"/>
          <w:spacing w:val="12"/>
          <w:sz w:val="24"/>
          <w:szCs w:val="24"/>
        </w:rPr>
        <w:t>录；法律、行政法规规定的其他条件。)。</w:t>
      </w:r>
    </w:p>
    <w:p w14:paraId="62295DDE">
      <w:pPr>
        <w:pStyle w:val="2"/>
        <w:keepNext w:val="0"/>
        <w:keepLines w:val="0"/>
        <w:pageBreakBefore w:val="0"/>
        <w:widowControl/>
        <w:kinsoku/>
        <w:wordWrap/>
        <w:overflowPunct/>
        <w:topLinePunct/>
        <w:autoSpaceDE/>
        <w:autoSpaceDN/>
        <w:bidi w:val="0"/>
        <w:adjustRightInd w:val="0"/>
        <w:snapToGrid w:val="0"/>
        <w:spacing w:line="360" w:lineRule="auto"/>
        <w:ind w:left="0" w:right="0" w:firstLine="560" w:firstLineChars="200"/>
        <w:jc w:val="both"/>
        <w:textAlignment w:val="baseline"/>
        <w:rPr>
          <w:rFonts w:hint="eastAsia" w:ascii="宋体" w:hAnsi="宋体" w:eastAsia="宋体" w:cs="宋体"/>
          <w:sz w:val="24"/>
          <w:szCs w:val="24"/>
        </w:rPr>
      </w:pPr>
      <w:r>
        <w:rPr>
          <w:rFonts w:hint="eastAsia" w:ascii="宋体" w:hAnsi="宋体" w:eastAsia="宋体" w:cs="宋体"/>
          <w:spacing w:val="20"/>
          <w:sz w:val="24"/>
          <w:szCs w:val="24"/>
        </w:rPr>
        <w:t>二、我公司为本项目所提供的货物或服务未侵犯知识产权。</w:t>
      </w:r>
    </w:p>
    <w:p w14:paraId="4782E612">
      <w:pPr>
        <w:pStyle w:val="2"/>
        <w:keepNext w:val="0"/>
        <w:keepLines w:val="0"/>
        <w:pageBreakBefore w:val="0"/>
        <w:widowControl/>
        <w:kinsoku/>
        <w:wordWrap/>
        <w:overflowPunct/>
        <w:topLinePunct/>
        <w:autoSpaceDE/>
        <w:autoSpaceDN/>
        <w:bidi w:val="0"/>
        <w:adjustRightInd w:val="0"/>
        <w:snapToGrid w:val="0"/>
        <w:spacing w:line="360" w:lineRule="auto"/>
        <w:ind w:left="0" w:right="0" w:firstLine="610"/>
        <w:jc w:val="both"/>
        <w:textAlignment w:val="baseline"/>
        <w:rPr>
          <w:rFonts w:hint="eastAsia" w:ascii="宋体" w:hAnsi="宋体" w:eastAsia="宋体" w:cs="宋体"/>
          <w:sz w:val="24"/>
          <w:szCs w:val="24"/>
        </w:rPr>
      </w:pPr>
      <w:r>
        <w:rPr>
          <w:rFonts w:hint="eastAsia" w:ascii="宋体" w:hAnsi="宋体" w:eastAsia="宋体" w:cs="宋体"/>
          <w:spacing w:val="18"/>
          <w:sz w:val="24"/>
          <w:szCs w:val="24"/>
        </w:rPr>
        <w:t>三、我公司参与本项目政府采购活动时不存在被有关部门禁</w:t>
      </w:r>
      <w:r>
        <w:rPr>
          <w:rFonts w:hint="eastAsia" w:ascii="宋体" w:hAnsi="宋体" w:eastAsia="宋体" w:cs="宋体"/>
          <w:spacing w:val="21"/>
          <w:sz w:val="24"/>
          <w:szCs w:val="24"/>
        </w:rPr>
        <w:t>止参与政府采购活动且在有效期内的情况。</w:t>
      </w:r>
    </w:p>
    <w:p w14:paraId="5D443F9E">
      <w:pPr>
        <w:pStyle w:val="2"/>
        <w:keepNext w:val="0"/>
        <w:keepLines w:val="0"/>
        <w:pageBreakBefore w:val="0"/>
        <w:widowControl/>
        <w:kinsoku/>
        <w:wordWrap/>
        <w:overflowPunct/>
        <w:topLinePunct/>
        <w:autoSpaceDE/>
        <w:autoSpaceDN/>
        <w:bidi w:val="0"/>
        <w:adjustRightInd w:val="0"/>
        <w:snapToGrid w:val="0"/>
        <w:spacing w:line="360" w:lineRule="auto"/>
        <w:ind w:left="0" w:right="0" w:firstLine="61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四、我公司参与本项目投标，严格遵守政府采购相关法律法</w:t>
      </w:r>
      <w:r>
        <w:rPr>
          <w:rFonts w:hint="eastAsia" w:ascii="宋体" w:hAnsi="宋体" w:eastAsia="宋体" w:cs="宋体"/>
          <w:spacing w:val="21"/>
          <w:sz w:val="24"/>
          <w:szCs w:val="24"/>
        </w:rPr>
        <w:t>规，不造假，不围标、串标、陪标。我公司已清楚，如违反上述要求，投标文件将作无效处理，被列入不良记录名单并在网上曝</w:t>
      </w:r>
      <w:r>
        <w:rPr>
          <w:rFonts w:hint="eastAsia" w:ascii="宋体" w:hAnsi="宋体" w:eastAsia="宋体" w:cs="宋体"/>
          <w:spacing w:val="3"/>
          <w:sz w:val="24"/>
          <w:szCs w:val="24"/>
        </w:rPr>
        <w:t>光，同时将被提请政府采购监督管理部门给予一定年限内禁止参</w:t>
      </w:r>
      <w:r>
        <w:rPr>
          <w:rFonts w:hint="eastAsia" w:ascii="宋体" w:hAnsi="宋体" w:eastAsia="宋体" w:cs="宋体"/>
          <w:spacing w:val="-1"/>
          <w:sz w:val="24"/>
          <w:szCs w:val="24"/>
        </w:rPr>
        <w:t>与政府采购活动或其他处罚。</w:t>
      </w:r>
    </w:p>
    <w:p w14:paraId="6E7F8FE0">
      <w:pPr>
        <w:pStyle w:val="2"/>
        <w:keepNext w:val="0"/>
        <w:keepLines w:val="0"/>
        <w:pageBreakBefore w:val="0"/>
        <w:widowControl/>
        <w:kinsoku/>
        <w:wordWrap/>
        <w:overflowPunct/>
        <w:topLinePunct/>
        <w:autoSpaceDE/>
        <w:autoSpaceDN/>
        <w:bidi w:val="0"/>
        <w:adjustRightInd w:val="0"/>
        <w:snapToGrid w:val="0"/>
        <w:spacing w:line="360" w:lineRule="auto"/>
        <w:ind w:left="0" w:right="0" w:firstLine="62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五、我公司已认真核实了投标文件的全部内容，所有资料均</w:t>
      </w:r>
      <w:r>
        <w:rPr>
          <w:rFonts w:hint="eastAsia" w:ascii="宋体" w:hAnsi="宋体" w:eastAsia="宋体" w:cs="宋体"/>
          <w:spacing w:val="2"/>
          <w:sz w:val="24"/>
          <w:szCs w:val="24"/>
        </w:rPr>
        <w:t>为真实资料。我公司对投标文件中全部投标资料的真实性负责，如被证实我公司的投标文件中存在虚假资料的</w:t>
      </w:r>
      <w:r>
        <w:rPr>
          <w:rFonts w:hint="eastAsia" w:ascii="宋体" w:hAnsi="宋体" w:eastAsia="宋体" w:cs="宋体"/>
          <w:spacing w:val="1"/>
          <w:sz w:val="24"/>
          <w:szCs w:val="24"/>
        </w:rPr>
        <w:t>，则视为我公司隐瞒真实情况、提供虚假资料，我公司愿意接受主管部门作出的行</w:t>
      </w:r>
      <w:r>
        <w:rPr>
          <w:rFonts w:hint="eastAsia" w:ascii="宋体" w:hAnsi="宋体" w:eastAsia="宋体" w:cs="宋体"/>
          <w:spacing w:val="-12"/>
          <w:sz w:val="24"/>
          <w:szCs w:val="24"/>
        </w:rPr>
        <w:t>政处罚。</w:t>
      </w:r>
    </w:p>
    <w:p w14:paraId="059CBC91">
      <w:pPr>
        <w:pStyle w:val="2"/>
        <w:keepNext w:val="0"/>
        <w:keepLines w:val="0"/>
        <w:pageBreakBefore w:val="0"/>
        <w:widowControl/>
        <w:kinsoku/>
        <w:wordWrap/>
        <w:overflowPunct/>
        <w:topLinePunct/>
        <w:autoSpaceDE/>
        <w:autoSpaceDN/>
        <w:bidi w:val="0"/>
        <w:adjustRightInd w:val="0"/>
        <w:snapToGrid w:val="0"/>
        <w:spacing w:line="360" w:lineRule="auto"/>
        <w:ind w:left="0" w:right="0" w:firstLine="62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六、我公司承诺中标后项目不转包，未经采购人同意不进行</w:t>
      </w:r>
      <w:r>
        <w:rPr>
          <w:rFonts w:hint="eastAsia" w:ascii="宋体" w:hAnsi="宋体" w:eastAsia="宋体" w:cs="宋体"/>
          <w:spacing w:val="-10"/>
          <w:sz w:val="24"/>
          <w:szCs w:val="24"/>
        </w:rPr>
        <w:t>分包。</w:t>
      </w:r>
    </w:p>
    <w:p w14:paraId="4177B616">
      <w:pPr>
        <w:pStyle w:val="2"/>
        <w:keepNext w:val="0"/>
        <w:keepLines w:val="0"/>
        <w:pageBreakBefore w:val="0"/>
        <w:widowControl/>
        <w:kinsoku/>
        <w:wordWrap/>
        <w:overflowPunct/>
        <w:topLinePunct/>
        <w:autoSpaceDE/>
        <w:autoSpaceDN/>
        <w:bidi w:val="0"/>
        <w:adjustRightInd w:val="0"/>
        <w:snapToGrid w:val="0"/>
        <w:spacing w:line="360" w:lineRule="auto"/>
        <w:ind w:left="0" w:right="0" w:firstLine="62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七、我公司保证，所提供的货物通过合法正规渠道供货，在</w:t>
      </w:r>
      <w:r>
        <w:rPr>
          <w:rFonts w:hint="eastAsia" w:ascii="宋体" w:hAnsi="宋体" w:eastAsia="宋体" w:cs="宋体"/>
          <w:spacing w:val="2"/>
          <w:sz w:val="24"/>
          <w:szCs w:val="24"/>
        </w:rPr>
        <w:t>提供给采购人前具有完全的所有权，采购人在中华人民共和国使用该货物或货物的任何一部分时，不会产生因第三方提出的包括但不限于侵犯其专利权、商标权、工业设计权等知识产权和侵犯</w:t>
      </w:r>
      <w:r>
        <w:rPr>
          <w:rFonts w:hint="eastAsia" w:ascii="宋体" w:hAnsi="宋体" w:eastAsia="宋体" w:cs="宋体"/>
          <w:spacing w:val="4"/>
          <w:sz w:val="24"/>
          <w:szCs w:val="24"/>
        </w:rPr>
        <w:t>其所有权、抵押权等物权及其他权利而引发的</w:t>
      </w:r>
      <w:r>
        <w:rPr>
          <w:rFonts w:hint="eastAsia" w:ascii="宋体" w:hAnsi="宋体" w:eastAsia="宋体" w:cs="宋体"/>
          <w:spacing w:val="3"/>
          <w:sz w:val="24"/>
          <w:szCs w:val="24"/>
        </w:rPr>
        <w:t>纠纷；如有纠纷，</w:t>
      </w:r>
      <w:r>
        <w:rPr>
          <w:rFonts w:hint="eastAsia" w:ascii="宋体" w:hAnsi="宋体" w:eastAsia="宋体" w:cs="宋体"/>
          <w:spacing w:val="-5"/>
          <w:sz w:val="24"/>
          <w:szCs w:val="24"/>
        </w:rPr>
        <w:t>我公司承担全部责任。</w:t>
      </w:r>
    </w:p>
    <w:p w14:paraId="281FDBC6">
      <w:pPr>
        <w:pStyle w:val="2"/>
        <w:keepNext w:val="0"/>
        <w:keepLines w:val="0"/>
        <w:pageBreakBefore w:val="0"/>
        <w:widowControl/>
        <w:kinsoku/>
        <w:wordWrap/>
        <w:overflowPunct/>
        <w:topLinePunct/>
        <w:autoSpaceDE/>
        <w:autoSpaceDN/>
        <w:bidi w:val="0"/>
        <w:adjustRightInd w:val="0"/>
        <w:snapToGrid w:val="0"/>
        <w:spacing w:line="360" w:lineRule="auto"/>
        <w:ind w:left="0" w:right="0" w:firstLine="62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八、我公司承诺不向国家工作人员、政府采</w:t>
      </w:r>
      <w:r>
        <w:rPr>
          <w:rFonts w:hint="eastAsia" w:ascii="宋体" w:hAnsi="宋体" w:eastAsia="宋体" w:cs="宋体"/>
          <w:spacing w:val="1"/>
          <w:sz w:val="24"/>
          <w:szCs w:val="24"/>
        </w:rPr>
        <w:t>购代理机构工作</w:t>
      </w:r>
      <w:r>
        <w:rPr>
          <w:rFonts w:hint="eastAsia" w:ascii="宋体" w:hAnsi="宋体" w:eastAsia="宋体" w:cs="宋体"/>
          <w:spacing w:val="2"/>
          <w:sz w:val="24"/>
          <w:szCs w:val="24"/>
        </w:rPr>
        <w:t>人员、评审专家及其亲属提供礼品礼金、有价证券、购物券、回</w:t>
      </w:r>
      <w:r>
        <w:rPr>
          <w:rFonts w:hint="eastAsia" w:ascii="宋体" w:hAnsi="宋体" w:eastAsia="宋体" w:cs="宋体"/>
          <w:spacing w:val="1"/>
          <w:sz w:val="24"/>
          <w:szCs w:val="24"/>
        </w:rPr>
        <w:t>扣、佣金、咨询费、劳务费、赞助费、宣传费、宴请；不为其报</w:t>
      </w:r>
      <w:r>
        <w:rPr>
          <w:rFonts w:hint="eastAsia" w:ascii="宋体" w:hAnsi="宋体" w:eastAsia="宋体" w:cs="宋体"/>
          <w:spacing w:val="2"/>
          <w:sz w:val="24"/>
          <w:szCs w:val="24"/>
        </w:rPr>
        <w:t>销各种消费凭证，不支付其旅游、娱乐等费用。</w:t>
      </w:r>
    </w:p>
    <w:p w14:paraId="556827E6">
      <w:pPr>
        <w:pStyle w:val="2"/>
        <w:keepNext w:val="0"/>
        <w:keepLines w:val="0"/>
        <w:pageBreakBefore w:val="0"/>
        <w:widowControl/>
        <w:kinsoku/>
        <w:wordWrap/>
        <w:overflowPunct/>
        <w:topLinePunct/>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九、我公司承诺单位负责人为同一人或者存在直接控股、管理关系的不同供应商，不参加同一合同项下的政府采购活动。没</w:t>
      </w:r>
      <w:r>
        <w:rPr>
          <w:rFonts w:hint="eastAsia" w:ascii="宋体" w:hAnsi="宋体" w:eastAsia="宋体" w:cs="宋体"/>
          <w:spacing w:val="2"/>
          <w:sz w:val="24"/>
          <w:szCs w:val="24"/>
        </w:rPr>
        <w:t>有为本项目提供整体设计、规范编制或者项目管理</w:t>
      </w:r>
      <w:r>
        <w:rPr>
          <w:rFonts w:hint="eastAsia" w:ascii="宋体" w:hAnsi="宋体" w:eastAsia="宋体" w:cs="宋体"/>
          <w:spacing w:val="1"/>
          <w:sz w:val="24"/>
          <w:szCs w:val="24"/>
        </w:rPr>
        <w:t>、监理、检测</w:t>
      </w:r>
      <w:r>
        <w:rPr>
          <w:rFonts w:hint="eastAsia" w:ascii="宋体" w:hAnsi="宋体" w:eastAsia="宋体" w:cs="宋体"/>
          <w:spacing w:val="-6"/>
          <w:sz w:val="24"/>
          <w:szCs w:val="24"/>
        </w:rPr>
        <w:t>等服务。</w:t>
      </w:r>
    </w:p>
    <w:p w14:paraId="5AA8A4DA">
      <w:pPr>
        <w:pStyle w:val="2"/>
        <w:keepNext w:val="0"/>
        <w:keepLines w:val="0"/>
        <w:pageBreakBefore w:val="0"/>
        <w:widowControl/>
        <w:kinsoku/>
        <w:wordWrap/>
        <w:overflowPunct/>
        <w:topLinePunct/>
        <w:autoSpaceDE/>
        <w:autoSpaceDN/>
        <w:bidi w:val="0"/>
        <w:adjustRightInd w:val="0"/>
        <w:snapToGrid w:val="0"/>
        <w:spacing w:line="360" w:lineRule="auto"/>
        <w:ind w:left="0" w:right="0" w:firstLine="660"/>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十、我公司已详细阅读并完全理解、同意《招标文件》的全部内容，包括修改补充文件、更正公告以及全部参考资料和有关附件；除我公司在《招标文件》规定期间内提出的质疑外，我公</w:t>
      </w:r>
      <w:r>
        <w:rPr>
          <w:rFonts w:hint="eastAsia" w:ascii="宋体" w:hAnsi="宋体" w:eastAsia="宋体" w:cs="宋体"/>
          <w:spacing w:val="10"/>
          <w:sz w:val="24"/>
          <w:szCs w:val="24"/>
        </w:rPr>
        <w:t>司放弃对这方面不明及误解的权力，并严格按采购人确定的技术</w:t>
      </w:r>
      <w:r>
        <w:rPr>
          <w:rFonts w:hint="eastAsia" w:ascii="宋体" w:hAnsi="宋体" w:eastAsia="宋体" w:cs="宋体"/>
          <w:spacing w:val="5"/>
          <w:sz w:val="24"/>
          <w:szCs w:val="24"/>
        </w:rPr>
        <w:t>及商务要求等履行。</w:t>
      </w:r>
    </w:p>
    <w:p w14:paraId="489276FC">
      <w:pPr>
        <w:pStyle w:val="2"/>
        <w:keepNext w:val="0"/>
        <w:keepLines w:val="0"/>
        <w:pageBreakBefore w:val="0"/>
        <w:widowControl/>
        <w:kinsoku/>
        <w:wordWrap/>
        <w:overflowPunct/>
        <w:topLinePunct/>
        <w:autoSpaceDE/>
        <w:autoSpaceDN/>
        <w:bidi w:val="0"/>
        <w:adjustRightInd w:val="0"/>
        <w:snapToGrid w:val="0"/>
        <w:spacing w:line="360" w:lineRule="auto"/>
        <w:ind w:left="0" w:right="0" w:firstLine="66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十一、我公司开标前已详细了解采购标的，并按采购人现有</w:t>
      </w:r>
      <w:r>
        <w:rPr>
          <w:rFonts w:hint="eastAsia" w:ascii="宋体" w:hAnsi="宋体" w:eastAsia="宋体" w:cs="宋体"/>
          <w:spacing w:val="16"/>
          <w:sz w:val="24"/>
          <w:szCs w:val="24"/>
        </w:rPr>
        <w:t>条件及要求编制投标报价；我公司的投标报价包括《招标文件》</w:t>
      </w:r>
      <w:r>
        <w:rPr>
          <w:rFonts w:hint="eastAsia" w:ascii="宋体" w:hAnsi="宋体" w:eastAsia="宋体" w:cs="宋体"/>
          <w:spacing w:val="11"/>
          <w:sz w:val="24"/>
          <w:szCs w:val="24"/>
        </w:rPr>
        <w:t>所述报价组成的所有内容、并包括《招标文件》未列明而完成本</w:t>
      </w:r>
      <w:r>
        <w:rPr>
          <w:rFonts w:hint="eastAsia" w:ascii="宋体" w:hAnsi="宋体" w:eastAsia="宋体" w:cs="宋体"/>
          <w:spacing w:val="12"/>
          <w:sz w:val="24"/>
          <w:szCs w:val="24"/>
        </w:rPr>
        <w:t>项目所必须的所有设备、材料、工具、费用等达到交付使用及验</w:t>
      </w:r>
      <w:r>
        <w:rPr>
          <w:rFonts w:hint="eastAsia" w:ascii="宋体" w:hAnsi="宋体" w:eastAsia="宋体" w:cs="宋体"/>
          <w:spacing w:val="1"/>
          <w:sz w:val="24"/>
          <w:szCs w:val="24"/>
        </w:rPr>
        <w:t xml:space="preserve"> </w:t>
      </w:r>
      <w:r>
        <w:rPr>
          <w:rFonts w:hint="eastAsia" w:ascii="宋体" w:hAnsi="宋体" w:eastAsia="宋体" w:cs="宋体"/>
          <w:spacing w:val="11"/>
          <w:sz w:val="24"/>
          <w:szCs w:val="24"/>
        </w:rPr>
        <w:t>收条件的所有一切风险、责任和义务的费用。我公司确认投标报</w:t>
      </w:r>
      <w:r>
        <w:rPr>
          <w:rFonts w:hint="eastAsia" w:ascii="宋体" w:hAnsi="宋体" w:eastAsia="宋体" w:cs="宋体"/>
          <w:spacing w:val="13"/>
          <w:sz w:val="24"/>
          <w:szCs w:val="24"/>
        </w:rPr>
        <w:t>价保证按《招标文件》要求及投标承诺的质量诚信履约。</w:t>
      </w:r>
    </w:p>
    <w:p w14:paraId="20F6C3CD">
      <w:pPr>
        <w:pStyle w:val="2"/>
        <w:keepNext w:val="0"/>
        <w:keepLines w:val="0"/>
        <w:pageBreakBefore w:val="0"/>
        <w:widowControl/>
        <w:kinsoku/>
        <w:wordWrap/>
        <w:overflowPunct/>
        <w:topLinePunct/>
        <w:autoSpaceDE/>
        <w:autoSpaceDN/>
        <w:bidi w:val="0"/>
        <w:adjustRightInd w:val="0"/>
        <w:snapToGrid w:val="0"/>
        <w:spacing w:line="360" w:lineRule="auto"/>
        <w:ind w:left="0" w:right="0" w:firstLine="66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十二、我公司保证在《招标文件》要求的时间内按期、保质</w:t>
      </w:r>
      <w:r>
        <w:rPr>
          <w:rFonts w:hint="eastAsia" w:ascii="宋体" w:hAnsi="宋体" w:eastAsia="宋体" w:cs="宋体"/>
          <w:spacing w:val="11"/>
          <w:sz w:val="24"/>
          <w:szCs w:val="24"/>
        </w:rPr>
        <w:t>完成本项目。如我公司中标，将在中标结果公告后，积极、主动的与采购人联系合同签订事宜，合同签订中如有任何的问题</w:t>
      </w:r>
      <w:r>
        <w:rPr>
          <w:rFonts w:hint="eastAsia" w:ascii="宋体" w:hAnsi="宋体" w:eastAsia="宋体" w:cs="宋体"/>
          <w:spacing w:val="10"/>
          <w:sz w:val="24"/>
          <w:szCs w:val="24"/>
        </w:rPr>
        <w:t>，我</w:t>
      </w:r>
      <w:r>
        <w:rPr>
          <w:rFonts w:hint="eastAsia" w:ascii="宋体" w:hAnsi="宋体" w:eastAsia="宋体" w:cs="宋体"/>
          <w:spacing w:val="4"/>
          <w:sz w:val="24"/>
          <w:szCs w:val="24"/>
        </w:rPr>
        <w:t>公司保证及时书面反映情况，否则视为我公司责任、按违约处理。</w:t>
      </w:r>
    </w:p>
    <w:p w14:paraId="3875F544">
      <w:pPr>
        <w:keepNext w:val="0"/>
        <w:keepLines w:val="0"/>
        <w:pageBreakBefore w:val="0"/>
        <w:widowControl/>
        <w:kinsoku/>
        <w:wordWrap/>
        <w:overflowPunct/>
        <w:topLinePunct/>
        <w:autoSpaceDE/>
        <w:autoSpaceDN/>
        <w:bidi w:val="0"/>
        <w:adjustRightInd w:val="0"/>
        <w:snapToGrid w:val="0"/>
        <w:spacing w:line="360" w:lineRule="auto"/>
        <w:ind w:left="0" w:right="0" w:firstLine="52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十三、除法律规定的不可抗力因素外，我公司中标后以任何</w:t>
      </w:r>
      <w:r>
        <w:rPr>
          <w:rFonts w:hint="eastAsia" w:ascii="宋体" w:hAnsi="宋体" w:eastAsia="宋体" w:cs="宋体"/>
          <w:spacing w:val="18"/>
          <w:sz w:val="24"/>
          <w:szCs w:val="24"/>
        </w:rPr>
        <w:t xml:space="preserve"> </w:t>
      </w:r>
      <w:r>
        <w:rPr>
          <w:rFonts w:hint="eastAsia" w:ascii="宋体" w:hAnsi="宋体" w:eastAsia="宋体" w:cs="宋体"/>
          <w:spacing w:val="22"/>
          <w:sz w:val="24"/>
          <w:szCs w:val="24"/>
        </w:rPr>
        <w:t>理由(包括违背上述承诺的事项)提出不能满足《招标文件》技</w:t>
      </w:r>
      <w:r>
        <w:rPr>
          <w:rFonts w:hint="eastAsia" w:ascii="宋体" w:hAnsi="宋体" w:eastAsia="宋体" w:cs="宋体"/>
          <w:spacing w:val="5"/>
          <w:sz w:val="24"/>
          <w:szCs w:val="24"/>
        </w:rPr>
        <w:t xml:space="preserve"> </w:t>
      </w:r>
      <w:r>
        <w:rPr>
          <w:rFonts w:hint="eastAsia" w:ascii="宋体" w:hAnsi="宋体" w:eastAsia="宋体" w:cs="宋体"/>
          <w:spacing w:val="12"/>
          <w:sz w:val="24"/>
          <w:szCs w:val="24"/>
        </w:rPr>
        <w:t>术、效验期等要求或不能实现投标承诺的或提出变更的，我公司</w:t>
      </w:r>
      <w:r>
        <w:rPr>
          <w:rFonts w:hint="eastAsia" w:ascii="宋体" w:hAnsi="宋体" w:eastAsia="宋体" w:cs="宋体"/>
          <w:spacing w:val="13"/>
          <w:sz w:val="24"/>
          <w:szCs w:val="24"/>
        </w:rPr>
        <w:t xml:space="preserve"> </w:t>
      </w:r>
      <w:r>
        <w:rPr>
          <w:rFonts w:hint="eastAsia" w:ascii="宋体" w:hAnsi="宋体" w:eastAsia="宋体" w:cs="宋体"/>
          <w:spacing w:val="11"/>
          <w:sz w:val="24"/>
          <w:szCs w:val="24"/>
        </w:rPr>
        <w:t>将无条件接受违约处理、并放弃我公司中标资格。我公司知悉违</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约责任及其处理，并无条件接受：情节严重的，由财政部门列入</w:t>
      </w:r>
      <w:r>
        <w:rPr>
          <w:rFonts w:hint="eastAsia" w:ascii="宋体" w:hAnsi="宋体" w:eastAsia="宋体" w:cs="宋体"/>
          <w:spacing w:val="1"/>
          <w:sz w:val="24"/>
          <w:szCs w:val="24"/>
        </w:rPr>
        <w:t xml:space="preserve"> </w:t>
      </w:r>
      <w:r>
        <w:rPr>
          <w:rFonts w:hint="eastAsia" w:ascii="宋体" w:hAnsi="宋体" w:eastAsia="宋体" w:cs="宋体"/>
          <w:spacing w:val="12"/>
          <w:sz w:val="24"/>
          <w:szCs w:val="24"/>
        </w:rPr>
        <w:t>不良行为记录名单，在一至三年内禁止参加政府采购活动，</w:t>
      </w:r>
      <w:r>
        <w:rPr>
          <w:rFonts w:hint="eastAsia" w:ascii="宋体" w:hAnsi="宋体" w:eastAsia="宋体" w:cs="宋体"/>
          <w:spacing w:val="11"/>
          <w:sz w:val="24"/>
          <w:szCs w:val="24"/>
        </w:rPr>
        <w:t>并予以通报，处以罚金，给采购人及他人造成损失</w:t>
      </w:r>
      <w:r>
        <w:rPr>
          <w:rFonts w:hint="eastAsia" w:ascii="宋体" w:hAnsi="宋体" w:eastAsia="宋体" w:cs="宋体"/>
          <w:spacing w:val="10"/>
          <w:sz w:val="24"/>
          <w:szCs w:val="24"/>
        </w:rPr>
        <w:t>的，承担相应的赔</w:t>
      </w:r>
      <w:r>
        <w:rPr>
          <w:rFonts w:hint="eastAsia" w:ascii="宋体" w:hAnsi="宋体" w:eastAsia="宋体" w:cs="宋体"/>
          <w:sz w:val="24"/>
          <w:szCs w:val="24"/>
        </w:rPr>
        <w:t>偿责任。</w:t>
      </w:r>
    </w:p>
    <w:p w14:paraId="793A9699">
      <w:pPr>
        <w:pStyle w:val="2"/>
        <w:keepNext w:val="0"/>
        <w:keepLines w:val="0"/>
        <w:pageBreakBefore w:val="0"/>
        <w:widowControl/>
        <w:kinsoku/>
        <w:wordWrap/>
        <w:overflowPunct/>
        <w:topLinePunct/>
        <w:autoSpaceDE/>
        <w:autoSpaceDN/>
        <w:bidi w:val="0"/>
        <w:adjustRightInd w:val="0"/>
        <w:snapToGrid w:val="0"/>
        <w:spacing w:line="360" w:lineRule="auto"/>
        <w:ind w:left="0" w:right="0" w:firstLine="67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我公司保证上述承诺事项的真实性，如有弄虚作假或其他违</w:t>
      </w:r>
      <w:r>
        <w:rPr>
          <w:rFonts w:hint="eastAsia" w:ascii="宋体" w:hAnsi="宋体" w:eastAsia="宋体" w:cs="宋体"/>
          <w:spacing w:val="12"/>
          <w:sz w:val="24"/>
          <w:szCs w:val="24"/>
        </w:rPr>
        <w:t>法违规行为，愿意承担一切法律责任，并承担因此造成的一切损</w:t>
      </w:r>
      <w:r>
        <w:rPr>
          <w:rFonts w:hint="eastAsia" w:ascii="宋体" w:hAnsi="宋体" w:eastAsia="宋体" w:cs="宋体"/>
          <w:spacing w:val="-17"/>
          <w:sz w:val="24"/>
          <w:szCs w:val="24"/>
        </w:rPr>
        <w:t>失。</w:t>
      </w:r>
    </w:p>
    <w:p w14:paraId="115DD9CA">
      <w:pPr>
        <w:keepNext w:val="0"/>
        <w:keepLines w:val="0"/>
        <w:pageBreakBefore w:val="0"/>
        <w:widowControl/>
        <w:kinsoku/>
        <w:wordWrap/>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z w:val="24"/>
          <w:szCs w:val="24"/>
        </w:rPr>
      </w:pPr>
    </w:p>
    <w:p w14:paraId="47E1939E">
      <w:pPr>
        <w:keepNext w:val="0"/>
        <w:keepLines w:val="0"/>
        <w:pageBreakBefore w:val="0"/>
        <w:widowControl/>
        <w:kinsoku/>
        <w:wordWrap/>
        <w:overflowPunct/>
        <w:topLinePunct/>
        <w:autoSpaceDE/>
        <w:autoSpaceDN/>
        <w:bidi w:val="0"/>
        <w:adjustRightInd w:val="0"/>
        <w:snapToGrid w:val="0"/>
        <w:spacing w:line="360" w:lineRule="auto"/>
        <w:ind w:left="0" w:right="0"/>
        <w:jc w:val="both"/>
        <w:textAlignment w:val="baseline"/>
        <w:rPr>
          <w:rFonts w:hint="eastAsia" w:ascii="宋体" w:hAnsi="宋体" w:eastAsia="宋体" w:cs="宋体"/>
          <w:snapToGrid w:val="0"/>
          <w:color w:val="000000"/>
          <w:spacing w:val="31"/>
          <w:kern w:val="0"/>
          <w:sz w:val="24"/>
          <w:szCs w:val="24"/>
        </w:rPr>
      </w:pPr>
    </w:p>
    <w:p w14:paraId="1D80A58A">
      <w:pPr>
        <w:pStyle w:val="2"/>
        <w:keepNext w:val="0"/>
        <w:keepLines w:val="0"/>
        <w:pageBreakBefore w:val="0"/>
        <w:widowControl/>
        <w:kinsoku/>
        <w:wordWrap/>
        <w:overflowPunct/>
        <w:topLinePunct/>
        <w:autoSpaceDE/>
        <w:autoSpaceDN/>
        <w:bidi w:val="0"/>
        <w:adjustRightInd w:val="0"/>
        <w:snapToGrid w:val="0"/>
        <w:spacing w:line="360" w:lineRule="auto"/>
        <w:ind w:left="0" w:right="0" w:firstLine="2718" w:firstLineChars="900"/>
        <w:jc w:val="both"/>
        <w:textAlignment w:val="baseline"/>
        <w:rPr>
          <w:rFonts w:hint="eastAsia" w:ascii="宋体" w:hAnsi="宋体" w:eastAsia="宋体" w:cs="宋体"/>
          <w:snapToGrid w:val="0"/>
          <w:color w:val="000000"/>
          <w:spacing w:val="31"/>
          <w:kern w:val="0"/>
          <w:sz w:val="24"/>
          <w:szCs w:val="24"/>
          <w:lang w:eastAsia="zh-CN"/>
        </w:rPr>
      </w:pPr>
      <w:r>
        <w:rPr>
          <w:rFonts w:hint="eastAsia" w:ascii="宋体" w:hAnsi="宋体" w:eastAsia="宋体" w:cs="宋体"/>
          <w:snapToGrid w:val="0"/>
          <w:color w:val="000000"/>
          <w:spacing w:val="31"/>
          <w:kern w:val="0"/>
          <w:sz w:val="24"/>
          <w:szCs w:val="24"/>
        </w:rPr>
        <w:t>法定代表人(经营者)(电子签名)</w:t>
      </w:r>
      <w:r>
        <w:rPr>
          <w:rFonts w:hint="eastAsia" w:ascii="宋体" w:hAnsi="宋体" w:cs="宋体"/>
          <w:snapToGrid w:val="0"/>
          <w:color w:val="000000"/>
          <w:spacing w:val="31"/>
          <w:kern w:val="0"/>
          <w:sz w:val="24"/>
          <w:szCs w:val="24"/>
          <w:lang w:eastAsia="zh-CN"/>
        </w:rPr>
        <w:t>：</w:t>
      </w:r>
    </w:p>
    <w:p w14:paraId="3840CB48">
      <w:pPr>
        <w:pStyle w:val="2"/>
        <w:keepNext w:val="0"/>
        <w:keepLines w:val="0"/>
        <w:pageBreakBefore w:val="0"/>
        <w:widowControl/>
        <w:kinsoku/>
        <w:wordWrap/>
        <w:overflowPunct/>
        <w:topLinePunct/>
        <w:autoSpaceDE/>
        <w:autoSpaceDN/>
        <w:bidi w:val="0"/>
        <w:adjustRightInd w:val="0"/>
        <w:snapToGrid w:val="0"/>
        <w:spacing w:line="360" w:lineRule="auto"/>
        <w:ind w:left="0" w:right="0" w:firstLine="2718" w:firstLineChars="900"/>
        <w:jc w:val="both"/>
        <w:textAlignment w:val="baseline"/>
        <w:rPr>
          <w:rFonts w:hint="eastAsia" w:ascii="宋体" w:hAnsi="宋体" w:eastAsia="宋体" w:cs="宋体"/>
          <w:snapToGrid w:val="0"/>
          <w:color w:val="000000"/>
          <w:spacing w:val="31"/>
          <w:kern w:val="0"/>
          <w:sz w:val="24"/>
          <w:szCs w:val="24"/>
          <w:lang w:eastAsia="zh-CN"/>
        </w:rPr>
      </w:pPr>
      <w:r>
        <w:rPr>
          <w:rFonts w:hint="eastAsia" w:ascii="宋体" w:hAnsi="宋体" w:eastAsia="宋体" w:cs="宋体"/>
          <w:snapToGrid w:val="0"/>
          <w:color w:val="000000"/>
          <w:spacing w:val="31"/>
          <w:kern w:val="0"/>
          <w:sz w:val="24"/>
          <w:szCs w:val="24"/>
        </w:rPr>
        <w:t>供  应  商(电子签章)</w:t>
      </w:r>
      <w:r>
        <w:rPr>
          <w:rFonts w:hint="eastAsia" w:ascii="宋体" w:hAnsi="宋体" w:cs="宋体"/>
          <w:snapToGrid w:val="0"/>
          <w:color w:val="000000"/>
          <w:spacing w:val="31"/>
          <w:kern w:val="0"/>
          <w:sz w:val="24"/>
          <w:szCs w:val="24"/>
          <w:lang w:eastAsia="zh-CN"/>
        </w:rPr>
        <w:t>：</w:t>
      </w:r>
    </w:p>
    <w:p w14:paraId="14FAB159">
      <w:pPr>
        <w:keepNext w:val="0"/>
        <w:keepLines w:val="0"/>
        <w:pageBreakBefore w:val="0"/>
        <w:widowControl/>
        <w:kinsoku/>
        <w:wordWrap/>
        <w:overflowPunct/>
        <w:topLinePunct/>
        <w:autoSpaceDE/>
        <w:autoSpaceDN/>
        <w:bidi w:val="0"/>
        <w:adjustRightInd w:val="0"/>
        <w:snapToGrid w:val="0"/>
        <w:spacing w:line="360" w:lineRule="auto"/>
        <w:ind w:left="0" w:right="0" w:firstLine="2718" w:firstLineChars="900"/>
        <w:textAlignment w:val="baseline"/>
        <w:outlineLvl w:val="9"/>
        <w:rPr>
          <w:rFonts w:hint="eastAsia" w:ascii="宋体" w:hAnsi="宋体" w:eastAsia="宋体" w:cs="宋体"/>
          <w:snapToGrid w:val="0"/>
          <w:color w:val="000000"/>
          <w:spacing w:val="31"/>
          <w:kern w:val="0"/>
          <w:sz w:val="24"/>
          <w:szCs w:val="24"/>
          <w:lang w:eastAsia="zh-CN"/>
        </w:rPr>
      </w:pPr>
      <w:r>
        <w:rPr>
          <w:rFonts w:hint="eastAsia" w:ascii="宋体" w:hAnsi="宋体" w:eastAsia="宋体" w:cs="宋体"/>
          <w:snapToGrid w:val="0"/>
          <w:color w:val="000000"/>
          <w:spacing w:val="31"/>
          <w:kern w:val="0"/>
          <w:sz w:val="24"/>
          <w:szCs w:val="24"/>
        </w:rPr>
        <w:t xml:space="preserve">日 </w:t>
      </w:r>
      <w:r>
        <w:rPr>
          <w:rFonts w:hint="eastAsia" w:ascii="宋体" w:hAnsi="宋体" w:eastAsia="宋体" w:cs="宋体"/>
          <w:snapToGrid w:val="0"/>
          <w:color w:val="000000"/>
          <w:spacing w:val="31"/>
          <w:kern w:val="0"/>
          <w:sz w:val="24"/>
          <w:szCs w:val="24"/>
          <w:lang w:val="en-US" w:eastAsia="zh-CN"/>
        </w:rPr>
        <w:t xml:space="preserve"> </w:t>
      </w:r>
      <w:r>
        <w:rPr>
          <w:rFonts w:hint="eastAsia" w:ascii="宋体" w:hAnsi="宋体" w:eastAsia="宋体" w:cs="宋体"/>
          <w:snapToGrid w:val="0"/>
          <w:color w:val="000000"/>
          <w:spacing w:val="31"/>
          <w:kern w:val="0"/>
          <w:sz w:val="24"/>
          <w:szCs w:val="24"/>
        </w:rPr>
        <w:t>期</w:t>
      </w:r>
      <w:r>
        <w:rPr>
          <w:rFonts w:hint="eastAsia" w:ascii="宋体" w:hAnsi="宋体" w:eastAsia="宋体" w:cs="宋体"/>
          <w:snapToGrid w:val="0"/>
          <w:color w:val="000000"/>
          <w:spacing w:val="31"/>
          <w:kern w:val="0"/>
          <w:sz w:val="24"/>
          <w:szCs w:val="24"/>
          <w:lang w:eastAsia="zh-CN"/>
        </w:rPr>
        <w:t>：</w:t>
      </w:r>
    </w:p>
    <w:p w14:paraId="372D97F3">
      <w:pPr>
        <w:keepNext w:val="0"/>
        <w:keepLines w:val="0"/>
        <w:pageBreakBefore w:val="0"/>
        <w:widowControl/>
        <w:kinsoku/>
        <w:wordWrap/>
        <w:overflowPunct/>
        <w:topLinePunct/>
        <w:autoSpaceDE/>
        <w:autoSpaceDN/>
        <w:bidi w:val="0"/>
        <w:adjustRightInd w:val="0"/>
        <w:snapToGrid w:val="0"/>
        <w:spacing w:line="360" w:lineRule="auto"/>
        <w:textAlignment w:val="baseline"/>
        <w:rPr>
          <w:rFonts w:hint="eastAsia" w:ascii="宋体" w:hAnsi="宋体" w:eastAsia="宋体" w:cs="宋体"/>
          <w:spacing w:val="31"/>
          <w:sz w:val="24"/>
          <w:szCs w:val="24"/>
        </w:rPr>
      </w:pPr>
      <w:r>
        <w:rPr>
          <w:rFonts w:hint="eastAsia" w:ascii="宋体" w:hAnsi="宋体" w:eastAsia="宋体" w:cs="宋体"/>
          <w:spacing w:val="31"/>
          <w:sz w:val="24"/>
          <w:szCs w:val="24"/>
        </w:rPr>
        <w:br w:type="page"/>
      </w:r>
    </w:p>
    <w:p w14:paraId="0EC0565C">
      <w:pPr>
        <w:keepNext w:val="0"/>
        <w:keepLines w:val="0"/>
        <w:pageBreakBefore w:val="0"/>
        <w:widowControl/>
        <w:kinsoku/>
        <w:wordWrap/>
        <w:overflowPunct/>
        <w:topLinePunct w:val="0"/>
        <w:autoSpaceDE w:val="0"/>
        <w:autoSpaceDN w:val="0"/>
        <w:bidi w:val="0"/>
        <w:adjustRightInd w:val="0"/>
        <w:snapToGrid w:val="0"/>
        <w:spacing w:before="198" w:line="240" w:lineRule="auto"/>
        <w:ind w:firstLine="2727"/>
        <w:textAlignment w:val="baseline"/>
        <w:outlineLvl w:val="2"/>
        <w:rPr>
          <w:rFonts w:hint="eastAsia" w:ascii="宋体" w:hAnsi="宋体" w:eastAsia="宋体" w:cs="宋体"/>
          <w:sz w:val="30"/>
          <w:szCs w:val="30"/>
        </w:rPr>
      </w:pPr>
      <w:r>
        <w:rPr>
          <w:rFonts w:hint="eastAsia" w:ascii="宋体" w:hAnsi="宋体" w:eastAsia="宋体" w:cs="宋体"/>
          <w:spacing w:val="-1"/>
          <w:sz w:val="30"/>
          <w:szCs w:val="30"/>
          <w14:textOutline w14:w="5442" w14:cap="flat" w14:cmpd="sng">
            <w14:solidFill>
              <w14:srgbClr w14:val="000000"/>
            </w14:solidFill>
            <w14:prstDash w14:val="solid"/>
            <w14:miter w14:val="0"/>
          </w14:textOutline>
        </w:rPr>
        <w:t>近三年无重大违法记录的声明函</w:t>
      </w:r>
    </w:p>
    <w:p w14:paraId="1BB77FB8">
      <w:pPr>
        <w:keepNext w:val="0"/>
        <w:keepLines w:val="0"/>
        <w:pageBreakBefore w:val="0"/>
        <w:widowControl/>
        <w:kinsoku/>
        <w:wordWrap/>
        <w:overflowPunct/>
        <w:topLinePunct w:val="0"/>
        <w:autoSpaceDE w:val="0"/>
        <w:autoSpaceDN w:val="0"/>
        <w:bidi w:val="0"/>
        <w:adjustRightInd w:val="0"/>
        <w:snapToGrid w:val="0"/>
        <w:spacing w:line="292" w:lineRule="auto"/>
        <w:outlineLvl w:val="9"/>
        <w:rPr>
          <w:rFonts w:hint="eastAsia" w:ascii="宋体" w:hAnsi="宋体" w:eastAsia="宋体" w:cs="宋体"/>
          <w:sz w:val="21"/>
        </w:rPr>
      </w:pPr>
    </w:p>
    <w:p w14:paraId="21FFA434">
      <w:pPr>
        <w:keepNext w:val="0"/>
        <w:keepLines w:val="0"/>
        <w:pageBreakBefore w:val="0"/>
        <w:widowControl/>
        <w:kinsoku/>
        <w:wordWrap/>
        <w:overflowPunct/>
        <w:topLinePunct w:val="0"/>
        <w:autoSpaceDE w:val="0"/>
        <w:autoSpaceDN w:val="0"/>
        <w:bidi w:val="0"/>
        <w:adjustRightInd w:val="0"/>
        <w:snapToGrid w:val="0"/>
        <w:spacing w:line="292" w:lineRule="auto"/>
        <w:outlineLvl w:val="9"/>
        <w:rPr>
          <w:rFonts w:hint="eastAsia" w:ascii="宋体" w:hAnsi="宋体" w:eastAsia="宋体" w:cs="宋体"/>
          <w:sz w:val="21"/>
        </w:rPr>
      </w:pPr>
    </w:p>
    <w:p w14:paraId="3955E3DD">
      <w:pPr>
        <w:keepNext w:val="0"/>
        <w:keepLines w:val="0"/>
        <w:pageBreakBefore w:val="0"/>
        <w:widowControl/>
        <w:kinsoku/>
        <w:wordWrap/>
        <w:overflowPunct/>
        <w:topLinePunct w:val="0"/>
        <w:autoSpaceDE w:val="0"/>
        <w:autoSpaceDN w:val="0"/>
        <w:bidi w:val="0"/>
        <w:adjustRightInd w:val="0"/>
        <w:snapToGrid w:val="0"/>
        <w:spacing w:line="292" w:lineRule="auto"/>
        <w:outlineLvl w:val="9"/>
        <w:rPr>
          <w:rFonts w:hint="eastAsia" w:ascii="宋体" w:hAnsi="宋体" w:eastAsia="宋体" w:cs="宋体"/>
          <w:sz w:val="21"/>
        </w:rPr>
      </w:pPr>
    </w:p>
    <w:p w14:paraId="456863DE">
      <w:pPr>
        <w:keepNext w:val="0"/>
        <w:keepLines w:val="0"/>
        <w:pageBreakBefore w:val="0"/>
        <w:widowControl/>
        <w:kinsoku/>
        <w:wordWrap/>
        <w:overflowPunct/>
        <w:topLinePunct w:val="0"/>
        <w:autoSpaceDE w:val="0"/>
        <w:autoSpaceDN w:val="0"/>
        <w:bidi w:val="0"/>
        <w:adjustRightInd w:val="0"/>
        <w:snapToGrid w:val="0"/>
        <w:spacing w:before="78" w:line="189" w:lineRule="auto"/>
        <w:ind w:firstLine="31"/>
        <w:outlineLvl w:val="9"/>
        <w:rPr>
          <w:rFonts w:hint="eastAsia" w:ascii="宋体" w:hAnsi="宋体" w:eastAsia="宋体" w:cs="宋体"/>
          <w:sz w:val="24"/>
          <w:szCs w:val="24"/>
        </w:rPr>
      </w:pPr>
      <w:r>
        <w:rPr>
          <w:rFonts w:hint="eastAsia" w:ascii="宋体" w:hAnsi="宋体" w:eastAsia="宋体" w:cs="宋体"/>
          <w:spacing w:val="-9"/>
          <w:sz w:val="24"/>
          <w:szCs w:val="24"/>
          <w:lang w:eastAsia="zh-CN"/>
        </w:rPr>
        <w:t>（采购人、采购代理）　</w:t>
      </w:r>
      <w:r>
        <w:rPr>
          <w:rFonts w:hint="eastAsia" w:ascii="宋体" w:hAnsi="宋体" w:eastAsia="宋体" w:cs="宋体"/>
          <w:spacing w:val="-9"/>
          <w:sz w:val="24"/>
          <w:szCs w:val="24"/>
        </w:rPr>
        <w:t>：</w:t>
      </w:r>
    </w:p>
    <w:p w14:paraId="482457E3">
      <w:pPr>
        <w:keepNext w:val="0"/>
        <w:keepLines w:val="0"/>
        <w:pageBreakBefore w:val="0"/>
        <w:widowControl/>
        <w:kinsoku/>
        <w:wordWrap/>
        <w:overflowPunct/>
        <w:topLinePunct w:val="0"/>
        <w:autoSpaceDE w:val="0"/>
        <w:autoSpaceDN w:val="0"/>
        <w:bidi w:val="0"/>
        <w:adjustRightInd w:val="0"/>
        <w:snapToGrid w:val="0"/>
        <w:spacing w:line="279" w:lineRule="auto"/>
        <w:outlineLvl w:val="9"/>
        <w:rPr>
          <w:rFonts w:hint="eastAsia" w:ascii="宋体" w:hAnsi="宋体" w:eastAsia="宋体" w:cs="宋体"/>
          <w:sz w:val="21"/>
        </w:rPr>
      </w:pPr>
    </w:p>
    <w:p w14:paraId="5A653911">
      <w:pPr>
        <w:keepNext w:val="0"/>
        <w:keepLines w:val="0"/>
        <w:pageBreakBefore w:val="0"/>
        <w:widowControl/>
        <w:kinsoku/>
        <w:wordWrap/>
        <w:overflowPunct/>
        <w:topLinePunct w:val="0"/>
        <w:autoSpaceDE w:val="0"/>
        <w:autoSpaceDN w:val="0"/>
        <w:bidi w:val="0"/>
        <w:adjustRightInd w:val="0"/>
        <w:snapToGrid w:val="0"/>
        <w:spacing w:before="79" w:line="495" w:lineRule="auto"/>
        <w:ind w:left="599" w:right="1491" w:firstLine="9"/>
        <w:outlineLvl w:val="9"/>
        <w:rPr>
          <w:rFonts w:hint="eastAsia" w:ascii="宋体" w:hAnsi="宋体" w:eastAsia="宋体" w:cs="宋体"/>
          <w:sz w:val="24"/>
          <w:szCs w:val="24"/>
        </w:rPr>
      </w:pPr>
      <w:r>
        <w:rPr>
          <w:rFonts w:hint="eastAsia" w:ascii="宋体" w:hAnsi="宋体" w:eastAsia="宋体" w:cs="宋体"/>
          <w:spacing w:val="-2"/>
          <w:sz w:val="24"/>
          <w:szCs w:val="24"/>
        </w:rPr>
        <w:t>我单位在参加政府采购活动前三年内，在经营活动中没有重大违法记录。</w:t>
      </w:r>
      <w:r>
        <w:rPr>
          <w:rFonts w:hint="eastAsia" w:ascii="宋体" w:hAnsi="宋体" w:eastAsia="宋体" w:cs="宋体"/>
          <w:spacing w:val="7"/>
          <w:sz w:val="24"/>
          <w:szCs w:val="24"/>
        </w:rPr>
        <w:t xml:space="preserve"> </w:t>
      </w:r>
      <w:r>
        <w:rPr>
          <w:rFonts w:hint="eastAsia" w:ascii="宋体" w:hAnsi="宋体" w:eastAsia="宋体" w:cs="宋体"/>
          <w:spacing w:val="-8"/>
          <w:sz w:val="24"/>
          <w:szCs w:val="24"/>
        </w:rPr>
        <w:t>特此承诺。</w:t>
      </w:r>
    </w:p>
    <w:p w14:paraId="2BB47C83">
      <w:pPr>
        <w:keepNext w:val="0"/>
        <w:keepLines w:val="0"/>
        <w:pageBreakBefore w:val="0"/>
        <w:widowControl/>
        <w:kinsoku/>
        <w:wordWrap/>
        <w:overflowPunct/>
        <w:topLinePunct w:val="0"/>
        <w:autoSpaceDE w:val="0"/>
        <w:autoSpaceDN w:val="0"/>
        <w:bidi w:val="0"/>
        <w:adjustRightInd w:val="0"/>
        <w:snapToGrid w:val="0"/>
        <w:spacing w:line="277" w:lineRule="auto"/>
        <w:outlineLvl w:val="9"/>
        <w:rPr>
          <w:rFonts w:hint="eastAsia" w:ascii="宋体" w:hAnsi="宋体" w:eastAsia="宋体" w:cs="宋体"/>
          <w:sz w:val="21"/>
        </w:rPr>
      </w:pPr>
    </w:p>
    <w:p w14:paraId="726C5FE6">
      <w:pPr>
        <w:keepNext w:val="0"/>
        <w:keepLines w:val="0"/>
        <w:pageBreakBefore w:val="0"/>
        <w:widowControl/>
        <w:kinsoku/>
        <w:wordWrap/>
        <w:overflowPunct/>
        <w:topLinePunct w:val="0"/>
        <w:autoSpaceDE w:val="0"/>
        <w:autoSpaceDN w:val="0"/>
        <w:bidi w:val="0"/>
        <w:adjustRightInd w:val="0"/>
        <w:snapToGrid w:val="0"/>
        <w:spacing w:line="277" w:lineRule="auto"/>
        <w:outlineLvl w:val="9"/>
        <w:rPr>
          <w:rFonts w:hint="eastAsia" w:ascii="宋体" w:hAnsi="宋体" w:eastAsia="宋体" w:cs="宋体"/>
          <w:sz w:val="21"/>
        </w:rPr>
      </w:pPr>
    </w:p>
    <w:p w14:paraId="763AAACE">
      <w:pPr>
        <w:keepNext w:val="0"/>
        <w:keepLines w:val="0"/>
        <w:pageBreakBefore w:val="0"/>
        <w:widowControl/>
        <w:kinsoku/>
        <w:wordWrap/>
        <w:overflowPunct/>
        <w:topLinePunct w:val="0"/>
        <w:autoSpaceDE w:val="0"/>
        <w:autoSpaceDN w:val="0"/>
        <w:bidi w:val="0"/>
        <w:adjustRightInd w:val="0"/>
        <w:snapToGrid w:val="0"/>
        <w:spacing w:line="277" w:lineRule="auto"/>
        <w:outlineLvl w:val="9"/>
        <w:rPr>
          <w:rFonts w:hint="eastAsia" w:ascii="宋体" w:hAnsi="宋体" w:eastAsia="宋体" w:cs="宋体"/>
          <w:sz w:val="21"/>
        </w:rPr>
      </w:pPr>
    </w:p>
    <w:p w14:paraId="35A9B8E2">
      <w:pPr>
        <w:keepNext w:val="0"/>
        <w:keepLines w:val="0"/>
        <w:pageBreakBefore w:val="0"/>
        <w:widowControl/>
        <w:kinsoku/>
        <w:wordWrap/>
        <w:overflowPunct/>
        <w:topLinePunct w:val="0"/>
        <w:autoSpaceDE w:val="0"/>
        <w:autoSpaceDN w:val="0"/>
        <w:bidi w:val="0"/>
        <w:adjustRightInd w:val="0"/>
        <w:snapToGrid w:val="0"/>
        <w:spacing w:line="277" w:lineRule="auto"/>
        <w:outlineLvl w:val="9"/>
        <w:rPr>
          <w:rFonts w:hint="eastAsia" w:ascii="宋体" w:hAnsi="宋体" w:eastAsia="宋体" w:cs="宋体"/>
          <w:sz w:val="21"/>
        </w:rPr>
      </w:pPr>
    </w:p>
    <w:p w14:paraId="4B72E11C">
      <w:pPr>
        <w:keepNext w:val="0"/>
        <w:keepLines w:val="0"/>
        <w:pageBreakBefore w:val="0"/>
        <w:widowControl/>
        <w:kinsoku/>
        <w:wordWrap/>
        <w:overflowPunct/>
        <w:topLinePunct w:val="0"/>
        <w:autoSpaceDE w:val="0"/>
        <w:autoSpaceDN w:val="0"/>
        <w:bidi w:val="0"/>
        <w:adjustRightInd w:val="0"/>
        <w:snapToGrid w:val="0"/>
        <w:spacing w:line="277" w:lineRule="auto"/>
        <w:outlineLvl w:val="9"/>
        <w:rPr>
          <w:rFonts w:hint="eastAsia" w:ascii="宋体" w:hAnsi="宋体" w:eastAsia="宋体" w:cs="宋体"/>
          <w:sz w:val="21"/>
        </w:rPr>
      </w:pPr>
    </w:p>
    <w:p w14:paraId="5658A6FA">
      <w:pPr>
        <w:keepNext w:val="0"/>
        <w:keepLines w:val="0"/>
        <w:pageBreakBefore w:val="0"/>
        <w:widowControl/>
        <w:kinsoku/>
        <w:wordWrap/>
        <w:overflowPunct/>
        <w:topLinePunct w:val="0"/>
        <w:autoSpaceDE w:val="0"/>
        <w:autoSpaceDN w:val="0"/>
        <w:bidi w:val="0"/>
        <w:adjustRightInd w:val="0"/>
        <w:snapToGrid w:val="0"/>
        <w:spacing w:before="78" w:line="189" w:lineRule="auto"/>
        <w:outlineLvl w:val="9"/>
        <w:rPr>
          <w:rFonts w:hint="eastAsia" w:ascii="宋体" w:hAnsi="宋体" w:eastAsia="宋体" w:cs="宋体"/>
          <w:sz w:val="24"/>
          <w:szCs w:val="24"/>
        </w:rPr>
      </w:pPr>
      <w:r>
        <w:rPr>
          <w:rFonts w:hint="eastAsia" w:ascii="宋体" w:hAnsi="宋体" w:eastAsia="宋体" w:cs="宋体"/>
          <w:spacing w:val="-7"/>
          <w:sz w:val="24"/>
          <w:szCs w:val="24"/>
        </w:rPr>
        <w:t>投标人（电子签章</w:t>
      </w:r>
      <w:r>
        <w:rPr>
          <w:rFonts w:hint="eastAsia" w:ascii="宋体" w:hAnsi="宋体" w:eastAsia="宋体" w:cs="宋体"/>
          <w:spacing w:val="-3"/>
          <w:sz w:val="24"/>
          <w:szCs w:val="24"/>
        </w:rPr>
        <w:t>）：</w:t>
      </w:r>
    </w:p>
    <w:p w14:paraId="3D4B3B2D">
      <w:pPr>
        <w:keepNext w:val="0"/>
        <w:keepLines w:val="0"/>
        <w:pageBreakBefore w:val="0"/>
        <w:widowControl/>
        <w:kinsoku/>
        <w:wordWrap/>
        <w:overflowPunct/>
        <w:topLinePunct w:val="0"/>
        <w:autoSpaceDE w:val="0"/>
        <w:autoSpaceDN w:val="0"/>
        <w:bidi w:val="0"/>
        <w:adjustRightInd w:val="0"/>
        <w:snapToGrid w:val="0"/>
        <w:spacing w:line="301" w:lineRule="auto"/>
        <w:outlineLvl w:val="9"/>
        <w:rPr>
          <w:rFonts w:hint="eastAsia" w:ascii="宋体" w:hAnsi="宋体" w:eastAsia="宋体" w:cs="宋体"/>
          <w:sz w:val="21"/>
        </w:rPr>
      </w:pPr>
    </w:p>
    <w:p w14:paraId="3B721027">
      <w:pPr>
        <w:keepNext w:val="0"/>
        <w:keepLines w:val="0"/>
        <w:pageBreakBefore w:val="0"/>
        <w:widowControl/>
        <w:kinsoku/>
        <w:wordWrap/>
        <w:overflowPunct/>
        <w:topLinePunct w:val="0"/>
        <w:autoSpaceDE w:val="0"/>
        <w:autoSpaceDN w:val="0"/>
        <w:bidi w:val="0"/>
        <w:adjustRightInd w:val="0"/>
        <w:snapToGrid w:val="0"/>
        <w:spacing w:before="79" w:line="666" w:lineRule="exact"/>
        <w:ind w:firstLine="8"/>
        <w:outlineLvl w:val="9"/>
        <w:rPr>
          <w:rFonts w:hint="eastAsia" w:ascii="宋体" w:hAnsi="宋体" w:eastAsia="宋体" w:cs="宋体"/>
          <w:sz w:val="24"/>
          <w:szCs w:val="24"/>
        </w:rPr>
      </w:pPr>
      <w:r>
        <w:rPr>
          <w:rFonts w:hint="eastAsia" w:ascii="宋体" w:hAnsi="宋体" w:eastAsia="宋体" w:cs="宋体"/>
          <w:spacing w:val="-7"/>
          <w:position w:val="32"/>
          <w:sz w:val="24"/>
          <w:szCs w:val="24"/>
        </w:rPr>
        <w:t>法定代表人（电子签名</w:t>
      </w:r>
      <w:r>
        <w:rPr>
          <w:rFonts w:hint="eastAsia" w:ascii="宋体" w:hAnsi="宋体" w:eastAsia="宋体" w:cs="宋体"/>
          <w:spacing w:val="-1"/>
          <w:position w:val="32"/>
          <w:sz w:val="24"/>
          <w:szCs w:val="24"/>
        </w:rPr>
        <w:t>）：</w:t>
      </w:r>
    </w:p>
    <w:p w14:paraId="762BA747">
      <w:pPr>
        <w:keepNext w:val="0"/>
        <w:keepLines w:val="0"/>
        <w:pageBreakBefore w:val="0"/>
        <w:widowControl/>
        <w:kinsoku/>
        <w:wordWrap/>
        <w:overflowPunct/>
        <w:topLinePunct w:val="0"/>
        <w:autoSpaceDE w:val="0"/>
        <w:autoSpaceDN w:val="0"/>
        <w:bidi w:val="0"/>
        <w:adjustRightInd w:val="0"/>
        <w:snapToGrid w:val="0"/>
        <w:spacing w:before="2" w:line="204" w:lineRule="auto"/>
        <w:ind w:firstLine="51"/>
        <w:outlineLvl w:val="9"/>
        <w:rPr>
          <w:rFonts w:hint="eastAsia" w:ascii="宋体" w:hAnsi="宋体" w:eastAsia="宋体" w:cs="宋体"/>
          <w:sz w:val="24"/>
          <w:szCs w:val="24"/>
        </w:rPr>
      </w:pPr>
      <w:r>
        <w:rPr>
          <w:rFonts w:hint="eastAsia" w:ascii="宋体" w:hAnsi="宋体" w:eastAsia="宋体" w:cs="宋体"/>
          <w:spacing w:val="-10"/>
          <w:sz w:val="24"/>
          <w:szCs w:val="24"/>
        </w:rPr>
        <w:t>日期：</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p w14:paraId="10FBF2C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20" w:type="default"/>
          <w:pgSz w:w="11905" w:h="16837"/>
          <w:pgMar w:top="1431" w:right="1085" w:bottom="922" w:left="1095" w:header="0" w:footer="798" w:gutter="0"/>
          <w:pgNumType w:fmt="decimal"/>
          <w:cols w:space="720" w:num="1"/>
        </w:sectPr>
      </w:pPr>
    </w:p>
    <w:p w14:paraId="0D4B7C48">
      <w:pPr>
        <w:keepNext w:val="0"/>
        <w:keepLines w:val="0"/>
        <w:pageBreakBefore w:val="0"/>
        <w:widowControl/>
        <w:kinsoku/>
        <w:wordWrap/>
        <w:overflowPunct/>
        <w:topLinePunct w:val="0"/>
        <w:autoSpaceDE w:val="0"/>
        <w:autoSpaceDN w:val="0"/>
        <w:bidi w:val="0"/>
        <w:adjustRightInd w:val="0"/>
        <w:snapToGrid w:val="0"/>
        <w:spacing w:before="226" w:line="189" w:lineRule="auto"/>
        <w:ind w:firstLine="2316"/>
        <w:outlineLvl w:val="2"/>
        <w:rPr>
          <w:rFonts w:hint="eastAsia" w:ascii="宋体" w:hAnsi="宋体" w:eastAsia="宋体" w:cs="宋体"/>
          <w:sz w:val="30"/>
          <w:szCs w:val="30"/>
        </w:rPr>
      </w:pPr>
      <w:r>
        <w:rPr>
          <w:rFonts w:hint="eastAsia" w:ascii="宋体" w:hAnsi="宋体" w:eastAsia="宋体" w:cs="宋体"/>
          <w:sz w:val="30"/>
          <w:szCs w:val="30"/>
          <w14:textOutline w14:w="5442" w14:cap="flat" w14:cmpd="sng">
            <w14:solidFill>
              <w14:srgbClr w14:val="000000"/>
            </w14:solidFill>
            <w14:prstDash w14:val="solid"/>
            <w14:miter w14:val="0"/>
          </w14:textOutline>
        </w:rPr>
        <w:t>投标人负责人控股、设计等相关承诺书</w:t>
      </w:r>
    </w:p>
    <w:p w14:paraId="04FDA056">
      <w:pPr>
        <w:keepNext w:val="0"/>
        <w:keepLines w:val="0"/>
        <w:pageBreakBefore w:val="0"/>
        <w:widowControl/>
        <w:kinsoku/>
        <w:wordWrap/>
        <w:overflowPunct/>
        <w:topLinePunct w:val="0"/>
        <w:autoSpaceDE w:val="0"/>
        <w:autoSpaceDN w:val="0"/>
        <w:bidi w:val="0"/>
        <w:adjustRightInd w:val="0"/>
        <w:snapToGrid w:val="0"/>
        <w:spacing w:line="276" w:lineRule="auto"/>
        <w:outlineLvl w:val="9"/>
        <w:rPr>
          <w:rFonts w:hint="eastAsia" w:ascii="宋体" w:hAnsi="宋体" w:eastAsia="宋体" w:cs="宋体"/>
          <w:sz w:val="21"/>
        </w:rPr>
      </w:pPr>
    </w:p>
    <w:p w14:paraId="40016F3E">
      <w:pPr>
        <w:keepNext w:val="0"/>
        <w:keepLines w:val="0"/>
        <w:pageBreakBefore w:val="0"/>
        <w:widowControl/>
        <w:kinsoku/>
        <w:wordWrap/>
        <w:overflowPunct/>
        <w:topLinePunct w:val="0"/>
        <w:autoSpaceDE w:val="0"/>
        <w:autoSpaceDN w:val="0"/>
        <w:bidi w:val="0"/>
        <w:adjustRightInd w:val="0"/>
        <w:snapToGrid w:val="0"/>
        <w:spacing w:line="277" w:lineRule="auto"/>
        <w:outlineLvl w:val="9"/>
        <w:rPr>
          <w:rFonts w:hint="eastAsia" w:ascii="宋体" w:hAnsi="宋体" w:eastAsia="宋体" w:cs="宋体"/>
          <w:sz w:val="21"/>
        </w:rPr>
      </w:pPr>
    </w:p>
    <w:p w14:paraId="75AF33E6">
      <w:pPr>
        <w:keepNext w:val="0"/>
        <w:keepLines w:val="0"/>
        <w:pageBreakBefore w:val="0"/>
        <w:widowControl/>
        <w:kinsoku/>
        <w:wordWrap/>
        <w:overflowPunct/>
        <w:topLinePunct w:val="0"/>
        <w:autoSpaceDE w:val="0"/>
        <w:autoSpaceDN w:val="0"/>
        <w:bidi w:val="0"/>
        <w:adjustRightInd w:val="0"/>
        <w:snapToGrid w:val="0"/>
        <w:spacing w:before="78" w:line="189" w:lineRule="auto"/>
        <w:ind w:firstLine="3"/>
        <w:outlineLvl w:val="9"/>
        <w:rPr>
          <w:rFonts w:hint="eastAsia" w:ascii="宋体" w:hAnsi="宋体" w:eastAsia="宋体" w:cs="宋体"/>
          <w:sz w:val="24"/>
          <w:szCs w:val="24"/>
        </w:rPr>
      </w:pPr>
      <w:r>
        <w:rPr>
          <w:rFonts w:hint="eastAsia" w:ascii="宋体" w:hAnsi="宋体" w:eastAsia="宋体" w:cs="宋体"/>
          <w:spacing w:val="-23"/>
          <w:w w:val="98"/>
          <w:sz w:val="24"/>
          <w:szCs w:val="24"/>
        </w:rPr>
        <w:t>致：</w:t>
      </w:r>
      <w:r>
        <w:rPr>
          <w:rFonts w:hint="eastAsia" w:ascii="宋体" w:hAnsi="宋体" w:eastAsia="宋体" w:cs="宋体"/>
          <w:spacing w:val="-23"/>
          <w:w w:val="98"/>
          <w:sz w:val="24"/>
          <w:szCs w:val="24"/>
          <w:u w:val="single" w:color="auto"/>
        </w:rPr>
        <w:t>(采购人名称）</w:t>
      </w:r>
    </w:p>
    <w:p w14:paraId="47C8CEA6">
      <w:pPr>
        <w:keepNext w:val="0"/>
        <w:keepLines w:val="0"/>
        <w:pageBreakBefore w:val="0"/>
        <w:widowControl/>
        <w:kinsoku/>
        <w:wordWrap/>
        <w:overflowPunct/>
        <w:topLinePunct w:val="0"/>
        <w:autoSpaceDE w:val="0"/>
        <w:autoSpaceDN w:val="0"/>
        <w:bidi w:val="0"/>
        <w:adjustRightInd w:val="0"/>
        <w:snapToGrid w:val="0"/>
        <w:spacing w:line="305" w:lineRule="auto"/>
        <w:outlineLvl w:val="9"/>
        <w:rPr>
          <w:rFonts w:hint="eastAsia" w:ascii="宋体" w:hAnsi="宋体" w:eastAsia="宋体" w:cs="宋体"/>
          <w:sz w:val="24"/>
          <w:szCs w:val="24"/>
        </w:rPr>
      </w:pPr>
    </w:p>
    <w:p w14:paraId="28818394">
      <w:pPr>
        <w:keepNext w:val="0"/>
        <w:keepLines w:val="0"/>
        <w:pageBreakBefore w:val="0"/>
        <w:widowControl/>
        <w:kinsoku/>
        <w:wordWrap/>
        <w:overflowPunct/>
        <w:topLinePunct w:val="0"/>
        <w:autoSpaceDE w:val="0"/>
        <w:autoSpaceDN w:val="0"/>
        <w:bidi w:val="0"/>
        <w:adjustRightInd w:val="0"/>
        <w:snapToGrid w:val="0"/>
        <w:spacing w:line="306" w:lineRule="auto"/>
        <w:outlineLvl w:val="9"/>
        <w:rPr>
          <w:rFonts w:hint="eastAsia" w:ascii="宋体" w:hAnsi="宋体" w:eastAsia="宋体" w:cs="宋体"/>
          <w:sz w:val="24"/>
          <w:szCs w:val="24"/>
        </w:rPr>
      </w:pPr>
    </w:p>
    <w:p w14:paraId="16CD7C0F">
      <w:pPr>
        <w:keepNext w:val="0"/>
        <w:keepLines w:val="0"/>
        <w:pageBreakBefore w:val="0"/>
        <w:widowControl/>
        <w:kinsoku/>
        <w:wordWrap/>
        <w:overflowPunct/>
        <w:topLinePunct w:val="0"/>
        <w:autoSpaceDE w:val="0"/>
        <w:autoSpaceDN w:val="0"/>
        <w:bidi w:val="0"/>
        <w:adjustRightInd w:val="0"/>
        <w:snapToGrid w:val="0"/>
        <w:spacing w:before="78" w:line="189" w:lineRule="auto"/>
        <w:ind w:firstLine="482"/>
        <w:outlineLvl w:val="9"/>
        <w:rPr>
          <w:rFonts w:hint="eastAsia" w:ascii="宋体" w:hAnsi="宋体" w:eastAsia="宋体" w:cs="宋体"/>
          <w:sz w:val="24"/>
          <w:szCs w:val="24"/>
        </w:rPr>
      </w:pPr>
      <w:r>
        <w:rPr>
          <w:rFonts w:hint="eastAsia" w:ascii="宋体" w:hAnsi="宋体" w:eastAsia="宋体" w:cs="宋体"/>
          <w:spacing w:val="-11"/>
          <w:sz w:val="24"/>
          <w:szCs w:val="24"/>
        </w:rPr>
        <w:t>在采购编号为的</w:t>
      </w:r>
      <w:r>
        <w:rPr>
          <w:rFonts w:hint="eastAsia" w:ascii="宋体" w:hAnsi="宋体" w:eastAsia="宋体" w:cs="宋体"/>
          <w:sz w:val="24"/>
          <w:szCs w:val="24"/>
          <w:u w:val="single" w:color="auto"/>
        </w:rPr>
        <w:t xml:space="preserve"> </w:t>
      </w:r>
      <w:r>
        <w:rPr>
          <w:rFonts w:hint="eastAsia" w:ascii="宋体" w:hAnsi="宋体" w:eastAsia="宋体" w:cs="宋体"/>
          <w:spacing w:val="-11"/>
          <w:sz w:val="24"/>
          <w:szCs w:val="24"/>
          <w:u w:val="single" w:color="auto"/>
        </w:rPr>
        <w:t>（项目名称）</w:t>
      </w:r>
      <w:r>
        <w:rPr>
          <w:rFonts w:hint="eastAsia" w:ascii="宋体" w:hAnsi="宋体" w:eastAsia="宋体" w:cs="宋体"/>
          <w:spacing w:val="33"/>
          <w:sz w:val="24"/>
          <w:szCs w:val="24"/>
          <w:u w:val="single" w:color="auto"/>
        </w:rPr>
        <w:t xml:space="preserve"> </w:t>
      </w:r>
      <w:r>
        <w:rPr>
          <w:rFonts w:hint="eastAsia" w:ascii="宋体" w:hAnsi="宋体" w:eastAsia="宋体" w:cs="宋体"/>
          <w:spacing w:val="-11"/>
          <w:sz w:val="24"/>
          <w:szCs w:val="24"/>
        </w:rPr>
        <w:t>采购活动中，我单位承诺满足以下要求：</w:t>
      </w:r>
    </w:p>
    <w:p w14:paraId="1FFE9F08">
      <w:pPr>
        <w:keepNext w:val="0"/>
        <w:keepLines w:val="0"/>
        <w:pageBreakBefore w:val="0"/>
        <w:widowControl/>
        <w:kinsoku/>
        <w:wordWrap/>
        <w:overflowPunct/>
        <w:topLinePunct w:val="0"/>
        <w:autoSpaceDE w:val="0"/>
        <w:autoSpaceDN w:val="0"/>
        <w:bidi w:val="0"/>
        <w:adjustRightInd w:val="0"/>
        <w:snapToGrid w:val="0"/>
        <w:spacing w:line="271" w:lineRule="auto"/>
        <w:outlineLvl w:val="9"/>
        <w:rPr>
          <w:rFonts w:hint="eastAsia" w:ascii="宋体" w:hAnsi="宋体" w:eastAsia="宋体" w:cs="宋体"/>
          <w:sz w:val="24"/>
          <w:szCs w:val="24"/>
        </w:rPr>
      </w:pPr>
    </w:p>
    <w:p w14:paraId="76FE736D">
      <w:pPr>
        <w:keepNext w:val="0"/>
        <w:keepLines w:val="0"/>
        <w:pageBreakBefore w:val="0"/>
        <w:widowControl/>
        <w:kinsoku/>
        <w:wordWrap/>
        <w:overflowPunct/>
        <w:topLinePunct w:val="0"/>
        <w:autoSpaceDE w:val="0"/>
        <w:autoSpaceDN w:val="0"/>
        <w:bidi w:val="0"/>
        <w:adjustRightInd w:val="0"/>
        <w:snapToGrid w:val="0"/>
        <w:spacing w:line="271" w:lineRule="auto"/>
        <w:outlineLvl w:val="9"/>
        <w:rPr>
          <w:rFonts w:hint="eastAsia" w:ascii="宋体" w:hAnsi="宋体" w:eastAsia="宋体" w:cs="宋体"/>
          <w:sz w:val="24"/>
          <w:szCs w:val="24"/>
        </w:rPr>
      </w:pPr>
    </w:p>
    <w:p w14:paraId="5E3299C6">
      <w:pPr>
        <w:keepNext w:val="0"/>
        <w:keepLines w:val="0"/>
        <w:pageBreakBefore w:val="0"/>
        <w:widowControl/>
        <w:kinsoku/>
        <w:wordWrap/>
        <w:overflowPunct/>
        <w:topLinePunct w:val="0"/>
        <w:autoSpaceDE w:val="0"/>
        <w:autoSpaceDN w:val="0"/>
        <w:bidi w:val="0"/>
        <w:adjustRightInd w:val="0"/>
        <w:snapToGrid w:val="0"/>
        <w:spacing w:before="78" w:line="569" w:lineRule="auto"/>
        <w:ind w:left="5" w:firstLine="479"/>
        <w:outlineLvl w:val="9"/>
        <w:rPr>
          <w:rFonts w:hint="eastAsia" w:ascii="宋体" w:hAnsi="宋体" w:eastAsia="宋体" w:cs="宋体"/>
          <w:sz w:val="24"/>
          <w:szCs w:val="24"/>
        </w:rPr>
      </w:pPr>
      <w:r>
        <w:rPr>
          <w:rFonts w:hint="eastAsia" w:ascii="宋体" w:hAnsi="宋体" w:eastAsia="宋体" w:cs="宋体"/>
          <w:spacing w:val="-8"/>
          <w:sz w:val="24"/>
          <w:szCs w:val="24"/>
        </w:rPr>
        <w:t>一、单位负责人为同一人或者存在直接控股、管理关系的不同投标人，不参加同一合同项</w:t>
      </w:r>
      <w:r>
        <w:rPr>
          <w:rFonts w:hint="eastAsia" w:ascii="宋体" w:hAnsi="宋体" w:eastAsia="宋体" w:cs="宋体"/>
          <w:sz w:val="24"/>
          <w:szCs w:val="24"/>
        </w:rPr>
        <w:t xml:space="preserve"> </w:t>
      </w:r>
      <w:r>
        <w:rPr>
          <w:rFonts w:hint="eastAsia" w:ascii="宋体" w:hAnsi="宋体" w:eastAsia="宋体" w:cs="宋体"/>
          <w:spacing w:val="-6"/>
          <w:sz w:val="24"/>
          <w:szCs w:val="24"/>
        </w:rPr>
        <w:t>下的政府采购活动。</w:t>
      </w:r>
    </w:p>
    <w:p w14:paraId="33AD88FF">
      <w:pPr>
        <w:keepNext w:val="0"/>
        <w:keepLines w:val="0"/>
        <w:pageBreakBefore w:val="0"/>
        <w:widowControl/>
        <w:kinsoku/>
        <w:wordWrap/>
        <w:overflowPunct/>
        <w:topLinePunct w:val="0"/>
        <w:autoSpaceDE w:val="0"/>
        <w:autoSpaceDN w:val="0"/>
        <w:bidi w:val="0"/>
        <w:adjustRightInd w:val="0"/>
        <w:snapToGrid w:val="0"/>
        <w:spacing w:before="200" w:line="189" w:lineRule="auto"/>
        <w:ind w:firstLine="488"/>
        <w:outlineLvl w:val="9"/>
        <w:rPr>
          <w:rFonts w:hint="eastAsia" w:ascii="宋体" w:hAnsi="宋体" w:eastAsia="宋体" w:cs="宋体"/>
          <w:sz w:val="24"/>
          <w:szCs w:val="24"/>
        </w:rPr>
      </w:pPr>
      <w:r>
        <w:rPr>
          <w:rFonts w:hint="eastAsia" w:ascii="宋体" w:hAnsi="宋体" w:eastAsia="宋体" w:cs="宋体"/>
          <w:spacing w:val="-2"/>
          <w:sz w:val="24"/>
          <w:szCs w:val="24"/>
        </w:rPr>
        <w:t>二、没有为本项目提供整体设计、规范编制或者项目管理、监理、检测等服务。</w:t>
      </w:r>
    </w:p>
    <w:p w14:paraId="0874227B">
      <w:pPr>
        <w:keepNext w:val="0"/>
        <w:keepLines w:val="0"/>
        <w:pageBreakBefore w:val="0"/>
        <w:widowControl/>
        <w:kinsoku/>
        <w:wordWrap/>
        <w:overflowPunct/>
        <w:topLinePunct w:val="0"/>
        <w:autoSpaceDE w:val="0"/>
        <w:autoSpaceDN w:val="0"/>
        <w:bidi w:val="0"/>
        <w:adjustRightInd w:val="0"/>
        <w:snapToGrid w:val="0"/>
        <w:spacing w:line="476" w:lineRule="auto"/>
        <w:outlineLvl w:val="9"/>
        <w:rPr>
          <w:rFonts w:hint="eastAsia" w:ascii="宋体" w:hAnsi="宋体" w:eastAsia="宋体" w:cs="宋体"/>
          <w:sz w:val="24"/>
          <w:szCs w:val="24"/>
        </w:rPr>
      </w:pPr>
    </w:p>
    <w:p w14:paraId="72F4EEB6">
      <w:pPr>
        <w:keepNext w:val="0"/>
        <w:keepLines w:val="0"/>
        <w:pageBreakBefore w:val="0"/>
        <w:widowControl/>
        <w:kinsoku/>
        <w:wordWrap/>
        <w:overflowPunct/>
        <w:topLinePunct w:val="0"/>
        <w:autoSpaceDE w:val="0"/>
        <w:autoSpaceDN w:val="0"/>
        <w:bidi w:val="0"/>
        <w:adjustRightInd w:val="0"/>
        <w:snapToGrid w:val="0"/>
        <w:spacing w:before="78" w:line="451" w:lineRule="auto"/>
        <w:ind w:left="8" w:right="144" w:firstLine="479"/>
        <w:outlineLvl w:val="9"/>
        <w:rPr>
          <w:rFonts w:hint="eastAsia" w:ascii="宋体" w:hAnsi="宋体" w:eastAsia="宋体" w:cs="宋体"/>
          <w:sz w:val="24"/>
          <w:szCs w:val="24"/>
        </w:rPr>
      </w:pPr>
      <w:r>
        <w:rPr>
          <w:rFonts w:hint="eastAsia" w:ascii="宋体" w:hAnsi="宋体" w:eastAsia="宋体" w:cs="宋体"/>
          <w:spacing w:val="-1"/>
          <w:sz w:val="24"/>
          <w:szCs w:val="24"/>
        </w:rPr>
        <w:t>三、若出现上述行为，我单位确认投标无效、承诺书虚假，接受相关部门按照国家法律</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法规等有关规定对我单位虚假承诺所给予的处理。</w:t>
      </w:r>
    </w:p>
    <w:p w14:paraId="2191B5E1">
      <w:pPr>
        <w:keepNext w:val="0"/>
        <w:keepLines w:val="0"/>
        <w:pageBreakBefore w:val="0"/>
        <w:widowControl/>
        <w:kinsoku/>
        <w:wordWrap/>
        <w:overflowPunct/>
        <w:topLinePunct w:val="0"/>
        <w:autoSpaceDE w:val="0"/>
        <w:autoSpaceDN w:val="0"/>
        <w:bidi w:val="0"/>
        <w:adjustRightInd w:val="0"/>
        <w:snapToGrid w:val="0"/>
        <w:spacing w:line="259" w:lineRule="auto"/>
        <w:outlineLvl w:val="9"/>
        <w:rPr>
          <w:rFonts w:hint="eastAsia" w:ascii="宋体" w:hAnsi="宋体" w:eastAsia="宋体" w:cs="宋体"/>
          <w:sz w:val="24"/>
          <w:szCs w:val="24"/>
        </w:rPr>
      </w:pPr>
    </w:p>
    <w:p w14:paraId="0C54504B">
      <w:pPr>
        <w:keepNext w:val="0"/>
        <w:keepLines w:val="0"/>
        <w:pageBreakBefore w:val="0"/>
        <w:widowControl/>
        <w:kinsoku/>
        <w:wordWrap/>
        <w:overflowPunct/>
        <w:topLinePunct w:val="0"/>
        <w:autoSpaceDE w:val="0"/>
        <w:autoSpaceDN w:val="0"/>
        <w:bidi w:val="0"/>
        <w:adjustRightInd w:val="0"/>
        <w:snapToGrid w:val="0"/>
        <w:spacing w:line="260" w:lineRule="auto"/>
        <w:outlineLvl w:val="9"/>
        <w:rPr>
          <w:rFonts w:hint="eastAsia" w:ascii="宋体" w:hAnsi="宋体" w:eastAsia="宋体" w:cs="宋体"/>
          <w:sz w:val="24"/>
          <w:szCs w:val="24"/>
        </w:rPr>
      </w:pPr>
    </w:p>
    <w:p w14:paraId="5EEB5296">
      <w:pPr>
        <w:keepNext w:val="0"/>
        <w:keepLines w:val="0"/>
        <w:pageBreakBefore w:val="0"/>
        <w:widowControl/>
        <w:kinsoku/>
        <w:wordWrap/>
        <w:overflowPunct/>
        <w:topLinePunct w:val="0"/>
        <w:autoSpaceDE w:val="0"/>
        <w:autoSpaceDN w:val="0"/>
        <w:bidi w:val="0"/>
        <w:adjustRightInd w:val="0"/>
        <w:snapToGrid w:val="0"/>
        <w:spacing w:line="260" w:lineRule="auto"/>
        <w:outlineLvl w:val="9"/>
        <w:rPr>
          <w:rFonts w:hint="eastAsia" w:ascii="宋体" w:hAnsi="宋体" w:eastAsia="宋体" w:cs="宋体"/>
          <w:sz w:val="24"/>
          <w:szCs w:val="24"/>
        </w:rPr>
      </w:pPr>
    </w:p>
    <w:p w14:paraId="60E6D52D">
      <w:pPr>
        <w:keepNext w:val="0"/>
        <w:keepLines w:val="0"/>
        <w:pageBreakBefore w:val="0"/>
        <w:widowControl/>
        <w:kinsoku/>
        <w:wordWrap/>
        <w:overflowPunct/>
        <w:topLinePunct w:val="0"/>
        <w:autoSpaceDE w:val="0"/>
        <w:autoSpaceDN w:val="0"/>
        <w:bidi w:val="0"/>
        <w:adjustRightInd w:val="0"/>
        <w:snapToGrid w:val="0"/>
        <w:spacing w:before="79" w:line="189" w:lineRule="auto"/>
        <w:outlineLvl w:val="9"/>
        <w:rPr>
          <w:rFonts w:hint="eastAsia" w:ascii="宋体" w:hAnsi="宋体" w:eastAsia="宋体" w:cs="宋体"/>
          <w:sz w:val="24"/>
          <w:szCs w:val="24"/>
        </w:rPr>
      </w:pPr>
      <w:r>
        <w:rPr>
          <w:rFonts w:hint="eastAsia" w:ascii="宋体" w:hAnsi="宋体" w:eastAsia="宋体" w:cs="宋体"/>
          <w:spacing w:val="-7"/>
          <w:sz w:val="24"/>
          <w:szCs w:val="24"/>
        </w:rPr>
        <w:t>投标人（电子签章</w:t>
      </w:r>
      <w:r>
        <w:rPr>
          <w:rFonts w:hint="eastAsia" w:ascii="宋体" w:hAnsi="宋体" w:eastAsia="宋体" w:cs="宋体"/>
          <w:spacing w:val="-3"/>
          <w:sz w:val="24"/>
          <w:szCs w:val="24"/>
        </w:rPr>
        <w:t>）：</w:t>
      </w:r>
    </w:p>
    <w:p w14:paraId="625DED19">
      <w:pPr>
        <w:keepNext w:val="0"/>
        <w:keepLines w:val="0"/>
        <w:pageBreakBefore w:val="0"/>
        <w:widowControl/>
        <w:kinsoku/>
        <w:wordWrap/>
        <w:overflowPunct/>
        <w:topLinePunct w:val="0"/>
        <w:autoSpaceDE w:val="0"/>
        <w:autoSpaceDN w:val="0"/>
        <w:bidi w:val="0"/>
        <w:adjustRightInd w:val="0"/>
        <w:snapToGrid w:val="0"/>
        <w:spacing w:line="288" w:lineRule="auto"/>
        <w:outlineLvl w:val="9"/>
        <w:rPr>
          <w:rFonts w:hint="eastAsia" w:ascii="宋体" w:hAnsi="宋体" w:eastAsia="宋体" w:cs="宋体"/>
          <w:sz w:val="24"/>
          <w:szCs w:val="24"/>
        </w:rPr>
      </w:pPr>
    </w:p>
    <w:p w14:paraId="630B23D5">
      <w:pPr>
        <w:keepNext w:val="0"/>
        <w:keepLines w:val="0"/>
        <w:pageBreakBefore w:val="0"/>
        <w:widowControl/>
        <w:kinsoku/>
        <w:wordWrap/>
        <w:overflowPunct/>
        <w:topLinePunct w:val="0"/>
        <w:autoSpaceDE w:val="0"/>
        <w:autoSpaceDN w:val="0"/>
        <w:bidi w:val="0"/>
        <w:adjustRightInd w:val="0"/>
        <w:snapToGrid w:val="0"/>
        <w:spacing w:line="288" w:lineRule="auto"/>
        <w:outlineLvl w:val="9"/>
        <w:rPr>
          <w:rFonts w:hint="eastAsia" w:ascii="宋体" w:hAnsi="宋体" w:eastAsia="宋体" w:cs="宋体"/>
          <w:sz w:val="24"/>
          <w:szCs w:val="24"/>
        </w:rPr>
      </w:pPr>
    </w:p>
    <w:p w14:paraId="61263B0F">
      <w:pPr>
        <w:keepNext w:val="0"/>
        <w:keepLines w:val="0"/>
        <w:pageBreakBefore w:val="0"/>
        <w:widowControl/>
        <w:kinsoku/>
        <w:wordWrap/>
        <w:overflowPunct/>
        <w:topLinePunct w:val="0"/>
        <w:autoSpaceDE w:val="0"/>
        <w:autoSpaceDN w:val="0"/>
        <w:bidi w:val="0"/>
        <w:adjustRightInd w:val="0"/>
        <w:snapToGrid w:val="0"/>
        <w:spacing w:before="79" w:line="189" w:lineRule="auto"/>
        <w:ind w:firstLine="8"/>
        <w:outlineLvl w:val="9"/>
        <w:rPr>
          <w:rFonts w:hint="eastAsia" w:ascii="宋体" w:hAnsi="宋体" w:eastAsia="宋体" w:cs="宋体"/>
          <w:sz w:val="24"/>
          <w:szCs w:val="24"/>
        </w:rPr>
      </w:pPr>
      <w:r>
        <w:rPr>
          <w:rFonts w:hint="eastAsia" w:ascii="宋体" w:hAnsi="宋体" w:eastAsia="宋体" w:cs="宋体"/>
          <w:spacing w:val="-7"/>
          <w:sz w:val="24"/>
          <w:szCs w:val="24"/>
        </w:rPr>
        <w:t>法定代表人（电子签名</w:t>
      </w:r>
      <w:r>
        <w:rPr>
          <w:rFonts w:hint="eastAsia" w:ascii="宋体" w:hAnsi="宋体" w:eastAsia="宋体" w:cs="宋体"/>
          <w:spacing w:val="-1"/>
          <w:sz w:val="24"/>
          <w:szCs w:val="24"/>
        </w:rPr>
        <w:t>）：</w:t>
      </w:r>
    </w:p>
    <w:p w14:paraId="1FC9C9E1">
      <w:pPr>
        <w:keepNext w:val="0"/>
        <w:keepLines w:val="0"/>
        <w:pageBreakBefore w:val="0"/>
        <w:widowControl/>
        <w:kinsoku/>
        <w:wordWrap/>
        <w:overflowPunct/>
        <w:topLinePunct w:val="0"/>
        <w:autoSpaceDE w:val="0"/>
        <w:autoSpaceDN w:val="0"/>
        <w:bidi w:val="0"/>
        <w:adjustRightInd w:val="0"/>
        <w:snapToGrid w:val="0"/>
        <w:spacing w:line="478" w:lineRule="auto"/>
        <w:outlineLvl w:val="9"/>
        <w:rPr>
          <w:rFonts w:hint="eastAsia" w:ascii="宋体" w:hAnsi="宋体" w:eastAsia="宋体" w:cs="宋体"/>
          <w:sz w:val="24"/>
          <w:szCs w:val="24"/>
        </w:rPr>
      </w:pPr>
    </w:p>
    <w:p w14:paraId="46EA27EF">
      <w:pPr>
        <w:keepNext w:val="0"/>
        <w:keepLines w:val="0"/>
        <w:pageBreakBefore w:val="0"/>
        <w:widowControl/>
        <w:kinsoku/>
        <w:wordWrap/>
        <w:overflowPunct/>
        <w:topLinePunct w:val="0"/>
        <w:autoSpaceDE w:val="0"/>
        <w:autoSpaceDN w:val="0"/>
        <w:bidi w:val="0"/>
        <w:adjustRightInd w:val="0"/>
        <w:snapToGrid w:val="0"/>
        <w:spacing w:before="78" w:line="189" w:lineRule="auto"/>
        <w:ind w:firstLine="51"/>
        <w:outlineLvl w:val="9"/>
        <w:rPr>
          <w:rFonts w:hint="eastAsia" w:ascii="宋体" w:hAnsi="宋体" w:eastAsia="宋体" w:cs="宋体"/>
          <w:sz w:val="24"/>
          <w:szCs w:val="24"/>
        </w:rPr>
      </w:pPr>
      <w:r>
        <w:rPr>
          <w:rFonts w:hint="eastAsia" w:ascii="宋体" w:hAnsi="宋体" w:eastAsia="宋体" w:cs="宋体"/>
          <w:spacing w:val="-10"/>
          <w:sz w:val="24"/>
          <w:szCs w:val="24"/>
        </w:rPr>
        <w:t>日期：</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p w14:paraId="212E4A8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21" w:type="default"/>
          <w:pgSz w:w="11905" w:h="16837"/>
          <w:pgMar w:top="1431" w:right="1080" w:bottom="922" w:left="1095" w:header="0" w:footer="800" w:gutter="0"/>
          <w:pgNumType w:fmt="decimal"/>
          <w:cols w:space="720" w:num="1"/>
        </w:sectPr>
      </w:pPr>
    </w:p>
    <w:p w14:paraId="41FBF742">
      <w:pPr>
        <w:keepNext w:val="0"/>
        <w:keepLines w:val="0"/>
        <w:pageBreakBefore w:val="0"/>
        <w:widowControl/>
        <w:kinsoku/>
        <w:wordWrap/>
        <w:overflowPunct/>
        <w:topLinePunct w:val="0"/>
        <w:autoSpaceDE w:val="0"/>
        <w:autoSpaceDN w:val="0"/>
        <w:bidi w:val="0"/>
        <w:adjustRightInd w:val="0"/>
        <w:snapToGrid w:val="0"/>
        <w:spacing w:before="97" w:line="189" w:lineRule="auto"/>
        <w:ind w:firstLine="3685"/>
        <w:outlineLvl w:val="1"/>
        <w:rPr>
          <w:rFonts w:hint="eastAsia" w:ascii="宋体" w:hAnsi="宋体" w:eastAsia="宋体" w:cs="宋体"/>
          <w:sz w:val="30"/>
          <w:szCs w:val="30"/>
        </w:rPr>
      </w:pPr>
      <w:r>
        <w:rPr>
          <w:rFonts w:hint="eastAsia" w:ascii="宋体" w:hAnsi="宋体" w:eastAsia="宋体" w:cs="宋体"/>
          <w:spacing w:val="-3"/>
          <w:sz w:val="30"/>
          <w:szCs w:val="30"/>
          <w14:textOutline w14:w="5442" w14:cap="flat" w14:cmpd="sng">
            <w14:solidFill>
              <w14:srgbClr w14:val="000000"/>
            </w14:solidFill>
            <w14:prstDash w14:val="solid"/>
            <w14:miter w14:val="0"/>
          </w14:textOutline>
        </w:rPr>
        <w:t>六、投标承诺函</w:t>
      </w:r>
    </w:p>
    <w:p w14:paraId="75CE0CA4">
      <w:pPr>
        <w:keepNext w:val="0"/>
        <w:keepLines w:val="0"/>
        <w:pageBreakBefore w:val="0"/>
        <w:widowControl/>
        <w:kinsoku/>
        <w:wordWrap/>
        <w:overflowPunct/>
        <w:topLinePunct w:val="0"/>
        <w:autoSpaceDE w:val="0"/>
        <w:autoSpaceDN w:val="0"/>
        <w:bidi w:val="0"/>
        <w:adjustRightInd w:val="0"/>
        <w:snapToGrid w:val="0"/>
        <w:spacing w:line="261" w:lineRule="auto"/>
        <w:outlineLvl w:val="9"/>
        <w:rPr>
          <w:rFonts w:hint="eastAsia" w:ascii="宋体" w:hAnsi="宋体" w:eastAsia="宋体" w:cs="宋体"/>
          <w:sz w:val="21"/>
        </w:rPr>
      </w:pPr>
    </w:p>
    <w:p w14:paraId="71586496">
      <w:pPr>
        <w:pStyle w:val="13"/>
        <w:rPr>
          <w:rFonts w:hint="eastAsia" w:ascii="宋体" w:hAnsi="宋体" w:eastAsia="宋体" w:cs="宋体"/>
        </w:rPr>
      </w:pPr>
    </w:p>
    <w:p w14:paraId="68E6126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(采购人名称）、（代理机构名称）</w:t>
      </w:r>
    </w:p>
    <w:p w14:paraId="45DD90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采购活动中，我单位承诺：</w:t>
      </w:r>
    </w:p>
    <w:p w14:paraId="2DDDCC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一、遵循公开、公平、公正和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"http://www.so.com/s?q=%E8%AF%9A%E5%AE%9E%E4%BF%A1%E7%94%A8&amp;ie=utf-8&amp;src=internal_wenda_recommend_textn" </w:instrText>
      </w:r>
      <w:r>
        <w:rPr>
          <w:rFonts w:hint="eastAsia" w:ascii="宋体" w:hAnsi="宋体" w:eastAsia="宋体" w:cs="宋体"/>
          <w:sz w:val="24"/>
          <w:szCs w:val="24"/>
        </w:rPr>
        <w:fldChar w:fldCharType="separate"/>
      </w:r>
      <w:r>
        <w:rPr>
          <w:rFonts w:hint="eastAsia" w:ascii="宋体" w:hAnsi="宋体" w:eastAsia="宋体" w:cs="宋体"/>
          <w:sz w:val="24"/>
          <w:szCs w:val="24"/>
        </w:rPr>
        <w:t>诚实信用</w:t>
      </w:r>
      <w:r>
        <w:rPr>
          <w:rFonts w:hint="eastAsia" w:ascii="宋体" w:hAnsi="宋体" w:eastAsia="宋体" w:cs="宋体"/>
          <w:sz w:val="24"/>
          <w:szCs w:val="24"/>
        </w:rPr>
        <w:fldChar w:fldCharType="end"/>
      </w:r>
      <w:r>
        <w:rPr>
          <w:rFonts w:hint="eastAsia" w:ascii="宋体" w:hAnsi="宋体" w:eastAsia="宋体" w:cs="宋体"/>
          <w:sz w:val="24"/>
          <w:szCs w:val="24"/>
        </w:rPr>
        <w:t>的原则自愿参加本项目投标；</w:t>
      </w:r>
    </w:p>
    <w:p w14:paraId="127AB8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二、在政府采购活动中提供真实、准确、有效、合法的材料，不提供虚假材料；</w:t>
      </w:r>
    </w:p>
    <w:p w14:paraId="557C92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三、按照《磋商文件》规定，在提交投标文件截止时间后，在《磋商文件》规定的投标有效期限内不撤回投标文件；</w:t>
      </w:r>
    </w:p>
    <w:p w14:paraId="5BD77A0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四、不与其他投标人、采购人或采购代理机构串通或恶意串通。</w:t>
      </w:r>
    </w:p>
    <w:p w14:paraId="67CCFC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五、如我单位中标，除不可抗拒力或《磋商文件》认可的情形外，我单位承诺及时领取成交通知书，在成交通知书规定时间、地点与采购人签订合同；</w:t>
      </w:r>
    </w:p>
    <w:p w14:paraId="12728B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六、遵守法律法规及《磋商文件》规定的其他情况；</w:t>
      </w:r>
    </w:p>
    <w:p w14:paraId="27D70F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七、按《磋商文件》规定及时缴纳中标服务费。</w:t>
      </w:r>
    </w:p>
    <w:p w14:paraId="686EE0C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八、违背上述承诺事项的，我单位无条件接受以下责任追究：</w:t>
      </w:r>
    </w:p>
    <w:p w14:paraId="204FFF5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给采购人及他人造成损失的，愿承担相应的赔偿责任。</w:t>
      </w:r>
    </w:p>
    <w:p w14:paraId="0FBC54F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（二）违约责任：</w:t>
      </w:r>
    </w:p>
    <w:p w14:paraId="3454AE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1、已中标的，中标（成交）无效；</w:t>
      </w:r>
    </w:p>
    <w:p w14:paraId="4C0E26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2、支付采购人违约标的预算金额2%的违约金；</w:t>
      </w:r>
    </w:p>
    <w:p w14:paraId="620927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3、未缴纳标书款、中标后未缴中标服务费的，作为违约及违背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"http://www.so.com/s?q=%E8%AF%9A%E5%AE%9E%E4%BF%A1%E7%94%A8&amp;ie=utf-8&amp;src=internal_wenda_recommend_textn" </w:instrText>
      </w:r>
      <w:r>
        <w:rPr>
          <w:rFonts w:hint="eastAsia" w:ascii="宋体" w:hAnsi="宋体" w:eastAsia="宋体" w:cs="宋体"/>
          <w:sz w:val="24"/>
          <w:szCs w:val="24"/>
        </w:rPr>
        <w:fldChar w:fldCharType="separate"/>
      </w:r>
      <w:r>
        <w:rPr>
          <w:rFonts w:hint="eastAsia" w:ascii="宋体" w:hAnsi="宋体" w:eastAsia="宋体" w:cs="宋体"/>
          <w:sz w:val="24"/>
          <w:szCs w:val="24"/>
        </w:rPr>
        <w:t>诚实信用</w:t>
      </w:r>
      <w:r>
        <w:rPr>
          <w:rFonts w:hint="eastAsia" w:ascii="宋体" w:hAnsi="宋体" w:eastAsia="宋体" w:cs="宋体"/>
          <w:sz w:val="24"/>
          <w:szCs w:val="24"/>
        </w:rPr>
        <w:fldChar w:fldCharType="end"/>
      </w:r>
      <w:r>
        <w:rPr>
          <w:rFonts w:hint="eastAsia" w:ascii="宋体" w:hAnsi="宋体" w:eastAsia="宋体" w:cs="宋体"/>
          <w:sz w:val="24"/>
          <w:szCs w:val="24"/>
        </w:rPr>
        <w:t>原则，在履行承诺前，代理机构将视我单位为失信企业、不予办理其后相关业务。</w:t>
      </w:r>
    </w:p>
    <w:p w14:paraId="5019709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187997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7EACEB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投标人（电子签章）：</w:t>
      </w:r>
    </w:p>
    <w:p w14:paraId="6978082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法定代表人（电子签名）：</w:t>
      </w:r>
    </w:p>
    <w:p w14:paraId="6E03EF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日期 ：   年   月   日</w:t>
      </w:r>
    </w:p>
    <w:p w14:paraId="7434689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22" w:type="default"/>
          <w:pgSz w:w="11905" w:h="16837"/>
          <w:pgMar w:top="1431" w:right="1007" w:bottom="922" w:left="1095" w:header="0" w:footer="800" w:gutter="0"/>
          <w:pgNumType w:fmt="decimal"/>
          <w:cols w:space="720" w:num="1"/>
        </w:sectPr>
      </w:pPr>
    </w:p>
    <w:p w14:paraId="3AEB3FA6">
      <w:pPr>
        <w:keepNext w:val="0"/>
        <w:keepLines w:val="0"/>
        <w:pageBreakBefore w:val="0"/>
        <w:widowControl/>
        <w:kinsoku/>
        <w:wordWrap/>
        <w:overflowPunct/>
        <w:topLinePunct w:val="0"/>
        <w:autoSpaceDE w:val="0"/>
        <w:autoSpaceDN w:val="0"/>
        <w:bidi w:val="0"/>
        <w:adjustRightInd w:val="0"/>
        <w:snapToGrid w:val="0"/>
        <w:spacing w:before="97" w:line="189" w:lineRule="auto"/>
        <w:ind w:firstLine="4165"/>
        <w:outlineLvl w:val="1"/>
        <w:rPr>
          <w:rFonts w:hint="eastAsia" w:ascii="宋体" w:hAnsi="宋体" w:eastAsia="宋体" w:cs="宋体"/>
          <w:sz w:val="30"/>
          <w:szCs w:val="30"/>
        </w:rPr>
      </w:pPr>
      <w:r>
        <w:rPr>
          <w:rFonts w:hint="eastAsia" w:ascii="宋体" w:hAnsi="宋体" w:eastAsia="宋体" w:cs="宋体"/>
          <w:spacing w:val="-5"/>
          <w:sz w:val="30"/>
          <w:szCs w:val="30"/>
          <w14:textOutline w14:w="5442" w14:cap="flat" w14:cmpd="sng">
            <w14:solidFill>
              <w14:srgbClr w14:val="000000"/>
            </w14:solidFill>
            <w14:prstDash w14:val="solid"/>
            <w14:miter w14:val="0"/>
          </w14:textOutline>
        </w:rPr>
        <w:t>七、偏差表</w:t>
      </w:r>
    </w:p>
    <w:p w14:paraId="13153BE3">
      <w:pPr>
        <w:keepNext w:val="0"/>
        <w:keepLines w:val="0"/>
        <w:pageBreakBefore w:val="0"/>
        <w:widowControl/>
        <w:kinsoku/>
        <w:wordWrap/>
        <w:overflowPunct/>
        <w:topLinePunct w:val="0"/>
        <w:autoSpaceDE w:val="0"/>
        <w:autoSpaceDN w:val="0"/>
        <w:bidi w:val="0"/>
        <w:adjustRightInd w:val="0"/>
        <w:snapToGrid w:val="0"/>
        <w:spacing w:line="246" w:lineRule="auto"/>
        <w:outlineLvl w:val="9"/>
        <w:rPr>
          <w:rFonts w:hint="eastAsia" w:ascii="宋体" w:hAnsi="宋体" w:eastAsia="宋体" w:cs="宋体"/>
          <w:sz w:val="21"/>
        </w:rPr>
      </w:pPr>
    </w:p>
    <w:p w14:paraId="15E00EC7">
      <w:pPr>
        <w:keepNext w:val="0"/>
        <w:keepLines w:val="0"/>
        <w:pageBreakBefore w:val="0"/>
        <w:widowControl/>
        <w:kinsoku/>
        <w:wordWrap/>
        <w:overflowPunct/>
        <w:topLinePunct w:val="0"/>
        <w:autoSpaceDE w:val="0"/>
        <w:autoSpaceDN w:val="0"/>
        <w:bidi w:val="0"/>
        <w:adjustRightInd w:val="0"/>
        <w:snapToGrid w:val="0"/>
        <w:spacing w:before="79" w:line="239" w:lineRule="auto"/>
        <w:ind w:firstLine="36"/>
        <w:outlineLvl w:val="9"/>
        <w:rPr>
          <w:rFonts w:hint="eastAsia" w:ascii="宋体" w:hAnsi="宋体" w:eastAsia="宋体" w:cs="宋体"/>
          <w:sz w:val="24"/>
          <w:szCs w:val="24"/>
        </w:rPr>
      </w:pPr>
      <w:r>
        <w:rPr>
          <w:rFonts w:hint="eastAsia" w:ascii="宋体" w:hAnsi="宋体" w:eastAsia="宋体" w:cs="宋体"/>
          <w:spacing w:val="-12"/>
          <w:sz w:val="24"/>
          <w:szCs w:val="24"/>
        </w:rPr>
        <w:t>项目名称：</w:t>
      </w:r>
    </w:p>
    <w:p w14:paraId="55D59121">
      <w:pPr>
        <w:keepNext w:val="0"/>
        <w:keepLines w:val="0"/>
        <w:pageBreakBefore w:val="0"/>
        <w:widowControl/>
        <w:kinsoku/>
        <w:wordWrap/>
        <w:overflowPunct/>
        <w:topLinePunct w:val="0"/>
        <w:autoSpaceDE w:val="0"/>
        <w:autoSpaceDN w:val="0"/>
        <w:bidi w:val="0"/>
        <w:adjustRightInd w:val="0"/>
        <w:snapToGrid w:val="0"/>
        <w:spacing w:before="1" w:line="204" w:lineRule="auto"/>
        <w:ind w:firstLine="36"/>
        <w:outlineLvl w:val="9"/>
        <w:rPr>
          <w:rFonts w:hint="eastAsia" w:ascii="宋体" w:hAnsi="宋体" w:eastAsia="宋体" w:cs="宋体"/>
          <w:sz w:val="24"/>
          <w:szCs w:val="24"/>
        </w:rPr>
      </w:pPr>
      <w:r>
        <w:rPr>
          <w:rFonts w:hint="eastAsia" w:ascii="宋体" w:hAnsi="宋体" w:eastAsia="宋体" w:cs="宋体"/>
          <w:spacing w:val="-12"/>
          <w:sz w:val="24"/>
          <w:szCs w:val="24"/>
        </w:rPr>
        <w:t>项目编号：</w:t>
      </w:r>
    </w:p>
    <w:p w14:paraId="286D635A">
      <w:pPr>
        <w:keepNext w:val="0"/>
        <w:keepLines w:val="0"/>
        <w:pageBreakBefore w:val="0"/>
        <w:widowControl/>
        <w:kinsoku/>
        <w:wordWrap/>
        <w:overflowPunct/>
        <w:topLinePunct w:val="0"/>
        <w:autoSpaceDE w:val="0"/>
        <w:autoSpaceDN w:val="0"/>
        <w:bidi w:val="0"/>
        <w:adjustRightInd w:val="0"/>
        <w:snapToGrid w:val="0"/>
        <w:spacing w:line="76" w:lineRule="auto"/>
        <w:outlineLvl w:val="9"/>
        <w:rPr>
          <w:rFonts w:hint="eastAsia" w:ascii="宋体" w:hAnsi="宋体" w:eastAsia="宋体" w:cs="宋体"/>
          <w:sz w:val="2"/>
        </w:rPr>
      </w:pPr>
    </w:p>
    <w:tbl>
      <w:tblPr>
        <w:tblStyle w:val="30"/>
        <w:tblW w:w="932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3091"/>
        <w:gridCol w:w="2941"/>
        <w:gridCol w:w="2642"/>
      </w:tblGrid>
      <w:tr w14:paraId="3BF9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646" w:type="dxa"/>
            <w:tcBorders>
              <w:top w:val="single" w:color="000000" w:sz="8" w:space="0"/>
              <w:left w:val="single" w:color="000000" w:sz="8" w:space="0"/>
            </w:tcBorders>
            <w:vAlign w:val="top"/>
          </w:tcPr>
          <w:p w14:paraId="6E690945">
            <w:pPr>
              <w:keepNext w:val="0"/>
              <w:keepLines w:val="0"/>
              <w:pageBreakBefore w:val="0"/>
              <w:widowControl/>
              <w:kinsoku/>
              <w:wordWrap/>
              <w:overflowPunct/>
              <w:topLinePunct w:val="0"/>
              <w:autoSpaceDE w:val="0"/>
              <w:autoSpaceDN w:val="0"/>
              <w:bidi w:val="0"/>
              <w:adjustRightInd w:val="0"/>
              <w:snapToGrid w:val="0"/>
              <w:spacing w:before="267" w:line="189" w:lineRule="auto"/>
              <w:ind w:firstLine="114"/>
              <w:outlineLvl w:val="9"/>
              <w:rPr>
                <w:rFonts w:hint="eastAsia" w:ascii="宋体" w:hAnsi="宋体" w:eastAsia="宋体" w:cs="宋体"/>
                <w:sz w:val="21"/>
                <w:szCs w:val="21"/>
              </w:rPr>
            </w:pPr>
            <w:r>
              <w:rPr>
                <w:rFonts w:hint="eastAsia" w:ascii="宋体" w:hAnsi="宋体" w:eastAsia="宋体" w:cs="宋体"/>
                <w:spacing w:val="-7"/>
                <w:sz w:val="21"/>
                <w:szCs w:val="21"/>
                <w14:textOutline w14:w="3810" w14:cap="flat" w14:cmpd="sng">
                  <w14:solidFill>
                    <w14:srgbClr w14:val="000000"/>
                  </w14:solidFill>
                  <w14:prstDash w14:val="solid"/>
                  <w14:miter w14:val="0"/>
                </w14:textOutline>
              </w:rPr>
              <w:t>序号</w:t>
            </w:r>
          </w:p>
        </w:tc>
        <w:tc>
          <w:tcPr>
            <w:tcW w:w="3091" w:type="dxa"/>
            <w:tcBorders>
              <w:top w:val="single" w:color="000000" w:sz="8" w:space="0"/>
            </w:tcBorders>
            <w:vAlign w:val="top"/>
          </w:tcPr>
          <w:p w14:paraId="5081E30B">
            <w:pPr>
              <w:keepNext w:val="0"/>
              <w:keepLines w:val="0"/>
              <w:pageBreakBefore w:val="0"/>
              <w:widowControl/>
              <w:kinsoku/>
              <w:wordWrap/>
              <w:overflowPunct/>
              <w:topLinePunct w:val="0"/>
              <w:autoSpaceDE w:val="0"/>
              <w:autoSpaceDN w:val="0"/>
              <w:bidi w:val="0"/>
              <w:adjustRightInd w:val="0"/>
              <w:snapToGrid w:val="0"/>
              <w:spacing w:before="267" w:line="189" w:lineRule="auto"/>
              <w:ind w:firstLine="915"/>
              <w:outlineLvl w:val="9"/>
              <w:rPr>
                <w:rFonts w:hint="eastAsia" w:ascii="宋体" w:hAnsi="宋体" w:eastAsia="宋体" w:cs="宋体"/>
                <w:sz w:val="21"/>
                <w:szCs w:val="21"/>
              </w:rPr>
            </w:pPr>
            <w:r>
              <w:rPr>
                <w:rFonts w:hint="eastAsia" w:ascii="宋体" w:hAnsi="宋体" w:eastAsia="宋体" w:cs="宋体"/>
                <w:spacing w:val="-2"/>
                <w:sz w:val="21"/>
                <w:szCs w:val="21"/>
                <w:u w:val="none"/>
                <w14:textOutline w14:w="3810" w14:cap="flat" w14:cmpd="sng">
                  <w14:solidFill>
                    <w14:srgbClr w14:val="000000"/>
                  </w14:solidFill>
                  <w14:prstDash w14:val="solid"/>
                  <w14:miter w14:val="0"/>
                </w14:textOutline>
              </w:rPr>
              <w:t>磋商文件要求</w:t>
            </w:r>
          </w:p>
        </w:tc>
        <w:tc>
          <w:tcPr>
            <w:tcW w:w="2941" w:type="dxa"/>
            <w:tcBorders>
              <w:top w:val="single" w:color="000000" w:sz="8" w:space="0"/>
            </w:tcBorders>
            <w:vAlign w:val="top"/>
          </w:tcPr>
          <w:p w14:paraId="3C913056">
            <w:pPr>
              <w:keepNext w:val="0"/>
              <w:keepLines w:val="0"/>
              <w:pageBreakBefore w:val="0"/>
              <w:widowControl/>
              <w:kinsoku/>
              <w:wordWrap/>
              <w:overflowPunct/>
              <w:topLinePunct w:val="0"/>
              <w:autoSpaceDE w:val="0"/>
              <w:autoSpaceDN w:val="0"/>
              <w:bidi w:val="0"/>
              <w:adjustRightInd w:val="0"/>
              <w:snapToGrid w:val="0"/>
              <w:spacing w:before="267" w:line="189" w:lineRule="auto"/>
              <w:ind w:firstLine="847"/>
              <w:outlineLvl w:val="9"/>
              <w:rPr>
                <w:rFonts w:hint="eastAsia" w:ascii="宋体" w:hAnsi="宋体" w:eastAsia="宋体" w:cs="宋体"/>
                <w:sz w:val="21"/>
                <w:szCs w:val="21"/>
              </w:rPr>
            </w:pPr>
            <w:r>
              <w:rPr>
                <w:rFonts w:hint="eastAsia" w:ascii="宋体" w:hAnsi="宋体" w:eastAsia="宋体" w:cs="宋体"/>
                <w:spacing w:val="-2"/>
                <w:sz w:val="21"/>
                <w:szCs w:val="21"/>
                <w14:textOutline w14:w="3810" w14:cap="flat" w14:cmpd="sng">
                  <w14:solidFill>
                    <w14:srgbClr w14:val="000000"/>
                  </w14:solidFill>
                  <w14:prstDash w14:val="solid"/>
                  <w14:miter w14:val="0"/>
                </w14:textOutline>
              </w:rPr>
              <w:t>投标文件响应</w:t>
            </w:r>
          </w:p>
        </w:tc>
        <w:tc>
          <w:tcPr>
            <w:tcW w:w="2642" w:type="dxa"/>
            <w:tcBorders>
              <w:top w:val="single" w:color="000000" w:sz="8" w:space="0"/>
              <w:right w:val="single" w:color="000000" w:sz="8" w:space="0"/>
            </w:tcBorders>
            <w:vAlign w:val="top"/>
          </w:tcPr>
          <w:p w14:paraId="08F0D907">
            <w:pPr>
              <w:keepNext w:val="0"/>
              <w:keepLines w:val="0"/>
              <w:pageBreakBefore w:val="0"/>
              <w:widowControl/>
              <w:kinsoku/>
              <w:wordWrap/>
              <w:overflowPunct/>
              <w:topLinePunct w:val="0"/>
              <w:autoSpaceDE w:val="0"/>
              <w:autoSpaceDN w:val="0"/>
              <w:bidi w:val="0"/>
              <w:adjustRightInd w:val="0"/>
              <w:snapToGrid w:val="0"/>
              <w:spacing w:before="267" w:line="189" w:lineRule="auto"/>
              <w:ind w:firstLine="908"/>
              <w:outlineLvl w:val="9"/>
              <w:rPr>
                <w:rFonts w:hint="eastAsia" w:ascii="宋体" w:hAnsi="宋体" w:eastAsia="宋体" w:cs="宋体"/>
                <w:sz w:val="21"/>
                <w:szCs w:val="21"/>
              </w:rPr>
            </w:pPr>
            <w:r>
              <w:rPr>
                <w:rFonts w:hint="eastAsia" w:ascii="宋体" w:hAnsi="宋体" w:eastAsia="宋体" w:cs="宋体"/>
                <w:spacing w:val="-4"/>
                <w:sz w:val="21"/>
                <w:szCs w:val="21"/>
                <w14:textOutline w14:w="3810" w14:cap="flat" w14:cmpd="sng">
                  <w14:solidFill>
                    <w14:srgbClr w14:val="000000"/>
                  </w14:solidFill>
                  <w14:prstDash w14:val="solid"/>
                  <w14:miter w14:val="0"/>
                </w14:textOutline>
              </w:rPr>
              <w:t>偏差描述</w:t>
            </w:r>
          </w:p>
        </w:tc>
      </w:tr>
      <w:tr w14:paraId="4C5C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6" w:type="dxa"/>
            <w:tcBorders>
              <w:left w:val="single" w:color="000000" w:sz="8" w:space="0"/>
            </w:tcBorders>
            <w:vAlign w:val="top"/>
          </w:tcPr>
          <w:p w14:paraId="3C508E7F">
            <w:pPr>
              <w:keepNext w:val="0"/>
              <w:keepLines w:val="0"/>
              <w:pageBreakBefore w:val="0"/>
              <w:widowControl/>
              <w:kinsoku/>
              <w:wordWrap/>
              <w:overflowPunct/>
              <w:topLinePunct w:val="0"/>
              <w:autoSpaceDE w:val="0"/>
              <w:autoSpaceDN w:val="0"/>
              <w:bidi w:val="0"/>
              <w:adjustRightInd w:val="0"/>
              <w:snapToGrid w:val="0"/>
              <w:spacing w:before="301" w:line="180" w:lineRule="auto"/>
              <w:ind w:firstLine="281"/>
              <w:outlineLvl w:val="9"/>
              <w:rPr>
                <w:rFonts w:hint="eastAsia" w:ascii="宋体" w:hAnsi="宋体" w:eastAsia="宋体" w:cs="宋体"/>
                <w:sz w:val="21"/>
                <w:szCs w:val="21"/>
              </w:rPr>
            </w:pPr>
            <w:r>
              <w:rPr>
                <w:rFonts w:hint="eastAsia" w:ascii="宋体" w:hAnsi="宋体" w:eastAsia="宋体" w:cs="宋体"/>
                <w:sz w:val="21"/>
                <w:szCs w:val="21"/>
              </w:rPr>
              <w:t>1</w:t>
            </w:r>
          </w:p>
        </w:tc>
        <w:tc>
          <w:tcPr>
            <w:tcW w:w="3091" w:type="dxa"/>
            <w:vAlign w:val="top"/>
          </w:tcPr>
          <w:p w14:paraId="24F91B8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941" w:type="dxa"/>
            <w:vAlign w:val="top"/>
          </w:tcPr>
          <w:p w14:paraId="33DD33E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642" w:type="dxa"/>
            <w:tcBorders>
              <w:right w:val="single" w:color="000000" w:sz="8" w:space="0"/>
            </w:tcBorders>
            <w:vAlign w:val="top"/>
          </w:tcPr>
          <w:p w14:paraId="31A6B7F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3E03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6" w:type="dxa"/>
            <w:tcBorders>
              <w:left w:val="single" w:color="000000" w:sz="8" w:space="0"/>
            </w:tcBorders>
            <w:vAlign w:val="top"/>
          </w:tcPr>
          <w:p w14:paraId="6AC9E202">
            <w:pPr>
              <w:keepNext w:val="0"/>
              <w:keepLines w:val="0"/>
              <w:pageBreakBefore w:val="0"/>
              <w:widowControl/>
              <w:kinsoku/>
              <w:wordWrap/>
              <w:overflowPunct/>
              <w:topLinePunct w:val="0"/>
              <w:autoSpaceDE w:val="0"/>
              <w:autoSpaceDN w:val="0"/>
              <w:bidi w:val="0"/>
              <w:adjustRightInd w:val="0"/>
              <w:snapToGrid w:val="0"/>
              <w:spacing w:before="304" w:line="180" w:lineRule="auto"/>
              <w:ind w:firstLine="268"/>
              <w:outlineLvl w:val="9"/>
              <w:rPr>
                <w:rFonts w:hint="eastAsia" w:ascii="宋体" w:hAnsi="宋体" w:eastAsia="宋体" w:cs="宋体"/>
                <w:sz w:val="21"/>
                <w:szCs w:val="21"/>
              </w:rPr>
            </w:pPr>
            <w:r>
              <w:rPr>
                <w:rFonts w:hint="eastAsia" w:ascii="宋体" w:hAnsi="宋体" w:eastAsia="宋体" w:cs="宋体"/>
                <w:sz w:val="21"/>
                <w:szCs w:val="21"/>
              </w:rPr>
              <w:t>2</w:t>
            </w:r>
          </w:p>
        </w:tc>
        <w:tc>
          <w:tcPr>
            <w:tcW w:w="3091" w:type="dxa"/>
            <w:vAlign w:val="top"/>
          </w:tcPr>
          <w:p w14:paraId="6634937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941" w:type="dxa"/>
            <w:vAlign w:val="top"/>
          </w:tcPr>
          <w:p w14:paraId="175A7B4D">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642" w:type="dxa"/>
            <w:tcBorders>
              <w:right w:val="single" w:color="000000" w:sz="8" w:space="0"/>
            </w:tcBorders>
            <w:vAlign w:val="top"/>
          </w:tcPr>
          <w:p w14:paraId="2CB50111">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27C8C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6" w:type="dxa"/>
            <w:tcBorders>
              <w:left w:val="single" w:color="000000" w:sz="8" w:space="0"/>
            </w:tcBorders>
            <w:vAlign w:val="top"/>
          </w:tcPr>
          <w:p w14:paraId="343216E2">
            <w:pPr>
              <w:keepNext w:val="0"/>
              <w:keepLines w:val="0"/>
              <w:pageBreakBefore w:val="0"/>
              <w:widowControl/>
              <w:kinsoku/>
              <w:wordWrap/>
              <w:overflowPunct/>
              <w:topLinePunct w:val="0"/>
              <w:autoSpaceDE w:val="0"/>
              <w:autoSpaceDN w:val="0"/>
              <w:bidi w:val="0"/>
              <w:adjustRightInd w:val="0"/>
              <w:snapToGrid w:val="0"/>
              <w:spacing w:before="307" w:line="180" w:lineRule="auto"/>
              <w:ind w:firstLine="270"/>
              <w:outlineLvl w:val="9"/>
              <w:rPr>
                <w:rFonts w:hint="eastAsia" w:ascii="宋体" w:hAnsi="宋体" w:eastAsia="宋体" w:cs="宋体"/>
                <w:sz w:val="21"/>
                <w:szCs w:val="21"/>
              </w:rPr>
            </w:pPr>
            <w:r>
              <w:rPr>
                <w:rFonts w:hint="eastAsia" w:ascii="宋体" w:hAnsi="宋体" w:eastAsia="宋体" w:cs="宋体"/>
                <w:sz w:val="21"/>
                <w:szCs w:val="21"/>
              </w:rPr>
              <w:t>3</w:t>
            </w:r>
          </w:p>
        </w:tc>
        <w:tc>
          <w:tcPr>
            <w:tcW w:w="3091" w:type="dxa"/>
            <w:vAlign w:val="top"/>
          </w:tcPr>
          <w:p w14:paraId="4E03DE5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941" w:type="dxa"/>
            <w:vAlign w:val="top"/>
          </w:tcPr>
          <w:p w14:paraId="1F04618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642" w:type="dxa"/>
            <w:tcBorders>
              <w:right w:val="single" w:color="000000" w:sz="8" w:space="0"/>
            </w:tcBorders>
            <w:vAlign w:val="top"/>
          </w:tcPr>
          <w:p w14:paraId="5C261D26">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60063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6" w:type="dxa"/>
            <w:tcBorders>
              <w:left w:val="single" w:color="000000" w:sz="8" w:space="0"/>
            </w:tcBorders>
            <w:vAlign w:val="top"/>
          </w:tcPr>
          <w:p w14:paraId="4AD91D7A">
            <w:pPr>
              <w:keepNext w:val="0"/>
              <w:keepLines w:val="0"/>
              <w:pageBreakBefore w:val="0"/>
              <w:widowControl/>
              <w:kinsoku/>
              <w:wordWrap/>
              <w:overflowPunct/>
              <w:topLinePunct w:val="0"/>
              <w:autoSpaceDE w:val="0"/>
              <w:autoSpaceDN w:val="0"/>
              <w:bidi w:val="0"/>
              <w:adjustRightInd w:val="0"/>
              <w:snapToGrid w:val="0"/>
              <w:spacing w:before="308" w:line="180" w:lineRule="auto"/>
              <w:ind w:firstLine="265"/>
              <w:outlineLvl w:val="9"/>
              <w:rPr>
                <w:rFonts w:hint="eastAsia" w:ascii="宋体" w:hAnsi="宋体" w:eastAsia="宋体" w:cs="宋体"/>
                <w:sz w:val="21"/>
                <w:szCs w:val="21"/>
              </w:rPr>
            </w:pPr>
            <w:r>
              <w:rPr>
                <w:rFonts w:hint="eastAsia" w:ascii="宋体" w:hAnsi="宋体" w:eastAsia="宋体" w:cs="宋体"/>
                <w:sz w:val="21"/>
                <w:szCs w:val="21"/>
              </w:rPr>
              <w:t>4</w:t>
            </w:r>
          </w:p>
        </w:tc>
        <w:tc>
          <w:tcPr>
            <w:tcW w:w="3091" w:type="dxa"/>
            <w:vAlign w:val="top"/>
          </w:tcPr>
          <w:p w14:paraId="55AF16C4">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941" w:type="dxa"/>
            <w:vAlign w:val="top"/>
          </w:tcPr>
          <w:p w14:paraId="6A4D8ADE">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642" w:type="dxa"/>
            <w:tcBorders>
              <w:right w:val="single" w:color="000000" w:sz="8" w:space="0"/>
            </w:tcBorders>
            <w:vAlign w:val="top"/>
          </w:tcPr>
          <w:p w14:paraId="0129567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32713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6" w:type="dxa"/>
            <w:tcBorders>
              <w:left w:val="single" w:color="000000" w:sz="8" w:space="0"/>
            </w:tcBorders>
            <w:vAlign w:val="top"/>
          </w:tcPr>
          <w:p w14:paraId="247CE49D">
            <w:pPr>
              <w:keepNext w:val="0"/>
              <w:keepLines w:val="0"/>
              <w:pageBreakBefore w:val="0"/>
              <w:widowControl/>
              <w:kinsoku/>
              <w:wordWrap/>
              <w:overflowPunct/>
              <w:topLinePunct w:val="0"/>
              <w:autoSpaceDE w:val="0"/>
              <w:autoSpaceDN w:val="0"/>
              <w:bidi w:val="0"/>
              <w:adjustRightInd w:val="0"/>
              <w:snapToGrid w:val="0"/>
              <w:spacing w:before="312" w:line="180" w:lineRule="auto"/>
              <w:ind w:firstLine="270"/>
              <w:outlineLvl w:val="9"/>
              <w:rPr>
                <w:rFonts w:hint="eastAsia" w:ascii="宋体" w:hAnsi="宋体" w:eastAsia="宋体" w:cs="宋体"/>
                <w:sz w:val="21"/>
                <w:szCs w:val="21"/>
              </w:rPr>
            </w:pPr>
            <w:r>
              <w:rPr>
                <w:rFonts w:hint="eastAsia" w:ascii="宋体" w:hAnsi="宋体" w:eastAsia="宋体" w:cs="宋体"/>
                <w:sz w:val="21"/>
                <w:szCs w:val="21"/>
              </w:rPr>
              <w:t>5</w:t>
            </w:r>
          </w:p>
        </w:tc>
        <w:tc>
          <w:tcPr>
            <w:tcW w:w="3091" w:type="dxa"/>
            <w:vAlign w:val="top"/>
          </w:tcPr>
          <w:p w14:paraId="339CBC87">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941" w:type="dxa"/>
            <w:vAlign w:val="top"/>
          </w:tcPr>
          <w:p w14:paraId="1B831E7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642" w:type="dxa"/>
            <w:tcBorders>
              <w:right w:val="single" w:color="000000" w:sz="8" w:space="0"/>
            </w:tcBorders>
            <w:vAlign w:val="top"/>
          </w:tcPr>
          <w:p w14:paraId="7684A8E9">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27643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6" w:type="dxa"/>
            <w:tcBorders>
              <w:left w:val="single" w:color="000000" w:sz="8" w:space="0"/>
            </w:tcBorders>
            <w:vAlign w:val="top"/>
          </w:tcPr>
          <w:p w14:paraId="69EAE55B">
            <w:pPr>
              <w:keepNext w:val="0"/>
              <w:keepLines w:val="0"/>
              <w:pageBreakBefore w:val="0"/>
              <w:widowControl/>
              <w:kinsoku/>
              <w:wordWrap/>
              <w:overflowPunct/>
              <w:topLinePunct w:val="0"/>
              <w:autoSpaceDE w:val="0"/>
              <w:autoSpaceDN w:val="0"/>
              <w:bidi w:val="0"/>
              <w:adjustRightInd w:val="0"/>
              <w:snapToGrid w:val="0"/>
              <w:spacing w:before="313" w:line="180" w:lineRule="auto"/>
              <w:ind w:firstLine="267"/>
              <w:outlineLvl w:val="9"/>
              <w:rPr>
                <w:rFonts w:hint="eastAsia" w:ascii="宋体" w:hAnsi="宋体" w:eastAsia="宋体" w:cs="宋体"/>
                <w:sz w:val="21"/>
                <w:szCs w:val="21"/>
              </w:rPr>
            </w:pPr>
            <w:r>
              <w:rPr>
                <w:rFonts w:hint="eastAsia" w:ascii="宋体" w:hAnsi="宋体" w:eastAsia="宋体" w:cs="宋体"/>
                <w:sz w:val="21"/>
                <w:szCs w:val="21"/>
              </w:rPr>
              <w:t>6</w:t>
            </w:r>
          </w:p>
        </w:tc>
        <w:tc>
          <w:tcPr>
            <w:tcW w:w="3091" w:type="dxa"/>
            <w:vAlign w:val="top"/>
          </w:tcPr>
          <w:p w14:paraId="2B277B8A">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941" w:type="dxa"/>
            <w:vAlign w:val="top"/>
          </w:tcPr>
          <w:p w14:paraId="2A07ACE3">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642" w:type="dxa"/>
            <w:tcBorders>
              <w:right w:val="single" w:color="000000" w:sz="8" w:space="0"/>
            </w:tcBorders>
            <w:vAlign w:val="top"/>
          </w:tcPr>
          <w:p w14:paraId="602D9AD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3D247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6" w:type="dxa"/>
            <w:tcBorders>
              <w:left w:val="single" w:color="000000" w:sz="8" w:space="0"/>
            </w:tcBorders>
            <w:vAlign w:val="top"/>
          </w:tcPr>
          <w:p w14:paraId="31949935">
            <w:pPr>
              <w:keepNext w:val="0"/>
              <w:keepLines w:val="0"/>
              <w:pageBreakBefore w:val="0"/>
              <w:widowControl/>
              <w:kinsoku/>
              <w:wordWrap/>
              <w:overflowPunct/>
              <w:topLinePunct w:val="0"/>
              <w:autoSpaceDE w:val="0"/>
              <w:autoSpaceDN w:val="0"/>
              <w:bidi w:val="0"/>
              <w:adjustRightInd w:val="0"/>
              <w:snapToGrid w:val="0"/>
              <w:spacing w:before="316" w:line="180" w:lineRule="auto"/>
              <w:ind w:firstLine="270"/>
              <w:outlineLvl w:val="9"/>
              <w:rPr>
                <w:rFonts w:hint="eastAsia" w:ascii="宋体" w:hAnsi="宋体" w:eastAsia="宋体" w:cs="宋体"/>
                <w:sz w:val="21"/>
                <w:szCs w:val="21"/>
              </w:rPr>
            </w:pPr>
            <w:r>
              <w:rPr>
                <w:rFonts w:hint="eastAsia" w:ascii="宋体" w:hAnsi="宋体" w:eastAsia="宋体" w:cs="宋体"/>
                <w:sz w:val="21"/>
                <w:szCs w:val="21"/>
              </w:rPr>
              <w:t>7</w:t>
            </w:r>
          </w:p>
        </w:tc>
        <w:tc>
          <w:tcPr>
            <w:tcW w:w="3091" w:type="dxa"/>
            <w:vAlign w:val="top"/>
          </w:tcPr>
          <w:p w14:paraId="296FB1B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941" w:type="dxa"/>
            <w:vAlign w:val="top"/>
          </w:tcPr>
          <w:p w14:paraId="27682B15">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642" w:type="dxa"/>
            <w:tcBorders>
              <w:right w:val="single" w:color="000000" w:sz="8" w:space="0"/>
            </w:tcBorders>
            <w:vAlign w:val="top"/>
          </w:tcPr>
          <w:p w14:paraId="134167C2">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6003E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6" w:type="dxa"/>
            <w:tcBorders>
              <w:left w:val="single" w:color="000000" w:sz="8" w:space="0"/>
            </w:tcBorders>
            <w:vAlign w:val="top"/>
          </w:tcPr>
          <w:p w14:paraId="13D8127E">
            <w:pPr>
              <w:keepNext w:val="0"/>
              <w:keepLines w:val="0"/>
              <w:pageBreakBefore w:val="0"/>
              <w:widowControl/>
              <w:kinsoku/>
              <w:wordWrap/>
              <w:overflowPunct/>
              <w:topLinePunct w:val="0"/>
              <w:autoSpaceDE w:val="0"/>
              <w:autoSpaceDN w:val="0"/>
              <w:bidi w:val="0"/>
              <w:adjustRightInd w:val="0"/>
              <w:snapToGrid w:val="0"/>
              <w:spacing w:before="316" w:line="180" w:lineRule="auto"/>
              <w:ind w:firstLine="266"/>
              <w:outlineLvl w:val="9"/>
              <w:rPr>
                <w:rFonts w:hint="eastAsia" w:ascii="宋体" w:hAnsi="宋体" w:eastAsia="宋体" w:cs="宋体"/>
                <w:sz w:val="21"/>
                <w:szCs w:val="21"/>
              </w:rPr>
            </w:pPr>
            <w:r>
              <w:rPr>
                <w:rFonts w:hint="eastAsia" w:ascii="宋体" w:hAnsi="宋体" w:eastAsia="宋体" w:cs="宋体"/>
                <w:sz w:val="21"/>
                <w:szCs w:val="21"/>
              </w:rPr>
              <w:t>8</w:t>
            </w:r>
          </w:p>
        </w:tc>
        <w:tc>
          <w:tcPr>
            <w:tcW w:w="3091" w:type="dxa"/>
            <w:vAlign w:val="top"/>
          </w:tcPr>
          <w:p w14:paraId="283EC18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941" w:type="dxa"/>
            <w:vAlign w:val="top"/>
          </w:tcPr>
          <w:p w14:paraId="2F43DB0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642" w:type="dxa"/>
            <w:tcBorders>
              <w:right w:val="single" w:color="000000" w:sz="8" w:space="0"/>
            </w:tcBorders>
            <w:vAlign w:val="top"/>
          </w:tcPr>
          <w:p w14:paraId="47B636A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3839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6" w:type="dxa"/>
            <w:tcBorders>
              <w:left w:val="single" w:color="000000" w:sz="8" w:space="0"/>
            </w:tcBorders>
            <w:vAlign w:val="top"/>
          </w:tcPr>
          <w:p w14:paraId="235953DB">
            <w:pPr>
              <w:keepNext w:val="0"/>
              <w:keepLines w:val="0"/>
              <w:pageBreakBefore w:val="0"/>
              <w:widowControl/>
              <w:kinsoku/>
              <w:wordWrap/>
              <w:overflowPunct/>
              <w:topLinePunct w:val="0"/>
              <w:autoSpaceDE w:val="0"/>
              <w:autoSpaceDN w:val="0"/>
              <w:bidi w:val="0"/>
              <w:adjustRightInd w:val="0"/>
              <w:snapToGrid w:val="0"/>
              <w:spacing w:before="317" w:line="180" w:lineRule="auto"/>
              <w:ind w:firstLine="266"/>
              <w:outlineLvl w:val="9"/>
              <w:rPr>
                <w:rFonts w:hint="eastAsia" w:ascii="宋体" w:hAnsi="宋体" w:eastAsia="宋体" w:cs="宋体"/>
                <w:sz w:val="21"/>
                <w:szCs w:val="21"/>
              </w:rPr>
            </w:pPr>
            <w:r>
              <w:rPr>
                <w:rFonts w:hint="eastAsia" w:ascii="宋体" w:hAnsi="宋体" w:eastAsia="宋体" w:cs="宋体"/>
                <w:sz w:val="21"/>
                <w:szCs w:val="21"/>
              </w:rPr>
              <w:t>9</w:t>
            </w:r>
          </w:p>
        </w:tc>
        <w:tc>
          <w:tcPr>
            <w:tcW w:w="3091" w:type="dxa"/>
            <w:vAlign w:val="top"/>
          </w:tcPr>
          <w:p w14:paraId="27A81B5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941" w:type="dxa"/>
            <w:vAlign w:val="top"/>
          </w:tcPr>
          <w:p w14:paraId="34AA0070">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642" w:type="dxa"/>
            <w:tcBorders>
              <w:right w:val="single" w:color="000000" w:sz="8" w:space="0"/>
            </w:tcBorders>
            <w:vAlign w:val="top"/>
          </w:tcPr>
          <w:p w14:paraId="069FE528">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r w14:paraId="6CF0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6" w:type="dxa"/>
            <w:tcBorders>
              <w:left w:val="single" w:color="000000" w:sz="8" w:space="0"/>
              <w:bottom w:val="single" w:color="000000" w:sz="8" w:space="0"/>
            </w:tcBorders>
            <w:vAlign w:val="top"/>
          </w:tcPr>
          <w:p w14:paraId="2EB7BE6D">
            <w:pPr>
              <w:keepNext w:val="0"/>
              <w:keepLines w:val="0"/>
              <w:pageBreakBefore w:val="0"/>
              <w:widowControl/>
              <w:kinsoku/>
              <w:wordWrap/>
              <w:overflowPunct/>
              <w:topLinePunct w:val="0"/>
              <w:autoSpaceDE w:val="0"/>
              <w:autoSpaceDN w:val="0"/>
              <w:bidi w:val="0"/>
              <w:adjustRightInd w:val="0"/>
              <w:snapToGrid w:val="0"/>
              <w:spacing w:before="279" w:line="189" w:lineRule="auto"/>
              <w:ind w:firstLine="62"/>
              <w:outlineLvl w:val="9"/>
              <w:rPr>
                <w:rFonts w:hint="eastAsia" w:ascii="宋体" w:hAnsi="宋体" w:eastAsia="宋体" w:cs="宋体"/>
                <w:sz w:val="21"/>
                <w:szCs w:val="21"/>
              </w:rPr>
            </w:pPr>
            <w:r>
              <w:rPr>
                <w:rFonts w:hint="eastAsia" w:ascii="宋体" w:hAnsi="宋体" w:eastAsia="宋体" w:cs="宋体"/>
                <w:spacing w:val="-3"/>
                <w:sz w:val="21"/>
                <w:szCs w:val="21"/>
              </w:rPr>
              <w:t>....</w:t>
            </w:r>
            <w:r>
              <w:rPr>
                <w:rFonts w:hint="eastAsia" w:ascii="宋体" w:hAnsi="宋体" w:eastAsia="宋体" w:cs="宋体"/>
                <w:sz w:val="21"/>
                <w:szCs w:val="21"/>
              </w:rPr>
              <w:t>.</w:t>
            </w:r>
          </w:p>
        </w:tc>
        <w:tc>
          <w:tcPr>
            <w:tcW w:w="3091" w:type="dxa"/>
            <w:tcBorders>
              <w:bottom w:val="single" w:color="000000" w:sz="8" w:space="0"/>
            </w:tcBorders>
            <w:vAlign w:val="top"/>
          </w:tcPr>
          <w:p w14:paraId="4CD8369B">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941" w:type="dxa"/>
            <w:tcBorders>
              <w:bottom w:val="single" w:color="000000" w:sz="8" w:space="0"/>
            </w:tcBorders>
            <w:vAlign w:val="top"/>
          </w:tcPr>
          <w:p w14:paraId="207518B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c>
          <w:tcPr>
            <w:tcW w:w="2642" w:type="dxa"/>
            <w:tcBorders>
              <w:bottom w:val="single" w:color="000000" w:sz="8" w:space="0"/>
              <w:right w:val="single" w:color="000000" w:sz="8" w:space="0"/>
            </w:tcBorders>
            <w:vAlign w:val="top"/>
          </w:tcPr>
          <w:p w14:paraId="36B1AEBF">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sz w:val="21"/>
              </w:rPr>
            </w:pPr>
          </w:p>
        </w:tc>
      </w:tr>
    </w:tbl>
    <w:p w14:paraId="2BEFBA0D">
      <w:pPr>
        <w:keepNext w:val="0"/>
        <w:keepLines w:val="0"/>
        <w:pageBreakBefore w:val="0"/>
        <w:widowControl/>
        <w:kinsoku/>
        <w:wordWrap/>
        <w:overflowPunct/>
        <w:topLinePunct w:val="0"/>
        <w:autoSpaceDE w:val="0"/>
        <w:autoSpaceDN w:val="0"/>
        <w:bidi w:val="0"/>
        <w:adjustRightInd w:val="0"/>
        <w:snapToGrid w:val="0"/>
        <w:spacing w:before="153" w:line="360" w:lineRule="auto"/>
        <w:ind w:left="37" w:firstLine="438"/>
        <w:outlineLvl w:val="9"/>
        <w:rPr>
          <w:rFonts w:hint="eastAsia" w:ascii="宋体" w:hAnsi="宋体" w:eastAsia="宋体" w:cs="宋体"/>
          <w:sz w:val="21"/>
          <w:szCs w:val="21"/>
        </w:rPr>
      </w:pPr>
      <w:r>
        <w:rPr>
          <w:rFonts w:hint="eastAsia" w:ascii="宋体" w:hAnsi="宋体" w:eastAsia="宋体" w:cs="宋体"/>
          <w:spacing w:val="5"/>
          <w:sz w:val="21"/>
          <w:szCs w:val="21"/>
        </w:rPr>
        <w:t>注：1、</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偏差表</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应详细注明与《磋商文件》中各项要求有何不同，并说明其符合性（优于、</w:t>
      </w:r>
      <w:r>
        <w:rPr>
          <w:rFonts w:hint="eastAsia" w:ascii="宋体" w:hAnsi="宋体" w:eastAsia="宋体" w:cs="宋体"/>
          <w:spacing w:val="4"/>
          <w:sz w:val="21"/>
          <w:szCs w:val="21"/>
        </w:rPr>
        <w:t>或低于《磋商文件》要求）。</w:t>
      </w:r>
    </w:p>
    <w:p w14:paraId="56FAD0EF">
      <w:pPr>
        <w:keepNext w:val="0"/>
        <w:keepLines w:val="0"/>
        <w:pageBreakBefore w:val="0"/>
        <w:widowControl/>
        <w:numPr>
          <w:ilvl w:val="0"/>
          <w:numId w:val="6"/>
        </w:numPr>
        <w:kinsoku/>
        <w:wordWrap/>
        <w:overflowPunct/>
        <w:topLinePunct w:val="0"/>
        <w:autoSpaceDE w:val="0"/>
        <w:autoSpaceDN w:val="0"/>
        <w:bidi w:val="0"/>
        <w:adjustRightInd w:val="0"/>
        <w:snapToGrid w:val="0"/>
        <w:spacing w:before="200" w:line="360" w:lineRule="auto"/>
        <w:ind w:left="36" w:firstLine="429"/>
        <w:outlineLvl w:val="9"/>
        <w:rPr>
          <w:rFonts w:hint="eastAsia" w:ascii="宋体" w:hAnsi="宋体" w:eastAsia="宋体" w:cs="宋体"/>
          <w:spacing w:val="9"/>
          <w:sz w:val="21"/>
          <w:szCs w:val="21"/>
        </w:rPr>
      </w:pPr>
      <w:r>
        <w:rPr>
          <w:rFonts w:hint="eastAsia" w:ascii="宋体" w:hAnsi="宋体" w:eastAsia="宋体" w:cs="宋体"/>
          <w:spacing w:val="5"/>
          <w:sz w:val="21"/>
          <w:szCs w:val="21"/>
        </w:rPr>
        <w:t>如投标条款与《磋商文件》要求一致，仍需在本表填列“与《磋商文件》所有条款要求一致，</w:t>
      </w:r>
      <w:r>
        <w:rPr>
          <w:rFonts w:hint="eastAsia" w:ascii="宋体" w:hAnsi="宋体" w:eastAsia="宋体" w:cs="宋体"/>
          <w:spacing w:val="9"/>
          <w:sz w:val="21"/>
          <w:szCs w:val="21"/>
        </w:rPr>
        <w:t>无偏差”字样。</w:t>
      </w:r>
    </w:p>
    <w:p w14:paraId="3C002484">
      <w:pPr>
        <w:pStyle w:val="13"/>
        <w:numPr>
          <w:ilvl w:val="0"/>
          <w:numId w:val="0"/>
        </w:numPr>
        <w:ind w:leftChars="400"/>
        <w:rPr>
          <w:rFonts w:hint="eastAsia" w:ascii="宋体" w:hAnsi="宋体" w:eastAsia="宋体" w:cs="宋体"/>
        </w:rPr>
      </w:pPr>
    </w:p>
    <w:p w14:paraId="79C1DC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投标人（电子签章）：</w:t>
      </w:r>
    </w:p>
    <w:p w14:paraId="22E91F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法定代表人（电子签名）：</w:t>
      </w:r>
    </w:p>
    <w:p w14:paraId="31426F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日期：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623CD601">
      <w:pPr>
        <w:rPr>
          <w:rFonts w:hint="eastAsia" w:ascii="宋体" w:hAnsi="宋体" w:eastAsia="宋体" w:cs="宋体"/>
        </w:rPr>
      </w:pPr>
      <w:r>
        <w:rPr>
          <w:rFonts w:hint="eastAsia" w:ascii="宋体" w:hAnsi="宋体" w:eastAsia="宋体" w:cs="宋体"/>
        </w:rPr>
        <w:br w:type="page"/>
      </w:r>
    </w:p>
    <w:p w14:paraId="783EEDC1">
      <w:pPr>
        <w:pStyle w:val="13"/>
        <w:rPr>
          <w:rFonts w:hint="eastAsia" w:ascii="宋体" w:hAnsi="宋体" w:eastAsia="宋体" w:cs="宋体"/>
        </w:rPr>
      </w:pPr>
    </w:p>
    <w:p w14:paraId="731DD365">
      <w:pPr>
        <w:keepNext w:val="0"/>
        <w:keepLines w:val="0"/>
        <w:pageBreakBefore w:val="0"/>
        <w:widowControl/>
        <w:kinsoku/>
        <w:wordWrap/>
        <w:overflowPunct/>
        <w:topLinePunct w:val="0"/>
        <w:autoSpaceDE w:val="0"/>
        <w:autoSpaceDN w:val="0"/>
        <w:bidi w:val="0"/>
        <w:adjustRightInd w:val="0"/>
        <w:snapToGrid w:val="0"/>
        <w:spacing w:before="365" w:line="189" w:lineRule="auto"/>
        <w:ind w:firstLine="3"/>
        <w:jc w:val="center"/>
        <w:outlineLvl w:val="1"/>
        <w:rPr>
          <w:rFonts w:hint="eastAsia" w:ascii="宋体" w:hAnsi="宋体" w:eastAsia="宋体" w:cs="宋体"/>
          <w:sz w:val="30"/>
          <w:szCs w:val="30"/>
        </w:rPr>
      </w:pPr>
      <w:r>
        <w:rPr>
          <w:rFonts w:hint="eastAsia" w:ascii="宋体" w:hAnsi="宋体" w:eastAsia="宋体" w:cs="宋体"/>
          <w:spacing w:val="-1"/>
          <w:sz w:val="30"/>
          <w:szCs w:val="30"/>
          <w14:textOutline w14:w="5442" w14:cap="flat" w14:cmpd="sng">
            <w14:solidFill>
              <w14:srgbClr w14:val="000000"/>
            </w14:solidFill>
            <w14:prstDash w14:val="solid"/>
            <w14:miter w14:val="0"/>
          </w14:textOutline>
        </w:rPr>
        <w:t>八、技术部分（施工组织设计）</w:t>
      </w:r>
    </w:p>
    <w:p w14:paraId="053FA949">
      <w:pPr>
        <w:keepNext w:val="0"/>
        <w:keepLines w:val="0"/>
        <w:pageBreakBefore w:val="0"/>
        <w:widowControl/>
        <w:kinsoku/>
        <w:wordWrap/>
        <w:overflowPunct/>
        <w:topLinePunct w:val="0"/>
        <w:autoSpaceDE w:val="0"/>
        <w:autoSpaceDN w:val="0"/>
        <w:bidi w:val="0"/>
        <w:adjustRightInd w:val="0"/>
        <w:snapToGrid w:val="0"/>
        <w:spacing w:line="338" w:lineRule="auto"/>
        <w:outlineLvl w:val="9"/>
        <w:rPr>
          <w:rFonts w:hint="eastAsia" w:ascii="宋体" w:hAnsi="宋体" w:eastAsia="宋体" w:cs="宋体"/>
          <w:sz w:val="21"/>
        </w:rPr>
      </w:pPr>
    </w:p>
    <w:p w14:paraId="02920EF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针对本项目，结合评分办法“技术部分”相关要求，投标人应按以下要点编制项目实施方案。</w:t>
      </w:r>
    </w:p>
    <w:p w14:paraId="48BD6C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1.施工方案和技术措施;</w:t>
      </w:r>
    </w:p>
    <w:p w14:paraId="1AD7FC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2.质量管理体系与措施；</w:t>
      </w:r>
    </w:p>
    <w:p w14:paraId="74A429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3.安全管理体系与措施；</w:t>
      </w:r>
    </w:p>
    <w:p w14:paraId="38A3EF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4.环境保护管理体系与措施（包括有效的扬尘治理 和疫情防控措施）；</w:t>
      </w:r>
    </w:p>
    <w:p w14:paraId="206E68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5.工程进度计划与措施；</w:t>
      </w:r>
    </w:p>
    <w:p w14:paraId="5443A730">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32DFDFAA">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5190EA14">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25BF7BFC">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35DBCE2A">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6A55AB5E">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23108074">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7F021762">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6AA402DF">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14C27B1A">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7ADBAF9A">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22B14216">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496EAB7E">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364137DF">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5228CCC0">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68A54E01">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581695D1">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58C58408">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79156101">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618DF4C0">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02AC2896">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35E8F6A4">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233B18D1">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7A398218">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pacing w:val="-1"/>
          <w:sz w:val="30"/>
          <w:szCs w:val="30"/>
          <w14:textOutline w14:w="5442" w14:cap="flat" w14:cmpd="sng">
            <w14:solidFill>
              <w14:srgbClr w14:val="000000"/>
            </w14:solidFill>
            <w14:prstDash w14:val="solid"/>
            <w14:miter w14:val="0"/>
          </w14:textOutline>
        </w:rPr>
      </w:pPr>
    </w:p>
    <w:p w14:paraId="6A6D5D69">
      <w:pPr>
        <w:keepNext w:val="0"/>
        <w:keepLines w:val="0"/>
        <w:pageBreakBefore w:val="0"/>
        <w:widowControl/>
        <w:kinsoku/>
        <w:wordWrap/>
        <w:overflowPunct/>
        <w:topLinePunct w:val="0"/>
        <w:autoSpaceDE w:val="0"/>
        <w:autoSpaceDN w:val="0"/>
        <w:bidi w:val="0"/>
        <w:adjustRightInd w:val="0"/>
        <w:snapToGrid w:val="0"/>
        <w:spacing w:before="98" w:line="189" w:lineRule="auto"/>
        <w:ind w:firstLine="9"/>
        <w:outlineLvl w:val="1"/>
        <w:rPr>
          <w:rFonts w:hint="eastAsia" w:ascii="宋体" w:hAnsi="宋体" w:eastAsia="宋体" w:cs="宋体"/>
          <w:sz w:val="30"/>
          <w:szCs w:val="30"/>
        </w:rPr>
      </w:pPr>
      <w:r>
        <w:rPr>
          <w:rFonts w:hint="eastAsia" w:ascii="宋体" w:hAnsi="宋体" w:eastAsia="宋体" w:cs="宋体"/>
          <w:spacing w:val="-1"/>
          <w:sz w:val="30"/>
          <w:szCs w:val="30"/>
          <w14:textOutline w14:w="5442" w14:cap="flat" w14:cmpd="sng">
            <w14:solidFill>
              <w14:srgbClr w14:val="000000"/>
            </w14:solidFill>
            <w14:prstDash w14:val="solid"/>
            <w14:miter w14:val="0"/>
          </w14:textOutline>
        </w:rPr>
        <w:t>九、采购项目及技术服务要求所需的其他材料</w:t>
      </w:r>
    </w:p>
    <w:p w14:paraId="088B388D">
      <w:pPr>
        <w:keepNext w:val="0"/>
        <w:keepLines w:val="0"/>
        <w:pageBreakBefore w:val="0"/>
        <w:widowControl/>
        <w:kinsoku/>
        <w:wordWrap/>
        <w:overflowPunct/>
        <w:topLinePunct w:val="0"/>
        <w:autoSpaceDE w:val="0"/>
        <w:autoSpaceDN w:val="0"/>
        <w:bidi w:val="0"/>
        <w:adjustRightInd w:val="0"/>
        <w:snapToGrid w:val="0"/>
        <w:spacing w:line="260" w:lineRule="auto"/>
        <w:outlineLvl w:val="9"/>
        <w:rPr>
          <w:rFonts w:hint="eastAsia" w:ascii="宋体" w:hAnsi="宋体" w:eastAsia="宋体" w:cs="宋体"/>
          <w:sz w:val="21"/>
        </w:rPr>
      </w:pPr>
    </w:p>
    <w:p w14:paraId="0964ECFF">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z w:val="24"/>
          <w:szCs w:val="24"/>
        </w:rPr>
      </w:pPr>
      <w:r>
        <w:rPr>
          <w:rFonts w:hint="eastAsia" w:ascii="宋体" w:hAnsi="宋体" w:eastAsia="宋体" w:cs="宋体"/>
          <w:spacing w:val="-3"/>
          <w:sz w:val="24"/>
          <w:szCs w:val="24"/>
        </w:rPr>
        <w:t>（按条款需要填列；并按条款要求电子签名&lt;签章&gt;。条款中对电子签名&lt;签章&gt;未作明确</w:t>
      </w:r>
      <w:r>
        <w:rPr>
          <w:rFonts w:hint="eastAsia" w:ascii="宋体" w:hAnsi="宋体" w:eastAsia="宋体" w:cs="宋体"/>
          <w:spacing w:val="-2"/>
          <w:sz w:val="24"/>
          <w:szCs w:val="24"/>
        </w:rPr>
        <w:t>要求的，由法定代表人电子签名或投标人电子签章）</w:t>
      </w:r>
    </w:p>
    <w:p w14:paraId="03F9D675">
      <w:pPr>
        <w:keepNext w:val="0"/>
        <w:keepLines w:val="0"/>
        <w:pageBreakBefore w:val="0"/>
        <w:widowControl/>
        <w:kinsoku/>
        <w:wordWrap/>
        <w:overflowPunct/>
        <w:topLinePunct w:val="0"/>
        <w:autoSpaceDE w:val="0"/>
        <w:autoSpaceDN w:val="0"/>
        <w:bidi w:val="0"/>
        <w:adjustRightInd w:val="0"/>
        <w:snapToGrid w:val="0"/>
        <w:spacing w:before="5" w:line="199" w:lineRule="auto"/>
        <w:ind w:firstLine="7"/>
        <w:outlineLvl w:val="1"/>
        <w:rPr>
          <w:rFonts w:hint="eastAsia" w:ascii="宋体" w:hAnsi="宋体" w:eastAsia="宋体" w:cs="宋体"/>
          <w:sz w:val="30"/>
          <w:szCs w:val="30"/>
        </w:rPr>
      </w:pPr>
      <w:r>
        <w:rPr>
          <w:rFonts w:hint="eastAsia" w:ascii="宋体" w:hAnsi="宋体" w:eastAsia="宋体" w:cs="宋体"/>
          <w:spacing w:val="-1"/>
          <w:sz w:val="30"/>
          <w:szCs w:val="30"/>
          <w14:textOutline w14:w="5442" w14:cap="flat" w14:cmpd="sng">
            <w14:solidFill>
              <w14:srgbClr w14:val="000000"/>
            </w14:solidFill>
            <w14:prstDash w14:val="solid"/>
            <w14:miter w14:val="0"/>
          </w14:textOutline>
        </w:rPr>
        <w:t>十、投标人须知所需的其他材料</w:t>
      </w:r>
    </w:p>
    <w:p w14:paraId="5791FBA6">
      <w:pPr>
        <w:keepNext w:val="0"/>
        <w:keepLines w:val="0"/>
        <w:pageBreakBefore w:val="0"/>
        <w:widowControl/>
        <w:kinsoku/>
        <w:wordWrap/>
        <w:overflowPunct/>
        <w:topLinePunct w:val="0"/>
        <w:autoSpaceDE w:val="0"/>
        <w:autoSpaceDN w:val="0"/>
        <w:bidi w:val="0"/>
        <w:adjustRightInd w:val="0"/>
        <w:snapToGrid w:val="0"/>
        <w:spacing w:line="253" w:lineRule="auto"/>
        <w:outlineLvl w:val="9"/>
        <w:rPr>
          <w:rFonts w:hint="eastAsia" w:ascii="宋体" w:hAnsi="宋体" w:eastAsia="宋体" w:cs="宋体"/>
          <w:sz w:val="21"/>
        </w:rPr>
      </w:pPr>
    </w:p>
    <w:p w14:paraId="5085581B">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z w:val="24"/>
          <w:szCs w:val="24"/>
        </w:rPr>
      </w:pPr>
      <w:r>
        <w:rPr>
          <w:rFonts w:hint="eastAsia" w:ascii="宋体" w:hAnsi="宋体" w:eastAsia="宋体" w:cs="宋体"/>
          <w:spacing w:val="-3"/>
          <w:sz w:val="24"/>
          <w:szCs w:val="24"/>
        </w:rPr>
        <w:t>（按条款需要填列；并按条款要求电子签名&lt;签章&gt;。条款中对电子签名&lt;签章&gt;未作明确</w:t>
      </w:r>
      <w:r>
        <w:rPr>
          <w:rFonts w:hint="eastAsia" w:ascii="宋体" w:hAnsi="宋体" w:eastAsia="宋体" w:cs="宋体"/>
          <w:sz w:val="24"/>
          <w:szCs w:val="24"/>
        </w:rPr>
        <w:t xml:space="preserve"> </w:t>
      </w:r>
      <w:r>
        <w:rPr>
          <w:rFonts w:hint="eastAsia" w:ascii="宋体" w:hAnsi="宋体" w:eastAsia="宋体" w:cs="宋体"/>
          <w:spacing w:val="-2"/>
          <w:sz w:val="24"/>
          <w:szCs w:val="24"/>
        </w:rPr>
        <w:t>要求的，由法定代表人电子签名或投标人电子签章）</w:t>
      </w:r>
    </w:p>
    <w:p w14:paraId="4864811A">
      <w:pPr>
        <w:keepNext w:val="0"/>
        <w:keepLines w:val="0"/>
        <w:pageBreakBefore w:val="0"/>
        <w:widowControl/>
        <w:kinsoku/>
        <w:wordWrap/>
        <w:overflowPunct/>
        <w:topLinePunct w:val="0"/>
        <w:autoSpaceDE w:val="0"/>
        <w:autoSpaceDN w:val="0"/>
        <w:bidi w:val="0"/>
        <w:adjustRightInd w:val="0"/>
        <w:snapToGrid w:val="0"/>
        <w:spacing w:before="5" w:line="199" w:lineRule="auto"/>
        <w:ind w:firstLine="7"/>
        <w:outlineLvl w:val="1"/>
        <w:rPr>
          <w:rFonts w:hint="eastAsia" w:ascii="宋体" w:hAnsi="宋体" w:eastAsia="宋体" w:cs="宋体"/>
          <w:sz w:val="30"/>
          <w:szCs w:val="30"/>
        </w:rPr>
      </w:pPr>
      <w:r>
        <w:rPr>
          <w:rFonts w:hint="eastAsia" w:ascii="宋体" w:hAnsi="宋体" w:eastAsia="宋体" w:cs="宋体"/>
          <w:spacing w:val="-1"/>
          <w:sz w:val="30"/>
          <w:szCs w:val="30"/>
          <w14:textOutline w14:w="5442" w14:cap="flat" w14:cmpd="sng">
            <w14:solidFill>
              <w14:srgbClr w14:val="000000"/>
            </w14:solidFill>
            <w14:prstDash w14:val="solid"/>
            <w14:miter w14:val="0"/>
          </w14:textOutline>
        </w:rPr>
        <w:t>十一、评审办法所需的其他材料</w:t>
      </w:r>
    </w:p>
    <w:p w14:paraId="4C9EC1B2">
      <w:pPr>
        <w:keepNext w:val="0"/>
        <w:keepLines w:val="0"/>
        <w:pageBreakBefore w:val="0"/>
        <w:widowControl/>
        <w:kinsoku/>
        <w:wordWrap/>
        <w:overflowPunct/>
        <w:topLinePunct w:val="0"/>
        <w:autoSpaceDE w:val="0"/>
        <w:autoSpaceDN w:val="0"/>
        <w:bidi w:val="0"/>
        <w:adjustRightInd w:val="0"/>
        <w:snapToGrid w:val="0"/>
        <w:spacing w:line="253" w:lineRule="auto"/>
        <w:outlineLvl w:val="9"/>
        <w:rPr>
          <w:rFonts w:hint="eastAsia" w:ascii="宋体" w:hAnsi="宋体" w:eastAsia="宋体" w:cs="宋体"/>
          <w:sz w:val="21"/>
        </w:rPr>
      </w:pPr>
    </w:p>
    <w:p w14:paraId="07A40A53">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z w:val="24"/>
          <w:szCs w:val="24"/>
        </w:rPr>
      </w:pPr>
      <w:r>
        <w:rPr>
          <w:rFonts w:hint="eastAsia" w:ascii="宋体" w:hAnsi="宋体" w:eastAsia="宋体" w:cs="宋体"/>
          <w:spacing w:val="-3"/>
          <w:sz w:val="24"/>
          <w:szCs w:val="24"/>
        </w:rPr>
        <w:t>（按条款需要填列；并按条款要求电子签名&lt;签章&gt;。条款中对电子签名&lt;签章&gt;未作明确</w:t>
      </w:r>
      <w:r>
        <w:rPr>
          <w:rFonts w:hint="eastAsia" w:ascii="宋体" w:hAnsi="宋体" w:eastAsia="宋体" w:cs="宋体"/>
          <w:spacing w:val="-2"/>
          <w:sz w:val="24"/>
          <w:szCs w:val="24"/>
        </w:rPr>
        <w:t>要求的，由法定代表人电子签名或投标人电子签章）</w:t>
      </w:r>
    </w:p>
    <w:p w14:paraId="36798911">
      <w:pPr>
        <w:keepNext w:val="0"/>
        <w:keepLines w:val="0"/>
        <w:pageBreakBefore w:val="0"/>
        <w:widowControl/>
        <w:kinsoku/>
        <w:wordWrap/>
        <w:overflowPunct/>
        <w:topLinePunct w:val="0"/>
        <w:autoSpaceDE w:val="0"/>
        <w:autoSpaceDN w:val="0"/>
        <w:bidi w:val="0"/>
        <w:adjustRightInd w:val="0"/>
        <w:snapToGrid w:val="0"/>
        <w:spacing w:line="303" w:lineRule="auto"/>
        <w:outlineLvl w:val="9"/>
        <w:rPr>
          <w:rFonts w:hint="eastAsia" w:ascii="宋体" w:hAnsi="宋体" w:eastAsia="宋体" w:cs="宋体"/>
          <w:sz w:val="21"/>
        </w:rPr>
      </w:pPr>
    </w:p>
    <w:p w14:paraId="053C3128">
      <w:pPr>
        <w:keepNext w:val="0"/>
        <w:keepLines w:val="0"/>
        <w:pageBreakBefore w:val="0"/>
        <w:widowControl/>
        <w:kinsoku/>
        <w:wordWrap/>
        <w:overflowPunct/>
        <w:topLinePunct w:val="0"/>
        <w:autoSpaceDE w:val="0"/>
        <w:autoSpaceDN w:val="0"/>
        <w:bidi w:val="0"/>
        <w:adjustRightInd w:val="0"/>
        <w:snapToGrid w:val="0"/>
        <w:spacing w:before="98" w:line="189" w:lineRule="auto"/>
        <w:ind w:firstLine="7"/>
        <w:outlineLvl w:val="1"/>
        <w:rPr>
          <w:rFonts w:hint="eastAsia" w:ascii="宋体" w:hAnsi="宋体" w:eastAsia="宋体" w:cs="宋体"/>
          <w:sz w:val="30"/>
          <w:szCs w:val="30"/>
        </w:rPr>
      </w:pPr>
      <w:r>
        <w:rPr>
          <w:rFonts w:hint="eastAsia" w:ascii="宋体" w:hAnsi="宋体" w:eastAsia="宋体" w:cs="宋体"/>
          <w:spacing w:val="-1"/>
          <w:sz w:val="30"/>
          <w:szCs w:val="30"/>
          <w14:textOutline w14:w="5442" w14:cap="flat" w14:cmpd="sng">
            <w14:solidFill>
              <w14:srgbClr w14:val="000000"/>
            </w14:solidFill>
            <w14:prstDash w14:val="solid"/>
            <w14:miter w14:val="0"/>
          </w14:textOutline>
        </w:rPr>
        <w:t>十二、投标人认为有必要提交的其它材料</w:t>
      </w:r>
    </w:p>
    <w:p w14:paraId="3B1A0DF6">
      <w:pPr>
        <w:keepNext w:val="0"/>
        <w:keepLines w:val="0"/>
        <w:pageBreakBefore w:val="0"/>
        <w:widowControl/>
        <w:kinsoku/>
        <w:wordWrap/>
        <w:overflowPunct/>
        <w:topLinePunct w:val="0"/>
        <w:autoSpaceDE w:val="0"/>
        <w:autoSpaceDN w:val="0"/>
        <w:bidi w:val="0"/>
        <w:adjustRightInd w:val="0"/>
        <w:snapToGrid w:val="0"/>
        <w:spacing w:line="342" w:lineRule="auto"/>
        <w:outlineLvl w:val="9"/>
        <w:rPr>
          <w:rFonts w:hint="eastAsia" w:ascii="宋体" w:hAnsi="宋体" w:eastAsia="宋体" w:cs="宋体"/>
          <w:sz w:val="21"/>
        </w:rPr>
      </w:pPr>
    </w:p>
    <w:p w14:paraId="76C40944">
      <w:pPr>
        <w:keepNext w:val="0"/>
        <w:keepLines w:val="0"/>
        <w:pageBreakBefore w:val="0"/>
        <w:widowControl/>
        <w:kinsoku/>
        <w:wordWrap/>
        <w:overflowPunct/>
        <w:topLinePunct w:val="0"/>
        <w:autoSpaceDE w:val="0"/>
        <w:autoSpaceDN w:val="0"/>
        <w:bidi w:val="0"/>
        <w:adjustRightInd w:val="0"/>
        <w:snapToGrid w:val="0"/>
        <w:spacing w:before="78" w:line="189" w:lineRule="auto"/>
        <w:ind w:firstLine="2467"/>
        <w:outlineLvl w:val="9"/>
        <w:rPr>
          <w:rFonts w:hint="eastAsia" w:ascii="宋体" w:hAnsi="宋体" w:eastAsia="宋体" w:cs="宋体"/>
          <w:sz w:val="24"/>
          <w:szCs w:val="24"/>
        </w:rPr>
      </w:pPr>
      <w:r>
        <w:rPr>
          <w:rFonts w:hint="eastAsia" w:ascii="宋体" w:hAnsi="宋体" w:eastAsia="宋体" w:cs="宋体"/>
          <w:spacing w:val="-2"/>
          <w:sz w:val="24"/>
          <w:szCs w:val="24"/>
        </w:rPr>
        <w:t>（由法定代表人电子签名或投标人电子签章）</w:t>
      </w:r>
    </w:p>
    <w:p w14:paraId="213F613C">
      <w:pPr>
        <w:keepNext w:val="0"/>
        <w:keepLines w:val="0"/>
        <w:pageBreakBefore w:val="0"/>
        <w:widowControl/>
        <w:kinsoku/>
        <w:wordWrap/>
        <w:overflowPunct/>
        <w:topLinePunct w:val="0"/>
        <w:autoSpaceDE w:val="0"/>
        <w:autoSpaceDN w:val="0"/>
        <w:bidi w:val="0"/>
        <w:adjustRightInd w:val="0"/>
        <w:snapToGrid w:val="0"/>
        <w:outlineLvl w:val="9"/>
        <w:rPr>
          <w:rFonts w:hint="eastAsia" w:ascii="宋体" w:hAnsi="宋体" w:eastAsia="宋体" w:cs="宋体"/>
        </w:rPr>
        <w:sectPr>
          <w:footerReference r:id="rId23" w:type="default"/>
          <w:pgSz w:w="11905" w:h="16837"/>
          <w:pgMar w:top="1431" w:right="1080" w:bottom="922" w:left="1100" w:header="0" w:footer="798" w:gutter="0"/>
          <w:pgNumType w:fmt="decimal"/>
          <w:cols w:space="720" w:num="1"/>
        </w:sectPr>
      </w:pPr>
    </w:p>
    <w:p w14:paraId="15F6B742">
      <w:pPr>
        <w:keepNext w:val="0"/>
        <w:keepLines w:val="0"/>
        <w:widowControl/>
        <w:suppressLineNumbers w:val="0"/>
        <w:jc w:val="center"/>
        <w:rPr>
          <w:rFonts w:hint="eastAsia" w:ascii="宋体" w:hAnsi="宋体" w:eastAsia="宋体" w:cs="宋体"/>
        </w:rPr>
      </w:pPr>
      <w:r>
        <w:rPr>
          <w:rFonts w:hint="eastAsia" w:ascii="宋体" w:hAnsi="宋体" w:eastAsia="宋体" w:cs="宋体"/>
          <w:b/>
          <w:bCs/>
          <w:snapToGrid w:val="0"/>
          <w:color w:val="000000"/>
          <w:kern w:val="0"/>
          <w:sz w:val="30"/>
          <w:szCs w:val="30"/>
          <w:lang w:val="en-US" w:eastAsia="zh-CN" w:bidi="ar"/>
        </w:rPr>
        <w:t>中小企业声明函</w:t>
      </w:r>
    </w:p>
    <w:p w14:paraId="72D814B1">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r>
        <w:rPr>
          <w:rFonts w:hint="eastAsia" w:ascii="宋体" w:hAnsi="宋体" w:eastAsia="宋体" w:cs="宋体"/>
          <w:spacing w:val="-3"/>
          <w:sz w:val="24"/>
          <w:szCs w:val="24"/>
        </w:rPr>
        <w:t>本公司（联合体）郑重声明 ，根据《政府采购促进中小企业发展管理办法》（财库〔 2020〕46 号） 的规定，本公司 (联合体）参加 （单位名称）  的 （项目名称）  采购活动 ，工程的施工单位全部为符合政策要求的中小企业。相关企业（含联合体中的中小企业、签订分包意向协议的中小企业） 的具体情况如下：</w:t>
      </w:r>
    </w:p>
    <w:p w14:paraId="6E70B395">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r>
        <w:rPr>
          <w:rFonts w:hint="eastAsia" w:ascii="宋体" w:hAnsi="宋体" w:eastAsia="宋体" w:cs="宋体"/>
          <w:spacing w:val="-3"/>
          <w:sz w:val="24"/>
          <w:szCs w:val="24"/>
        </w:rPr>
        <w:t>1.(标的名称) ，属于 （采购文件中明确的所属行业) ，承建（承接）企业为  （企业名称) ，从业人员人 ，营业收入为</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万元 ，资产总额为</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万元</w:t>
      </w:r>
      <w:r>
        <w:rPr>
          <w:rFonts w:hint="eastAsia" w:ascii="宋体" w:hAnsi="宋体" w:eastAsia="宋体" w:cs="宋体"/>
          <w:spacing w:val="-3"/>
          <w:sz w:val="24"/>
          <w:szCs w:val="24"/>
        </w:rPr>
        <w:drawing>
          <wp:inline distT="0" distB="0" distL="0" distR="0">
            <wp:extent cx="17145" cy="571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7"/>
                    <a:stretch>
                      <a:fillRect/>
                    </a:stretch>
                  </pic:blipFill>
                  <pic:spPr>
                    <a:xfrm>
                      <a:off x="0" y="0"/>
                      <a:ext cx="17145" cy="6095"/>
                    </a:xfrm>
                    <a:prstGeom prst="rect">
                      <a:avLst/>
                    </a:prstGeom>
                  </pic:spPr>
                </pic:pic>
              </a:graphicData>
            </a:graphic>
          </wp:inline>
        </w:drawing>
      </w:r>
      <w:r>
        <w:rPr>
          <w:rFonts w:hint="eastAsia" w:ascii="宋体" w:hAnsi="宋体" w:eastAsia="宋体" w:cs="宋体"/>
          <w:spacing w:val="-3"/>
          <w:sz w:val="24"/>
          <w:szCs w:val="24"/>
        </w:rPr>
        <w:t xml:space="preserve"> 1 ，属于  （中型企业、小型企业、微型企业） ；</w:t>
      </w:r>
    </w:p>
    <w:p w14:paraId="1C9BA3C5">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r>
        <w:rPr>
          <w:rFonts w:hint="eastAsia" w:ascii="宋体" w:hAnsi="宋体" w:eastAsia="宋体" w:cs="宋体"/>
          <w:spacing w:val="-3"/>
          <w:sz w:val="24"/>
          <w:szCs w:val="24"/>
        </w:rPr>
        <w:t>2.(标的名称) ，属于 （采购文件中明确的所属行业) ，承建（承接）企业为  （企业名称) ，从业人员人 ，营业收入为</w:t>
      </w:r>
      <w:r>
        <w:rPr>
          <w:rFonts w:hint="eastAsia" w:ascii="宋体" w:hAnsi="宋体" w:eastAsia="宋体" w:cs="宋体"/>
          <w:spacing w:val="-3"/>
          <w:sz w:val="24"/>
          <w:szCs w:val="24"/>
        </w:rPr>
        <w:drawing>
          <wp:inline distT="0" distB="0" distL="0" distR="0">
            <wp:extent cx="48260" cy="571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8"/>
                    <a:stretch>
                      <a:fillRect/>
                    </a:stretch>
                  </pic:blipFill>
                  <pic:spPr>
                    <a:xfrm>
                      <a:off x="0" y="0"/>
                      <a:ext cx="48614" cy="6096"/>
                    </a:xfrm>
                    <a:prstGeom prst="rect">
                      <a:avLst/>
                    </a:prstGeom>
                  </pic:spPr>
                </pic:pic>
              </a:graphicData>
            </a:graphic>
          </wp:inline>
        </w:drawing>
      </w:r>
      <w:r>
        <w:rPr>
          <w:rFonts w:hint="eastAsia" w:ascii="宋体" w:hAnsi="宋体" w:eastAsia="宋体" w:cs="宋体"/>
          <w:spacing w:val="-3"/>
          <w:sz w:val="24"/>
          <w:szCs w:val="24"/>
        </w:rPr>
        <w:t xml:space="preserve"> 万元 ，资产总额为 万元</w:t>
      </w:r>
      <w:r>
        <w:rPr>
          <w:rFonts w:hint="eastAsia" w:ascii="宋体" w:hAnsi="宋体" w:eastAsia="宋体" w:cs="宋体"/>
          <w:spacing w:val="-3"/>
          <w:sz w:val="24"/>
          <w:szCs w:val="24"/>
        </w:rPr>
        <w:drawing>
          <wp:inline distT="0" distB="0" distL="0" distR="0">
            <wp:extent cx="11430" cy="57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9"/>
                    <a:stretch>
                      <a:fillRect/>
                    </a:stretch>
                  </pic:blipFill>
                  <pic:spPr>
                    <a:xfrm>
                      <a:off x="0" y="0"/>
                      <a:ext cx="11430" cy="6096"/>
                    </a:xfrm>
                    <a:prstGeom prst="rect">
                      <a:avLst/>
                    </a:prstGeom>
                  </pic:spPr>
                </pic:pic>
              </a:graphicData>
            </a:graphic>
          </wp:inline>
        </w:drawing>
      </w:r>
      <w:r>
        <w:rPr>
          <w:rFonts w:hint="eastAsia" w:ascii="宋体" w:hAnsi="宋体" w:eastAsia="宋体" w:cs="宋体"/>
          <w:spacing w:val="-3"/>
          <w:sz w:val="24"/>
          <w:szCs w:val="24"/>
        </w:rPr>
        <w:t xml:space="preserve"> 1 ，属于 （中型企业、小型企业、微型企业） ；</w:t>
      </w:r>
    </w:p>
    <w:p w14:paraId="0DEBBDE5">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r>
        <w:rPr>
          <w:rFonts w:hint="eastAsia" w:ascii="宋体" w:hAnsi="宋体" w:eastAsia="宋体" w:cs="宋体"/>
          <w:spacing w:val="-3"/>
          <w:sz w:val="24"/>
          <w:szCs w:val="24"/>
        </w:rPr>
        <w:t>……</w:t>
      </w:r>
    </w:p>
    <w:p w14:paraId="37D9530E">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p>
    <w:p w14:paraId="73053540">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r>
        <w:rPr>
          <w:rFonts w:hint="eastAsia" w:ascii="宋体" w:hAnsi="宋体" w:eastAsia="宋体" w:cs="宋体"/>
          <w:spacing w:val="-3"/>
          <w:sz w:val="24"/>
          <w:szCs w:val="24"/>
        </w:rPr>
        <w:t>以上企业 ，不属于大企业的分支机构 ，不存在控股股东为大企业的情形 ，也不存在与大企业的负责 人为同一人的情形。</w:t>
      </w:r>
    </w:p>
    <w:p w14:paraId="7231D3C3">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r>
        <w:rPr>
          <w:rFonts w:hint="eastAsia" w:ascii="宋体" w:hAnsi="宋体" w:eastAsia="宋体" w:cs="宋体"/>
          <w:spacing w:val="-3"/>
          <w:sz w:val="24"/>
          <w:szCs w:val="24"/>
        </w:rPr>
        <w:t>本企业对上述声明内容的真实性负责。如有虚假 ，将依法承担相应责任。</w:t>
      </w:r>
    </w:p>
    <w:p w14:paraId="68D6B109">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p>
    <w:p w14:paraId="1DF1CDD6">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p>
    <w:p w14:paraId="386A3D4E">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r>
        <w:rPr>
          <w:rFonts w:hint="eastAsia" w:ascii="宋体" w:hAnsi="宋体" w:eastAsia="宋体" w:cs="宋体"/>
          <w:spacing w:val="-3"/>
          <w:sz w:val="24"/>
          <w:szCs w:val="24"/>
        </w:rPr>
        <w:t>企业名称（电子签章） 日 期：</w:t>
      </w:r>
    </w:p>
    <w:p w14:paraId="11CBFA14">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p>
    <w:p w14:paraId="08B1A8C6">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p>
    <w:p w14:paraId="39BD8468">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pacing w:val="-3"/>
          <w:sz w:val="24"/>
          <w:szCs w:val="24"/>
        </w:rPr>
      </w:pPr>
    </w:p>
    <w:p w14:paraId="18F5C2C7">
      <w:pPr>
        <w:keepNext w:val="0"/>
        <w:keepLines w:val="0"/>
        <w:pageBreakBefore w:val="0"/>
        <w:widowControl/>
        <w:kinsoku/>
        <w:wordWrap/>
        <w:overflowPunct/>
        <w:topLinePunct w:val="0"/>
        <w:autoSpaceDE w:val="0"/>
        <w:autoSpaceDN w:val="0"/>
        <w:bidi w:val="0"/>
        <w:adjustRightInd w:val="0"/>
        <w:snapToGrid w:val="0"/>
        <w:spacing w:before="78" w:line="431" w:lineRule="auto"/>
        <w:ind w:firstLine="550"/>
        <w:outlineLvl w:val="9"/>
        <w:rPr>
          <w:rFonts w:hint="eastAsia" w:ascii="宋体" w:hAnsi="宋体" w:eastAsia="宋体" w:cs="宋体"/>
          <w:sz w:val="20"/>
          <w:szCs w:val="20"/>
        </w:rPr>
      </w:pPr>
      <w:r>
        <w:rPr>
          <w:rFonts w:hint="eastAsia" w:ascii="宋体" w:hAnsi="宋体" w:eastAsia="宋体" w:cs="宋体"/>
          <w:spacing w:val="-3"/>
          <w:sz w:val="24"/>
          <w:szCs w:val="24"/>
        </w:rPr>
        <w:t>注：1、从业人员、营业收入、资产总额填报上一年度数据 ，无上一年度数据的新成立企业可不填报。</w:t>
      </w:r>
    </w:p>
    <w:p w14:paraId="665F8482">
      <w:pPr>
        <w:keepNext w:val="0"/>
        <w:keepLines w:val="0"/>
        <w:widowControl/>
        <w:suppressLineNumbers w:val="0"/>
        <w:jc w:val="left"/>
        <w:rPr>
          <w:rFonts w:hint="eastAsia" w:ascii="宋体" w:hAnsi="宋体" w:eastAsia="宋体" w:cs="宋体"/>
        </w:rPr>
      </w:pPr>
    </w:p>
    <w:p w14:paraId="392A0F85">
      <w:pPr>
        <w:keepNext w:val="0"/>
        <w:keepLines w:val="0"/>
        <w:pageBreakBefore w:val="0"/>
        <w:widowControl/>
        <w:kinsoku/>
        <w:wordWrap/>
        <w:overflowPunct/>
        <w:topLinePunct w:val="0"/>
        <w:autoSpaceDE w:val="0"/>
        <w:autoSpaceDN w:val="0"/>
        <w:bidi w:val="0"/>
        <w:adjustRightInd w:val="0"/>
        <w:snapToGrid w:val="0"/>
        <w:spacing w:line="326" w:lineRule="auto"/>
        <w:outlineLvl w:val="9"/>
        <w:rPr>
          <w:rFonts w:hint="eastAsia" w:ascii="宋体" w:hAnsi="宋体" w:eastAsia="宋体" w:cs="宋体"/>
          <w:sz w:val="21"/>
        </w:rPr>
      </w:pPr>
    </w:p>
    <w:p w14:paraId="54099A9A">
      <w:pPr>
        <w:keepNext w:val="0"/>
        <w:keepLines w:val="0"/>
        <w:pageBreakBefore w:val="0"/>
        <w:widowControl/>
        <w:kinsoku/>
        <w:wordWrap/>
        <w:overflowPunct/>
        <w:topLinePunct w:val="0"/>
        <w:autoSpaceDE w:val="0"/>
        <w:autoSpaceDN w:val="0"/>
        <w:bidi w:val="0"/>
        <w:adjustRightInd w:val="0"/>
        <w:snapToGrid w:val="0"/>
        <w:spacing w:before="97" w:line="189" w:lineRule="auto"/>
        <w:ind w:firstLine="3220"/>
        <w:outlineLvl w:val="9"/>
        <w:rPr>
          <w:rFonts w:hint="eastAsia" w:ascii="宋体" w:hAnsi="宋体" w:eastAsia="宋体" w:cs="宋体"/>
          <w:sz w:val="30"/>
          <w:szCs w:val="30"/>
        </w:rPr>
      </w:pPr>
      <w:r>
        <w:rPr>
          <w:rFonts w:hint="eastAsia" w:ascii="宋体" w:hAnsi="宋体" w:eastAsia="宋体" w:cs="宋体"/>
          <w:spacing w:val="-1"/>
          <w:sz w:val="30"/>
          <w:szCs w:val="30"/>
          <w14:textOutline w14:w="5442" w14:cap="flat" w14:cmpd="sng">
            <w14:solidFill>
              <w14:srgbClr w14:val="000000"/>
            </w14:solidFill>
            <w14:prstDash w14:val="solid"/>
            <w14:miter w14:val="0"/>
          </w14:textOutline>
        </w:rPr>
        <w:t>残疾人福利性单位声明函</w:t>
      </w:r>
    </w:p>
    <w:p w14:paraId="168CEE0F">
      <w:pPr>
        <w:keepNext w:val="0"/>
        <w:keepLines w:val="0"/>
        <w:pageBreakBefore w:val="0"/>
        <w:widowControl/>
        <w:kinsoku/>
        <w:wordWrap/>
        <w:overflowPunct/>
        <w:topLinePunct w:val="0"/>
        <w:autoSpaceDE w:val="0"/>
        <w:autoSpaceDN w:val="0"/>
        <w:bidi w:val="0"/>
        <w:adjustRightInd w:val="0"/>
        <w:snapToGrid w:val="0"/>
        <w:spacing w:line="247" w:lineRule="auto"/>
        <w:outlineLvl w:val="9"/>
        <w:rPr>
          <w:rFonts w:hint="eastAsia" w:ascii="宋体" w:hAnsi="宋体" w:eastAsia="宋体" w:cs="宋体"/>
          <w:sz w:val="21"/>
        </w:rPr>
      </w:pPr>
    </w:p>
    <w:p w14:paraId="03A39BED">
      <w:pPr>
        <w:keepNext w:val="0"/>
        <w:keepLines w:val="0"/>
        <w:pageBreakBefore w:val="0"/>
        <w:widowControl/>
        <w:kinsoku/>
        <w:wordWrap/>
        <w:overflowPunct/>
        <w:topLinePunct w:val="0"/>
        <w:autoSpaceDE w:val="0"/>
        <w:autoSpaceDN w:val="0"/>
        <w:bidi w:val="0"/>
        <w:adjustRightInd w:val="0"/>
        <w:snapToGrid w:val="0"/>
        <w:spacing w:line="247" w:lineRule="auto"/>
        <w:outlineLvl w:val="9"/>
        <w:rPr>
          <w:rFonts w:hint="eastAsia" w:ascii="宋体" w:hAnsi="宋体" w:eastAsia="宋体" w:cs="宋体"/>
          <w:sz w:val="21"/>
        </w:rPr>
      </w:pPr>
    </w:p>
    <w:p w14:paraId="7B904991">
      <w:pPr>
        <w:pStyle w:val="2"/>
        <w:keepNext w:val="0"/>
        <w:keepLines w:val="0"/>
        <w:pageBreakBefore w:val="0"/>
        <w:widowControl/>
        <w:kinsoku/>
        <w:wordWrap/>
        <w:overflowPunct/>
        <w:topLinePunct w:val="0"/>
        <w:autoSpaceDE w:val="0"/>
        <w:autoSpaceDN w:val="0"/>
        <w:bidi w:val="0"/>
        <w:adjustRightInd w:val="0"/>
        <w:snapToGrid w:val="0"/>
        <w:spacing w:line="360" w:lineRule="auto"/>
        <w:ind w:right="0" w:firstLine="468" w:firstLineChars="200"/>
        <w:jc w:val="both"/>
        <w:textAlignment w:val="baseline"/>
        <w:rPr>
          <w:rFonts w:hint="eastAsia" w:ascii="宋体" w:hAnsi="宋体" w:eastAsia="宋体" w:cs="宋体"/>
          <w:snapToGrid w:val="0"/>
          <w:color w:val="000000"/>
          <w:spacing w:val="-3"/>
          <w:kern w:val="0"/>
          <w:sz w:val="24"/>
          <w:szCs w:val="24"/>
        </w:rPr>
      </w:pPr>
      <w:r>
        <w:rPr>
          <w:rFonts w:hint="eastAsia" w:ascii="宋体" w:hAnsi="宋体" w:eastAsia="宋体" w:cs="宋体"/>
          <w:snapToGrid w:val="0"/>
          <w:color w:val="000000"/>
          <w:spacing w:val="-3"/>
          <w:kern w:val="0"/>
          <w:sz w:val="24"/>
          <w:szCs w:val="24"/>
        </w:rPr>
        <w:t>本单位郑重声明 ，根据《财政部 民政部 中国残疾人联合会关于促进残疾人就业政府采购政策的 通知》（财库〔 2017〕 141 号）的规定 ，本单位为符合条件的残疾人福利性单位 ，且本单位参加</w:t>
      </w:r>
      <w:r>
        <w:rPr>
          <w:rFonts w:hint="eastAsia" w:ascii="宋体" w:hAnsi="宋体" w:eastAsia="宋体" w:cs="宋体"/>
          <w:snapToGrid w:val="0"/>
          <w:color w:val="000000"/>
          <w:spacing w:val="-3"/>
          <w:kern w:val="0"/>
          <w:sz w:val="24"/>
          <w:szCs w:val="24"/>
        </w:rPr>
        <w:tab/>
      </w:r>
      <w:r>
        <w:rPr>
          <w:rFonts w:hint="eastAsia" w:ascii="宋体" w:hAnsi="宋体" w:eastAsia="宋体" w:cs="宋体"/>
          <w:snapToGrid w:val="0"/>
          <w:color w:val="000000"/>
          <w:spacing w:val="-3"/>
          <w:kern w:val="0"/>
          <w:sz w:val="24"/>
          <w:szCs w:val="24"/>
        </w:rPr>
        <w:t xml:space="preserve"> 单位的        项目采购活动提供本单位制造的货物（由本单位承担工程/提供服务） ，或者提供其他残疾 人福利性单位制造的货物（不包括使用非残疾人福利性单位注册商标的货物）。</w:t>
      </w:r>
    </w:p>
    <w:p w14:paraId="51906B3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r>
        <w:rPr>
          <w:rFonts w:hint="eastAsia" w:ascii="宋体" w:hAnsi="宋体" w:eastAsia="宋体" w:cs="宋体"/>
          <w:snapToGrid w:val="0"/>
          <w:color w:val="000000"/>
          <w:spacing w:val="-3"/>
          <w:kern w:val="0"/>
          <w:sz w:val="24"/>
          <w:szCs w:val="24"/>
        </w:rPr>
        <w:t>本单位对上述声明的真实性负责。如有虚假 ，将依法承担相应责任。</w:t>
      </w:r>
    </w:p>
    <w:p w14:paraId="4BB6319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p>
    <w:p w14:paraId="698D13A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p>
    <w:p w14:paraId="0CE647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r>
        <w:rPr>
          <w:rFonts w:hint="eastAsia" w:ascii="宋体" w:hAnsi="宋体" w:eastAsia="宋体" w:cs="宋体"/>
          <w:snapToGrid w:val="0"/>
          <w:color w:val="000000"/>
          <w:spacing w:val="-3"/>
          <w:kern w:val="0"/>
          <w:sz w:val="24"/>
          <w:szCs w:val="24"/>
        </w:rPr>
        <w:t>供应商（电子签章）：</w:t>
      </w:r>
    </w:p>
    <w:p w14:paraId="19AAF5B1">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p>
    <w:p w14:paraId="4E47B8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r>
        <w:rPr>
          <w:rFonts w:hint="eastAsia" w:ascii="宋体" w:hAnsi="宋体" w:eastAsia="宋体" w:cs="宋体"/>
          <w:snapToGrid w:val="0"/>
          <w:color w:val="000000"/>
          <w:spacing w:val="-3"/>
          <w:kern w:val="0"/>
          <w:sz w:val="24"/>
          <w:szCs w:val="24"/>
        </w:rPr>
        <w:t>法定代表人（电子签名）：</w:t>
      </w:r>
    </w:p>
    <w:p w14:paraId="7FB1F13F">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p>
    <w:p w14:paraId="53F8457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r>
        <w:rPr>
          <w:rFonts w:hint="eastAsia" w:ascii="宋体" w:hAnsi="宋体" w:eastAsia="宋体" w:cs="宋体"/>
          <w:snapToGrid w:val="0"/>
          <w:color w:val="000000"/>
          <w:spacing w:val="-3"/>
          <w:kern w:val="0"/>
          <w:sz w:val="24"/>
          <w:szCs w:val="24"/>
        </w:rPr>
        <w:t>日期：   年  月   日</w:t>
      </w:r>
    </w:p>
    <w:p w14:paraId="01441243">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rPr>
      </w:pPr>
    </w:p>
    <w:p w14:paraId="50B358C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rPr>
      </w:pPr>
    </w:p>
    <w:p w14:paraId="6286D74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rPr>
      </w:pPr>
    </w:p>
    <w:p w14:paraId="4908F06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r>
        <w:rPr>
          <w:rFonts w:hint="eastAsia" w:ascii="宋体" w:hAnsi="宋体" w:eastAsia="宋体" w:cs="宋体"/>
          <w:snapToGrid w:val="0"/>
          <w:color w:val="000000"/>
          <w:spacing w:val="-3"/>
          <w:kern w:val="0"/>
          <w:sz w:val="24"/>
          <w:szCs w:val="24"/>
        </w:rPr>
        <w:t>注：1、按政策规定：符合条件的残疾人福利性单位视同小型、微型企业。残疾人福利性单位属于小型、微型企业 的，不重复享受政策。</w:t>
      </w:r>
    </w:p>
    <w:p w14:paraId="4636BC7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r>
        <w:rPr>
          <w:rFonts w:hint="eastAsia" w:ascii="宋体" w:hAnsi="宋体" w:eastAsia="宋体" w:cs="宋体"/>
          <w:snapToGrid w:val="0"/>
          <w:color w:val="000000"/>
          <w:spacing w:val="-3"/>
          <w:kern w:val="0"/>
          <w:sz w:val="24"/>
          <w:szCs w:val="24"/>
        </w:rPr>
        <w:t>2、*本格式由符合促进残疾人就业政府采购政策条件的残疾人福利性单位填写 ，非残疾人福利性单位无需填</w:t>
      </w:r>
    </w:p>
    <w:p w14:paraId="59295AE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r>
        <w:rPr>
          <w:rFonts w:hint="eastAsia" w:ascii="宋体" w:hAnsi="宋体" w:eastAsia="宋体" w:cs="宋体"/>
          <w:snapToGrid w:val="0"/>
          <w:color w:val="000000"/>
          <w:spacing w:val="-3"/>
          <w:kern w:val="0"/>
          <w:sz w:val="24"/>
          <w:szCs w:val="24"/>
        </w:rPr>
        <w:t>写。本项目中 ，残疾人福利性单位属于中型企业、小型、微型企业的 ，可只填写“ 中小企业声明函”，不再填写“残疾人 福利性单位声明函 ”。</w:t>
      </w:r>
    </w:p>
    <w:p w14:paraId="4C8B9A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snapToGrid w:val="0"/>
          <w:color w:val="000000"/>
          <w:spacing w:val="-3"/>
          <w:kern w:val="0"/>
          <w:sz w:val="24"/>
          <w:szCs w:val="24"/>
        </w:rPr>
      </w:pPr>
      <w:r>
        <w:rPr>
          <w:rFonts w:hint="eastAsia" w:ascii="宋体" w:hAnsi="宋体" w:eastAsia="宋体" w:cs="宋体"/>
          <w:snapToGrid w:val="0"/>
          <w:color w:val="000000"/>
          <w:spacing w:val="-3"/>
          <w:kern w:val="0"/>
          <w:sz w:val="24"/>
          <w:szCs w:val="24"/>
        </w:rPr>
        <w:t>3、残疾人福利性单位填写“残疾人福利性单位声明函”后，仍需同时填写“ 中小企业声明函”、可在“ 中小企业声明函”注明“属于符合条件的残疾人福利性单位、视同小型、微型企业”。</w:t>
      </w:r>
    </w:p>
    <w:p w14:paraId="2C193A37">
      <w:pPr>
        <w:rPr>
          <w:rFonts w:hint="eastAsia" w:eastAsia="宋体"/>
          <w:lang w:eastAsia="zh-CN"/>
        </w:rPr>
      </w:pPr>
    </w:p>
    <w:sectPr>
      <w:footerReference r:id="rId24" w:type="default"/>
      <w:pgSz w:w="11905" w:h="16837"/>
      <w:pgMar w:top="1425" w:right="1085" w:bottom="922" w:left="1582" w:header="0" w:footer="79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YaHei">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9A3A">
    <w:pPr>
      <w:snapToGrid w:val="0"/>
      <w:spacing w:line="240" w:lineRule="atLeast"/>
      <w:ind w:right="21"/>
      <w:jc w:val="left"/>
      <w:rPr>
        <w:rFonts w:ascii="隶书" w:eastAsia="隶书"/>
        <w:b/>
        <w:szCs w:val="21"/>
        <w:u w:val="single"/>
      </w:rPr>
    </w:pPr>
    <w: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7" name="矩形 7"/>
              <wp:cNvGraphicFramePr/>
              <a:graphic xmlns:a="http://schemas.openxmlformats.org/drawingml/2006/main">
                <a:graphicData uri="http://schemas.microsoft.com/office/word/2010/wordprocessingShape">
                  <wps:wsp>
                    <wps:cNvSpPr/>
                    <wps:spPr>
                      <a:xfrm>
                        <a:off x="0" y="0"/>
                        <a:ext cx="5759450" cy="179705"/>
                      </a:xfrm>
                      <a:prstGeom prst="rect">
                        <a:avLst/>
                      </a:prstGeom>
                      <a:noFill/>
                      <a:ln w="9525">
                        <a:noFill/>
                      </a:ln>
                      <a:effectLst/>
                    </wps:spPr>
                    <wps:bodyPr upright="1"/>
                  </wps:wsp>
                </a:graphicData>
              </a:graphic>
            </wp:anchor>
          </w:drawing>
        </mc:Choice>
        <mc:Fallback>
          <w:pict>
            <v:rect id="_x0000_s1026" o:spid="_x0000_s1026" o:spt="1"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bGuC2wAA&#10;AA4BAAAPAAAAAAAAAAEAIAAAACIAAABkcnMvZG93bnJldi54bWxQSwECFAAUAAAACACHTuJAK84q&#10;tKkBAABNAwAADgAAAAAAAAABACAAAAAqAQAAZHJzL2Uyb0RvYy54bWxQSwUGAAAAAAYABgBZAQAA&#10;RQUAAAAA&#10;">
              <v:fill on="f" focussize="0,0"/>
              <v:stroke on="f"/>
              <v:imagedata o:title=""/>
              <o:lock v:ext="edit" aspectratio="f"/>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CDF2">
    <w:pPr>
      <w:spacing w:line="123" w:lineRule="exact"/>
      <w:ind w:firstLine="95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A85A4">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2F8A85A4">
                    <w:pPr>
                      <w:pStyle w:val="6"/>
                    </w:pPr>
                    <w:r>
                      <w:fldChar w:fldCharType="begin"/>
                    </w:r>
                    <w:r>
                      <w:instrText xml:space="preserve"> PAGE  \* MERGEFORMAT </w:instrText>
                    </w:r>
                    <w:r>
                      <w:fldChar w:fldCharType="separate"/>
                    </w:r>
                    <w:r>
                      <w:t>56</w:t>
                    </w:r>
                    <w:r>
                      <w:fldChar w:fldCharType="end"/>
                    </w:r>
                  </w:p>
                </w:txbxContent>
              </v:textbox>
            </v:shape>
          </w:pict>
        </mc:Fallback>
      </mc:AlternateContent>
    </w:r>
    <w:r>
      <w:rPr>
        <w:rFonts w:ascii="Times New Roman" w:hAnsi="Times New Roman" w:eastAsia="Times New Roman" w:cs="Times New Roman"/>
        <w:spacing w:val="-4"/>
        <w:position w:val="-2"/>
        <w:sz w:val="18"/>
        <w:szCs w:val="18"/>
      </w:rPr>
      <w:t>36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1CBB">
    <w:pPr>
      <w:spacing w:line="124" w:lineRule="exact"/>
      <w:ind w:firstLine="92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244C2">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264244C2">
                    <w:pPr>
                      <w:pStyle w:val="6"/>
                    </w:pPr>
                    <w:r>
                      <w:fldChar w:fldCharType="begin"/>
                    </w:r>
                    <w:r>
                      <w:instrText xml:space="preserve"> PAGE  \* MERGEFORMAT </w:instrText>
                    </w:r>
                    <w:r>
                      <w:fldChar w:fldCharType="separate"/>
                    </w:r>
                    <w:r>
                      <w:t>57</w:t>
                    </w:r>
                    <w:r>
                      <w:fldChar w:fldCharType="end"/>
                    </w:r>
                  </w:p>
                </w:txbxContent>
              </v:textbox>
            </v:shape>
          </w:pict>
        </mc:Fallback>
      </mc:AlternateContent>
    </w:r>
    <w:r>
      <w:rPr>
        <w:rFonts w:ascii="Times New Roman" w:hAnsi="Times New Roman" w:eastAsia="Times New Roman" w:cs="Times New Roman"/>
        <w:spacing w:val="-4"/>
        <w:position w:val="-2"/>
        <w:sz w:val="18"/>
        <w:szCs w:val="18"/>
      </w:rPr>
      <w:t>37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BFEE">
    <w:pPr>
      <w:spacing w:line="123" w:lineRule="exact"/>
      <w:ind w:firstLine="95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E80AA">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2FFE80AA">
                    <w:pPr>
                      <w:pStyle w:val="6"/>
                    </w:pPr>
                    <w:r>
                      <w:fldChar w:fldCharType="begin"/>
                    </w:r>
                    <w:r>
                      <w:instrText xml:space="preserve"> PAGE  \* MERGEFORMAT </w:instrText>
                    </w:r>
                    <w:r>
                      <w:fldChar w:fldCharType="separate"/>
                    </w:r>
                    <w:r>
                      <w:t>58</w:t>
                    </w:r>
                    <w:r>
                      <w:fldChar w:fldCharType="end"/>
                    </w:r>
                  </w:p>
                </w:txbxContent>
              </v:textbox>
            </v:shape>
          </w:pict>
        </mc:Fallback>
      </mc:AlternateContent>
    </w:r>
    <w:r>
      <w:rPr>
        <w:rFonts w:ascii="Times New Roman" w:hAnsi="Times New Roman" w:eastAsia="Times New Roman" w:cs="Times New Roman"/>
        <w:spacing w:val="-2"/>
        <w:position w:val="-2"/>
        <w:sz w:val="18"/>
        <w:szCs w:val="18"/>
      </w:rPr>
      <w:t>38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7563">
    <w:pPr>
      <w:spacing w:line="124" w:lineRule="exact"/>
      <w:ind w:firstLine="95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84C56">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2784C56">
                    <w:pPr>
                      <w:pStyle w:val="6"/>
                    </w:pPr>
                    <w:r>
                      <w:fldChar w:fldCharType="begin"/>
                    </w:r>
                    <w:r>
                      <w:instrText xml:space="preserve"> PAGE  \* MERGEFORMAT </w:instrText>
                    </w:r>
                    <w:r>
                      <w:fldChar w:fldCharType="separate"/>
                    </w:r>
                    <w:r>
                      <w:t>59</w:t>
                    </w:r>
                    <w:r>
                      <w:fldChar w:fldCharType="end"/>
                    </w:r>
                  </w:p>
                </w:txbxContent>
              </v:textbox>
            </v:shape>
          </w:pict>
        </mc:Fallback>
      </mc:AlternateContent>
    </w:r>
    <w:r>
      <w:rPr>
        <w:rFonts w:ascii="Times New Roman" w:hAnsi="Times New Roman" w:eastAsia="Times New Roman" w:cs="Times New Roman"/>
        <w:spacing w:val="-4"/>
        <w:position w:val="-2"/>
        <w:sz w:val="18"/>
        <w:szCs w:val="18"/>
      </w:rPr>
      <w:t>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6120">
    <w:pPr>
      <w:spacing w:line="123" w:lineRule="exact"/>
      <w:ind w:firstLine="9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A4AC0">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233A4AC0">
                    <w:pPr>
                      <w:pStyle w:val="6"/>
                    </w:pPr>
                    <w:r>
                      <w:fldChar w:fldCharType="begin"/>
                    </w:r>
                    <w:r>
                      <w:instrText xml:space="preserve"> PAGE  \* MERGEFORMAT </w:instrText>
                    </w:r>
                    <w:r>
                      <w:fldChar w:fldCharType="separate"/>
                    </w:r>
                    <w:r>
                      <w:t>60</w:t>
                    </w:r>
                    <w:r>
                      <w:fldChar w:fldCharType="end"/>
                    </w:r>
                  </w:p>
                </w:txbxContent>
              </v:textbox>
            </v:shape>
          </w:pict>
        </mc:Fallback>
      </mc:AlternateContent>
    </w:r>
    <w:r>
      <w:rPr>
        <w:rFonts w:ascii="Times New Roman" w:hAnsi="Times New Roman" w:eastAsia="Times New Roman" w:cs="Times New Roman"/>
        <w:spacing w:val="-2"/>
        <w:position w:val="-2"/>
        <w:sz w:val="18"/>
        <w:szCs w:val="18"/>
      </w:rPr>
      <w:t>40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BB6E">
    <w:pPr>
      <w:spacing w:line="121" w:lineRule="exact"/>
      <w:ind w:firstLine="9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86598">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2E586598">
                    <w:pPr>
                      <w:pStyle w:val="6"/>
                    </w:pPr>
                    <w:r>
                      <w:fldChar w:fldCharType="begin"/>
                    </w:r>
                    <w:r>
                      <w:instrText xml:space="preserve"> PAGE  \* MERGEFORMAT </w:instrText>
                    </w:r>
                    <w:r>
                      <w:fldChar w:fldCharType="separate"/>
                    </w:r>
                    <w:r>
                      <w:t>63</w:t>
                    </w:r>
                    <w:r>
                      <w:fldChar w:fldCharType="end"/>
                    </w:r>
                  </w:p>
                </w:txbxContent>
              </v:textbox>
            </v:shape>
          </w:pict>
        </mc:Fallback>
      </mc:AlternateContent>
    </w:r>
    <w:r>
      <w:rPr>
        <w:rFonts w:ascii="Times New Roman" w:hAnsi="Times New Roman" w:eastAsia="Times New Roman" w:cs="Times New Roman"/>
        <w:spacing w:val="-1"/>
        <w:position w:val="-2"/>
        <w:sz w:val="18"/>
        <w:szCs w:val="18"/>
      </w:rPr>
      <w:t>41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D878">
    <w:pPr>
      <w:spacing w:line="121" w:lineRule="exact"/>
      <w:ind w:firstLine="9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80526">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3EB80526">
                    <w:pPr>
                      <w:pStyle w:val="6"/>
                    </w:pPr>
                    <w:r>
                      <w:fldChar w:fldCharType="begin"/>
                    </w:r>
                    <w:r>
                      <w:instrText xml:space="preserve"> PAGE  \* MERGEFORMAT </w:instrText>
                    </w:r>
                    <w:r>
                      <w:fldChar w:fldCharType="separate"/>
                    </w:r>
                    <w:r>
                      <w:t>64</w:t>
                    </w:r>
                    <w:r>
                      <w:fldChar w:fldCharType="end"/>
                    </w:r>
                  </w:p>
                </w:txbxContent>
              </v:textbox>
            </v:shape>
          </w:pict>
        </mc:Fallback>
      </mc:AlternateContent>
    </w:r>
    <w:r>
      <w:rPr>
        <w:rFonts w:ascii="Times New Roman" w:hAnsi="Times New Roman" w:eastAsia="Times New Roman" w:cs="Times New Roman"/>
        <w:spacing w:val="-1"/>
        <w:position w:val="-2"/>
        <w:sz w:val="18"/>
        <w:szCs w:val="18"/>
      </w:rPr>
      <w:t>42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120F">
    <w:pPr>
      <w:spacing w:line="123" w:lineRule="exact"/>
      <w:ind w:firstLine="95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E5152">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1B1E5152">
                    <w:pPr>
                      <w:pStyle w:val="6"/>
                    </w:pPr>
                    <w:r>
                      <w:fldChar w:fldCharType="begin"/>
                    </w:r>
                    <w:r>
                      <w:instrText xml:space="preserve"> PAGE  \* MERGEFORMAT </w:instrText>
                    </w:r>
                    <w:r>
                      <w:fldChar w:fldCharType="separate"/>
                    </w:r>
                    <w:r>
                      <w:t>67</w:t>
                    </w:r>
                    <w:r>
                      <w:fldChar w:fldCharType="end"/>
                    </w:r>
                  </w:p>
                </w:txbxContent>
              </v:textbox>
            </v:shape>
          </w:pict>
        </mc:Fallback>
      </mc:AlternateContent>
    </w:r>
    <w:r>
      <w:rPr>
        <w:rFonts w:ascii="Times New Roman" w:hAnsi="Times New Roman" w:eastAsia="Times New Roman" w:cs="Times New Roman"/>
        <w:spacing w:val="-1"/>
        <w:position w:val="-2"/>
        <w:sz w:val="18"/>
        <w:szCs w:val="18"/>
      </w:rPr>
      <w:t>45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4F23">
    <w:pPr>
      <w:pStyle w:val="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78E9F">
                          <w:pPr>
                            <w:pStyle w:val="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5F078E9F">
                    <w:pPr>
                      <w:pStyle w:val="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E12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AEF3">
    <w:pPr>
      <w:spacing w:line="123" w:lineRule="exact"/>
      <w:ind w:firstLine="96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2654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E12654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6581">
    <w:pPr>
      <w:spacing w:line="121" w:lineRule="exact"/>
      <w:ind w:firstLine="97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4A401">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2A64A401">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DE6C">
    <w:pPr>
      <w:spacing w:line="123" w:lineRule="exact"/>
      <w:ind w:firstLine="95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EED1D">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7D9EED1D">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3C3F4">
    <w:pPr>
      <w:spacing w:line="124" w:lineRule="exact"/>
      <w:ind w:firstLine="9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EE817">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29EEE817">
                    <w:pPr>
                      <w:pStyle w:val="6"/>
                    </w:pPr>
                    <w:r>
                      <w:fldChar w:fldCharType="begin"/>
                    </w:r>
                    <w:r>
                      <w:instrText xml:space="preserve"> PAGE  \* MERGEFORMAT </w:instrText>
                    </w:r>
                    <w:r>
                      <w:fldChar w:fldCharType="separate"/>
                    </w:r>
                    <w:r>
                      <w:t>21</w:t>
                    </w:r>
                    <w:r>
                      <w:fldChar w:fldCharType="end"/>
                    </w:r>
                  </w:p>
                </w:txbxContent>
              </v:textbox>
            </v:shape>
          </w:pict>
        </mc:Fallback>
      </mc:AlternateContent>
    </w:r>
    <w:r>
      <w:rPr>
        <w:rFonts w:ascii="Times New Roman" w:hAnsi="Times New Roman" w:eastAsia="Times New Roman" w:cs="Times New Roman"/>
        <w:spacing w:val="-6"/>
        <w:position w:val="-2"/>
        <w:sz w:val="18"/>
        <w:szCs w:val="18"/>
      </w:rPr>
      <w:t>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7369">
    <w:pPr>
      <w:spacing w:line="123" w:lineRule="exact"/>
      <w:ind w:firstLine="95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39749">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53939749">
                    <w:pPr>
                      <w:pStyle w:val="6"/>
                    </w:pPr>
                    <w:r>
                      <w:fldChar w:fldCharType="begin"/>
                    </w:r>
                    <w:r>
                      <w:instrText xml:space="preserve"> PAGE  \* MERGEFORMAT </w:instrText>
                    </w:r>
                    <w:r>
                      <w:fldChar w:fldCharType="separate"/>
                    </w:r>
                    <w:r>
                      <w:t>32</w:t>
                    </w:r>
                    <w:r>
                      <w:fldChar w:fldCharType="end"/>
                    </w:r>
                  </w:p>
                </w:txbxContent>
              </v:textbox>
            </v:shape>
          </w:pict>
        </mc:Fallback>
      </mc:AlternateContent>
    </w:r>
    <w:r>
      <w:rPr>
        <w:rFonts w:ascii="Times New Roman" w:hAnsi="Times New Roman" w:eastAsia="Times New Roman" w:cs="Times New Roman"/>
        <w:spacing w:val="-4"/>
        <w:position w:val="-2"/>
        <w:sz w:val="18"/>
        <w:szCs w:val="18"/>
      </w:rPr>
      <w:t>30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991F6">
    <w:pPr>
      <w:spacing w:line="123" w:lineRule="exact"/>
      <w:ind w:firstLine="95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1EB0A">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4851EB0A">
                    <w:pPr>
                      <w:pStyle w:val="6"/>
                    </w:pPr>
                    <w:r>
                      <w:fldChar w:fldCharType="begin"/>
                    </w:r>
                    <w:r>
                      <w:instrText xml:space="preserve"> PAGE  \* MERGEFORMAT </w:instrText>
                    </w:r>
                    <w:r>
                      <w:fldChar w:fldCharType="separate"/>
                    </w:r>
                    <w:r>
                      <w:t>52</w:t>
                    </w:r>
                    <w:r>
                      <w:fldChar w:fldCharType="end"/>
                    </w:r>
                  </w:p>
                </w:txbxContent>
              </v:textbox>
            </v:shape>
          </w:pict>
        </mc:Fallback>
      </mc:AlternateContent>
    </w:r>
    <w:r>
      <w:rPr>
        <w:rFonts w:ascii="Times New Roman" w:hAnsi="Times New Roman" w:eastAsia="Times New Roman" w:cs="Times New Roman"/>
        <w:spacing w:val="-4"/>
        <w:position w:val="-2"/>
        <w:sz w:val="18"/>
        <w:szCs w:val="18"/>
      </w:rPr>
      <w:t>33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82054">
    <w:pPr>
      <w:spacing w:line="123" w:lineRule="exact"/>
      <w:ind w:firstLine="9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956E5">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4F3956E5">
                    <w:pPr>
                      <w:pStyle w:val="6"/>
                    </w:pPr>
                    <w:r>
                      <w:fldChar w:fldCharType="begin"/>
                    </w:r>
                    <w:r>
                      <w:instrText xml:space="preserve"> PAGE  \* MERGEFORMAT </w:instrText>
                    </w:r>
                    <w:r>
                      <w:fldChar w:fldCharType="separate"/>
                    </w:r>
                    <w:r>
                      <w:t>55</w:t>
                    </w:r>
                    <w:r>
                      <w:fldChar w:fldCharType="end"/>
                    </w:r>
                  </w:p>
                </w:txbxContent>
              </v:textbox>
            </v:shape>
          </w:pict>
        </mc:Fallback>
      </mc:AlternateContent>
    </w:r>
    <w:r>
      <w:rPr>
        <w:rFonts w:ascii="Times New Roman" w:hAnsi="Times New Roman" w:eastAsia="Times New Roman" w:cs="Times New Roman"/>
        <w:spacing w:val="-2"/>
        <w:position w:val="-2"/>
        <w:sz w:val="18"/>
        <w:szCs w:val="18"/>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C026">
    <w:pPr>
      <w:snapToGrid w:val="0"/>
      <w:spacing w:line="240" w:lineRule="atLeast"/>
      <w:rPr>
        <w:rFonts w:ascii="隶书" w:eastAsia="隶书"/>
        <w:b/>
        <w:szCs w:val="21"/>
      </w:rPr>
    </w:pPr>
    <w: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6" name="矩形 6"/>
              <wp:cNvGraphicFramePr/>
              <a:graphic xmlns:a="http://schemas.openxmlformats.org/drawingml/2006/main">
                <a:graphicData uri="http://schemas.microsoft.com/office/word/2010/wordprocessingShape">
                  <wps:wsp>
                    <wps:cNvSpPr/>
                    <wps:spPr>
                      <a:xfrm>
                        <a:off x="0" y="0"/>
                        <a:ext cx="5759450" cy="179705"/>
                      </a:xfrm>
                      <a:prstGeom prst="rect">
                        <a:avLst/>
                      </a:prstGeom>
                      <a:noFill/>
                      <a:ln w="9525">
                        <a:noFill/>
                      </a:ln>
                      <a:effectLst/>
                    </wps:spPr>
                    <wps:bodyPr upright="1"/>
                  </wps:wsp>
                </a:graphicData>
              </a:graphic>
            </wp:anchor>
          </w:drawing>
        </mc:Choice>
        <mc:Fallback>
          <w:pict>
            <v:rect id="_x0000_s1026" o:spid="_x0000_s1026" o:spt="1"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nFSNPZAAAA&#10;CgEAAA8AAAAAAAAAAQAgAAAAIgAAAGRycy9kb3ducmV2LnhtbFBLAQIUABQAAAAIAIdO4kBuEqe/&#10;qgEAAE0DAAAOAAAAAAAAAAEAIAAAACgBAABkcnMvZTJvRG9jLnhtbFBLBQYAAAAABgAGAFkBAABE&#10;BQAAAAA=&#10;">
              <v:fill on="f"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6E53">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A1BA5"/>
    <w:multiLevelType w:val="singleLevel"/>
    <w:tmpl w:val="850A1BA5"/>
    <w:lvl w:ilvl="0" w:tentative="0">
      <w:start w:val="8"/>
      <w:numFmt w:val="decimal"/>
      <w:suff w:val="space"/>
      <w:lvlText w:val="%1."/>
      <w:lvlJc w:val="left"/>
    </w:lvl>
  </w:abstractNum>
  <w:abstractNum w:abstractNumId="1">
    <w:nsid w:val="ACB1C2CF"/>
    <w:multiLevelType w:val="singleLevel"/>
    <w:tmpl w:val="ACB1C2CF"/>
    <w:lvl w:ilvl="0" w:tentative="0">
      <w:start w:val="2"/>
      <w:numFmt w:val="decimal"/>
      <w:suff w:val="nothing"/>
      <w:lvlText w:val="%1、"/>
      <w:lvlJc w:val="left"/>
    </w:lvl>
  </w:abstractNum>
  <w:abstractNum w:abstractNumId="2">
    <w:nsid w:val="B3D34F3A"/>
    <w:multiLevelType w:val="singleLevel"/>
    <w:tmpl w:val="B3D34F3A"/>
    <w:lvl w:ilvl="0" w:tentative="0">
      <w:start w:val="1"/>
      <w:numFmt w:val="chineseCounting"/>
      <w:suff w:val="nothing"/>
      <w:lvlText w:val="%1、"/>
      <w:lvlJc w:val="left"/>
      <w:rPr>
        <w:rFonts w:hint="eastAsia"/>
      </w:rPr>
    </w:lvl>
  </w:abstractNum>
  <w:abstractNum w:abstractNumId="3">
    <w:nsid w:val="D1C2CDFB"/>
    <w:multiLevelType w:val="singleLevel"/>
    <w:tmpl w:val="D1C2CDFB"/>
    <w:lvl w:ilvl="0" w:tentative="0">
      <w:start w:val="11"/>
      <w:numFmt w:val="decimal"/>
      <w:suff w:val="space"/>
      <w:lvlText w:val="%1."/>
      <w:lvlJc w:val="left"/>
    </w:lvl>
  </w:abstractNum>
  <w:abstractNum w:abstractNumId="4">
    <w:nsid w:val="0D786BB1"/>
    <w:multiLevelType w:val="singleLevel"/>
    <w:tmpl w:val="0D786BB1"/>
    <w:lvl w:ilvl="0" w:tentative="0">
      <w:start w:val="1"/>
      <w:numFmt w:val="chineseCounting"/>
      <w:suff w:val="space"/>
      <w:lvlText w:val="第%1章"/>
      <w:lvlJc w:val="left"/>
      <w:rPr>
        <w:rFonts w:hint="eastAsia"/>
      </w:rPr>
    </w:lvl>
  </w:abstractNum>
  <w:abstractNum w:abstractNumId="5">
    <w:nsid w:val="166C8B6A"/>
    <w:multiLevelType w:val="singleLevel"/>
    <w:tmpl w:val="166C8B6A"/>
    <w:lvl w:ilvl="0" w:tentative="0">
      <w:start w:val="2"/>
      <w:numFmt w:val="decimal"/>
      <w:suff w:val="space"/>
      <w:lvlText w:val="%1."/>
      <w:lvlJc w:val="left"/>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gzYTQ2NTRhNWM3MDllM2M4MDg1MmY2Nzg2ZWQxNDkifQ=="/>
  </w:docVars>
  <w:rsids>
    <w:rsidRoot w:val="00000000"/>
    <w:rsid w:val="007F6F3B"/>
    <w:rsid w:val="00D50E3B"/>
    <w:rsid w:val="00DD42C5"/>
    <w:rsid w:val="01115B19"/>
    <w:rsid w:val="01415F08"/>
    <w:rsid w:val="01671BDD"/>
    <w:rsid w:val="019B1886"/>
    <w:rsid w:val="01F36FCC"/>
    <w:rsid w:val="022C10D7"/>
    <w:rsid w:val="02302A33"/>
    <w:rsid w:val="02510197"/>
    <w:rsid w:val="02E51B81"/>
    <w:rsid w:val="03CF3A69"/>
    <w:rsid w:val="03D66BA6"/>
    <w:rsid w:val="040A56FD"/>
    <w:rsid w:val="04456E13"/>
    <w:rsid w:val="044F04B6"/>
    <w:rsid w:val="049F67BB"/>
    <w:rsid w:val="04A06801"/>
    <w:rsid w:val="04DD3F64"/>
    <w:rsid w:val="04DD5D12"/>
    <w:rsid w:val="05BB6053"/>
    <w:rsid w:val="05BE0238"/>
    <w:rsid w:val="06313A66"/>
    <w:rsid w:val="068F0E56"/>
    <w:rsid w:val="06C13EE7"/>
    <w:rsid w:val="06C70E17"/>
    <w:rsid w:val="06F95A58"/>
    <w:rsid w:val="070A5E45"/>
    <w:rsid w:val="07133C6D"/>
    <w:rsid w:val="075C1AB8"/>
    <w:rsid w:val="07626B01"/>
    <w:rsid w:val="0797664C"/>
    <w:rsid w:val="07D653C6"/>
    <w:rsid w:val="080C3EFF"/>
    <w:rsid w:val="08367AFD"/>
    <w:rsid w:val="083B22D7"/>
    <w:rsid w:val="08514A4D"/>
    <w:rsid w:val="08B64998"/>
    <w:rsid w:val="08D37B58"/>
    <w:rsid w:val="08D600EC"/>
    <w:rsid w:val="091066B6"/>
    <w:rsid w:val="0946032A"/>
    <w:rsid w:val="09B64076"/>
    <w:rsid w:val="09FB7366"/>
    <w:rsid w:val="0A677165"/>
    <w:rsid w:val="0A8F3F52"/>
    <w:rsid w:val="0AA96A9F"/>
    <w:rsid w:val="0B1A7CC0"/>
    <w:rsid w:val="0B93537C"/>
    <w:rsid w:val="0BFE6C9A"/>
    <w:rsid w:val="0C5B21F4"/>
    <w:rsid w:val="0C963376"/>
    <w:rsid w:val="0CA35A93"/>
    <w:rsid w:val="0CA43CE5"/>
    <w:rsid w:val="0D116EA1"/>
    <w:rsid w:val="0D725B91"/>
    <w:rsid w:val="0DA87805"/>
    <w:rsid w:val="0DDA7292"/>
    <w:rsid w:val="0E010CC3"/>
    <w:rsid w:val="0E1C565C"/>
    <w:rsid w:val="0E651252"/>
    <w:rsid w:val="0EA855E3"/>
    <w:rsid w:val="0EB43F87"/>
    <w:rsid w:val="0EDB1514"/>
    <w:rsid w:val="0EF5627B"/>
    <w:rsid w:val="102A1713"/>
    <w:rsid w:val="10784C01"/>
    <w:rsid w:val="10A122E9"/>
    <w:rsid w:val="10CC55B8"/>
    <w:rsid w:val="11072ABB"/>
    <w:rsid w:val="11144265"/>
    <w:rsid w:val="11184D88"/>
    <w:rsid w:val="11433F8B"/>
    <w:rsid w:val="11987B90"/>
    <w:rsid w:val="11DF707F"/>
    <w:rsid w:val="11FE436B"/>
    <w:rsid w:val="1218482D"/>
    <w:rsid w:val="12681311"/>
    <w:rsid w:val="12843C71"/>
    <w:rsid w:val="12E110C3"/>
    <w:rsid w:val="130C25E4"/>
    <w:rsid w:val="136922A7"/>
    <w:rsid w:val="13745989"/>
    <w:rsid w:val="139E0D62"/>
    <w:rsid w:val="13ED7CA3"/>
    <w:rsid w:val="144B6992"/>
    <w:rsid w:val="14F90946"/>
    <w:rsid w:val="15177677"/>
    <w:rsid w:val="15485429"/>
    <w:rsid w:val="158346B4"/>
    <w:rsid w:val="15DC72CC"/>
    <w:rsid w:val="164D719B"/>
    <w:rsid w:val="167A1613"/>
    <w:rsid w:val="16B41BB8"/>
    <w:rsid w:val="17D411F6"/>
    <w:rsid w:val="186C7681"/>
    <w:rsid w:val="18707171"/>
    <w:rsid w:val="188D6FAE"/>
    <w:rsid w:val="18934CBA"/>
    <w:rsid w:val="18A62B93"/>
    <w:rsid w:val="18AC17BB"/>
    <w:rsid w:val="18D45952"/>
    <w:rsid w:val="18E5190D"/>
    <w:rsid w:val="191856DA"/>
    <w:rsid w:val="193E7190"/>
    <w:rsid w:val="196842EC"/>
    <w:rsid w:val="196F7429"/>
    <w:rsid w:val="1A047E1B"/>
    <w:rsid w:val="1AA42C45"/>
    <w:rsid w:val="1ACC7583"/>
    <w:rsid w:val="1B2129A5"/>
    <w:rsid w:val="1B740D26"/>
    <w:rsid w:val="1B852F33"/>
    <w:rsid w:val="1BA55384"/>
    <w:rsid w:val="1BF04DE7"/>
    <w:rsid w:val="1C7A6810"/>
    <w:rsid w:val="1CBA4E5F"/>
    <w:rsid w:val="1D4961E3"/>
    <w:rsid w:val="1D4B3D09"/>
    <w:rsid w:val="1D662162"/>
    <w:rsid w:val="1DB41729"/>
    <w:rsid w:val="1DB47B00"/>
    <w:rsid w:val="1DC31AF1"/>
    <w:rsid w:val="1DE11BB1"/>
    <w:rsid w:val="1E05035C"/>
    <w:rsid w:val="1E1862E1"/>
    <w:rsid w:val="1E5B61AC"/>
    <w:rsid w:val="1E6A4663"/>
    <w:rsid w:val="1EE91A2B"/>
    <w:rsid w:val="1F1F4917"/>
    <w:rsid w:val="1F593F5D"/>
    <w:rsid w:val="1F6F42A5"/>
    <w:rsid w:val="1F9A2D26"/>
    <w:rsid w:val="1FA31BDA"/>
    <w:rsid w:val="1FB931AC"/>
    <w:rsid w:val="1FC07EAD"/>
    <w:rsid w:val="1FC87893"/>
    <w:rsid w:val="1FF704EF"/>
    <w:rsid w:val="1FFE5062"/>
    <w:rsid w:val="20054643"/>
    <w:rsid w:val="20311548"/>
    <w:rsid w:val="20853890"/>
    <w:rsid w:val="20872D1F"/>
    <w:rsid w:val="20AA51EA"/>
    <w:rsid w:val="20C462AC"/>
    <w:rsid w:val="21DC40F8"/>
    <w:rsid w:val="21F45B6F"/>
    <w:rsid w:val="223631D9"/>
    <w:rsid w:val="226A2E83"/>
    <w:rsid w:val="228632AA"/>
    <w:rsid w:val="22ED1A05"/>
    <w:rsid w:val="22F444D5"/>
    <w:rsid w:val="23294AEC"/>
    <w:rsid w:val="232B3612"/>
    <w:rsid w:val="233C481F"/>
    <w:rsid w:val="233D51EB"/>
    <w:rsid w:val="239A0644"/>
    <w:rsid w:val="23C516B1"/>
    <w:rsid w:val="24480B07"/>
    <w:rsid w:val="25301B8B"/>
    <w:rsid w:val="25421E95"/>
    <w:rsid w:val="25506FC2"/>
    <w:rsid w:val="257F3864"/>
    <w:rsid w:val="259E1437"/>
    <w:rsid w:val="25E847EB"/>
    <w:rsid w:val="26485ED7"/>
    <w:rsid w:val="267F159E"/>
    <w:rsid w:val="26B02B91"/>
    <w:rsid w:val="26ED63B0"/>
    <w:rsid w:val="26F62572"/>
    <w:rsid w:val="26FE024A"/>
    <w:rsid w:val="2747561C"/>
    <w:rsid w:val="277A7DF1"/>
    <w:rsid w:val="277B343D"/>
    <w:rsid w:val="27A80FE3"/>
    <w:rsid w:val="27AF30E6"/>
    <w:rsid w:val="28681C13"/>
    <w:rsid w:val="29282B7B"/>
    <w:rsid w:val="296E0F88"/>
    <w:rsid w:val="29AA1DB7"/>
    <w:rsid w:val="29C066C4"/>
    <w:rsid w:val="29CC61D1"/>
    <w:rsid w:val="29EC6874"/>
    <w:rsid w:val="2A055B07"/>
    <w:rsid w:val="2A905451"/>
    <w:rsid w:val="2AA607D0"/>
    <w:rsid w:val="2ABF1892"/>
    <w:rsid w:val="2AE61515"/>
    <w:rsid w:val="2B6F32B8"/>
    <w:rsid w:val="2C862667"/>
    <w:rsid w:val="2C9C1E8B"/>
    <w:rsid w:val="2CA6313D"/>
    <w:rsid w:val="2CCF2B51"/>
    <w:rsid w:val="2D3E1194"/>
    <w:rsid w:val="2D790198"/>
    <w:rsid w:val="2D940DB4"/>
    <w:rsid w:val="2DFA5E9B"/>
    <w:rsid w:val="2E0221C2"/>
    <w:rsid w:val="2E06054C"/>
    <w:rsid w:val="2E204D3E"/>
    <w:rsid w:val="2E6B420B"/>
    <w:rsid w:val="2EE8585B"/>
    <w:rsid w:val="2F134A1F"/>
    <w:rsid w:val="300A0BA9"/>
    <w:rsid w:val="30EB1DF1"/>
    <w:rsid w:val="318555E4"/>
    <w:rsid w:val="31B22151"/>
    <w:rsid w:val="31E6498F"/>
    <w:rsid w:val="320F4EAD"/>
    <w:rsid w:val="325356E2"/>
    <w:rsid w:val="32961EBD"/>
    <w:rsid w:val="329D4BAF"/>
    <w:rsid w:val="32A41A99"/>
    <w:rsid w:val="32BD6C45"/>
    <w:rsid w:val="333D0B2E"/>
    <w:rsid w:val="335A6B93"/>
    <w:rsid w:val="34014CC9"/>
    <w:rsid w:val="345B6AD0"/>
    <w:rsid w:val="349A75F8"/>
    <w:rsid w:val="34B54432"/>
    <w:rsid w:val="34BA1A48"/>
    <w:rsid w:val="34C40CDE"/>
    <w:rsid w:val="34F62354"/>
    <w:rsid w:val="351A4295"/>
    <w:rsid w:val="353251AA"/>
    <w:rsid w:val="357F46B3"/>
    <w:rsid w:val="36637EBD"/>
    <w:rsid w:val="366A2FFA"/>
    <w:rsid w:val="36B10C29"/>
    <w:rsid w:val="36B204FD"/>
    <w:rsid w:val="36F856A0"/>
    <w:rsid w:val="36FE31A7"/>
    <w:rsid w:val="37784FE9"/>
    <w:rsid w:val="37824373"/>
    <w:rsid w:val="37C52BDE"/>
    <w:rsid w:val="38352A6C"/>
    <w:rsid w:val="38D4342E"/>
    <w:rsid w:val="390239BE"/>
    <w:rsid w:val="393A7BA0"/>
    <w:rsid w:val="39657AA9"/>
    <w:rsid w:val="399C142F"/>
    <w:rsid w:val="3A187E4F"/>
    <w:rsid w:val="3A555D6F"/>
    <w:rsid w:val="3A7538EA"/>
    <w:rsid w:val="3BF515B8"/>
    <w:rsid w:val="3C0128CA"/>
    <w:rsid w:val="3C067321"/>
    <w:rsid w:val="3C126F45"/>
    <w:rsid w:val="3C1732DC"/>
    <w:rsid w:val="3C363AD7"/>
    <w:rsid w:val="3C3E096A"/>
    <w:rsid w:val="3C747DE7"/>
    <w:rsid w:val="3CB04B3A"/>
    <w:rsid w:val="3CD87820"/>
    <w:rsid w:val="3CE427FB"/>
    <w:rsid w:val="3D1837B0"/>
    <w:rsid w:val="3DCC5EF4"/>
    <w:rsid w:val="3E531DA5"/>
    <w:rsid w:val="3E5A490E"/>
    <w:rsid w:val="3E6972AD"/>
    <w:rsid w:val="3EDC080D"/>
    <w:rsid w:val="3F0148F8"/>
    <w:rsid w:val="3F2A625D"/>
    <w:rsid w:val="3F8353E9"/>
    <w:rsid w:val="3F9133A5"/>
    <w:rsid w:val="3F9335C1"/>
    <w:rsid w:val="3FC65745"/>
    <w:rsid w:val="3FD85478"/>
    <w:rsid w:val="3FEE6BFE"/>
    <w:rsid w:val="40CE4A65"/>
    <w:rsid w:val="40DB6557"/>
    <w:rsid w:val="40E65973"/>
    <w:rsid w:val="40FA1BB3"/>
    <w:rsid w:val="410246D0"/>
    <w:rsid w:val="412864C3"/>
    <w:rsid w:val="42127B43"/>
    <w:rsid w:val="422404BF"/>
    <w:rsid w:val="424778E5"/>
    <w:rsid w:val="428B657D"/>
    <w:rsid w:val="429C453B"/>
    <w:rsid w:val="42BE0955"/>
    <w:rsid w:val="43607C5E"/>
    <w:rsid w:val="4407654D"/>
    <w:rsid w:val="440A395B"/>
    <w:rsid w:val="44334B15"/>
    <w:rsid w:val="44410997"/>
    <w:rsid w:val="451C5E07"/>
    <w:rsid w:val="45822A3C"/>
    <w:rsid w:val="46971BE9"/>
    <w:rsid w:val="46A20189"/>
    <w:rsid w:val="46A55988"/>
    <w:rsid w:val="46C96D31"/>
    <w:rsid w:val="46CB3641"/>
    <w:rsid w:val="47494401"/>
    <w:rsid w:val="475C24EB"/>
    <w:rsid w:val="47E26E94"/>
    <w:rsid w:val="47E86474"/>
    <w:rsid w:val="48040219"/>
    <w:rsid w:val="488C1B23"/>
    <w:rsid w:val="48911E97"/>
    <w:rsid w:val="492359B6"/>
    <w:rsid w:val="49466323"/>
    <w:rsid w:val="49E90BEB"/>
    <w:rsid w:val="4A25750C"/>
    <w:rsid w:val="4A2C089A"/>
    <w:rsid w:val="4A4549BB"/>
    <w:rsid w:val="4A5B2F2E"/>
    <w:rsid w:val="4A9B77CE"/>
    <w:rsid w:val="4AE63C52"/>
    <w:rsid w:val="4AF63D08"/>
    <w:rsid w:val="4B11183E"/>
    <w:rsid w:val="4B180E1F"/>
    <w:rsid w:val="4B223A4B"/>
    <w:rsid w:val="4B58746D"/>
    <w:rsid w:val="4B75001F"/>
    <w:rsid w:val="4B971D44"/>
    <w:rsid w:val="4BAB1C93"/>
    <w:rsid w:val="4C177328"/>
    <w:rsid w:val="4C237A7B"/>
    <w:rsid w:val="4C5D11DF"/>
    <w:rsid w:val="4C612351"/>
    <w:rsid w:val="4C6E32B0"/>
    <w:rsid w:val="4D706CF0"/>
    <w:rsid w:val="4DD74FC1"/>
    <w:rsid w:val="4DFC0DC2"/>
    <w:rsid w:val="4E2B2C17"/>
    <w:rsid w:val="4E656129"/>
    <w:rsid w:val="4F71739F"/>
    <w:rsid w:val="4F854764"/>
    <w:rsid w:val="4FCD42F5"/>
    <w:rsid w:val="4FE51175"/>
    <w:rsid w:val="50D240D1"/>
    <w:rsid w:val="50D77086"/>
    <w:rsid w:val="50F91249"/>
    <w:rsid w:val="51053BF3"/>
    <w:rsid w:val="51CE2237"/>
    <w:rsid w:val="52642B9B"/>
    <w:rsid w:val="52927709"/>
    <w:rsid w:val="52D96A05"/>
    <w:rsid w:val="52E1369D"/>
    <w:rsid w:val="52E37F64"/>
    <w:rsid w:val="52EA30A1"/>
    <w:rsid w:val="52F43F1F"/>
    <w:rsid w:val="53095C1D"/>
    <w:rsid w:val="53407165"/>
    <w:rsid w:val="53536090"/>
    <w:rsid w:val="537D3C41"/>
    <w:rsid w:val="53C27B7A"/>
    <w:rsid w:val="53F31E22"/>
    <w:rsid w:val="54062CA5"/>
    <w:rsid w:val="54436F0C"/>
    <w:rsid w:val="54665C39"/>
    <w:rsid w:val="549E05E7"/>
    <w:rsid w:val="54DE3429"/>
    <w:rsid w:val="559B0682"/>
    <w:rsid w:val="55BA31FE"/>
    <w:rsid w:val="56030B3D"/>
    <w:rsid w:val="562F0BC9"/>
    <w:rsid w:val="5631646E"/>
    <w:rsid w:val="563D5BDD"/>
    <w:rsid w:val="5678195B"/>
    <w:rsid w:val="568D446F"/>
    <w:rsid w:val="57566F57"/>
    <w:rsid w:val="57DF65B6"/>
    <w:rsid w:val="58201F5D"/>
    <w:rsid w:val="58854DDD"/>
    <w:rsid w:val="58871392"/>
    <w:rsid w:val="58960F5B"/>
    <w:rsid w:val="5929547E"/>
    <w:rsid w:val="59462FFB"/>
    <w:rsid w:val="594A7032"/>
    <w:rsid w:val="596F27E4"/>
    <w:rsid w:val="59AC0BD6"/>
    <w:rsid w:val="59D87807"/>
    <w:rsid w:val="5A044746"/>
    <w:rsid w:val="5A5D23AA"/>
    <w:rsid w:val="5A70032F"/>
    <w:rsid w:val="5A752C0B"/>
    <w:rsid w:val="5A7F78BC"/>
    <w:rsid w:val="5A897643"/>
    <w:rsid w:val="5AF2343A"/>
    <w:rsid w:val="5AF251E8"/>
    <w:rsid w:val="5B3023DD"/>
    <w:rsid w:val="5B6E7FAE"/>
    <w:rsid w:val="5B767BC7"/>
    <w:rsid w:val="5BDE39BF"/>
    <w:rsid w:val="5C521557"/>
    <w:rsid w:val="5C877BB2"/>
    <w:rsid w:val="5CCE3FB8"/>
    <w:rsid w:val="5CDF179C"/>
    <w:rsid w:val="5D797FCF"/>
    <w:rsid w:val="5DD16322"/>
    <w:rsid w:val="5DDB2FDC"/>
    <w:rsid w:val="5DF841DD"/>
    <w:rsid w:val="5E205D19"/>
    <w:rsid w:val="5F1F40D2"/>
    <w:rsid w:val="5F450E75"/>
    <w:rsid w:val="5F772E66"/>
    <w:rsid w:val="5FAD5B82"/>
    <w:rsid w:val="5FF532C7"/>
    <w:rsid w:val="6041445B"/>
    <w:rsid w:val="606C77EB"/>
    <w:rsid w:val="60A463A0"/>
    <w:rsid w:val="611B37BA"/>
    <w:rsid w:val="61AF1358"/>
    <w:rsid w:val="620D0B5A"/>
    <w:rsid w:val="621B1270"/>
    <w:rsid w:val="62595B4D"/>
    <w:rsid w:val="626F7AEE"/>
    <w:rsid w:val="628C7CD0"/>
    <w:rsid w:val="633D721D"/>
    <w:rsid w:val="63533494"/>
    <w:rsid w:val="635527B8"/>
    <w:rsid w:val="63887FBA"/>
    <w:rsid w:val="63D95197"/>
    <w:rsid w:val="63E8362C"/>
    <w:rsid w:val="642D7291"/>
    <w:rsid w:val="645E569D"/>
    <w:rsid w:val="64954FDF"/>
    <w:rsid w:val="64A4523A"/>
    <w:rsid w:val="64CD6A46"/>
    <w:rsid w:val="64E21E2A"/>
    <w:rsid w:val="65240694"/>
    <w:rsid w:val="654E3963"/>
    <w:rsid w:val="65801643"/>
    <w:rsid w:val="65C72914"/>
    <w:rsid w:val="65CD36D6"/>
    <w:rsid w:val="65D6213E"/>
    <w:rsid w:val="660758C0"/>
    <w:rsid w:val="66526DEE"/>
    <w:rsid w:val="667C1E0A"/>
    <w:rsid w:val="66AF4E2D"/>
    <w:rsid w:val="66D07B13"/>
    <w:rsid w:val="67051FEE"/>
    <w:rsid w:val="6712276E"/>
    <w:rsid w:val="6751773B"/>
    <w:rsid w:val="67753429"/>
    <w:rsid w:val="67CD1360"/>
    <w:rsid w:val="67DA7730"/>
    <w:rsid w:val="67EC20DF"/>
    <w:rsid w:val="69085BD7"/>
    <w:rsid w:val="690A5AE8"/>
    <w:rsid w:val="695E7EED"/>
    <w:rsid w:val="6994390F"/>
    <w:rsid w:val="69B538EF"/>
    <w:rsid w:val="69F22593"/>
    <w:rsid w:val="6A6D4CC9"/>
    <w:rsid w:val="6A955192"/>
    <w:rsid w:val="6ABE50E7"/>
    <w:rsid w:val="6ADB48B5"/>
    <w:rsid w:val="6B32518D"/>
    <w:rsid w:val="6BAA6776"/>
    <w:rsid w:val="6BDB5A40"/>
    <w:rsid w:val="6C127E7E"/>
    <w:rsid w:val="6C156F89"/>
    <w:rsid w:val="6C4A5143"/>
    <w:rsid w:val="6C7267DA"/>
    <w:rsid w:val="6C9B462D"/>
    <w:rsid w:val="6CAF6553"/>
    <w:rsid w:val="6CE8644B"/>
    <w:rsid w:val="6D2321C1"/>
    <w:rsid w:val="6D325918"/>
    <w:rsid w:val="6D8A7502"/>
    <w:rsid w:val="6E1374F8"/>
    <w:rsid w:val="6E890FD5"/>
    <w:rsid w:val="6EBD7464"/>
    <w:rsid w:val="6EE10C65"/>
    <w:rsid w:val="6F3141F7"/>
    <w:rsid w:val="6F652DA0"/>
    <w:rsid w:val="6FA36844"/>
    <w:rsid w:val="6FDE12D7"/>
    <w:rsid w:val="700215D3"/>
    <w:rsid w:val="702552C0"/>
    <w:rsid w:val="704240C4"/>
    <w:rsid w:val="705A17F8"/>
    <w:rsid w:val="70C65DE6"/>
    <w:rsid w:val="711040ED"/>
    <w:rsid w:val="712F485C"/>
    <w:rsid w:val="71542301"/>
    <w:rsid w:val="725875CC"/>
    <w:rsid w:val="7298621E"/>
    <w:rsid w:val="7306587D"/>
    <w:rsid w:val="732C2FCD"/>
    <w:rsid w:val="73A11102"/>
    <w:rsid w:val="73BA6AD8"/>
    <w:rsid w:val="73D20082"/>
    <w:rsid w:val="742E508B"/>
    <w:rsid w:val="74324450"/>
    <w:rsid w:val="74D472B5"/>
    <w:rsid w:val="74EC2851"/>
    <w:rsid w:val="753C41E7"/>
    <w:rsid w:val="759F5B15"/>
    <w:rsid w:val="75BE243F"/>
    <w:rsid w:val="76312C11"/>
    <w:rsid w:val="76C92E49"/>
    <w:rsid w:val="77035F34"/>
    <w:rsid w:val="777F5615"/>
    <w:rsid w:val="77BD56EF"/>
    <w:rsid w:val="77E4496C"/>
    <w:rsid w:val="782A115C"/>
    <w:rsid w:val="787D5FEB"/>
    <w:rsid w:val="789E433D"/>
    <w:rsid w:val="78D54DA3"/>
    <w:rsid w:val="78F30652"/>
    <w:rsid w:val="794E527B"/>
    <w:rsid w:val="79B67D3E"/>
    <w:rsid w:val="79E85CDC"/>
    <w:rsid w:val="7A2A4632"/>
    <w:rsid w:val="7A4B2DFC"/>
    <w:rsid w:val="7A6867F8"/>
    <w:rsid w:val="7C961A20"/>
    <w:rsid w:val="7CD02F6F"/>
    <w:rsid w:val="7D1265C4"/>
    <w:rsid w:val="7D6F401F"/>
    <w:rsid w:val="7D715FE9"/>
    <w:rsid w:val="7D7D498E"/>
    <w:rsid w:val="7DB52379"/>
    <w:rsid w:val="7DC12ACC"/>
    <w:rsid w:val="7DDC6900"/>
    <w:rsid w:val="7DFE4C3A"/>
    <w:rsid w:val="7E7F4735"/>
    <w:rsid w:val="7EA652D0"/>
    <w:rsid w:val="7EE34CC4"/>
    <w:rsid w:val="7FC17E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宋体"/>
      <w:sz w:val="28"/>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List 2"/>
    <w:basedOn w:val="1"/>
    <w:unhideWhenUsed/>
    <w:qFormat/>
    <w:uiPriority w:val="0"/>
    <w:pPr>
      <w:spacing w:beforeLines="0" w:afterLines="0"/>
      <w:ind w:left="400" w:leftChars="200" w:hanging="200" w:hangingChars="200"/>
    </w:pPr>
    <w:rPr>
      <w:rFonts w:hint="eastAsia"/>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footnote text"/>
    <w:basedOn w:val="1"/>
    <w:semiHidden/>
    <w:qFormat/>
    <w:uiPriority w:val="0"/>
    <w:pPr>
      <w:snapToGrid w:val="0"/>
      <w:jc w:val="left"/>
    </w:pPr>
    <w:rPr>
      <w:kern w:val="0"/>
      <w:sz w:val="18"/>
      <w:szCs w:val="18"/>
    </w:rPr>
  </w:style>
  <w:style w:type="paragraph" w:styleId="10">
    <w:name w:val="Body Text 2"/>
    <w:basedOn w:val="1"/>
    <w:next w:val="2"/>
    <w:qFormat/>
    <w:uiPriority w:val="0"/>
    <w:pPr>
      <w:spacing w:after="120" w:line="480" w:lineRule="auto"/>
    </w:pPr>
    <w:rPr>
      <w:sz w:val="20"/>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2">
    <w:name w:val="Body Text First Indent"/>
    <w:basedOn w:val="2"/>
    <w:next w:val="13"/>
    <w:qFormat/>
    <w:uiPriority w:val="0"/>
    <w:pPr>
      <w:ind w:firstLine="420" w:firstLineChars="100"/>
    </w:pPr>
  </w:style>
  <w:style w:type="paragraph" w:styleId="13">
    <w:name w:val="Body Text First Indent 2"/>
    <w:basedOn w:val="3"/>
    <w:next w:val="2"/>
    <w:semiHidden/>
    <w:qFormat/>
    <w:uiPriority w:val="99"/>
    <w:pPr>
      <w:snapToGrid/>
      <w:spacing w:after="120" w:line="240" w:lineRule="auto"/>
      <w:ind w:left="420" w:leftChars="200" w:firstLine="420" w:firstLineChars="200"/>
    </w:pPr>
    <w:rPr>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qFormat/>
    <w:uiPriority w:val="0"/>
    <w:rPr>
      <w:color w:val="800080"/>
      <w:u w:val="none"/>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1"/>
      <w:szCs w:val="21"/>
    </w:rPr>
  </w:style>
  <w:style w:type="character" w:styleId="26">
    <w:name w:val="HTML Cite"/>
    <w:basedOn w:val="16"/>
    <w:qFormat/>
    <w:uiPriority w:val="0"/>
  </w:style>
  <w:style w:type="character" w:styleId="27">
    <w:name w:val="HTML Keyboard"/>
    <w:basedOn w:val="16"/>
    <w:qFormat/>
    <w:uiPriority w:val="0"/>
    <w:rPr>
      <w:rFonts w:ascii="monospace" w:hAnsi="monospace" w:eastAsia="monospace" w:cs="monospace"/>
      <w:sz w:val="21"/>
      <w:szCs w:val="21"/>
    </w:rPr>
  </w:style>
  <w:style w:type="character" w:styleId="28">
    <w:name w:val="HTML Sample"/>
    <w:basedOn w:val="16"/>
    <w:qFormat/>
    <w:uiPriority w:val="0"/>
    <w:rPr>
      <w:rFonts w:hint="default" w:ascii="monospace" w:hAnsi="monospace" w:eastAsia="monospace" w:cs="monospace"/>
      <w:sz w:val="21"/>
      <w:szCs w:val="21"/>
    </w:rPr>
  </w:style>
  <w:style w:type="paragraph" w:customStyle="1" w:styleId="29">
    <w:name w:val="Default"/>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active[data-v-3f5430ea]"/>
    <w:basedOn w:val="16"/>
    <w:qFormat/>
    <w:uiPriority w:val="0"/>
    <w:rPr>
      <w:rFonts w:ascii="MicrosoftYaHei" w:hAnsi="MicrosoftYaHei" w:eastAsia="MicrosoftYaHei" w:cs="MicrosoftYaHei"/>
      <w:b/>
      <w:bCs/>
      <w:color w:val="2874E4"/>
      <w:sz w:val="19"/>
      <w:szCs w:val="19"/>
    </w:rPr>
  </w:style>
  <w:style w:type="character" w:customStyle="1" w:styleId="32">
    <w:name w:val="not([class*=suffix])"/>
    <w:basedOn w:val="16"/>
    <w:qFormat/>
    <w:uiPriority w:val="0"/>
    <w:rPr>
      <w:sz w:val="15"/>
      <w:szCs w:val="15"/>
    </w:rPr>
  </w:style>
  <w:style w:type="character" w:customStyle="1" w:styleId="33">
    <w:name w:val="not([class*=suffix])1"/>
    <w:basedOn w:val="16"/>
    <w:qFormat/>
    <w:uiPriority w:val="0"/>
  </w:style>
  <w:style w:type="character" w:customStyle="1" w:styleId="34">
    <w:name w:val="current[data-v-33702b78]"/>
    <w:basedOn w:val="16"/>
    <w:qFormat/>
    <w:uiPriority w:val="0"/>
    <w:rPr>
      <w:color w:val="FFFFFF"/>
      <w:shd w:val="clear" w:fill="065CBC"/>
    </w:rPr>
  </w:style>
  <w:style w:type="character" w:customStyle="1" w:styleId="35">
    <w:name w:val="current[data-v-7d0c720c]"/>
    <w:basedOn w:val="16"/>
    <w:qFormat/>
    <w:uiPriority w:val="0"/>
    <w:rPr>
      <w:color w:val="FFFFFF"/>
      <w:shd w:val="clear" w:fill="065CBC"/>
    </w:rPr>
  </w:style>
  <w:style w:type="paragraph" w:customStyle="1" w:styleId="36">
    <w:name w:val="样式 宋体 五号 行距: 单倍行距"/>
    <w:basedOn w:val="1"/>
    <w:qFormat/>
    <w:uiPriority w:val="0"/>
    <w:rPr>
      <w:rFonts w:hint="eastAsia" w:ascii="仿宋_GB2312" w:hAnsi="宋体" w:eastAsia="仿宋_GB2312"/>
      <w:kern w:val="0"/>
      <w:szCs w:val="20"/>
    </w:rPr>
  </w:style>
  <w:style w:type="character" w:customStyle="1" w:styleId="37">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38">
    <w:name w:val="Table Text"/>
    <w:basedOn w:val="1"/>
    <w:semiHidden/>
    <w:qFormat/>
    <w:uiPriority w:val="0"/>
    <w:rPr>
      <w:rFonts w:ascii="Arial" w:hAnsi="Arial" w:eastAsia="Arial" w:cs="Arial"/>
      <w:sz w:val="21"/>
      <w:szCs w:val="21"/>
      <w:lang w:val="en-US" w:eastAsia="en-US" w:bidi="ar-SA"/>
    </w:rPr>
  </w:style>
  <w:style w:type="paragraph" w:customStyle="1" w:styleId="39">
    <w:name w:val="无间隔1"/>
    <w:basedOn w:val="1"/>
    <w:qFormat/>
    <w:uiPriority w:val="99"/>
    <w:pPr>
      <w:spacing w:line="400" w:lineRule="exact"/>
    </w:pPr>
    <w:rPr>
      <w:sz w:val="24"/>
    </w:rPr>
  </w:style>
  <w:style w:type="character" w:customStyle="1" w:styleId="40">
    <w:name w:val="before"/>
    <w:basedOn w:val="16"/>
    <w:qFormat/>
    <w:uiPriority w:val="0"/>
    <w:rPr>
      <w:shd w:val="clear" w:fill="0085FF"/>
    </w:rPr>
  </w:style>
  <w:style w:type="character" w:customStyle="1" w:styleId="41">
    <w:name w:val="layui-layer-tabnow"/>
    <w:basedOn w:val="16"/>
    <w:qFormat/>
    <w:uiPriority w:val="0"/>
    <w:rPr>
      <w:bdr w:val="single" w:color="CCCCCC" w:sz="6" w:space="0"/>
      <w:shd w:val="clear" w:fill="FFFFFF"/>
    </w:rPr>
  </w:style>
  <w:style w:type="character" w:customStyle="1" w:styleId="42">
    <w:name w:val="first-child"/>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5548</Words>
  <Characters>6113</Characters>
  <TotalTime>0</TotalTime>
  <ScaleCrop>false</ScaleCrop>
  <LinksUpToDate>false</LinksUpToDate>
  <CharactersWithSpaces>6216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2022-02-14T16:39:00Z</dcterms:created>
  <dc:creator>ZM</dc:creator>
  <cp:lastModifiedBy>苏不理包子</cp:lastModifiedBy>
  <cp:lastPrinted>2025-04-29T01:13:00Z</cp:lastPrinted>
  <dcterms:modified xsi:type="dcterms:W3CDTF">2025-10-24T06:03:26Z</dcterms:modified>
  <dc:title>内黄县第一高级中学所需多媒体教室设备项目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2022-02-16T10:10:40Z</vt:filetime>
  </property>
  <property fmtid="{D5CDD505-2E9C-101B-9397-08002B2CF9AE}" pid="4" name="KSOProductBuildVer">
    <vt:lpwstr>2052-12.1.0.23125</vt:lpwstr>
  </property>
  <property fmtid="{D5CDD505-2E9C-101B-9397-08002B2CF9AE}" pid="5" name="ICV">
    <vt:lpwstr>C267792CB33F46B7BF23A4778284661D_13</vt:lpwstr>
  </property>
  <property fmtid="{D5CDD505-2E9C-101B-9397-08002B2CF9AE}" pid="6" name="KSOTemplateDocerSaveRecord">
    <vt:lpwstr>eyJoZGlkIjoiMTJkZDI1ZWY3NmY3NTg5NDNmNzI3ODI3YThhYTc0N2YiLCJ1c2VySWQiOiIyNjQyNjc0MTEifQ==</vt:lpwstr>
  </property>
</Properties>
</file>