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08949">
      <w:pPr>
        <w:widowControl/>
        <w:jc w:val="left"/>
        <w:rPr>
          <w:rFonts w:hint="eastAsia" w:asciiTheme="minorEastAsia" w:hAnsiTheme="minorEastAsia" w:eastAsiaTheme="minorEastAsia" w:cstheme="minorEastAsia"/>
          <w:color w:val="auto"/>
          <w:kern w:val="0"/>
          <w:sz w:val="24"/>
          <w:highlight w:val="none"/>
          <w:lang w:eastAsia="zh-CN"/>
        </w:rPr>
      </w:pPr>
      <w:bookmarkStart w:id="0" w:name="_Hlk16172847"/>
      <w:r>
        <w:rPr>
          <w:rFonts w:hint="eastAsia" w:asciiTheme="minorEastAsia" w:hAnsiTheme="minorEastAsia" w:eastAsiaTheme="minorEastAsia" w:cstheme="minorEastAsia"/>
          <w:color w:val="auto"/>
          <w:kern w:val="0"/>
          <w:sz w:val="24"/>
          <w:highlight w:val="none"/>
          <w:lang w:eastAsia="zh-CN"/>
        </w:rPr>
        <w:drawing>
          <wp:anchor distT="0" distB="0" distL="114300" distR="114300" simplePos="0" relativeHeight="251661312" behindDoc="0" locked="0" layoutInCell="1" allowOverlap="1">
            <wp:simplePos x="0" y="0"/>
            <wp:positionH relativeFrom="column">
              <wp:posOffset>-2620645</wp:posOffset>
            </wp:positionH>
            <wp:positionV relativeFrom="paragraph">
              <wp:posOffset>695960</wp:posOffset>
            </wp:positionV>
            <wp:extent cx="10528935" cy="7386955"/>
            <wp:effectExtent l="0" t="0" r="4445" b="5715"/>
            <wp:wrapNone/>
            <wp:docPr id="1" name="图片 1" descr="20260805195119266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60805195119266_0001"/>
                    <pic:cNvPicPr>
                      <a:picLocks noChangeAspect="1"/>
                    </pic:cNvPicPr>
                  </pic:nvPicPr>
                  <pic:blipFill>
                    <a:blip r:embed="rId11"/>
                    <a:stretch>
                      <a:fillRect/>
                    </a:stretch>
                  </pic:blipFill>
                  <pic:spPr>
                    <a:xfrm rot="16200000">
                      <a:off x="0" y="0"/>
                      <a:ext cx="10528935" cy="7386955"/>
                    </a:xfrm>
                    <a:prstGeom prst="rect">
                      <a:avLst/>
                    </a:prstGeom>
                  </pic:spPr>
                </pic:pic>
              </a:graphicData>
            </a:graphic>
          </wp:anchor>
        </w:drawing>
      </w:r>
    </w:p>
    <w:p w14:paraId="0E478B6C">
      <w:pPr>
        <w:autoSpaceDE w:val="0"/>
        <w:autoSpaceDN w:val="0"/>
        <w:adjustRightInd w:val="0"/>
        <w:jc w:val="center"/>
        <w:rPr>
          <w:rFonts w:hint="eastAsia" w:ascii="宋体" w:hAnsi="宋体" w:cs="宋体"/>
          <w:b/>
          <w:color w:val="auto"/>
          <w:kern w:val="0"/>
          <w:sz w:val="48"/>
          <w:szCs w:val="48"/>
          <w:highlight w:val="none"/>
          <w:lang w:eastAsia="zh-CN"/>
        </w:rPr>
      </w:pPr>
      <w:r>
        <w:rPr>
          <w:rFonts w:hint="eastAsia" w:ascii="宋体" w:hAnsi="宋体" w:cs="宋体"/>
          <w:b/>
          <w:color w:val="auto"/>
          <w:kern w:val="0"/>
          <w:sz w:val="48"/>
          <w:szCs w:val="48"/>
          <w:highlight w:val="none"/>
          <w:lang w:eastAsia="zh-CN"/>
        </w:rPr>
        <w:t>平顶山市第一人民医院优越路院区维修下送服务外包项目</w:t>
      </w:r>
    </w:p>
    <w:p w14:paraId="59462601">
      <w:pPr>
        <w:pStyle w:val="29"/>
        <w:rPr>
          <w:rFonts w:hint="eastAsia" w:ascii="宋体" w:hAnsi="宋体" w:cs="宋体"/>
          <w:b/>
          <w:color w:val="auto"/>
          <w:kern w:val="0"/>
          <w:sz w:val="48"/>
          <w:szCs w:val="48"/>
          <w:highlight w:val="none"/>
          <w:lang w:eastAsia="zh-CN"/>
        </w:rPr>
      </w:pPr>
    </w:p>
    <w:p w14:paraId="0A537CCD">
      <w:pPr>
        <w:pStyle w:val="29"/>
        <w:rPr>
          <w:rFonts w:hint="eastAsia" w:ascii="宋体" w:hAnsi="宋体" w:cs="宋体"/>
          <w:b/>
          <w:color w:val="auto"/>
          <w:kern w:val="0"/>
          <w:sz w:val="48"/>
          <w:szCs w:val="48"/>
          <w:highlight w:val="none"/>
          <w:lang w:eastAsia="zh-CN"/>
        </w:rPr>
      </w:pPr>
    </w:p>
    <w:p w14:paraId="742DC440">
      <w:pPr>
        <w:autoSpaceDE w:val="0"/>
        <w:autoSpaceDN w:val="0"/>
        <w:adjustRightInd w:val="0"/>
        <w:jc w:val="center"/>
        <w:rPr>
          <w:rFonts w:asciiTheme="minorEastAsia" w:hAnsiTheme="minorEastAsia" w:eastAsiaTheme="minorEastAsia" w:cstheme="minorEastAsia"/>
          <w:b/>
          <w:color w:val="auto"/>
          <w:kern w:val="0"/>
          <w:sz w:val="84"/>
          <w:szCs w:val="84"/>
          <w:highlight w:val="none"/>
        </w:rPr>
      </w:pPr>
      <w:r>
        <w:rPr>
          <w:rFonts w:hint="eastAsia" w:asciiTheme="minorEastAsia" w:hAnsiTheme="minorEastAsia" w:eastAsiaTheme="minorEastAsia" w:cstheme="minorEastAsia"/>
          <w:b/>
          <w:color w:val="auto"/>
          <w:kern w:val="0"/>
          <w:sz w:val="84"/>
          <w:szCs w:val="84"/>
          <w:highlight w:val="none"/>
        </w:rPr>
        <w:t>竞争性谈判文件</w:t>
      </w:r>
    </w:p>
    <w:p w14:paraId="33828632">
      <w:pPr>
        <w:rPr>
          <w:rFonts w:asciiTheme="minorEastAsia" w:hAnsiTheme="minorEastAsia" w:eastAsiaTheme="minorEastAsia" w:cstheme="minorEastAsia"/>
          <w:color w:val="auto"/>
          <w:highlight w:val="none"/>
        </w:rPr>
      </w:pPr>
    </w:p>
    <w:p w14:paraId="793E47DD">
      <w:pPr>
        <w:autoSpaceDE w:val="0"/>
        <w:autoSpaceDN w:val="0"/>
        <w:adjustRightInd w:val="0"/>
        <w:jc w:val="center"/>
        <w:rPr>
          <w:rFonts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highlight w:val="none"/>
        </w:rPr>
        <w:drawing>
          <wp:anchor distT="0" distB="0" distL="114300" distR="114300" simplePos="0" relativeHeight="251660288" behindDoc="0" locked="0" layoutInCell="1" allowOverlap="1">
            <wp:simplePos x="0" y="0"/>
            <wp:positionH relativeFrom="column">
              <wp:posOffset>1614805</wp:posOffset>
            </wp:positionH>
            <wp:positionV relativeFrom="paragraph">
              <wp:posOffset>283210</wp:posOffset>
            </wp:positionV>
            <wp:extent cx="2170430" cy="2024380"/>
            <wp:effectExtent l="0" t="0" r="1270" b="13970"/>
            <wp:wrapNone/>
            <wp:docPr id="18" name="图片 2" descr="5c1f6f6c497699058eb407f36e0d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descr="5c1f6f6c497699058eb407f36e0d302"/>
                    <pic:cNvPicPr>
                      <a:picLocks noChangeAspect="1"/>
                    </pic:cNvPicPr>
                  </pic:nvPicPr>
                  <pic:blipFill>
                    <a:blip r:embed="rId12" cstate="print"/>
                    <a:stretch>
                      <a:fillRect/>
                    </a:stretch>
                  </pic:blipFill>
                  <pic:spPr>
                    <a:xfrm>
                      <a:off x="0" y="0"/>
                      <a:ext cx="2170430" cy="2024380"/>
                    </a:xfrm>
                    <a:prstGeom prst="rect">
                      <a:avLst/>
                    </a:prstGeom>
                    <a:noFill/>
                    <a:ln w="9525">
                      <a:noFill/>
                    </a:ln>
                  </pic:spPr>
                </pic:pic>
              </a:graphicData>
            </a:graphic>
          </wp:anchor>
        </w:drawing>
      </w:r>
    </w:p>
    <w:p w14:paraId="331F8E4E">
      <w:pPr>
        <w:spacing w:line="420" w:lineRule="exact"/>
        <w:jc w:val="center"/>
        <w:rPr>
          <w:rFonts w:asciiTheme="minorEastAsia" w:hAnsiTheme="minorEastAsia" w:eastAsiaTheme="minorEastAsia" w:cstheme="minorEastAsia"/>
          <w:color w:val="auto"/>
          <w:kern w:val="0"/>
          <w:sz w:val="24"/>
          <w:highlight w:val="none"/>
        </w:rPr>
      </w:pPr>
    </w:p>
    <w:p w14:paraId="73A3DBC6">
      <w:pPr>
        <w:spacing w:line="420" w:lineRule="exact"/>
        <w:jc w:val="center"/>
        <w:rPr>
          <w:rFonts w:asciiTheme="minorEastAsia" w:hAnsiTheme="minorEastAsia" w:eastAsiaTheme="minorEastAsia" w:cstheme="minorEastAsia"/>
          <w:color w:val="auto"/>
          <w:kern w:val="0"/>
          <w:sz w:val="24"/>
          <w:highlight w:val="none"/>
        </w:rPr>
      </w:pPr>
    </w:p>
    <w:p w14:paraId="0502B4D2">
      <w:pPr>
        <w:autoSpaceDE w:val="0"/>
        <w:autoSpaceDN w:val="0"/>
        <w:adjustRightInd w:val="0"/>
        <w:jc w:val="center"/>
        <w:rPr>
          <w:rFonts w:asciiTheme="minorEastAsia" w:hAnsiTheme="minorEastAsia" w:eastAsiaTheme="minorEastAsia" w:cstheme="minorEastAsia"/>
          <w:color w:val="auto"/>
          <w:kern w:val="0"/>
          <w:sz w:val="28"/>
          <w:szCs w:val="28"/>
          <w:highlight w:val="none"/>
        </w:rPr>
      </w:pPr>
    </w:p>
    <w:p w14:paraId="4D0AF2F7">
      <w:pPr>
        <w:autoSpaceDE w:val="0"/>
        <w:autoSpaceDN w:val="0"/>
        <w:adjustRightInd w:val="0"/>
        <w:jc w:val="left"/>
        <w:rPr>
          <w:rFonts w:asciiTheme="minorEastAsia" w:hAnsiTheme="minorEastAsia" w:eastAsiaTheme="minorEastAsia" w:cstheme="minorEastAsia"/>
          <w:b/>
          <w:color w:val="auto"/>
          <w:kern w:val="0"/>
          <w:sz w:val="30"/>
          <w:szCs w:val="30"/>
          <w:highlight w:val="none"/>
        </w:rPr>
      </w:pPr>
    </w:p>
    <w:p w14:paraId="640CF0E5">
      <w:pPr>
        <w:widowControl/>
        <w:spacing w:line="800" w:lineRule="exact"/>
        <w:ind w:firstLine="1124" w:firstLineChars="350"/>
        <w:jc w:val="left"/>
        <w:rPr>
          <w:rFonts w:hint="eastAsia" w:asciiTheme="minorEastAsia" w:hAnsiTheme="minorEastAsia" w:eastAsiaTheme="minorEastAsia" w:cstheme="minorEastAsia"/>
          <w:b/>
          <w:color w:val="auto"/>
          <w:sz w:val="32"/>
          <w:szCs w:val="32"/>
          <w:highlight w:val="none"/>
        </w:rPr>
      </w:pPr>
    </w:p>
    <w:p w14:paraId="3BD953BA">
      <w:pPr>
        <w:pStyle w:val="24"/>
        <w:rPr>
          <w:rFonts w:hint="eastAsia"/>
          <w:color w:val="auto"/>
        </w:rPr>
      </w:pPr>
    </w:p>
    <w:p w14:paraId="4D47BD15">
      <w:pPr>
        <w:pStyle w:val="24"/>
        <w:rPr>
          <w:rFonts w:hint="eastAsia"/>
          <w:color w:val="auto"/>
        </w:rPr>
      </w:pPr>
      <w:bookmarkStart w:id="1" w:name="_Toc281744719"/>
      <w:bookmarkStart w:id="2" w:name="_Toc16172910"/>
      <w:bookmarkStart w:id="3" w:name="_Toc30096"/>
    </w:p>
    <w:p w14:paraId="71F39089">
      <w:pPr>
        <w:keepNext w:val="0"/>
        <w:keepLines w:val="0"/>
        <w:pageBreakBefore w:val="0"/>
        <w:widowControl/>
        <w:kinsoku/>
        <w:wordWrap/>
        <w:overflowPunct/>
        <w:topLinePunct w:val="0"/>
        <w:autoSpaceDE/>
        <w:autoSpaceDN/>
        <w:bidi w:val="0"/>
        <w:adjustRightInd/>
        <w:snapToGrid/>
        <w:spacing w:line="800" w:lineRule="exact"/>
        <w:ind w:firstLine="1124" w:firstLineChars="350"/>
        <w:jc w:val="left"/>
        <w:textAlignment w:val="auto"/>
        <w:outlineLvl w:val="9"/>
        <w:rPr>
          <w:rFonts w:asciiTheme="minorEastAsia" w:hAnsiTheme="minorEastAsia" w:eastAsiaTheme="minorEastAsia" w:cstheme="minorEastAsia"/>
          <w:b/>
          <w:color w:val="auto"/>
          <w:sz w:val="32"/>
          <w:highlight w:val="none"/>
        </w:rPr>
      </w:pPr>
      <w:bookmarkStart w:id="4" w:name="_Toc32250"/>
      <w:r>
        <w:rPr>
          <w:rFonts w:hint="eastAsia" w:asciiTheme="minorEastAsia" w:hAnsiTheme="minorEastAsia" w:eastAsiaTheme="minorEastAsia" w:cstheme="minorEastAsia"/>
          <w:b/>
          <w:color w:val="auto"/>
          <w:sz w:val="32"/>
          <w:szCs w:val="32"/>
          <w:highlight w:val="none"/>
          <w:lang w:eastAsia="zh-CN"/>
        </w:rPr>
        <w:t>采</w:t>
      </w:r>
      <w:r>
        <w:rPr>
          <w:rFonts w:hint="eastAsia" w:asciiTheme="minorEastAsia" w:hAnsiTheme="minorEastAsia" w:eastAsiaTheme="minorEastAsia" w:cstheme="minorEastAsia"/>
          <w:b/>
          <w:color w:val="auto"/>
          <w:sz w:val="32"/>
          <w:szCs w:val="32"/>
          <w:highlight w:val="none"/>
        </w:rPr>
        <w:t xml:space="preserve">   </w:t>
      </w:r>
      <w:r>
        <w:rPr>
          <w:rFonts w:hint="eastAsia" w:asciiTheme="minorEastAsia" w:hAnsiTheme="minorEastAsia" w:eastAsiaTheme="minorEastAsia" w:cstheme="minorEastAsia"/>
          <w:b/>
          <w:color w:val="auto"/>
          <w:sz w:val="32"/>
          <w:szCs w:val="32"/>
          <w:highlight w:val="none"/>
          <w:lang w:eastAsia="zh-CN"/>
        </w:rPr>
        <w:t>购</w:t>
      </w:r>
      <w:r>
        <w:rPr>
          <w:rFonts w:hint="eastAsia" w:asciiTheme="minorEastAsia" w:hAnsiTheme="minorEastAsia" w:eastAsiaTheme="minorEastAsia" w:cstheme="minorEastAsia"/>
          <w:b/>
          <w:color w:val="auto"/>
          <w:sz w:val="32"/>
          <w:szCs w:val="32"/>
          <w:highlight w:val="none"/>
        </w:rPr>
        <w:t xml:space="preserve">   人：</w:t>
      </w:r>
      <w:r>
        <w:rPr>
          <w:rFonts w:hint="eastAsia" w:asciiTheme="minorEastAsia" w:hAnsiTheme="minorEastAsia" w:eastAsiaTheme="minorEastAsia" w:cstheme="minorEastAsia"/>
          <w:b/>
          <w:color w:val="auto"/>
          <w:sz w:val="32"/>
          <w:highlight w:val="none"/>
        </w:rPr>
        <w:t>平顶山市第一人民医院</w:t>
      </w:r>
      <w:bookmarkEnd w:id="4"/>
    </w:p>
    <w:p w14:paraId="431CD468">
      <w:pPr>
        <w:keepNext w:val="0"/>
        <w:keepLines w:val="0"/>
        <w:pageBreakBefore w:val="0"/>
        <w:widowControl/>
        <w:kinsoku/>
        <w:wordWrap/>
        <w:overflowPunct/>
        <w:topLinePunct w:val="0"/>
        <w:autoSpaceDE/>
        <w:autoSpaceDN/>
        <w:bidi w:val="0"/>
        <w:adjustRightInd/>
        <w:snapToGrid/>
        <w:spacing w:line="800" w:lineRule="exact"/>
        <w:ind w:firstLine="1124" w:firstLineChars="350"/>
        <w:jc w:val="left"/>
        <w:textAlignment w:val="auto"/>
        <w:outlineLvl w:val="9"/>
        <w:rPr>
          <w:rFonts w:asciiTheme="minorEastAsia" w:hAnsiTheme="minorEastAsia" w:eastAsiaTheme="minorEastAsia" w:cstheme="minorEastAsia"/>
          <w:b/>
          <w:color w:val="auto"/>
          <w:sz w:val="32"/>
          <w:szCs w:val="32"/>
          <w:highlight w:val="none"/>
        </w:rPr>
      </w:pPr>
      <w:bookmarkStart w:id="5" w:name="_Toc14346"/>
      <w:r>
        <w:rPr>
          <w:rFonts w:hint="eastAsia" w:asciiTheme="minorEastAsia" w:hAnsiTheme="minorEastAsia" w:eastAsiaTheme="minorEastAsia" w:cstheme="minorEastAsia"/>
          <w:b/>
          <w:color w:val="auto"/>
          <w:sz w:val="32"/>
          <w:szCs w:val="32"/>
          <w:highlight w:val="none"/>
          <w:lang w:eastAsia="zh-CN"/>
        </w:rPr>
        <w:t>采购</w:t>
      </w:r>
      <w:r>
        <w:rPr>
          <w:rFonts w:hint="eastAsia" w:asciiTheme="minorEastAsia" w:hAnsiTheme="minorEastAsia" w:eastAsiaTheme="minorEastAsia" w:cstheme="minorEastAsia"/>
          <w:b/>
          <w:color w:val="auto"/>
          <w:sz w:val="32"/>
          <w:szCs w:val="32"/>
          <w:highlight w:val="none"/>
        </w:rPr>
        <w:t>代理机构：</w:t>
      </w:r>
      <w:r>
        <w:rPr>
          <w:rFonts w:hint="eastAsia" w:asciiTheme="minorEastAsia" w:hAnsiTheme="minorEastAsia" w:eastAsiaTheme="minorEastAsia" w:cstheme="minorEastAsia"/>
          <w:b/>
          <w:color w:val="auto"/>
          <w:sz w:val="32"/>
          <w:highlight w:val="none"/>
        </w:rPr>
        <w:t>河南荣之鑫工程管理有限公司</w:t>
      </w:r>
      <w:bookmarkEnd w:id="5"/>
    </w:p>
    <w:p w14:paraId="45A8BA20">
      <w:pPr>
        <w:pStyle w:val="40"/>
        <w:keepNext w:val="0"/>
        <w:keepLines w:val="0"/>
        <w:pageBreakBefore w:val="0"/>
        <w:widowControl/>
        <w:kinsoku/>
        <w:wordWrap/>
        <w:overflowPunct/>
        <w:topLinePunct w:val="0"/>
        <w:autoSpaceDE/>
        <w:autoSpaceDN/>
        <w:bidi w:val="0"/>
        <w:adjustRightInd/>
        <w:snapToGrid/>
        <w:spacing w:line="800" w:lineRule="exact"/>
        <w:ind w:firstLine="1124" w:firstLineChars="350"/>
        <w:jc w:val="left"/>
        <w:textAlignment w:val="auto"/>
        <w:outlineLvl w:val="9"/>
        <w:rPr>
          <w:rFonts w:asciiTheme="minorEastAsia" w:hAnsiTheme="minorEastAsia" w:eastAsiaTheme="minorEastAsia" w:cstheme="minorEastAsia"/>
          <w:b/>
          <w:color w:val="auto"/>
          <w:sz w:val="32"/>
          <w:szCs w:val="32"/>
          <w:highlight w:val="none"/>
        </w:rPr>
      </w:pPr>
      <w:bookmarkStart w:id="6" w:name="_Toc14517"/>
      <w:r>
        <w:rPr>
          <w:rFonts w:hint="eastAsia" w:asciiTheme="minorEastAsia" w:hAnsiTheme="minorEastAsia" w:eastAsiaTheme="minorEastAsia" w:cstheme="minorEastAsia"/>
          <w:b/>
          <w:color w:val="auto"/>
          <w:sz w:val="32"/>
          <w:szCs w:val="32"/>
          <w:highlight w:val="none"/>
        </w:rPr>
        <w:t>日        期：二〇二</w:t>
      </w:r>
      <w:r>
        <w:rPr>
          <w:rFonts w:hint="eastAsia" w:asciiTheme="minorEastAsia" w:hAnsiTheme="minorEastAsia" w:eastAsiaTheme="minorEastAsia" w:cstheme="minorEastAsia"/>
          <w:b/>
          <w:color w:val="auto"/>
          <w:sz w:val="32"/>
          <w:szCs w:val="32"/>
          <w:highlight w:val="none"/>
          <w:lang w:eastAsia="zh-CN"/>
        </w:rPr>
        <w:t>六</w:t>
      </w:r>
      <w:r>
        <w:rPr>
          <w:rFonts w:hint="eastAsia" w:asciiTheme="minorEastAsia" w:hAnsiTheme="minorEastAsia" w:eastAsiaTheme="minorEastAsia" w:cstheme="minorEastAsia"/>
          <w:b/>
          <w:color w:val="auto"/>
          <w:sz w:val="32"/>
          <w:szCs w:val="32"/>
          <w:highlight w:val="none"/>
        </w:rPr>
        <w:t>年</w:t>
      </w:r>
      <w:r>
        <w:rPr>
          <w:rFonts w:hint="eastAsia" w:asciiTheme="minorEastAsia" w:hAnsiTheme="minorEastAsia" w:eastAsiaTheme="minorEastAsia" w:cstheme="minorEastAsia"/>
          <w:b/>
          <w:color w:val="auto"/>
          <w:sz w:val="32"/>
          <w:szCs w:val="32"/>
          <w:highlight w:val="none"/>
          <w:lang w:eastAsia="zh-CN"/>
        </w:rPr>
        <w:t>七</w:t>
      </w:r>
      <w:r>
        <w:rPr>
          <w:rFonts w:hint="eastAsia" w:asciiTheme="minorEastAsia" w:hAnsiTheme="minorEastAsia" w:eastAsiaTheme="minorEastAsia" w:cstheme="minorEastAsia"/>
          <w:b/>
          <w:color w:val="auto"/>
          <w:sz w:val="32"/>
          <w:szCs w:val="32"/>
          <w:highlight w:val="none"/>
        </w:rPr>
        <w:t>月</w:t>
      </w:r>
      <w:bookmarkEnd w:id="6"/>
    </w:p>
    <w:p w14:paraId="74C7A16C">
      <w:pPr>
        <w:widowControl/>
        <w:jc w:val="left"/>
        <w:rPr>
          <w:rFonts w:asciiTheme="minorEastAsia" w:hAnsiTheme="minorEastAsia" w:eastAsiaTheme="minorEastAsia" w:cstheme="minorEastAsia"/>
          <w:b/>
          <w:bCs/>
          <w:color w:val="auto"/>
          <w:sz w:val="36"/>
          <w:szCs w:val="36"/>
          <w:highlight w:val="none"/>
        </w:rPr>
        <w:sectPr>
          <w:pgSz w:w="11906" w:h="16838"/>
          <w:pgMar w:top="1440" w:right="1800" w:bottom="1440" w:left="1800" w:header="851" w:footer="992" w:gutter="0"/>
          <w:pgNumType w:start="0"/>
          <w:cols w:space="720" w:num="1"/>
          <w:docGrid w:type="lines" w:linePitch="312" w:charSpace="0"/>
        </w:sectPr>
      </w:pPr>
    </w:p>
    <w:p w14:paraId="305A8CE8">
      <w:pPr>
        <w:autoSpaceDE w:val="0"/>
        <w:autoSpaceDN w:val="0"/>
        <w:adjustRightInd w:val="0"/>
        <w:jc w:val="center"/>
        <w:rPr>
          <w:rFonts w:asciiTheme="minorEastAsia" w:hAnsiTheme="minorEastAsia" w:eastAsiaTheme="minorEastAsia" w:cstheme="minorEastAsia"/>
          <w:b/>
          <w:color w:val="auto"/>
          <w:kern w:val="0"/>
          <w:sz w:val="36"/>
          <w:szCs w:val="36"/>
          <w:highlight w:val="none"/>
        </w:rPr>
      </w:pPr>
      <w:r>
        <w:rPr>
          <w:rFonts w:hint="eastAsia" w:asciiTheme="minorEastAsia" w:hAnsiTheme="minorEastAsia" w:eastAsiaTheme="minorEastAsia" w:cstheme="minorEastAsia"/>
          <w:b/>
          <w:color w:val="auto"/>
          <w:kern w:val="0"/>
          <w:sz w:val="36"/>
          <w:szCs w:val="36"/>
          <w:highlight w:val="none"/>
        </w:rPr>
        <w:t>目   录</w:t>
      </w:r>
    </w:p>
    <w:p w14:paraId="65D88031">
      <w:pPr>
        <w:autoSpaceDE w:val="0"/>
        <w:autoSpaceDN w:val="0"/>
        <w:adjustRightInd w:val="0"/>
        <w:jc w:val="center"/>
        <w:rPr>
          <w:rFonts w:asciiTheme="minorEastAsia" w:hAnsiTheme="minorEastAsia" w:eastAsiaTheme="minorEastAsia" w:cstheme="minorEastAsia"/>
          <w:b/>
          <w:color w:val="auto"/>
          <w:kern w:val="0"/>
          <w:szCs w:val="21"/>
          <w:highlight w:val="none"/>
        </w:rPr>
      </w:pPr>
    </w:p>
    <w:sdt>
      <w:sdtPr>
        <w:rPr>
          <w:rFonts w:ascii="宋体" w:hAnsi="宋体" w:eastAsia="宋体" w:cs="Times New Roman"/>
          <w:color w:val="auto"/>
          <w:kern w:val="2"/>
          <w:sz w:val="21"/>
          <w:szCs w:val="24"/>
          <w:highlight w:val="none"/>
          <w:lang w:val="en-US" w:eastAsia="zh-CN" w:bidi="ar-SA"/>
        </w:rPr>
        <w:id w:val="147472844"/>
        <w15:color w:val="DBDBDB"/>
        <w:docPartObj>
          <w:docPartGallery w:val="Table of Contents"/>
          <w:docPartUnique/>
        </w:docPartObj>
      </w:sdtPr>
      <w:sdtEndPr>
        <w:rPr>
          <w:rFonts w:asciiTheme="minorEastAsia" w:hAnsiTheme="minorEastAsia" w:eastAsiaTheme="minorEastAsia" w:cstheme="minorEastAsia"/>
          <w:bCs/>
          <w:color w:val="auto"/>
          <w:kern w:val="0"/>
          <w:sz w:val="21"/>
          <w:szCs w:val="24"/>
          <w:highlight w:val="none"/>
          <w:lang w:val="en-US" w:eastAsia="zh-CN" w:bidi="ar-SA"/>
        </w:rPr>
      </w:sdtEndPr>
      <w:sdtContent>
        <w:p w14:paraId="4A4950A3">
          <w:pPr>
            <w:spacing w:before="0" w:beforeLines="0" w:after="0" w:afterLines="0" w:line="240" w:lineRule="auto"/>
            <w:ind w:left="0" w:leftChars="0" w:right="0" w:rightChars="0" w:firstLine="0" w:firstLineChars="0"/>
            <w:jc w:val="center"/>
            <w:rPr>
              <w:color w:val="auto"/>
              <w:highlight w:val="none"/>
            </w:rPr>
          </w:pPr>
        </w:p>
        <w:p w14:paraId="030427D3">
          <w:pPr>
            <w:pStyle w:val="45"/>
            <w:keepNext w:val="0"/>
            <w:keepLines w:val="0"/>
            <w:pageBreakBefore w:val="0"/>
            <w:tabs>
              <w:tab w:val="right" w:leader="dot" w:pos="9355"/>
            </w:tabs>
            <w:kinsoku/>
            <w:wordWrap/>
            <w:overflowPunct/>
            <w:topLinePunct w:val="0"/>
            <w:autoSpaceDE/>
            <w:autoSpaceDN/>
            <w:bidi w:val="0"/>
            <w:adjustRightInd/>
            <w:snapToGrid/>
            <w:spacing w:line="500" w:lineRule="exact"/>
            <w:textAlignment w:val="auto"/>
            <w:rPr>
              <w:color w:val="auto"/>
              <w:sz w:val="28"/>
              <w:szCs w:val="28"/>
              <w:highlight w:val="none"/>
            </w:rPr>
          </w:pPr>
          <w:r>
            <w:rPr>
              <w:rFonts w:asciiTheme="minorEastAsia" w:hAnsiTheme="minorEastAsia" w:eastAsiaTheme="minorEastAsia" w:cstheme="minorEastAsia"/>
              <w:b/>
              <w:bCs/>
              <w:color w:val="auto"/>
              <w:kern w:val="0"/>
              <w:sz w:val="28"/>
              <w:szCs w:val="28"/>
              <w:highlight w:val="none"/>
            </w:rPr>
            <w:fldChar w:fldCharType="begin"/>
          </w:r>
          <w:r>
            <w:rPr>
              <w:rFonts w:asciiTheme="minorEastAsia" w:hAnsiTheme="minorEastAsia" w:eastAsiaTheme="minorEastAsia" w:cstheme="minorEastAsia"/>
              <w:b/>
              <w:bCs/>
              <w:color w:val="auto"/>
              <w:kern w:val="0"/>
              <w:sz w:val="28"/>
              <w:szCs w:val="28"/>
              <w:highlight w:val="none"/>
            </w:rPr>
            <w:instrText xml:space="preserve">TOC \o "1-1" \h \u </w:instrText>
          </w:r>
          <w:r>
            <w:rPr>
              <w:rFonts w:asciiTheme="minorEastAsia" w:hAnsiTheme="minorEastAsia" w:eastAsiaTheme="minorEastAsia" w:cstheme="minorEastAsia"/>
              <w:b/>
              <w:bCs/>
              <w:color w:val="auto"/>
              <w:kern w:val="0"/>
              <w:sz w:val="28"/>
              <w:szCs w:val="28"/>
              <w:highlight w:val="none"/>
            </w:rPr>
            <w:fldChar w:fldCharType="separate"/>
          </w:r>
          <w:r>
            <w:rPr>
              <w:rFonts w:asciiTheme="minorEastAsia" w:hAnsiTheme="minorEastAsia" w:eastAsiaTheme="minorEastAsia" w:cstheme="minorEastAsia"/>
              <w:bCs/>
              <w:color w:val="auto"/>
              <w:kern w:val="0"/>
              <w:sz w:val="28"/>
              <w:szCs w:val="28"/>
              <w:highlight w:val="none"/>
            </w:rPr>
            <w:fldChar w:fldCharType="begin"/>
          </w:r>
          <w:r>
            <w:rPr>
              <w:rFonts w:asciiTheme="minorEastAsia" w:hAnsiTheme="minorEastAsia" w:eastAsiaTheme="minorEastAsia" w:cstheme="minorEastAsia"/>
              <w:bCs/>
              <w:color w:val="auto"/>
              <w:kern w:val="0"/>
              <w:sz w:val="28"/>
              <w:szCs w:val="28"/>
              <w:highlight w:val="none"/>
            </w:rPr>
            <w:instrText xml:space="preserve"> HYPERLINK \l _Toc30096 </w:instrText>
          </w:r>
          <w:r>
            <w:rPr>
              <w:rFonts w:asciiTheme="minorEastAsia" w:hAnsiTheme="minorEastAsia" w:eastAsiaTheme="minorEastAsia" w:cstheme="minorEastAsia"/>
              <w:bCs/>
              <w:color w:val="auto"/>
              <w:kern w:val="0"/>
              <w:sz w:val="28"/>
              <w:szCs w:val="28"/>
              <w:highlight w:val="none"/>
            </w:rPr>
            <w:fldChar w:fldCharType="separate"/>
          </w:r>
          <w:r>
            <w:rPr>
              <w:rFonts w:hint="eastAsia" w:asciiTheme="minorEastAsia" w:hAnsiTheme="minorEastAsia" w:eastAsiaTheme="minorEastAsia" w:cstheme="minorEastAsia"/>
              <w:color w:val="auto"/>
              <w:kern w:val="0"/>
              <w:sz w:val="28"/>
              <w:szCs w:val="28"/>
              <w:highlight w:val="none"/>
            </w:rPr>
            <w:t>第一章 竞争性谈判公告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_Toc30096 \h </w:instrText>
          </w:r>
          <w:r>
            <w:rPr>
              <w:color w:val="auto"/>
              <w:sz w:val="28"/>
              <w:szCs w:val="28"/>
              <w:highlight w:val="none"/>
            </w:rPr>
            <w:fldChar w:fldCharType="separate"/>
          </w:r>
          <w:r>
            <w:rPr>
              <w:color w:val="auto"/>
              <w:sz w:val="28"/>
              <w:szCs w:val="28"/>
              <w:highlight w:val="none"/>
            </w:rPr>
            <w:t>0</w:t>
          </w:r>
          <w:r>
            <w:rPr>
              <w:color w:val="auto"/>
              <w:sz w:val="28"/>
              <w:szCs w:val="28"/>
              <w:highlight w:val="none"/>
            </w:rPr>
            <w:fldChar w:fldCharType="end"/>
          </w:r>
          <w:r>
            <w:rPr>
              <w:rFonts w:asciiTheme="minorEastAsia" w:hAnsiTheme="minorEastAsia" w:eastAsiaTheme="minorEastAsia" w:cstheme="minorEastAsia"/>
              <w:bCs/>
              <w:color w:val="auto"/>
              <w:kern w:val="0"/>
              <w:sz w:val="28"/>
              <w:szCs w:val="28"/>
              <w:highlight w:val="none"/>
            </w:rPr>
            <w:fldChar w:fldCharType="end"/>
          </w:r>
        </w:p>
        <w:p w14:paraId="7600C729">
          <w:pPr>
            <w:pStyle w:val="45"/>
            <w:keepNext w:val="0"/>
            <w:keepLines w:val="0"/>
            <w:pageBreakBefore w:val="0"/>
            <w:tabs>
              <w:tab w:val="right" w:leader="dot" w:pos="9355"/>
            </w:tabs>
            <w:kinsoku/>
            <w:wordWrap/>
            <w:overflowPunct/>
            <w:topLinePunct w:val="0"/>
            <w:autoSpaceDE/>
            <w:autoSpaceDN/>
            <w:bidi w:val="0"/>
            <w:adjustRightInd/>
            <w:snapToGrid/>
            <w:spacing w:line="500" w:lineRule="exact"/>
            <w:textAlignment w:val="auto"/>
            <w:rPr>
              <w:color w:val="auto"/>
              <w:sz w:val="28"/>
              <w:szCs w:val="28"/>
              <w:highlight w:val="none"/>
            </w:rPr>
          </w:pPr>
          <w:r>
            <w:rPr>
              <w:rFonts w:asciiTheme="minorEastAsia" w:hAnsiTheme="minorEastAsia" w:eastAsiaTheme="minorEastAsia" w:cstheme="minorEastAsia"/>
              <w:bCs/>
              <w:color w:val="auto"/>
              <w:kern w:val="0"/>
              <w:sz w:val="28"/>
              <w:szCs w:val="28"/>
              <w:highlight w:val="none"/>
            </w:rPr>
            <w:fldChar w:fldCharType="begin"/>
          </w:r>
          <w:r>
            <w:rPr>
              <w:rFonts w:asciiTheme="minorEastAsia" w:hAnsiTheme="minorEastAsia" w:eastAsiaTheme="minorEastAsia" w:cstheme="minorEastAsia"/>
              <w:bCs/>
              <w:color w:val="auto"/>
              <w:kern w:val="0"/>
              <w:sz w:val="28"/>
              <w:szCs w:val="28"/>
              <w:highlight w:val="none"/>
            </w:rPr>
            <w:instrText xml:space="preserve"> HYPERLINK \l _Toc24603 </w:instrText>
          </w:r>
          <w:r>
            <w:rPr>
              <w:rFonts w:asciiTheme="minorEastAsia" w:hAnsiTheme="minorEastAsia" w:eastAsiaTheme="minorEastAsia" w:cstheme="minorEastAsia"/>
              <w:bCs/>
              <w:color w:val="auto"/>
              <w:kern w:val="0"/>
              <w:sz w:val="28"/>
              <w:szCs w:val="28"/>
              <w:highlight w:val="none"/>
            </w:rPr>
            <w:fldChar w:fldCharType="separate"/>
          </w:r>
          <w:r>
            <w:rPr>
              <w:rFonts w:hint="eastAsia" w:asciiTheme="minorEastAsia" w:hAnsiTheme="minorEastAsia" w:eastAsiaTheme="minorEastAsia" w:cstheme="minorEastAsia"/>
              <w:color w:val="auto"/>
              <w:kern w:val="0"/>
              <w:sz w:val="28"/>
              <w:szCs w:val="28"/>
              <w:highlight w:val="none"/>
            </w:rPr>
            <w:t>第二章 竞谈商须知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_Toc24603 \h </w:instrText>
          </w:r>
          <w:r>
            <w:rPr>
              <w:color w:val="auto"/>
              <w:sz w:val="28"/>
              <w:szCs w:val="28"/>
              <w:highlight w:val="none"/>
            </w:rPr>
            <w:fldChar w:fldCharType="separate"/>
          </w:r>
          <w:r>
            <w:rPr>
              <w:color w:val="auto"/>
              <w:sz w:val="28"/>
              <w:szCs w:val="28"/>
              <w:highlight w:val="none"/>
            </w:rPr>
            <w:t>8</w:t>
          </w:r>
          <w:r>
            <w:rPr>
              <w:color w:val="auto"/>
              <w:sz w:val="28"/>
              <w:szCs w:val="28"/>
              <w:highlight w:val="none"/>
            </w:rPr>
            <w:fldChar w:fldCharType="end"/>
          </w:r>
          <w:r>
            <w:rPr>
              <w:rFonts w:asciiTheme="minorEastAsia" w:hAnsiTheme="minorEastAsia" w:eastAsiaTheme="minorEastAsia" w:cstheme="minorEastAsia"/>
              <w:bCs/>
              <w:color w:val="auto"/>
              <w:kern w:val="0"/>
              <w:sz w:val="28"/>
              <w:szCs w:val="28"/>
              <w:highlight w:val="none"/>
            </w:rPr>
            <w:fldChar w:fldCharType="end"/>
          </w:r>
        </w:p>
        <w:p w14:paraId="669DFB67">
          <w:pPr>
            <w:pStyle w:val="45"/>
            <w:keepNext w:val="0"/>
            <w:keepLines w:val="0"/>
            <w:pageBreakBefore w:val="0"/>
            <w:tabs>
              <w:tab w:val="right" w:leader="dot" w:pos="9355"/>
            </w:tabs>
            <w:kinsoku/>
            <w:wordWrap/>
            <w:overflowPunct/>
            <w:topLinePunct w:val="0"/>
            <w:autoSpaceDE/>
            <w:autoSpaceDN/>
            <w:bidi w:val="0"/>
            <w:adjustRightInd/>
            <w:snapToGrid/>
            <w:spacing w:line="500" w:lineRule="exact"/>
            <w:textAlignment w:val="auto"/>
            <w:rPr>
              <w:color w:val="auto"/>
              <w:sz w:val="28"/>
              <w:szCs w:val="28"/>
              <w:highlight w:val="none"/>
            </w:rPr>
          </w:pPr>
          <w:r>
            <w:rPr>
              <w:rFonts w:asciiTheme="minorEastAsia" w:hAnsiTheme="minorEastAsia" w:eastAsiaTheme="minorEastAsia" w:cstheme="minorEastAsia"/>
              <w:bCs/>
              <w:color w:val="auto"/>
              <w:kern w:val="0"/>
              <w:sz w:val="28"/>
              <w:szCs w:val="28"/>
              <w:highlight w:val="none"/>
            </w:rPr>
            <w:fldChar w:fldCharType="begin"/>
          </w:r>
          <w:r>
            <w:rPr>
              <w:rFonts w:asciiTheme="minorEastAsia" w:hAnsiTheme="minorEastAsia" w:eastAsiaTheme="minorEastAsia" w:cstheme="minorEastAsia"/>
              <w:bCs/>
              <w:color w:val="auto"/>
              <w:kern w:val="0"/>
              <w:sz w:val="28"/>
              <w:szCs w:val="28"/>
              <w:highlight w:val="none"/>
            </w:rPr>
            <w:instrText xml:space="preserve"> HYPERLINK \l _Toc25619 </w:instrText>
          </w:r>
          <w:r>
            <w:rPr>
              <w:rFonts w:asciiTheme="minorEastAsia" w:hAnsiTheme="minorEastAsia" w:eastAsiaTheme="minorEastAsia" w:cstheme="minorEastAsia"/>
              <w:bCs/>
              <w:color w:val="auto"/>
              <w:kern w:val="0"/>
              <w:sz w:val="28"/>
              <w:szCs w:val="28"/>
              <w:highlight w:val="none"/>
            </w:rPr>
            <w:fldChar w:fldCharType="separate"/>
          </w:r>
          <w:r>
            <w:rPr>
              <w:rFonts w:hint="eastAsia" w:asciiTheme="minorEastAsia" w:hAnsiTheme="minorEastAsia" w:eastAsiaTheme="minorEastAsia" w:cstheme="minorEastAsia"/>
              <w:color w:val="auto"/>
              <w:kern w:val="0"/>
              <w:sz w:val="28"/>
              <w:szCs w:val="28"/>
              <w:highlight w:val="none"/>
            </w:rPr>
            <w:t>第三章 技术标准及服务要求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_Toc25619 \h </w:instrText>
          </w:r>
          <w:r>
            <w:rPr>
              <w:color w:val="auto"/>
              <w:sz w:val="28"/>
              <w:szCs w:val="28"/>
              <w:highlight w:val="none"/>
            </w:rPr>
            <w:fldChar w:fldCharType="separate"/>
          </w:r>
          <w:r>
            <w:rPr>
              <w:color w:val="auto"/>
              <w:sz w:val="28"/>
              <w:szCs w:val="28"/>
              <w:highlight w:val="none"/>
            </w:rPr>
            <w:t>22</w:t>
          </w:r>
          <w:r>
            <w:rPr>
              <w:color w:val="auto"/>
              <w:sz w:val="28"/>
              <w:szCs w:val="28"/>
              <w:highlight w:val="none"/>
            </w:rPr>
            <w:fldChar w:fldCharType="end"/>
          </w:r>
          <w:r>
            <w:rPr>
              <w:rFonts w:asciiTheme="minorEastAsia" w:hAnsiTheme="minorEastAsia" w:eastAsiaTheme="minorEastAsia" w:cstheme="minorEastAsia"/>
              <w:bCs/>
              <w:color w:val="auto"/>
              <w:kern w:val="0"/>
              <w:sz w:val="28"/>
              <w:szCs w:val="28"/>
              <w:highlight w:val="none"/>
            </w:rPr>
            <w:fldChar w:fldCharType="end"/>
          </w:r>
        </w:p>
        <w:p w14:paraId="373C3B23">
          <w:pPr>
            <w:pStyle w:val="45"/>
            <w:keepNext w:val="0"/>
            <w:keepLines w:val="0"/>
            <w:pageBreakBefore w:val="0"/>
            <w:tabs>
              <w:tab w:val="right" w:leader="dot" w:pos="9355"/>
            </w:tabs>
            <w:kinsoku/>
            <w:wordWrap/>
            <w:overflowPunct/>
            <w:topLinePunct w:val="0"/>
            <w:autoSpaceDE/>
            <w:autoSpaceDN/>
            <w:bidi w:val="0"/>
            <w:adjustRightInd/>
            <w:snapToGrid/>
            <w:spacing w:line="500" w:lineRule="exact"/>
            <w:textAlignment w:val="auto"/>
            <w:rPr>
              <w:color w:val="auto"/>
              <w:sz w:val="28"/>
              <w:szCs w:val="28"/>
              <w:highlight w:val="none"/>
            </w:rPr>
          </w:pPr>
          <w:r>
            <w:rPr>
              <w:rFonts w:asciiTheme="minorEastAsia" w:hAnsiTheme="minorEastAsia" w:eastAsiaTheme="minorEastAsia" w:cstheme="minorEastAsia"/>
              <w:bCs/>
              <w:color w:val="auto"/>
              <w:kern w:val="0"/>
              <w:sz w:val="28"/>
              <w:szCs w:val="28"/>
              <w:highlight w:val="none"/>
            </w:rPr>
            <w:fldChar w:fldCharType="begin"/>
          </w:r>
          <w:r>
            <w:rPr>
              <w:rFonts w:asciiTheme="minorEastAsia" w:hAnsiTheme="minorEastAsia" w:eastAsiaTheme="minorEastAsia" w:cstheme="minorEastAsia"/>
              <w:bCs/>
              <w:color w:val="auto"/>
              <w:kern w:val="0"/>
              <w:sz w:val="28"/>
              <w:szCs w:val="28"/>
              <w:highlight w:val="none"/>
            </w:rPr>
            <w:instrText xml:space="preserve"> HYPERLINK \l _Toc22673 </w:instrText>
          </w:r>
          <w:r>
            <w:rPr>
              <w:rFonts w:asciiTheme="minorEastAsia" w:hAnsiTheme="minorEastAsia" w:eastAsiaTheme="minorEastAsia" w:cstheme="minorEastAsia"/>
              <w:bCs/>
              <w:color w:val="auto"/>
              <w:kern w:val="0"/>
              <w:sz w:val="28"/>
              <w:szCs w:val="28"/>
              <w:highlight w:val="none"/>
            </w:rPr>
            <w:fldChar w:fldCharType="separate"/>
          </w:r>
          <w:r>
            <w:rPr>
              <w:rFonts w:hint="eastAsia" w:asciiTheme="minorEastAsia" w:hAnsiTheme="minorEastAsia" w:eastAsiaTheme="minorEastAsia" w:cstheme="minorEastAsia"/>
              <w:bCs/>
              <w:color w:val="auto"/>
              <w:kern w:val="0"/>
              <w:sz w:val="28"/>
              <w:szCs w:val="28"/>
              <w:highlight w:val="none"/>
            </w:rPr>
            <w:t>第四章 合同条款及格式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_Toc22673 \h </w:instrText>
          </w:r>
          <w:r>
            <w:rPr>
              <w:color w:val="auto"/>
              <w:sz w:val="28"/>
              <w:szCs w:val="28"/>
              <w:highlight w:val="none"/>
            </w:rPr>
            <w:fldChar w:fldCharType="separate"/>
          </w:r>
          <w:r>
            <w:rPr>
              <w:color w:val="auto"/>
              <w:sz w:val="28"/>
              <w:szCs w:val="28"/>
              <w:highlight w:val="none"/>
            </w:rPr>
            <w:t>24</w:t>
          </w:r>
          <w:r>
            <w:rPr>
              <w:color w:val="auto"/>
              <w:sz w:val="28"/>
              <w:szCs w:val="28"/>
              <w:highlight w:val="none"/>
            </w:rPr>
            <w:fldChar w:fldCharType="end"/>
          </w:r>
          <w:r>
            <w:rPr>
              <w:rFonts w:asciiTheme="minorEastAsia" w:hAnsiTheme="minorEastAsia" w:eastAsiaTheme="minorEastAsia" w:cstheme="minorEastAsia"/>
              <w:bCs/>
              <w:color w:val="auto"/>
              <w:kern w:val="0"/>
              <w:sz w:val="28"/>
              <w:szCs w:val="28"/>
              <w:highlight w:val="none"/>
            </w:rPr>
            <w:fldChar w:fldCharType="end"/>
          </w:r>
        </w:p>
        <w:p w14:paraId="32BE89FC">
          <w:pPr>
            <w:pStyle w:val="45"/>
            <w:keepNext w:val="0"/>
            <w:keepLines w:val="0"/>
            <w:pageBreakBefore w:val="0"/>
            <w:tabs>
              <w:tab w:val="right" w:leader="dot" w:pos="9355"/>
            </w:tabs>
            <w:kinsoku/>
            <w:wordWrap/>
            <w:overflowPunct/>
            <w:topLinePunct w:val="0"/>
            <w:autoSpaceDE/>
            <w:autoSpaceDN/>
            <w:bidi w:val="0"/>
            <w:adjustRightInd/>
            <w:snapToGrid/>
            <w:spacing w:line="500" w:lineRule="exact"/>
            <w:textAlignment w:val="auto"/>
            <w:rPr>
              <w:color w:val="auto"/>
              <w:sz w:val="28"/>
              <w:szCs w:val="28"/>
              <w:highlight w:val="none"/>
            </w:rPr>
          </w:pPr>
          <w:r>
            <w:rPr>
              <w:rFonts w:asciiTheme="minorEastAsia" w:hAnsiTheme="minorEastAsia" w:eastAsiaTheme="minorEastAsia" w:cstheme="minorEastAsia"/>
              <w:bCs/>
              <w:color w:val="auto"/>
              <w:kern w:val="0"/>
              <w:sz w:val="28"/>
              <w:szCs w:val="28"/>
              <w:highlight w:val="none"/>
            </w:rPr>
            <w:fldChar w:fldCharType="begin"/>
          </w:r>
          <w:r>
            <w:rPr>
              <w:rFonts w:asciiTheme="minorEastAsia" w:hAnsiTheme="minorEastAsia" w:eastAsiaTheme="minorEastAsia" w:cstheme="minorEastAsia"/>
              <w:bCs/>
              <w:color w:val="auto"/>
              <w:kern w:val="0"/>
              <w:sz w:val="28"/>
              <w:szCs w:val="28"/>
              <w:highlight w:val="none"/>
            </w:rPr>
            <w:instrText xml:space="preserve"> HYPERLINK \l _Toc22617 </w:instrText>
          </w:r>
          <w:r>
            <w:rPr>
              <w:rFonts w:asciiTheme="minorEastAsia" w:hAnsiTheme="minorEastAsia" w:eastAsiaTheme="minorEastAsia" w:cstheme="minorEastAsia"/>
              <w:bCs/>
              <w:color w:val="auto"/>
              <w:kern w:val="0"/>
              <w:sz w:val="28"/>
              <w:szCs w:val="28"/>
              <w:highlight w:val="none"/>
            </w:rPr>
            <w:fldChar w:fldCharType="separate"/>
          </w:r>
          <w:r>
            <w:rPr>
              <w:rFonts w:hint="eastAsia" w:asciiTheme="minorEastAsia" w:hAnsiTheme="minorEastAsia" w:eastAsiaTheme="minorEastAsia" w:cstheme="minorEastAsia"/>
              <w:color w:val="auto"/>
              <w:kern w:val="0"/>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_Toc22617 \h </w:instrText>
          </w:r>
          <w:r>
            <w:rPr>
              <w:color w:val="auto"/>
              <w:sz w:val="28"/>
              <w:szCs w:val="28"/>
              <w:highlight w:val="none"/>
            </w:rPr>
            <w:fldChar w:fldCharType="separate"/>
          </w:r>
          <w:r>
            <w:rPr>
              <w:color w:val="auto"/>
              <w:sz w:val="28"/>
              <w:szCs w:val="28"/>
              <w:highlight w:val="none"/>
            </w:rPr>
            <w:t>32</w:t>
          </w:r>
          <w:r>
            <w:rPr>
              <w:color w:val="auto"/>
              <w:sz w:val="28"/>
              <w:szCs w:val="28"/>
              <w:highlight w:val="none"/>
            </w:rPr>
            <w:fldChar w:fldCharType="end"/>
          </w:r>
          <w:r>
            <w:rPr>
              <w:rFonts w:asciiTheme="minorEastAsia" w:hAnsiTheme="minorEastAsia" w:eastAsiaTheme="minorEastAsia" w:cstheme="minorEastAsia"/>
              <w:bCs/>
              <w:color w:val="auto"/>
              <w:kern w:val="0"/>
              <w:sz w:val="28"/>
              <w:szCs w:val="28"/>
              <w:highlight w:val="none"/>
            </w:rPr>
            <w:fldChar w:fldCharType="end"/>
          </w:r>
        </w:p>
        <w:p w14:paraId="67ACED87">
          <w:pPr>
            <w:keepNext w:val="0"/>
            <w:keepLines w:val="0"/>
            <w:pageBreakBefore w:val="0"/>
            <w:kinsoku/>
            <w:wordWrap/>
            <w:overflowPunct/>
            <w:topLinePunct w:val="0"/>
            <w:autoSpaceDE/>
            <w:autoSpaceDN/>
            <w:bidi w:val="0"/>
            <w:adjustRightInd/>
            <w:snapToGrid/>
            <w:spacing w:after="0" w:line="500" w:lineRule="exact"/>
            <w:textAlignment w:val="auto"/>
            <w:rPr>
              <w:rFonts w:asciiTheme="minorEastAsia" w:hAnsiTheme="minorEastAsia" w:eastAsiaTheme="minorEastAsia" w:cstheme="minorEastAsia"/>
              <w:b/>
              <w:bCs/>
              <w:color w:val="auto"/>
              <w:kern w:val="0"/>
              <w:sz w:val="24"/>
              <w:highlight w:val="none"/>
            </w:rPr>
            <w:sectPr>
              <w:headerReference r:id="rId5" w:type="default"/>
              <w:footerReference r:id="rId6" w:type="default"/>
              <w:footerReference r:id="rId7" w:type="even"/>
              <w:pgSz w:w="11906" w:h="16838"/>
              <w:pgMar w:top="1417" w:right="1417" w:bottom="1417" w:left="1134" w:header="851" w:footer="726" w:gutter="0"/>
              <w:pgNumType w:start="1"/>
              <w:cols w:space="720" w:num="1"/>
              <w:docGrid w:type="lines" w:linePitch="312" w:charSpace="0"/>
            </w:sectPr>
          </w:pPr>
          <w:r>
            <w:rPr>
              <w:rFonts w:asciiTheme="minorEastAsia" w:hAnsiTheme="minorEastAsia" w:eastAsiaTheme="minorEastAsia" w:cstheme="minorEastAsia"/>
              <w:bCs/>
              <w:color w:val="auto"/>
              <w:kern w:val="0"/>
              <w:sz w:val="28"/>
              <w:szCs w:val="28"/>
              <w:highlight w:val="none"/>
            </w:rPr>
            <w:fldChar w:fldCharType="end"/>
          </w:r>
        </w:p>
      </w:sdtContent>
    </w:sdt>
    <w:p w14:paraId="5037D93D">
      <w:pPr>
        <w:pStyle w:val="3"/>
        <w:spacing w:before="120" w:after="120" w:line="360" w:lineRule="auto"/>
        <w:jc w:val="center"/>
        <w:rPr>
          <w:rFonts w:asciiTheme="minorEastAsia" w:hAnsiTheme="minorEastAsia" w:eastAsiaTheme="minorEastAsia" w:cstheme="minorEastAsia"/>
          <w:color w:val="auto"/>
          <w:kern w:val="0"/>
          <w:sz w:val="40"/>
          <w:szCs w:val="40"/>
          <w:highlight w:val="none"/>
        </w:rPr>
      </w:pPr>
      <w:r>
        <w:rPr>
          <w:rFonts w:hint="eastAsia" w:asciiTheme="minorEastAsia" w:hAnsiTheme="minorEastAsia" w:eastAsiaTheme="minorEastAsia" w:cstheme="minorEastAsia"/>
          <w:color w:val="auto"/>
          <w:kern w:val="0"/>
          <w:sz w:val="40"/>
          <w:szCs w:val="40"/>
          <w:highlight w:val="none"/>
        </w:rPr>
        <w:t xml:space="preserve">第一章 </w:t>
      </w:r>
      <w:bookmarkEnd w:id="1"/>
      <w:r>
        <w:rPr>
          <w:rFonts w:hint="eastAsia" w:asciiTheme="minorEastAsia" w:hAnsiTheme="minorEastAsia" w:eastAsiaTheme="minorEastAsia" w:cstheme="minorEastAsia"/>
          <w:color w:val="auto"/>
          <w:kern w:val="0"/>
          <w:sz w:val="40"/>
          <w:szCs w:val="40"/>
          <w:highlight w:val="none"/>
        </w:rPr>
        <w:t>竞争性谈判公告</w:t>
      </w:r>
      <w:bookmarkEnd w:id="2"/>
      <w:bookmarkEnd w:id="3"/>
    </w:p>
    <w:p w14:paraId="3B158921">
      <w:pPr>
        <w:spacing w:line="480" w:lineRule="exact"/>
        <w:jc w:val="center"/>
        <w:rPr>
          <w:rFonts w:asciiTheme="minorEastAsia" w:hAnsiTheme="minorEastAsia" w:eastAsiaTheme="minorEastAsia" w:cstheme="minorEastAsia"/>
          <w:color w:val="auto"/>
          <w:highlight w:val="none"/>
        </w:rPr>
      </w:pPr>
      <w:bookmarkStart w:id="7" w:name="_Hlk10206953"/>
      <w:bookmarkStart w:id="8" w:name="_Hlk16171519"/>
      <w:r>
        <w:rPr>
          <w:rFonts w:hint="eastAsia" w:asciiTheme="minorEastAsia" w:hAnsiTheme="minorEastAsia" w:eastAsiaTheme="minorEastAsia" w:cstheme="minorEastAsia"/>
          <w:b/>
          <w:color w:val="auto"/>
          <w:kern w:val="0"/>
          <w:sz w:val="32"/>
          <w:szCs w:val="22"/>
          <w:highlight w:val="none"/>
          <w:shd w:val="clear" w:color="auto" w:fill="FFFFFF"/>
          <w:lang w:val="en-US" w:eastAsia="zh-CN"/>
        </w:rPr>
        <w:t>【平公资采2026844号】</w:t>
      </w:r>
      <w:r>
        <w:rPr>
          <w:rFonts w:hint="eastAsia" w:asciiTheme="minorEastAsia" w:hAnsiTheme="minorEastAsia" w:eastAsiaTheme="minorEastAsia" w:cstheme="minorEastAsia"/>
          <w:b/>
          <w:color w:val="auto"/>
          <w:kern w:val="0"/>
          <w:sz w:val="32"/>
          <w:szCs w:val="22"/>
          <w:highlight w:val="none"/>
          <w:shd w:val="clear" w:color="auto" w:fill="FFFFFF"/>
          <w:lang w:eastAsia="zh-CN"/>
        </w:rPr>
        <w:t>平顶山市第一人民医院优越路院区维修下送服务外包项目</w:t>
      </w:r>
      <w:r>
        <w:rPr>
          <w:rFonts w:hint="eastAsia" w:asciiTheme="minorEastAsia" w:hAnsiTheme="minorEastAsia" w:eastAsiaTheme="minorEastAsia" w:cstheme="minorEastAsia"/>
          <w:b/>
          <w:color w:val="auto"/>
          <w:kern w:val="0"/>
          <w:sz w:val="32"/>
          <w:szCs w:val="22"/>
          <w:highlight w:val="none"/>
          <w:shd w:val="clear" w:color="auto" w:fill="FFFFFF"/>
          <w:lang w:val="en-US" w:eastAsia="zh-CN"/>
        </w:rPr>
        <w:t>-</w:t>
      </w:r>
      <w:r>
        <w:rPr>
          <w:rFonts w:hint="eastAsia" w:asciiTheme="minorEastAsia" w:hAnsiTheme="minorEastAsia" w:eastAsiaTheme="minorEastAsia" w:cstheme="minorEastAsia"/>
          <w:b/>
          <w:color w:val="auto"/>
          <w:kern w:val="0"/>
          <w:sz w:val="32"/>
          <w:szCs w:val="22"/>
          <w:highlight w:val="none"/>
          <w:shd w:val="clear" w:color="auto" w:fill="FFFFFF"/>
        </w:rPr>
        <w:t>竞争性谈判公告</w:t>
      </w:r>
    </w:p>
    <w:p w14:paraId="40354BBF">
      <w:pPr>
        <w:pStyle w:val="24"/>
        <w:spacing w:line="440" w:lineRule="exact"/>
        <w:ind w:left="0" w:leftChars="0"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项目概况</w:t>
      </w:r>
    </w:p>
    <w:p w14:paraId="008F779C">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0" w:firstLineChars="200"/>
        <w:textAlignment w:val="auto"/>
        <w:rPr>
          <w:rFonts w:hint="eastAsia" w:asciiTheme="minorEastAsia" w:hAnsiTheme="minorEastAsia" w:eastAsiaTheme="minorEastAsia" w:cstheme="minorEastAsia"/>
          <w:b/>
          <w:bCs/>
          <w:color w:val="auto"/>
          <w:highlight w:val="none"/>
          <w:shd w:val="clear" w:color="auto" w:fill="FFFFFF"/>
        </w:rPr>
      </w:pPr>
      <w:r>
        <w:rPr>
          <w:rFonts w:hint="eastAsia" w:ascii="宋体" w:hAnsi="宋体" w:cs="宋体"/>
          <w:bCs/>
          <w:color w:val="auto"/>
          <w:kern w:val="0"/>
          <w:sz w:val="24"/>
          <w:szCs w:val="24"/>
          <w:highlight w:val="none"/>
          <w:lang w:val="en-US" w:eastAsia="zh-CN" w:bidi="ar"/>
        </w:rPr>
        <w:t>平顶山市第一人民医院优越路院区维修下送服务外包项目</w:t>
      </w:r>
      <w:r>
        <w:rPr>
          <w:rFonts w:hint="eastAsia" w:ascii="宋体" w:hAnsi="宋体" w:eastAsia="宋体" w:cs="宋体"/>
          <w:bCs/>
          <w:color w:val="auto"/>
          <w:kern w:val="0"/>
          <w:sz w:val="24"/>
          <w:szCs w:val="24"/>
          <w:highlight w:val="none"/>
          <w:lang w:val="en-US" w:eastAsia="zh-CN" w:bidi="ar"/>
        </w:rPr>
        <w:t>招标项目的潜在投标人应在《全国公共资源交易平台（河南省·平顶山市）》</w:t>
      </w:r>
      <w:r>
        <w:rPr>
          <w:rFonts w:hint="eastAsia" w:ascii="宋体" w:hAnsi="宋体" w:cs="宋体"/>
          <w:color w:val="auto"/>
          <w:kern w:val="0"/>
          <w:sz w:val="24"/>
          <w:highlight w:val="none"/>
        </w:rPr>
        <w:t>(</w:t>
      </w:r>
      <w:r>
        <w:rPr>
          <w:rFonts w:hint="eastAsia" w:ascii="宋体" w:hAnsi="宋体" w:cs="宋体"/>
          <w:color w:val="auto"/>
          <w:kern w:val="0"/>
          <w:sz w:val="24"/>
          <w:highlight w:val="none"/>
        </w:rPr>
        <w:fldChar w:fldCharType="begin"/>
      </w:r>
      <w:r>
        <w:rPr>
          <w:rFonts w:hint="eastAsia" w:ascii="宋体" w:hAnsi="宋体" w:cs="宋体"/>
          <w:color w:val="auto"/>
          <w:kern w:val="0"/>
          <w:sz w:val="24"/>
          <w:highlight w:val="none"/>
        </w:rPr>
        <w:instrText xml:space="preserve"> HYPERLINK "http://ggzy.pds.gov.cn/" </w:instrText>
      </w:r>
      <w:r>
        <w:rPr>
          <w:rFonts w:hint="eastAsia" w:ascii="宋体" w:hAnsi="宋体" w:cs="宋体"/>
          <w:color w:val="auto"/>
          <w:kern w:val="0"/>
          <w:sz w:val="24"/>
          <w:highlight w:val="none"/>
        </w:rPr>
        <w:fldChar w:fldCharType="separate"/>
      </w:r>
      <w:r>
        <w:rPr>
          <w:rFonts w:hint="eastAsia" w:ascii="宋体" w:hAnsi="宋体" w:cs="宋体"/>
          <w:color w:val="auto"/>
          <w:kern w:val="0"/>
          <w:sz w:val="24"/>
          <w:highlight w:val="none"/>
        </w:rPr>
        <w:t>http://ggzy.pds.gov.cn/</w:t>
      </w:r>
      <w:r>
        <w:rPr>
          <w:rFonts w:hint="eastAsia" w:ascii="宋体" w:hAnsi="宋体" w:cs="宋体"/>
          <w:color w:val="auto"/>
          <w:kern w:val="0"/>
          <w:sz w:val="24"/>
          <w:highlight w:val="none"/>
        </w:rPr>
        <w:fldChar w:fldCharType="end"/>
      </w:r>
      <w:r>
        <w:rPr>
          <w:rFonts w:hint="eastAsia" w:ascii="宋体" w:hAnsi="宋体" w:cs="宋体"/>
          <w:color w:val="auto"/>
          <w:kern w:val="0"/>
          <w:sz w:val="24"/>
          <w:highlight w:val="none"/>
        </w:rPr>
        <w:t>)</w:t>
      </w:r>
      <w:r>
        <w:rPr>
          <w:rFonts w:hint="eastAsia" w:ascii="宋体" w:hAnsi="宋体" w:eastAsia="宋体" w:cs="宋体"/>
          <w:bCs/>
          <w:color w:val="auto"/>
          <w:kern w:val="0"/>
          <w:sz w:val="24"/>
          <w:szCs w:val="24"/>
          <w:highlight w:val="none"/>
          <w:lang w:val="en-US" w:eastAsia="zh-CN" w:bidi="ar"/>
        </w:rPr>
        <w:t>获取招标文件，并于</w:t>
      </w:r>
      <w:r>
        <w:rPr>
          <w:rFonts w:hint="eastAsia" w:ascii="宋体" w:hAnsi="宋体" w:cs="宋体"/>
          <w:bCs/>
          <w:color w:val="auto"/>
          <w:kern w:val="0"/>
          <w:sz w:val="24"/>
          <w:szCs w:val="24"/>
          <w:highlight w:val="none"/>
          <w:lang w:val="en-US" w:eastAsia="zh-CN" w:bidi="ar"/>
        </w:rPr>
        <w:t>2026年08</w:t>
      </w:r>
      <w:r>
        <w:rPr>
          <w:rFonts w:hint="eastAsia" w:ascii="宋体" w:hAnsi="宋体" w:eastAsia="宋体" w:cs="宋体"/>
          <w:bCs/>
          <w:color w:val="auto"/>
          <w:kern w:val="0"/>
          <w:sz w:val="24"/>
          <w:szCs w:val="24"/>
          <w:highlight w:val="none"/>
          <w:lang w:val="en-US" w:eastAsia="zh-CN" w:bidi="ar"/>
        </w:rPr>
        <w:t>月</w:t>
      </w:r>
      <w:r>
        <w:rPr>
          <w:rFonts w:hint="eastAsia" w:ascii="宋体" w:hAnsi="宋体" w:cs="宋体"/>
          <w:bCs/>
          <w:color w:val="auto"/>
          <w:kern w:val="0"/>
          <w:sz w:val="24"/>
          <w:szCs w:val="24"/>
          <w:highlight w:val="none"/>
          <w:lang w:val="en-US" w:eastAsia="zh-CN" w:bidi="ar"/>
        </w:rPr>
        <w:t>28</w:t>
      </w:r>
      <w:r>
        <w:rPr>
          <w:rFonts w:hint="eastAsia" w:ascii="宋体" w:hAnsi="宋体" w:eastAsia="宋体" w:cs="宋体"/>
          <w:bCs/>
          <w:color w:val="auto"/>
          <w:kern w:val="0"/>
          <w:sz w:val="24"/>
          <w:szCs w:val="24"/>
          <w:highlight w:val="none"/>
          <w:lang w:val="en-US" w:eastAsia="zh-CN" w:bidi="ar"/>
        </w:rPr>
        <w:t>日</w:t>
      </w:r>
      <w:r>
        <w:rPr>
          <w:rFonts w:hint="eastAsia" w:ascii="宋体" w:hAnsi="宋体" w:cs="宋体"/>
          <w:bCs/>
          <w:color w:val="auto"/>
          <w:kern w:val="0"/>
          <w:sz w:val="24"/>
          <w:szCs w:val="24"/>
          <w:highlight w:val="none"/>
          <w:lang w:val="en-US" w:eastAsia="zh-CN" w:bidi="ar"/>
        </w:rPr>
        <w:t>09</w:t>
      </w:r>
      <w:r>
        <w:rPr>
          <w:rFonts w:hint="eastAsia" w:ascii="宋体" w:hAnsi="宋体" w:eastAsia="宋体" w:cs="宋体"/>
          <w:bCs/>
          <w:color w:val="auto"/>
          <w:kern w:val="0"/>
          <w:sz w:val="24"/>
          <w:szCs w:val="24"/>
          <w:highlight w:val="none"/>
          <w:lang w:val="en-US" w:eastAsia="zh-CN" w:bidi="ar"/>
        </w:rPr>
        <w:t>时</w:t>
      </w:r>
      <w:r>
        <w:rPr>
          <w:rFonts w:hint="eastAsia" w:ascii="宋体" w:hAnsi="宋体" w:cs="宋体"/>
          <w:bCs/>
          <w:color w:val="auto"/>
          <w:kern w:val="0"/>
          <w:sz w:val="24"/>
          <w:szCs w:val="24"/>
          <w:highlight w:val="none"/>
          <w:lang w:val="en-US" w:eastAsia="zh-CN" w:bidi="ar"/>
        </w:rPr>
        <w:t>00</w:t>
      </w:r>
      <w:r>
        <w:rPr>
          <w:rFonts w:hint="eastAsia" w:ascii="宋体" w:hAnsi="宋体" w:eastAsia="宋体" w:cs="宋体"/>
          <w:bCs/>
          <w:color w:val="auto"/>
          <w:kern w:val="0"/>
          <w:sz w:val="24"/>
          <w:szCs w:val="24"/>
          <w:highlight w:val="none"/>
          <w:lang w:val="en-US" w:eastAsia="zh-CN" w:bidi="ar"/>
        </w:rPr>
        <w:t>分（北京时间）前递交</w:t>
      </w:r>
      <w:r>
        <w:rPr>
          <w:rFonts w:hint="eastAsia" w:ascii="宋体" w:hAnsi="宋体" w:cs="宋体"/>
          <w:bCs/>
          <w:color w:val="auto"/>
          <w:kern w:val="0"/>
          <w:sz w:val="24"/>
          <w:szCs w:val="24"/>
          <w:highlight w:val="none"/>
          <w:lang w:val="en-US" w:eastAsia="zh-CN" w:bidi="ar"/>
        </w:rPr>
        <w:t>响应</w:t>
      </w:r>
      <w:r>
        <w:rPr>
          <w:rFonts w:hint="eastAsia" w:ascii="宋体" w:hAnsi="宋体" w:eastAsia="宋体" w:cs="宋体"/>
          <w:bCs/>
          <w:color w:val="auto"/>
          <w:kern w:val="0"/>
          <w:sz w:val="24"/>
          <w:szCs w:val="24"/>
          <w:highlight w:val="none"/>
          <w:lang w:val="en-US" w:eastAsia="zh-CN" w:bidi="ar"/>
        </w:rPr>
        <w:t>文件。</w:t>
      </w:r>
    </w:p>
    <w:p w14:paraId="2F09A674">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textAlignment w:val="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shd w:val="clear" w:color="auto" w:fill="FFFFFF"/>
        </w:rPr>
        <w:t>一、项目基本情况</w:t>
      </w:r>
    </w:p>
    <w:p w14:paraId="61625B7E">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right="-488" w:firstLine="482"/>
        <w:textAlignment w:val="auto"/>
        <w:rPr>
          <w:rFonts w:hint="default" w:asciiTheme="minorEastAsia" w:hAnsiTheme="minorEastAsia" w:eastAsiaTheme="minorEastAsia" w:cstheme="minorEastAsia"/>
          <w:color w:val="auto"/>
          <w:highlight w:val="none"/>
          <w:shd w:val="clear" w:color="auto" w:fill="FFFFFF"/>
          <w:lang w:val="en-US" w:eastAsia="zh-CN"/>
        </w:rPr>
      </w:pPr>
      <w:r>
        <w:rPr>
          <w:rFonts w:hint="eastAsia" w:asciiTheme="minorEastAsia" w:hAnsiTheme="minorEastAsia" w:eastAsiaTheme="minorEastAsia" w:cstheme="minorEastAsia"/>
          <w:color w:val="auto"/>
          <w:highlight w:val="none"/>
          <w:shd w:val="clear" w:color="auto" w:fill="FFFFFF"/>
        </w:rPr>
        <w:t>1</w:t>
      </w:r>
      <w:r>
        <w:rPr>
          <w:rFonts w:hint="eastAsia" w:asciiTheme="minorEastAsia" w:hAnsiTheme="minorEastAsia" w:eastAsiaTheme="minorEastAsia" w:cstheme="minorEastAsia"/>
          <w:color w:val="auto"/>
          <w:highlight w:val="none"/>
          <w:shd w:val="clear" w:color="auto" w:fill="FFFFFF"/>
          <w:lang w:val="en-US" w:eastAsia="zh-CN"/>
        </w:rPr>
        <w:t>、</w:t>
      </w:r>
      <w:r>
        <w:rPr>
          <w:rFonts w:hint="eastAsia" w:asciiTheme="minorEastAsia" w:hAnsiTheme="minorEastAsia" w:eastAsiaTheme="minorEastAsia" w:cstheme="minorEastAsia"/>
          <w:color w:val="auto"/>
          <w:highlight w:val="none"/>
          <w:shd w:val="clear" w:color="auto" w:fill="FFFFFF"/>
        </w:rPr>
        <w:t>项目编号：平采竞谈-2026-311</w:t>
      </w:r>
    </w:p>
    <w:p w14:paraId="7840B06E">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right="-488" w:firstLine="482"/>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shd w:val="clear" w:color="auto" w:fill="FFFFFF"/>
        </w:rPr>
        <w:t>2</w:t>
      </w:r>
      <w:r>
        <w:rPr>
          <w:rFonts w:hint="eastAsia" w:asciiTheme="minorEastAsia" w:hAnsiTheme="minorEastAsia" w:eastAsiaTheme="minorEastAsia" w:cstheme="minorEastAsia"/>
          <w:color w:val="auto"/>
          <w:highlight w:val="none"/>
          <w:shd w:val="clear" w:color="auto" w:fill="FFFFFF"/>
          <w:lang w:eastAsia="zh-CN"/>
        </w:rPr>
        <w:t>、</w:t>
      </w:r>
      <w:r>
        <w:rPr>
          <w:rFonts w:hint="eastAsia" w:asciiTheme="minorEastAsia" w:hAnsiTheme="minorEastAsia" w:eastAsiaTheme="minorEastAsia" w:cstheme="minorEastAsia"/>
          <w:color w:val="auto"/>
          <w:highlight w:val="none"/>
          <w:shd w:val="clear" w:color="auto" w:fill="FFFFFF"/>
        </w:rPr>
        <w:t>项目名称：</w:t>
      </w:r>
      <w:r>
        <w:rPr>
          <w:rFonts w:hint="eastAsia" w:asciiTheme="minorEastAsia" w:hAnsiTheme="minorEastAsia" w:eastAsiaTheme="minorEastAsia" w:cstheme="minorEastAsia"/>
          <w:color w:val="auto"/>
          <w:highlight w:val="none"/>
          <w:shd w:val="clear" w:color="auto" w:fill="FFFFFF"/>
          <w:lang w:eastAsia="zh-CN"/>
        </w:rPr>
        <w:t>平顶山市第一人民医院优越路院区维修下送服务外包项目</w:t>
      </w:r>
    </w:p>
    <w:p w14:paraId="42A9E23C">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asciiTheme="minorEastAsia" w:hAnsiTheme="minorEastAsia" w:eastAsiaTheme="minorEastAsia" w:cstheme="minorEastAsia"/>
          <w:color w:val="auto"/>
          <w:highlight w:val="none"/>
          <w:shd w:val="clear" w:color="auto" w:fill="FFFFFF"/>
        </w:rPr>
      </w:pPr>
      <w:r>
        <w:rPr>
          <w:rFonts w:hint="eastAsia" w:asciiTheme="minorEastAsia" w:hAnsiTheme="minorEastAsia" w:eastAsiaTheme="minorEastAsia" w:cstheme="minorEastAsia"/>
          <w:color w:val="auto"/>
          <w:highlight w:val="none"/>
          <w:shd w:val="clear" w:color="auto" w:fill="FFFFFF"/>
        </w:rPr>
        <w:t>3</w:t>
      </w:r>
      <w:r>
        <w:rPr>
          <w:rFonts w:hint="eastAsia" w:asciiTheme="minorEastAsia" w:hAnsiTheme="minorEastAsia" w:eastAsiaTheme="minorEastAsia" w:cstheme="minorEastAsia"/>
          <w:color w:val="auto"/>
          <w:highlight w:val="none"/>
          <w:shd w:val="clear" w:color="auto" w:fill="FFFFFF"/>
          <w:lang w:eastAsia="zh-CN"/>
        </w:rPr>
        <w:t>、</w:t>
      </w:r>
      <w:r>
        <w:rPr>
          <w:rFonts w:hint="eastAsia" w:asciiTheme="minorEastAsia" w:hAnsiTheme="minorEastAsia" w:eastAsiaTheme="minorEastAsia" w:cstheme="minorEastAsia"/>
          <w:color w:val="auto"/>
          <w:highlight w:val="none"/>
          <w:shd w:val="clear" w:color="auto" w:fill="FFFFFF"/>
        </w:rPr>
        <w:t>采购方式：竞争性谈判</w:t>
      </w:r>
    </w:p>
    <w:p w14:paraId="7CC3062F">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eastAsia" w:asciiTheme="minorEastAsia" w:hAnsiTheme="minorEastAsia" w:eastAsiaTheme="minorEastAsia" w:cstheme="minorEastAsia"/>
          <w:color w:val="auto"/>
          <w:highlight w:val="none"/>
          <w:shd w:val="clear" w:color="auto" w:fill="FFFFFF"/>
          <w:lang w:eastAsia="zh-CN"/>
        </w:rPr>
      </w:pPr>
      <w:r>
        <w:rPr>
          <w:rFonts w:hint="eastAsia" w:asciiTheme="minorEastAsia" w:hAnsiTheme="minorEastAsia" w:eastAsiaTheme="minorEastAsia" w:cstheme="minorEastAsia"/>
          <w:color w:val="auto"/>
          <w:highlight w:val="none"/>
          <w:shd w:val="clear" w:color="auto" w:fill="FFFFFF"/>
        </w:rPr>
        <w:t>4</w:t>
      </w:r>
      <w:r>
        <w:rPr>
          <w:rFonts w:hint="eastAsia" w:asciiTheme="minorEastAsia" w:hAnsiTheme="minorEastAsia" w:eastAsiaTheme="minorEastAsia" w:cstheme="minorEastAsia"/>
          <w:color w:val="auto"/>
          <w:highlight w:val="none"/>
          <w:shd w:val="clear" w:color="auto" w:fill="FFFFFF"/>
          <w:lang w:eastAsia="zh-CN"/>
        </w:rPr>
        <w:t>、预算金额：</w:t>
      </w:r>
      <w:r>
        <w:rPr>
          <w:rFonts w:hint="eastAsia" w:asciiTheme="minorEastAsia" w:hAnsiTheme="minorEastAsia" w:eastAsiaTheme="minorEastAsia" w:cstheme="minorEastAsia"/>
          <w:color w:val="auto"/>
          <w:highlight w:val="none"/>
          <w:shd w:val="clear" w:color="auto" w:fill="FFFFFF"/>
          <w:lang w:val="en-US" w:eastAsia="zh-CN"/>
        </w:rPr>
        <w:t>528000.00</w:t>
      </w:r>
      <w:r>
        <w:rPr>
          <w:rFonts w:hint="eastAsia" w:asciiTheme="minorEastAsia" w:hAnsiTheme="minorEastAsia" w:eastAsiaTheme="minorEastAsia" w:cstheme="minorEastAsia"/>
          <w:color w:val="auto"/>
          <w:highlight w:val="none"/>
          <w:shd w:val="clear" w:color="auto" w:fill="FFFFFF"/>
          <w:lang w:eastAsia="zh-CN"/>
        </w:rPr>
        <w:t>元</w:t>
      </w:r>
    </w:p>
    <w:p w14:paraId="2384B70C">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eastAsia" w:asciiTheme="minorEastAsia" w:hAnsiTheme="minorEastAsia" w:eastAsiaTheme="minorEastAsia" w:cstheme="minorEastAsia"/>
          <w:color w:val="auto"/>
          <w:highlight w:val="none"/>
          <w:shd w:val="clear" w:color="auto" w:fill="FFFFFF"/>
          <w:lang w:eastAsia="zh-CN"/>
        </w:rPr>
      </w:pPr>
      <w:r>
        <w:rPr>
          <w:rFonts w:hint="eastAsia" w:asciiTheme="minorEastAsia" w:hAnsiTheme="minorEastAsia" w:eastAsiaTheme="minorEastAsia" w:cstheme="minorEastAsia"/>
          <w:color w:val="auto"/>
          <w:highlight w:val="none"/>
          <w:shd w:val="clear" w:color="auto" w:fill="FFFFFF"/>
          <w:lang w:eastAsia="zh-CN"/>
        </w:rPr>
        <w:t>最高限价：</w:t>
      </w:r>
      <w:r>
        <w:rPr>
          <w:rFonts w:hint="eastAsia" w:asciiTheme="minorEastAsia" w:hAnsiTheme="minorEastAsia" w:eastAsiaTheme="minorEastAsia" w:cstheme="minorEastAsia"/>
          <w:color w:val="auto"/>
          <w:highlight w:val="none"/>
          <w:shd w:val="clear" w:color="auto" w:fill="FFFFFF"/>
          <w:lang w:val="en-US" w:eastAsia="zh-CN"/>
        </w:rPr>
        <w:t>528000.00</w:t>
      </w:r>
      <w:r>
        <w:rPr>
          <w:rFonts w:hint="eastAsia" w:asciiTheme="minorEastAsia" w:hAnsiTheme="minorEastAsia" w:eastAsiaTheme="minorEastAsia" w:cstheme="minorEastAsia"/>
          <w:color w:val="auto"/>
          <w:highlight w:val="none"/>
          <w:shd w:val="clear" w:color="auto" w:fill="FFFFFF"/>
          <w:lang w:eastAsia="zh-CN"/>
        </w:rPr>
        <w:t>元</w:t>
      </w:r>
    </w:p>
    <w:tbl>
      <w:tblPr>
        <w:tblStyle w:val="25"/>
        <w:tblW w:w="976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731"/>
        <w:gridCol w:w="3173"/>
        <w:gridCol w:w="1935"/>
        <w:gridCol w:w="2130"/>
      </w:tblGrid>
      <w:tr w14:paraId="6DBD3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96" w:type="dxa"/>
            <w:noWrap w:val="0"/>
            <w:vAlign w:val="center"/>
          </w:tcPr>
          <w:p w14:paraId="16398F89">
            <w:pPr>
              <w:pStyle w:val="42"/>
              <w:keepNext w:val="0"/>
              <w:keepLines w:val="0"/>
              <w:pageBreakBefore w:val="0"/>
              <w:kinsoku/>
              <w:overflowPunct/>
              <w:topLinePunct w:val="0"/>
              <w:autoSpaceDN/>
              <w:bidi w:val="0"/>
              <w:spacing w:line="440" w:lineRule="exact"/>
              <w:jc w:val="center"/>
              <w:rPr>
                <w:rFonts w:ascii="宋体" w:hAnsi="宋体" w:cs="宋体"/>
                <w:b/>
                <w:color w:val="auto"/>
                <w:sz w:val="21"/>
                <w:highlight w:val="none"/>
              </w:rPr>
            </w:pPr>
            <w:r>
              <w:rPr>
                <w:rFonts w:hint="eastAsia" w:ascii="宋体" w:hAnsi="宋体" w:cs="宋体"/>
                <w:b/>
                <w:color w:val="auto"/>
                <w:sz w:val="21"/>
                <w:highlight w:val="none"/>
              </w:rPr>
              <w:t>序号</w:t>
            </w:r>
          </w:p>
        </w:tc>
        <w:tc>
          <w:tcPr>
            <w:tcW w:w="1731" w:type="dxa"/>
            <w:noWrap w:val="0"/>
            <w:vAlign w:val="center"/>
          </w:tcPr>
          <w:p w14:paraId="6555FDC8">
            <w:pPr>
              <w:pStyle w:val="42"/>
              <w:keepNext w:val="0"/>
              <w:keepLines w:val="0"/>
              <w:pageBreakBefore w:val="0"/>
              <w:kinsoku/>
              <w:overflowPunct/>
              <w:topLinePunct w:val="0"/>
              <w:autoSpaceDN/>
              <w:bidi w:val="0"/>
              <w:spacing w:line="440" w:lineRule="exact"/>
              <w:jc w:val="center"/>
              <w:rPr>
                <w:rFonts w:ascii="宋体" w:hAnsi="宋体" w:cs="宋体"/>
                <w:b/>
                <w:color w:val="auto"/>
                <w:sz w:val="21"/>
                <w:highlight w:val="none"/>
              </w:rPr>
            </w:pPr>
            <w:r>
              <w:rPr>
                <w:rFonts w:hint="eastAsia" w:ascii="宋体" w:hAnsi="宋体" w:cs="宋体"/>
                <w:b/>
                <w:color w:val="auto"/>
                <w:sz w:val="21"/>
                <w:highlight w:val="none"/>
              </w:rPr>
              <w:t>包号</w:t>
            </w:r>
          </w:p>
        </w:tc>
        <w:tc>
          <w:tcPr>
            <w:tcW w:w="3173" w:type="dxa"/>
            <w:noWrap w:val="0"/>
            <w:vAlign w:val="center"/>
          </w:tcPr>
          <w:p w14:paraId="37F366AA">
            <w:pPr>
              <w:pStyle w:val="42"/>
              <w:keepNext w:val="0"/>
              <w:keepLines w:val="0"/>
              <w:pageBreakBefore w:val="0"/>
              <w:kinsoku/>
              <w:overflowPunct/>
              <w:topLinePunct w:val="0"/>
              <w:autoSpaceDN/>
              <w:bidi w:val="0"/>
              <w:spacing w:line="440" w:lineRule="exact"/>
              <w:jc w:val="center"/>
              <w:rPr>
                <w:rFonts w:ascii="宋体" w:hAnsi="宋体" w:cs="宋体"/>
                <w:b/>
                <w:color w:val="auto"/>
                <w:sz w:val="21"/>
                <w:highlight w:val="none"/>
              </w:rPr>
            </w:pPr>
            <w:r>
              <w:rPr>
                <w:rFonts w:hint="eastAsia" w:ascii="宋体" w:hAnsi="宋体" w:cs="宋体"/>
                <w:b/>
                <w:color w:val="auto"/>
                <w:sz w:val="21"/>
                <w:highlight w:val="none"/>
              </w:rPr>
              <w:t>包名称</w:t>
            </w:r>
          </w:p>
        </w:tc>
        <w:tc>
          <w:tcPr>
            <w:tcW w:w="1935" w:type="dxa"/>
            <w:noWrap w:val="0"/>
            <w:vAlign w:val="center"/>
          </w:tcPr>
          <w:p w14:paraId="422872CA">
            <w:pPr>
              <w:pStyle w:val="42"/>
              <w:keepNext w:val="0"/>
              <w:keepLines w:val="0"/>
              <w:pageBreakBefore w:val="0"/>
              <w:kinsoku/>
              <w:overflowPunct/>
              <w:topLinePunct w:val="0"/>
              <w:autoSpaceDN/>
              <w:bidi w:val="0"/>
              <w:spacing w:line="440" w:lineRule="exact"/>
              <w:jc w:val="center"/>
              <w:rPr>
                <w:rFonts w:ascii="宋体" w:hAnsi="宋体" w:cs="宋体"/>
                <w:b/>
                <w:color w:val="auto"/>
                <w:sz w:val="21"/>
                <w:highlight w:val="none"/>
              </w:rPr>
            </w:pPr>
            <w:r>
              <w:rPr>
                <w:rFonts w:hint="eastAsia" w:ascii="宋体" w:hAnsi="宋体" w:cs="宋体"/>
                <w:b/>
                <w:color w:val="auto"/>
                <w:sz w:val="21"/>
                <w:highlight w:val="none"/>
              </w:rPr>
              <w:t>包预算（元）</w:t>
            </w:r>
          </w:p>
        </w:tc>
        <w:tc>
          <w:tcPr>
            <w:tcW w:w="2130" w:type="dxa"/>
            <w:noWrap w:val="0"/>
            <w:vAlign w:val="center"/>
          </w:tcPr>
          <w:p w14:paraId="30B32946">
            <w:pPr>
              <w:pStyle w:val="42"/>
              <w:keepNext w:val="0"/>
              <w:keepLines w:val="0"/>
              <w:pageBreakBefore w:val="0"/>
              <w:kinsoku/>
              <w:overflowPunct/>
              <w:topLinePunct w:val="0"/>
              <w:autoSpaceDN/>
              <w:bidi w:val="0"/>
              <w:spacing w:line="440" w:lineRule="exact"/>
              <w:jc w:val="center"/>
              <w:rPr>
                <w:rFonts w:ascii="宋体" w:hAnsi="宋体" w:cs="宋体"/>
                <w:b/>
                <w:color w:val="auto"/>
                <w:sz w:val="21"/>
                <w:highlight w:val="none"/>
              </w:rPr>
            </w:pPr>
            <w:r>
              <w:rPr>
                <w:rFonts w:hint="eastAsia" w:ascii="宋体" w:hAnsi="宋体" w:cs="宋体"/>
                <w:b/>
                <w:color w:val="auto"/>
                <w:sz w:val="21"/>
                <w:highlight w:val="none"/>
              </w:rPr>
              <w:t>包最高限价（元）</w:t>
            </w:r>
          </w:p>
        </w:tc>
      </w:tr>
      <w:tr w14:paraId="6FFBF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796" w:type="dxa"/>
            <w:noWrap w:val="0"/>
            <w:vAlign w:val="center"/>
          </w:tcPr>
          <w:p w14:paraId="6FA2DE29">
            <w:pPr>
              <w:pStyle w:val="42"/>
              <w:keepNext w:val="0"/>
              <w:keepLines w:val="0"/>
              <w:pageBreakBefore w:val="0"/>
              <w:kinsoku/>
              <w:overflowPunct/>
              <w:topLinePunct w:val="0"/>
              <w:autoSpaceDN/>
              <w:bidi w:val="0"/>
              <w:spacing w:line="440" w:lineRule="exact"/>
              <w:jc w:val="center"/>
              <w:rPr>
                <w:rFonts w:ascii="宋体" w:hAnsi="宋体" w:cs="宋体"/>
                <w:color w:val="auto"/>
                <w:sz w:val="21"/>
                <w:highlight w:val="none"/>
              </w:rPr>
            </w:pPr>
            <w:r>
              <w:rPr>
                <w:rFonts w:hint="eastAsia" w:ascii="宋体" w:hAnsi="宋体" w:cs="宋体"/>
                <w:color w:val="auto"/>
                <w:sz w:val="21"/>
                <w:highlight w:val="none"/>
              </w:rPr>
              <w:t>1</w:t>
            </w:r>
          </w:p>
        </w:tc>
        <w:tc>
          <w:tcPr>
            <w:tcW w:w="1731" w:type="dxa"/>
            <w:noWrap w:val="0"/>
            <w:vAlign w:val="center"/>
          </w:tcPr>
          <w:p w14:paraId="7B53F41B">
            <w:pPr>
              <w:pStyle w:val="10"/>
              <w:keepNext w:val="0"/>
              <w:keepLines w:val="0"/>
              <w:pageBreakBefore w:val="0"/>
              <w:widowControl/>
              <w:tabs>
                <w:tab w:val="left" w:pos="780"/>
              </w:tabs>
              <w:kinsoku/>
              <w:wordWrap/>
              <w:overflowPunct/>
              <w:topLinePunct w:val="0"/>
              <w:autoSpaceDE/>
              <w:autoSpaceDN/>
              <w:bidi w:val="0"/>
              <w:adjustRightInd/>
              <w:snapToGrid/>
              <w:spacing w:line="440" w:lineRule="exact"/>
              <w:ind w:left="0" w:leftChars="0" w:firstLine="0" w:firstLineChars="0"/>
              <w:jc w:val="center"/>
              <w:textAlignment w:val="baseline"/>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平公资采2026844号-1</w:t>
            </w:r>
          </w:p>
        </w:tc>
        <w:tc>
          <w:tcPr>
            <w:tcW w:w="3173" w:type="dxa"/>
            <w:noWrap w:val="0"/>
            <w:vAlign w:val="center"/>
          </w:tcPr>
          <w:p w14:paraId="5A466A43">
            <w:pPr>
              <w:pStyle w:val="42"/>
              <w:keepNext w:val="0"/>
              <w:keepLines w:val="0"/>
              <w:pageBreakBefore w:val="0"/>
              <w:widowControl/>
              <w:kinsoku/>
              <w:wordWrap/>
              <w:overflowPunct/>
              <w:topLinePunct w:val="0"/>
              <w:autoSpaceDE/>
              <w:autoSpaceDN/>
              <w:bidi w:val="0"/>
              <w:adjustRightInd/>
              <w:snapToGrid/>
              <w:spacing w:line="440" w:lineRule="exact"/>
              <w:jc w:val="center"/>
              <w:textAlignment w:val="baseline"/>
              <w:rPr>
                <w:rFonts w:ascii="宋体" w:hAnsi="宋体" w:cs="宋体"/>
                <w:color w:val="auto"/>
                <w:sz w:val="21"/>
                <w:highlight w:val="none"/>
              </w:rPr>
            </w:pPr>
            <w:r>
              <w:rPr>
                <w:rFonts w:hint="eastAsia" w:ascii="宋体" w:hAnsi="宋体" w:cs="宋体"/>
                <w:color w:val="auto"/>
                <w:sz w:val="21"/>
                <w:highlight w:val="none"/>
                <w:lang w:eastAsia="zh-CN"/>
              </w:rPr>
              <w:t>平顶山市第一人民医院优越路院区维修下送服务外包项目</w:t>
            </w:r>
          </w:p>
        </w:tc>
        <w:tc>
          <w:tcPr>
            <w:tcW w:w="1935" w:type="dxa"/>
            <w:noWrap w:val="0"/>
            <w:vAlign w:val="center"/>
          </w:tcPr>
          <w:p w14:paraId="63D3040A">
            <w:pPr>
              <w:pStyle w:val="42"/>
              <w:keepNext w:val="0"/>
              <w:keepLines w:val="0"/>
              <w:pageBreakBefore w:val="0"/>
              <w:widowControl/>
              <w:kinsoku/>
              <w:wordWrap/>
              <w:overflowPunct/>
              <w:topLinePunct w:val="0"/>
              <w:autoSpaceDE/>
              <w:autoSpaceDN/>
              <w:bidi w:val="0"/>
              <w:adjustRightInd/>
              <w:snapToGrid/>
              <w:spacing w:line="440" w:lineRule="exact"/>
              <w:jc w:val="center"/>
              <w:textAlignment w:val="baseline"/>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528000</w:t>
            </w:r>
          </w:p>
        </w:tc>
        <w:tc>
          <w:tcPr>
            <w:tcW w:w="2130" w:type="dxa"/>
            <w:noWrap w:val="0"/>
            <w:vAlign w:val="center"/>
          </w:tcPr>
          <w:p w14:paraId="63ABE8A8">
            <w:pPr>
              <w:pStyle w:val="42"/>
              <w:keepNext w:val="0"/>
              <w:keepLines w:val="0"/>
              <w:pageBreakBefore w:val="0"/>
              <w:widowControl/>
              <w:kinsoku/>
              <w:wordWrap/>
              <w:overflowPunct/>
              <w:topLinePunct w:val="0"/>
              <w:autoSpaceDE/>
              <w:autoSpaceDN/>
              <w:bidi w:val="0"/>
              <w:adjustRightInd/>
              <w:snapToGrid/>
              <w:spacing w:line="440" w:lineRule="exact"/>
              <w:jc w:val="center"/>
              <w:textAlignment w:val="baseline"/>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528000</w:t>
            </w:r>
          </w:p>
        </w:tc>
      </w:tr>
    </w:tbl>
    <w:p w14:paraId="798DAF7F">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0" w:firstLineChars="200"/>
        <w:textAlignment w:val="auto"/>
        <w:rPr>
          <w:rFonts w:hint="eastAsia" w:asciiTheme="minorEastAsia" w:hAnsiTheme="minorEastAsia" w:eastAsiaTheme="minorEastAsia" w:cstheme="minorEastAsia"/>
          <w:color w:val="auto"/>
          <w:highlight w:val="none"/>
          <w:shd w:val="clear" w:color="auto" w:fill="FFFFFF"/>
          <w:lang w:eastAsia="zh-CN"/>
        </w:rPr>
      </w:pPr>
      <w:r>
        <w:rPr>
          <w:rFonts w:hint="eastAsia" w:asciiTheme="minorEastAsia" w:hAnsiTheme="minorEastAsia" w:eastAsiaTheme="minorEastAsia" w:cstheme="minorEastAsia"/>
          <w:color w:val="auto"/>
          <w:highlight w:val="none"/>
          <w:shd w:val="clear" w:color="auto" w:fill="FFFFFF"/>
          <w:lang w:eastAsia="zh-CN"/>
        </w:rPr>
        <w:t>5、采购需求（包括但不限于标的的名称、数量、简要技术需求或服务要求等）</w:t>
      </w:r>
    </w:p>
    <w:p w14:paraId="451758F7">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eastAsia" w:asciiTheme="minorEastAsia" w:hAnsiTheme="minorEastAsia" w:eastAsiaTheme="minorEastAsia" w:cstheme="minorEastAsia"/>
          <w:color w:val="auto"/>
          <w:highlight w:val="none"/>
          <w:shd w:val="clear" w:color="auto" w:fill="FFFFFF"/>
          <w:lang w:eastAsia="zh-CN"/>
        </w:rPr>
      </w:pPr>
      <w:r>
        <w:rPr>
          <w:rFonts w:hint="eastAsia" w:asciiTheme="minorEastAsia" w:hAnsiTheme="minorEastAsia" w:eastAsiaTheme="minorEastAsia" w:cstheme="minorEastAsia"/>
          <w:color w:val="auto"/>
          <w:highlight w:val="none"/>
          <w:shd w:val="clear" w:color="auto" w:fill="FFFFFF"/>
          <w:lang w:eastAsia="zh-CN"/>
        </w:rPr>
        <w:t>5.1服务内容：优越路院区水、电、木工维修及物资下送4项服务外包，所需维修更换零配件由院方供应，承包方免费更换；</w:t>
      </w:r>
      <w:r>
        <w:rPr>
          <w:rFonts w:hint="eastAsia" w:ascii="宋体" w:hAnsi="宋体" w:cs="宋体"/>
          <w:color w:val="auto"/>
          <w:sz w:val="24"/>
          <w:szCs w:val="24"/>
          <w:highlight w:val="none"/>
          <w:lang w:bidi="ar"/>
        </w:rPr>
        <w:t>具体内容详见</w:t>
      </w:r>
      <w:r>
        <w:rPr>
          <w:rFonts w:hint="eastAsia" w:ascii="宋体" w:hAnsi="宋体" w:cs="宋体"/>
          <w:color w:val="auto"/>
          <w:sz w:val="24"/>
          <w:szCs w:val="24"/>
          <w:highlight w:val="none"/>
          <w:lang w:eastAsia="zh-CN" w:bidi="ar"/>
        </w:rPr>
        <w:t>谈判</w:t>
      </w:r>
      <w:r>
        <w:rPr>
          <w:rFonts w:hint="eastAsia" w:ascii="宋体" w:hAnsi="宋体" w:cs="宋体"/>
          <w:color w:val="auto"/>
          <w:sz w:val="24"/>
          <w:szCs w:val="24"/>
          <w:highlight w:val="none"/>
          <w:lang w:bidi="ar"/>
        </w:rPr>
        <w:t>文件。</w:t>
      </w:r>
    </w:p>
    <w:p w14:paraId="300A9DB1">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eastAsia" w:asciiTheme="minorEastAsia" w:hAnsiTheme="minorEastAsia" w:eastAsiaTheme="minorEastAsia" w:cstheme="minorEastAsia"/>
          <w:color w:val="auto"/>
          <w:highlight w:val="none"/>
          <w:shd w:val="clear" w:color="auto" w:fill="FFFFFF"/>
          <w:lang w:eastAsia="zh-CN"/>
        </w:rPr>
      </w:pPr>
      <w:r>
        <w:rPr>
          <w:rFonts w:hint="eastAsia" w:asciiTheme="minorEastAsia" w:hAnsiTheme="minorEastAsia" w:eastAsiaTheme="minorEastAsia" w:cstheme="minorEastAsia"/>
          <w:color w:val="auto"/>
          <w:highlight w:val="none"/>
          <w:shd w:val="clear" w:color="auto" w:fill="FFFFFF"/>
          <w:lang w:eastAsia="zh-CN"/>
        </w:rPr>
        <w:t>5.2资金来源：</w:t>
      </w:r>
      <w:r>
        <w:rPr>
          <w:rFonts w:hint="eastAsia" w:asciiTheme="minorEastAsia" w:hAnsiTheme="minorEastAsia" w:eastAsiaTheme="minorEastAsia" w:cstheme="minorEastAsia"/>
          <w:color w:val="auto"/>
          <w:highlight w:val="none"/>
          <w:shd w:val="clear" w:color="auto" w:fill="FFFFFF"/>
          <w:lang w:val="en-US" w:eastAsia="zh-CN"/>
        </w:rPr>
        <w:t>自筹</w:t>
      </w:r>
      <w:r>
        <w:rPr>
          <w:rFonts w:hint="eastAsia" w:asciiTheme="minorEastAsia" w:hAnsiTheme="minorEastAsia" w:eastAsiaTheme="minorEastAsia" w:cstheme="minorEastAsia"/>
          <w:color w:val="auto"/>
          <w:highlight w:val="none"/>
          <w:shd w:val="clear" w:color="auto" w:fill="FFFFFF"/>
          <w:lang w:eastAsia="zh-CN"/>
        </w:rPr>
        <w:t>资金，已落实；</w:t>
      </w:r>
    </w:p>
    <w:p w14:paraId="51E9449F">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eastAsia" w:asciiTheme="minorEastAsia" w:hAnsiTheme="minorEastAsia" w:eastAsiaTheme="minorEastAsia" w:cstheme="minorEastAsia"/>
          <w:color w:val="auto"/>
          <w:highlight w:val="none"/>
          <w:shd w:val="clear" w:color="auto" w:fill="FFFFFF"/>
          <w:lang w:eastAsia="zh-CN"/>
        </w:rPr>
      </w:pPr>
      <w:r>
        <w:rPr>
          <w:rFonts w:hint="eastAsia" w:asciiTheme="minorEastAsia" w:hAnsiTheme="minorEastAsia" w:eastAsiaTheme="minorEastAsia" w:cstheme="minorEastAsia"/>
          <w:color w:val="auto"/>
          <w:highlight w:val="none"/>
          <w:shd w:val="clear" w:color="auto" w:fill="FFFFFF"/>
          <w:lang w:eastAsia="zh-CN"/>
        </w:rPr>
        <w:t>5.3服务期限：一年；</w:t>
      </w:r>
    </w:p>
    <w:p w14:paraId="464ECF5A">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eastAsia" w:asciiTheme="minorEastAsia" w:hAnsiTheme="minorEastAsia" w:eastAsiaTheme="minorEastAsia" w:cstheme="minorEastAsia"/>
          <w:color w:val="auto"/>
          <w:highlight w:val="none"/>
          <w:shd w:val="clear" w:color="auto" w:fill="FFFFFF"/>
          <w:lang w:eastAsia="zh-CN"/>
        </w:rPr>
      </w:pPr>
      <w:r>
        <w:rPr>
          <w:rFonts w:hint="eastAsia" w:asciiTheme="minorEastAsia" w:hAnsiTheme="minorEastAsia" w:eastAsiaTheme="minorEastAsia" w:cstheme="minorEastAsia"/>
          <w:color w:val="auto"/>
          <w:highlight w:val="none"/>
          <w:shd w:val="clear" w:color="auto" w:fill="FFFFFF"/>
          <w:lang w:eastAsia="zh-CN"/>
        </w:rPr>
        <w:t>5.4服务地点：平顶山市第一人民医院优越路院区；</w:t>
      </w:r>
    </w:p>
    <w:p w14:paraId="7A41836A">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eastAsia" w:asciiTheme="minorEastAsia" w:hAnsiTheme="minorEastAsia" w:eastAsiaTheme="minorEastAsia" w:cstheme="minorEastAsia"/>
          <w:color w:val="auto"/>
          <w:highlight w:val="none"/>
          <w:shd w:val="clear" w:color="auto" w:fill="FFFFFF"/>
          <w:lang w:eastAsia="zh-CN"/>
        </w:rPr>
      </w:pPr>
      <w:r>
        <w:rPr>
          <w:rFonts w:hint="eastAsia" w:asciiTheme="minorEastAsia" w:hAnsiTheme="minorEastAsia" w:eastAsiaTheme="minorEastAsia" w:cstheme="minorEastAsia"/>
          <w:color w:val="auto"/>
          <w:highlight w:val="none"/>
          <w:shd w:val="clear" w:color="auto" w:fill="FFFFFF"/>
          <w:lang w:eastAsia="zh-CN"/>
        </w:rPr>
        <w:t>5.5标段划分：本项目不划分标段；</w:t>
      </w:r>
    </w:p>
    <w:p w14:paraId="26E369F0">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eastAsia" w:asciiTheme="minorEastAsia" w:hAnsiTheme="minorEastAsia" w:eastAsiaTheme="minorEastAsia" w:cstheme="minorEastAsia"/>
          <w:color w:val="auto"/>
          <w:highlight w:val="none"/>
          <w:shd w:val="clear" w:color="auto" w:fill="FFFFFF"/>
          <w:lang w:val="en-US" w:eastAsia="zh-CN"/>
        </w:rPr>
      </w:pPr>
      <w:r>
        <w:rPr>
          <w:rFonts w:hint="eastAsia" w:asciiTheme="minorEastAsia" w:hAnsiTheme="minorEastAsia" w:eastAsiaTheme="minorEastAsia" w:cstheme="minorEastAsia"/>
          <w:color w:val="auto"/>
          <w:highlight w:val="none"/>
          <w:shd w:val="clear" w:color="auto" w:fill="FFFFFF"/>
          <w:lang w:val="en-US" w:eastAsia="zh-CN"/>
        </w:rPr>
        <w:t>5.6质量要求：按国家规定的标准执行；</w:t>
      </w:r>
    </w:p>
    <w:p w14:paraId="468EB9FE">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default" w:asciiTheme="minorEastAsia" w:hAnsiTheme="minorEastAsia" w:eastAsiaTheme="minorEastAsia" w:cstheme="minorEastAsia"/>
          <w:color w:val="auto"/>
          <w:highlight w:val="none"/>
          <w:shd w:val="clear" w:color="auto" w:fill="FFFFFF"/>
          <w:lang w:val="en-US" w:eastAsia="zh-CN"/>
        </w:rPr>
      </w:pPr>
      <w:r>
        <w:rPr>
          <w:rFonts w:hint="eastAsia" w:asciiTheme="minorEastAsia" w:hAnsiTheme="minorEastAsia" w:eastAsiaTheme="minorEastAsia" w:cstheme="minorEastAsia"/>
          <w:color w:val="auto"/>
          <w:highlight w:val="none"/>
          <w:shd w:val="clear" w:color="auto" w:fill="FFFFFF"/>
          <w:lang w:val="en-US" w:eastAsia="zh-CN"/>
        </w:rPr>
        <w:t>6、</w:t>
      </w:r>
      <w:r>
        <w:rPr>
          <w:rFonts w:hint="eastAsia" w:ascii="宋体" w:hAnsi="宋体" w:cs="宋体"/>
          <w:color w:val="auto"/>
          <w:sz w:val="24"/>
          <w:highlight w:val="none"/>
        </w:rPr>
        <w:t>合同履行期限：同</w:t>
      </w:r>
      <w:r>
        <w:rPr>
          <w:rFonts w:hint="eastAsia" w:ascii="宋体" w:hAnsi="宋体" w:cs="宋体"/>
          <w:color w:val="auto"/>
          <w:sz w:val="24"/>
          <w:highlight w:val="none"/>
          <w:lang w:eastAsia="zh-CN"/>
        </w:rPr>
        <w:t>服务</w:t>
      </w:r>
      <w:r>
        <w:rPr>
          <w:rFonts w:hint="eastAsia" w:asciiTheme="minorEastAsia" w:hAnsiTheme="minorEastAsia" w:eastAsiaTheme="minorEastAsia" w:cstheme="minorEastAsia"/>
          <w:color w:val="auto"/>
          <w:highlight w:val="none"/>
          <w:shd w:val="clear" w:color="auto" w:fill="FFFFFF"/>
          <w:lang w:eastAsia="zh-CN"/>
        </w:rPr>
        <w:t>期限</w:t>
      </w:r>
      <w:r>
        <w:rPr>
          <w:rFonts w:hint="eastAsia" w:ascii="宋体" w:hAnsi="宋体" w:cs="宋体"/>
          <w:color w:val="auto"/>
          <w:sz w:val="24"/>
          <w:highlight w:val="none"/>
        </w:rPr>
        <w:t>；</w:t>
      </w:r>
    </w:p>
    <w:p w14:paraId="03D0CFC4">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eastAsia" w:asciiTheme="minorEastAsia" w:hAnsiTheme="minorEastAsia" w:eastAsiaTheme="minorEastAsia" w:cstheme="minorEastAsia"/>
          <w:color w:val="auto"/>
          <w:highlight w:val="none"/>
          <w:shd w:val="clear" w:color="auto" w:fill="FFFFFF"/>
          <w:lang w:val="en-US" w:eastAsia="zh-CN"/>
        </w:rPr>
      </w:pPr>
      <w:r>
        <w:rPr>
          <w:rFonts w:hint="eastAsia" w:asciiTheme="minorEastAsia" w:hAnsiTheme="minorEastAsia" w:eastAsiaTheme="minorEastAsia" w:cstheme="minorEastAsia"/>
          <w:color w:val="auto"/>
          <w:highlight w:val="none"/>
          <w:shd w:val="clear" w:color="auto" w:fill="FFFFFF"/>
          <w:lang w:val="en-US" w:eastAsia="zh-CN"/>
        </w:rPr>
        <w:t>7、本项目是否接受联合体投标：否</w:t>
      </w:r>
    </w:p>
    <w:p w14:paraId="2E9CABEF">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eastAsia" w:asciiTheme="minorEastAsia" w:hAnsiTheme="minorEastAsia" w:eastAsiaTheme="minorEastAsia" w:cstheme="minorEastAsia"/>
          <w:color w:val="auto"/>
          <w:highlight w:val="none"/>
          <w:shd w:val="clear" w:color="auto" w:fill="FFFFFF"/>
          <w:lang w:val="en-US" w:eastAsia="zh-CN"/>
        </w:rPr>
      </w:pPr>
      <w:r>
        <w:rPr>
          <w:rFonts w:hint="eastAsia" w:asciiTheme="minorEastAsia" w:hAnsiTheme="minorEastAsia" w:eastAsiaTheme="minorEastAsia" w:cstheme="minorEastAsia"/>
          <w:color w:val="auto"/>
          <w:highlight w:val="none"/>
          <w:shd w:val="clear" w:color="auto" w:fill="FFFFFF"/>
          <w:lang w:val="en-US" w:eastAsia="zh-CN"/>
        </w:rPr>
        <w:t>8、是否接受进口产品：否</w:t>
      </w:r>
    </w:p>
    <w:p w14:paraId="443001CB">
      <w:pPr>
        <w:pStyle w:val="41"/>
        <w:keepNext w:val="0"/>
        <w:keepLines w:val="0"/>
        <w:pageBreakBefore w:val="0"/>
        <w:shd w:val="clear" w:color="auto" w:fill="FFFFFF"/>
        <w:kinsoku/>
        <w:wordWrap/>
        <w:overflowPunct/>
        <w:topLinePunct w:val="0"/>
        <w:autoSpaceDE/>
        <w:autoSpaceDN/>
        <w:bidi w:val="0"/>
        <w:adjustRightInd w:val="0"/>
        <w:snapToGrid w:val="0"/>
        <w:spacing w:after="0" w:line="500" w:lineRule="exact"/>
        <w:ind w:firstLine="482"/>
        <w:textAlignment w:val="auto"/>
        <w:rPr>
          <w:rFonts w:hint="eastAsia" w:asciiTheme="minorEastAsia" w:hAnsiTheme="minorEastAsia" w:eastAsiaTheme="minorEastAsia" w:cstheme="minorEastAsia"/>
          <w:color w:val="auto"/>
          <w:highlight w:val="none"/>
          <w:shd w:val="clear" w:color="auto" w:fill="FFFFFF"/>
          <w:lang w:eastAsia="zh-CN"/>
        </w:rPr>
      </w:pPr>
      <w:r>
        <w:rPr>
          <w:rFonts w:hint="eastAsia" w:asciiTheme="minorEastAsia" w:hAnsiTheme="minorEastAsia" w:eastAsiaTheme="minorEastAsia" w:cstheme="minorEastAsia"/>
          <w:color w:val="auto"/>
          <w:highlight w:val="none"/>
          <w:shd w:val="clear" w:color="auto" w:fill="FFFFFF"/>
          <w:lang w:eastAsia="zh-CN"/>
        </w:rPr>
        <w:t>9</w:t>
      </w:r>
      <w:r>
        <w:rPr>
          <w:rFonts w:hint="eastAsia" w:asciiTheme="minorEastAsia" w:hAnsiTheme="minorEastAsia" w:eastAsiaTheme="minorEastAsia" w:cstheme="minorEastAsia"/>
          <w:color w:val="auto"/>
          <w:highlight w:val="none"/>
          <w:shd w:val="clear" w:color="auto" w:fill="FFFFFF"/>
          <w:lang w:val="en-US" w:eastAsia="zh-CN"/>
        </w:rPr>
        <w:t>、</w:t>
      </w:r>
      <w:r>
        <w:rPr>
          <w:rFonts w:hint="eastAsia" w:asciiTheme="minorEastAsia" w:hAnsiTheme="minorEastAsia" w:eastAsiaTheme="minorEastAsia" w:cstheme="minorEastAsia"/>
          <w:color w:val="auto"/>
          <w:highlight w:val="none"/>
          <w:shd w:val="clear" w:color="auto" w:fill="FFFFFF"/>
          <w:lang w:eastAsia="zh-CN"/>
        </w:rPr>
        <w:t>是否专门面向中小企业：</w:t>
      </w:r>
      <w:r>
        <w:rPr>
          <w:rFonts w:hint="eastAsia" w:asciiTheme="minorEastAsia" w:hAnsiTheme="minorEastAsia" w:eastAsiaTheme="minorEastAsia" w:cstheme="minorEastAsia"/>
          <w:color w:val="auto"/>
          <w:highlight w:val="none"/>
          <w:shd w:val="clear" w:color="auto" w:fill="FFFFFF"/>
          <w:lang w:val="en-US" w:eastAsia="zh-CN"/>
        </w:rPr>
        <w:t>否</w:t>
      </w:r>
    </w:p>
    <w:p w14:paraId="3ADEDEEC">
      <w:pPr>
        <w:keepNext w:val="0"/>
        <w:keepLines w:val="0"/>
        <w:pageBreakBefore w:val="0"/>
        <w:kinsoku/>
        <w:wordWrap/>
        <w:overflowPunct/>
        <w:topLinePunct w:val="0"/>
        <w:autoSpaceDE/>
        <w:autoSpaceDN/>
        <w:bidi w:val="0"/>
        <w:spacing w:after="0" w:line="500" w:lineRule="exact"/>
        <w:textAlignment w:val="auto"/>
        <w:rPr>
          <w:rFonts w:asciiTheme="minorEastAsia" w:hAnsiTheme="minorEastAsia" w:eastAsiaTheme="minorEastAsia" w:cstheme="minorEastAsia"/>
          <w:b/>
          <w:bCs/>
          <w:color w:val="auto"/>
          <w:sz w:val="24"/>
          <w:highlight w:val="none"/>
          <w:shd w:val="clear" w:color="auto" w:fill="FFFFFF"/>
        </w:rPr>
      </w:pPr>
      <w:r>
        <w:rPr>
          <w:rFonts w:hint="eastAsia" w:asciiTheme="minorEastAsia" w:hAnsiTheme="minorEastAsia" w:eastAsiaTheme="minorEastAsia" w:cstheme="minorEastAsia"/>
          <w:b/>
          <w:bCs/>
          <w:color w:val="auto"/>
          <w:sz w:val="24"/>
          <w:highlight w:val="none"/>
          <w:shd w:val="clear" w:color="auto" w:fill="FFFFFF"/>
        </w:rPr>
        <w:t>二、申请人资格要求：</w:t>
      </w:r>
    </w:p>
    <w:p w14:paraId="7E7A7955">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color w:val="auto"/>
          <w:kern w:val="0"/>
          <w:sz w:val="24"/>
          <w:highlight w:val="none"/>
          <w:lang w:val="en-US" w:eastAsia="zh-CN"/>
        </w:rPr>
      </w:pPr>
      <w:r>
        <w:rPr>
          <w:rFonts w:hint="eastAsia" w:ascii="宋体" w:hAnsi="宋体"/>
          <w:color w:val="auto"/>
          <w:kern w:val="0"/>
          <w:sz w:val="24"/>
          <w:highlight w:val="none"/>
          <w:lang w:val="en-US" w:eastAsia="zh-CN"/>
        </w:rPr>
        <w:t>1、满足《中华人民共和国政府采购法》第二十二条规定；</w:t>
      </w:r>
    </w:p>
    <w:p w14:paraId="7AAB773D">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color w:val="auto"/>
          <w:kern w:val="0"/>
          <w:sz w:val="24"/>
          <w:highlight w:val="none"/>
          <w:lang w:val="en-US" w:eastAsia="zh-CN"/>
        </w:rPr>
      </w:pPr>
      <w:r>
        <w:rPr>
          <w:rFonts w:hint="eastAsia" w:ascii="宋体" w:hAnsi="宋体"/>
          <w:color w:val="auto"/>
          <w:kern w:val="0"/>
          <w:sz w:val="24"/>
          <w:highlight w:val="none"/>
          <w:lang w:val="en-US" w:eastAsia="zh-CN"/>
        </w:rPr>
        <w:t>2、落实政府采购政策满足的资格要求：本项目非专门面向中小企业采购。供应商为中小微企业或监狱企业或残疾人福利性单位，落实中小企业价格评审优惠政策；中小企业划型标准请依据工信部联企业 （2011） 300 号文件之规定；</w:t>
      </w:r>
    </w:p>
    <w:p w14:paraId="30D9CB4F">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color w:val="auto"/>
          <w:kern w:val="0"/>
          <w:sz w:val="24"/>
          <w:highlight w:val="none"/>
          <w:lang w:val="en-US" w:eastAsia="zh-CN"/>
        </w:rPr>
      </w:pPr>
      <w:r>
        <w:rPr>
          <w:rFonts w:hint="eastAsia" w:ascii="宋体" w:hAnsi="宋体"/>
          <w:color w:val="auto"/>
          <w:kern w:val="0"/>
          <w:sz w:val="24"/>
          <w:highlight w:val="none"/>
          <w:lang w:val="en-US" w:eastAsia="zh-CN"/>
        </w:rPr>
        <w:t>3、本项目的特定资格要求</w:t>
      </w:r>
    </w:p>
    <w:p w14:paraId="584A844B">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3.1供应商具有独立法人资格，（持有有效的营业执照、税务登记证、组织机构代码证等或三证合一营业执照，也可提供电子营业执照）；</w:t>
      </w:r>
    </w:p>
    <w:p w14:paraId="55D8022E">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3.2供应商具有良好的商业信誉和健全的财务会计制度（供应商自行承诺，格式自拟）；</w:t>
      </w:r>
    </w:p>
    <w:p w14:paraId="61F71984">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3.3供应商具有履行合同所必需的设备和专业技术能力（供应商自行承诺，格式自拟）；</w:t>
      </w:r>
    </w:p>
    <w:p w14:paraId="48933AB2">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3.4供应商具有依法缴纳税收和社会保障资金的良好记录（供应商自行承诺，格式自拟）；</w:t>
      </w:r>
    </w:p>
    <w:p w14:paraId="2CBE6772">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3.5参加政府采购活动近三年内，在经营活动中没有重大的违法记录和质量安全事故（供应商自行承诺，格式自拟）；</w:t>
      </w:r>
    </w:p>
    <w:p w14:paraId="68F44F33">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3.6供应商须提供“中国执行信息公开网”网站的“失信被执行人”、“信用中国”网站的“重大税收违法失信主体”、“中国政府采购”网站的“政府采购严重违法失信行为记录名单”查询结果页面，若未按要求提供或有不良记录，资格审查不予通过（执行财库【2016】125号文）；</w:t>
      </w:r>
    </w:p>
    <w:p w14:paraId="298D4036">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3.7单位负责人为同一人或者存在控股、管理关系的不同单位，不得同时参加本项目的投标【提供“国家企业信用信息公示系统”中公示的公司信息、股东（或投资人）信息的截图】；</w:t>
      </w:r>
    </w:p>
    <w:p w14:paraId="5B1D6B19">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color w:val="auto"/>
          <w:kern w:val="0"/>
          <w:sz w:val="24"/>
          <w:highlight w:val="none"/>
          <w:lang w:val="en-US" w:eastAsia="zh-CN"/>
        </w:rPr>
      </w:pPr>
      <w:r>
        <w:rPr>
          <w:rFonts w:hint="eastAsia" w:ascii="宋体" w:hAnsi="宋体" w:eastAsia="宋体"/>
          <w:color w:val="auto"/>
          <w:kern w:val="0"/>
          <w:sz w:val="24"/>
          <w:highlight w:val="none"/>
          <w:lang w:val="en-US" w:eastAsia="zh-CN"/>
        </w:rPr>
        <w:t>3.8本项目不接受联合体投标，资格审查方式为资格后审。</w:t>
      </w:r>
    </w:p>
    <w:p w14:paraId="765F35E9">
      <w:pPr>
        <w:keepNext w:val="0"/>
        <w:keepLines w:val="0"/>
        <w:pageBreakBefore w:val="0"/>
        <w:kinsoku/>
        <w:wordWrap/>
        <w:overflowPunct/>
        <w:topLinePunct w:val="0"/>
        <w:autoSpaceDE/>
        <w:autoSpaceDN/>
        <w:bidi w:val="0"/>
        <w:spacing w:after="0" w:line="500" w:lineRule="exact"/>
        <w:jc w:val="left"/>
        <w:textAlignment w:val="auto"/>
        <w:rPr>
          <w:rFonts w:asciiTheme="minorEastAsia" w:hAnsiTheme="minorEastAsia" w:eastAsiaTheme="minorEastAsia" w:cstheme="minorEastAsia"/>
          <w:b/>
          <w:color w:val="auto"/>
          <w:kern w:val="0"/>
          <w:sz w:val="24"/>
          <w:highlight w:val="none"/>
          <w:shd w:val="clear" w:color="auto" w:fill="FFFFFF"/>
        </w:rPr>
      </w:pPr>
      <w:r>
        <w:rPr>
          <w:rFonts w:hint="eastAsia" w:asciiTheme="minorEastAsia" w:hAnsiTheme="minorEastAsia" w:eastAsiaTheme="minorEastAsia" w:cstheme="minorEastAsia"/>
          <w:b/>
          <w:color w:val="auto"/>
          <w:kern w:val="0"/>
          <w:sz w:val="24"/>
          <w:highlight w:val="none"/>
          <w:shd w:val="clear" w:color="auto" w:fill="FFFFFF"/>
        </w:rPr>
        <w:t>三、获取采购文件</w:t>
      </w:r>
    </w:p>
    <w:p w14:paraId="324233C2">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1.时间：2026年</w:t>
      </w:r>
      <w:r>
        <w:rPr>
          <w:rFonts w:hint="eastAsia" w:ascii="宋体" w:hAnsi="宋体"/>
          <w:color w:val="auto"/>
          <w:kern w:val="0"/>
          <w:sz w:val="24"/>
          <w:highlight w:val="none"/>
          <w:lang w:val="en-US" w:eastAsia="zh-CN"/>
        </w:rPr>
        <w:t>8</w:t>
      </w:r>
      <w:r>
        <w:rPr>
          <w:rFonts w:hint="eastAsia" w:ascii="宋体" w:hAnsi="宋体" w:eastAsia="宋体"/>
          <w:color w:val="auto"/>
          <w:kern w:val="0"/>
          <w:sz w:val="24"/>
          <w:highlight w:val="none"/>
          <w:lang w:val="en-US" w:eastAsia="zh-CN"/>
        </w:rPr>
        <w:t>月</w:t>
      </w:r>
      <w:r>
        <w:rPr>
          <w:rFonts w:hint="eastAsia" w:ascii="宋体" w:hAnsi="宋体"/>
          <w:color w:val="auto"/>
          <w:kern w:val="0"/>
          <w:sz w:val="24"/>
          <w:highlight w:val="none"/>
          <w:lang w:val="en-US" w:eastAsia="zh-CN"/>
        </w:rPr>
        <w:t>7</w:t>
      </w:r>
      <w:r>
        <w:rPr>
          <w:rFonts w:hint="eastAsia" w:ascii="宋体" w:hAnsi="宋体" w:eastAsia="宋体"/>
          <w:color w:val="auto"/>
          <w:kern w:val="0"/>
          <w:sz w:val="24"/>
          <w:highlight w:val="none"/>
          <w:lang w:val="en-US" w:eastAsia="zh-CN"/>
        </w:rPr>
        <w:t>日至 2026年</w:t>
      </w:r>
      <w:r>
        <w:rPr>
          <w:rFonts w:hint="eastAsia" w:ascii="宋体" w:hAnsi="宋体"/>
          <w:color w:val="auto"/>
          <w:kern w:val="0"/>
          <w:sz w:val="24"/>
          <w:highlight w:val="none"/>
          <w:lang w:val="en-US" w:eastAsia="zh-CN"/>
        </w:rPr>
        <w:t>8</w:t>
      </w:r>
      <w:r>
        <w:rPr>
          <w:rFonts w:hint="eastAsia" w:ascii="宋体" w:hAnsi="宋体" w:eastAsia="宋体"/>
          <w:color w:val="auto"/>
          <w:kern w:val="0"/>
          <w:sz w:val="24"/>
          <w:highlight w:val="none"/>
          <w:lang w:val="en-US" w:eastAsia="zh-CN"/>
        </w:rPr>
        <w:t>月</w:t>
      </w:r>
      <w:r>
        <w:rPr>
          <w:rFonts w:hint="eastAsia" w:ascii="宋体" w:hAnsi="宋体"/>
          <w:color w:val="auto"/>
          <w:kern w:val="0"/>
          <w:sz w:val="24"/>
          <w:highlight w:val="none"/>
          <w:lang w:val="en-US" w:eastAsia="zh-CN"/>
        </w:rPr>
        <w:t>27</w:t>
      </w:r>
      <w:r>
        <w:rPr>
          <w:rFonts w:hint="eastAsia" w:ascii="宋体" w:hAnsi="宋体" w:eastAsia="宋体"/>
          <w:color w:val="auto"/>
          <w:kern w:val="0"/>
          <w:sz w:val="24"/>
          <w:highlight w:val="none"/>
          <w:lang w:val="en-US" w:eastAsia="zh-CN"/>
        </w:rPr>
        <w:t>日，每天上午00:00至12:00，下午12:00至23:59（北京时间，法定节假日除外。）</w:t>
      </w:r>
    </w:p>
    <w:p w14:paraId="25A6938F">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2.地点：《全国公共资源交易平台（河南省·平顶山市）》（http://ggzy.pds.gov.cn）</w:t>
      </w:r>
    </w:p>
    <w:p w14:paraId="69951FB3">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3.方式：潜在供应商下载招标文件需凭CA数字证书通过平顶山市公共资源交易中心网（http://ggzy.pds.gov.cn）“交易主体登录”入口进入交易系统进行下载。具体操作请查看以下链接：</w:t>
      </w:r>
    </w:p>
    <w:p w14:paraId="433F10E2">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链接地址：http://ggzy.pds.gov.cn/fwzn/index.jhtml</w:t>
      </w:r>
    </w:p>
    <w:p w14:paraId="1416416F">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办理CA证书：http://ggzy.pds.gov.cn/fwzn/index.jhtml</w:t>
      </w:r>
    </w:p>
    <w:p w14:paraId="3F16A006">
      <w:pPr>
        <w:keepNext w:val="0"/>
        <w:keepLines w:val="0"/>
        <w:pageBreakBefore w:val="0"/>
        <w:kinsoku/>
        <w:wordWrap/>
        <w:overflowPunct/>
        <w:topLinePunct w:val="0"/>
        <w:autoSpaceDE/>
        <w:autoSpaceDN/>
        <w:bidi w:val="0"/>
        <w:adjustRightInd/>
        <w:snapToGrid/>
        <w:spacing w:after="0" w:line="500" w:lineRule="exact"/>
        <w:ind w:firstLine="480" w:firstLineChars="200"/>
        <w:textAlignment w:val="auto"/>
        <w:rPr>
          <w:rFonts w:hint="eastAsia" w:ascii="宋体" w:hAnsi="宋体" w:eastAsia="宋体"/>
          <w:color w:val="auto"/>
          <w:kern w:val="0"/>
          <w:sz w:val="24"/>
          <w:highlight w:val="none"/>
          <w:lang w:val="en-US" w:eastAsia="zh-CN"/>
        </w:rPr>
      </w:pPr>
      <w:r>
        <w:rPr>
          <w:rFonts w:hint="eastAsia" w:ascii="宋体" w:hAnsi="宋体" w:eastAsia="宋体"/>
          <w:color w:val="auto"/>
          <w:kern w:val="0"/>
          <w:sz w:val="24"/>
          <w:highlight w:val="none"/>
          <w:lang w:val="en-US" w:eastAsia="zh-CN"/>
        </w:rPr>
        <w:t>4.售价：0元</w:t>
      </w:r>
    </w:p>
    <w:p w14:paraId="27256AFE">
      <w:pPr>
        <w:keepNext w:val="0"/>
        <w:keepLines w:val="0"/>
        <w:pageBreakBefore w:val="0"/>
        <w:kinsoku/>
        <w:wordWrap/>
        <w:overflowPunct/>
        <w:topLinePunct w:val="0"/>
        <w:autoSpaceDE/>
        <w:autoSpaceDN/>
        <w:bidi w:val="0"/>
        <w:spacing w:after="0" w:line="500" w:lineRule="exact"/>
        <w:textAlignment w:val="auto"/>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color w:val="auto"/>
          <w:sz w:val="24"/>
          <w:highlight w:val="none"/>
          <w:shd w:val="clear" w:color="auto" w:fill="FFFFFF"/>
        </w:rPr>
        <w:t>四</w:t>
      </w:r>
      <w:r>
        <w:rPr>
          <w:rFonts w:hint="eastAsia" w:asciiTheme="minorEastAsia" w:hAnsiTheme="minorEastAsia" w:eastAsiaTheme="minorEastAsia" w:cstheme="minorEastAsia"/>
          <w:b/>
          <w:bCs/>
          <w:color w:val="auto"/>
          <w:sz w:val="24"/>
          <w:highlight w:val="none"/>
          <w:shd w:val="clear" w:color="auto" w:fill="FFFFFF"/>
        </w:rPr>
        <w:t>、响应文件提交</w:t>
      </w:r>
    </w:p>
    <w:p w14:paraId="62DAADCB">
      <w:pPr>
        <w:keepNext w:val="0"/>
        <w:keepLines w:val="0"/>
        <w:pageBreakBefore w:val="0"/>
        <w:widowControl/>
        <w:shd w:val="clear" w:color="auto" w:fill="FFFFFF"/>
        <w:kinsoku/>
        <w:wordWrap/>
        <w:overflowPunct/>
        <w:topLinePunct w:val="0"/>
        <w:autoSpaceDE/>
        <w:autoSpaceDN/>
        <w:bidi w:val="0"/>
        <w:adjustRightInd/>
        <w:snapToGrid/>
        <w:spacing w:after="0" w:line="440" w:lineRule="exact"/>
        <w:ind w:firstLine="480" w:firstLineChars="200"/>
        <w:jc w:val="left"/>
        <w:textAlignment w:val="auto"/>
        <w:rPr>
          <w:rFonts w:hint="eastAsia" w:ascii="宋体" w:hAnsi="宋体"/>
          <w:color w:val="auto"/>
          <w:kern w:val="0"/>
          <w:sz w:val="24"/>
          <w:szCs w:val="24"/>
        </w:rPr>
      </w:pPr>
      <w:r>
        <w:rPr>
          <w:rFonts w:hint="eastAsia" w:ascii="宋体" w:hAnsi="宋体"/>
          <w:color w:val="auto"/>
          <w:kern w:val="0"/>
          <w:sz w:val="24"/>
          <w:szCs w:val="24"/>
        </w:rPr>
        <w:t>1.时间：</w:t>
      </w:r>
      <w:r>
        <w:rPr>
          <w:rFonts w:hint="eastAsia" w:ascii="宋体" w:hAnsi="宋体" w:cs="宋体"/>
          <w:bCs/>
          <w:color w:val="auto"/>
          <w:kern w:val="0"/>
          <w:sz w:val="24"/>
          <w:szCs w:val="24"/>
          <w:highlight w:val="none"/>
          <w:lang w:val="en-US" w:eastAsia="zh-CN" w:bidi="ar"/>
        </w:rPr>
        <w:t>2026年08</w:t>
      </w:r>
      <w:r>
        <w:rPr>
          <w:rFonts w:hint="eastAsia" w:ascii="宋体" w:hAnsi="宋体" w:eastAsia="宋体" w:cs="宋体"/>
          <w:bCs/>
          <w:color w:val="auto"/>
          <w:kern w:val="0"/>
          <w:sz w:val="24"/>
          <w:szCs w:val="24"/>
          <w:highlight w:val="none"/>
          <w:lang w:val="en-US" w:eastAsia="zh-CN" w:bidi="ar"/>
        </w:rPr>
        <w:t>月</w:t>
      </w:r>
      <w:r>
        <w:rPr>
          <w:rFonts w:hint="eastAsia" w:ascii="宋体" w:hAnsi="宋体" w:cs="宋体"/>
          <w:bCs/>
          <w:color w:val="auto"/>
          <w:kern w:val="0"/>
          <w:sz w:val="24"/>
          <w:szCs w:val="24"/>
          <w:highlight w:val="none"/>
          <w:lang w:val="en-US" w:eastAsia="zh-CN" w:bidi="ar"/>
        </w:rPr>
        <w:t>28</w:t>
      </w:r>
      <w:r>
        <w:rPr>
          <w:rFonts w:hint="eastAsia" w:ascii="宋体" w:hAnsi="宋体" w:eastAsia="宋体" w:cs="宋体"/>
          <w:bCs/>
          <w:color w:val="auto"/>
          <w:kern w:val="0"/>
          <w:sz w:val="24"/>
          <w:szCs w:val="24"/>
          <w:highlight w:val="none"/>
          <w:lang w:val="en-US" w:eastAsia="zh-CN" w:bidi="ar"/>
        </w:rPr>
        <w:t>日</w:t>
      </w:r>
      <w:r>
        <w:rPr>
          <w:rFonts w:hint="eastAsia" w:ascii="宋体" w:hAnsi="宋体" w:cs="宋体"/>
          <w:bCs/>
          <w:color w:val="auto"/>
          <w:kern w:val="0"/>
          <w:sz w:val="24"/>
          <w:szCs w:val="24"/>
          <w:highlight w:val="none"/>
          <w:lang w:val="en-US" w:eastAsia="zh-CN" w:bidi="ar"/>
        </w:rPr>
        <w:t>09</w:t>
      </w:r>
      <w:r>
        <w:rPr>
          <w:rFonts w:hint="eastAsia" w:ascii="宋体" w:hAnsi="宋体" w:eastAsia="宋体" w:cs="宋体"/>
          <w:bCs/>
          <w:color w:val="auto"/>
          <w:kern w:val="0"/>
          <w:sz w:val="24"/>
          <w:szCs w:val="24"/>
          <w:highlight w:val="none"/>
          <w:lang w:val="en-US" w:eastAsia="zh-CN" w:bidi="ar"/>
        </w:rPr>
        <w:t>时</w:t>
      </w:r>
      <w:r>
        <w:rPr>
          <w:rFonts w:hint="eastAsia" w:ascii="宋体" w:hAnsi="宋体" w:cs="宋体"/>
          <w:bCs/>
          <w:color w:val="auto"/>
          <w:kern w:val="0"/>
          <w:sz w:val="24"/>
          <w:szCs w:val="24"/>
          <w:highlight w:val="none"/>
          <w:lang w:val="en-US" w:eastAsia="zh-CN" w:bidi="ar"/>
        </w:rPr>
        <w:t>00</w:t>
      </w:r>
      <w:r>
        <w:rPr>
          <w:rFonts w:hint="eastAsia" w:ascii="宋体" w:hAnsi="宋体" w:eastAsia="宋体" w:cs="宋体"/>
          <w:bCs/>
          <w:color w:val="auto"/>
          <w:kern w:val="0"/>
          <w:sz w:val="24"/>
          <w:szCs w:val="24"/>
          <w:highlight w:val="none"/>
          <w:lang w:val="en-US" w:eastAsia="zh-CN" w:bidi="ar"/>
        </w:rPr>
        <w:t>分</w:t>
      </w:r>
      <w:r>
        <w:rPr>
          <w:rFonts w:hint="eastAsia" w:ascii="宋体" w:hAnsi="宋体"/>
          <w:color w:val="auto"/>
          <w:kern w:val="0"/>
          <w:sz w:val="24"/>
          <w:szCs w:val="24"/>
        </w:rPr>
        <w:t>（北京时间）</w:t>
      </w:r>
    </w:p>
    <w:p w14:paraId="58DB750C">
      <w:pPr>
        <w:keepNext w:val="0"/>
        <w:keepLines w:val="0"/>
        <w:pageBreakBefore w:val="0"/>
        <w:widowControl/>
        <w:shd w:val="clear" w:color="auto" w:fill="FFFFFF"/>
        <w:kinsoku/>
        <w:wordWrap/>
        <w:overflowPunct/>
        <w:topLinePunct w:val="0"/>
        <w:autoSpaceDE/>
        <w:autoSpaceDN/>
        <w:bidi w:val="0"/>
        <w:adjustRightInd/>
        <w:snapToGrid/>
        <w:spacing w:after="0" w:line="440" w:lineRule="exact"/>
        <w:ind w:firstLine="480" w:firstLineChars="200"/>
        <w:jc w:val="left"/>
        <w:textAlignment w:val="auto"/>
        <w:rPr>
          <w:rFonts w:hint="eastAsia" w:ascii="宋体" w:hAnsi="宋体"/>
          <w:color w:val="auto"/>
          <w:kern w:val="0"/>
          <w:sz w:val="24"/>
          <w:szCs w:val="24"/>
        </w:rPr>
      </w:pPr>
      <w:r>
        <w:rPr>
          <w:rFonts w:hint="eastAsia" w:ascii="宋体" w:hAnsi="宋体"/>
          <w:color w:val="auto"/>
          <w:kern w:val="0"/>
          <w:sz w:val="24"/>
          <w:szCs w:val="24"/>
        </w:rPr>
        <w:t>2.地点：《全国公共资源交易平台（河南省·平顶山市）》公共资源交易系统。</w:t>
      </w:r>
    </w:p>
    <w:p w14:paraId="0F27467F">
      <w:pPr>
        <w:keepNext w:val="0"/>
        <w:keepLines w:val="0"/>
        <w:pageBreakBefore w:val="0"/>
        <w:kinsoku/>
        <w:wordWrap/>
        <w:overflowPunct/>
        <w:topLinePunct w:val="0"/>
        <w:autoSpaceDE/>
        <w:autoSpaceDN/>
        <w:bidi w:val="0"/>
        <w:spacing w:after="0" w:line="500" w:lineRule="exact"/>
        <w:textAlignment w:val="auto"/>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color w:val="auto"/>
          <w:sz w:val="24"/>
          <w:highlight w:val="none"/>
          <w:shd w:val="clear" w:color="auto" w:fill="FFFFFF"/>
        </w:rPr>
        <w:t>五</w:t>
      </w:r>
      <w:r>
        <w:rPr>
          <w:rFonts w:hint="eastAsia" w:asciiTheme="minorEastAsia" w:hAnsiTheme="minorEastAsia" w:eastAsiaTheme="minorEastAsia" w:cstheme="minorEastAsia"/>
          <w:b/>
          <w:bCs/>
          <w:color w:val="auto"/>
          <w:sz w:val="24"/>
          <w:highlight w:val="none"/>
          <w:shd w:val="clear" w:color="auto" w:fill="FFFFFF"/>
        </w:rPr>
        <w:t>、响应文件开启</w:t>
      </w:r>
    </w:p>
    <w:p w14:paraId="7A2A58A2">
      <w:pPr>
        <w:keepNext w:val="0"/>
        <w:keepLines w:val="0"/>
        <w:pageBreakBefore w:val="0"/>
        <w:widowControl/>
        <w:shd w:val="clear" w:color="auto" w:fill="FFFFFF"/>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kern w:val="0"/>
          <w:sz w:val="24"/>
        </w:rPr>
      </w:pPr>
      <w:r>
        <w:rPr>
          <w:rFonts w:hint="eastAsia" w:ascii="宋体" w:hAnsi="宋体"/>
          <w:color w:val="auto"/>
          <w:kern w:val="0"/>
          <w:sz w:val="24"/>
        </w:rPr>
        <w:t>1.时间：</w:t>
      </w:r>
      <w:r>
        <w:rPr>
          <w:rFonts w:hint="eastAsia" w:ascii="宋体" w:hAnsi="宋体" w:cs="宋体"/>
          <w:bCs/>
          <w:color w:val="auto"/>
          <w:kern w:val="0"/>
          <w:sz w:val="24"/>
          <w:szCs w:val="24"/>
          <w:highlight w:val="none"/>
          <w:lang w:val="en-US" w:eastAsia="zh-CN" w:bidi="ar"/>
        </w:rPr>
        <w:t>2026年08</w:t>
      </w:r>
      <w:r>
        <w:rPr>
          <w:rFonts w:hint="eastAsia" w:ascii="宋体" w:hAnsi="宋体" w:eastAsia="宋体" w:cs="宋体"/>
          <w:bCs/>
          <w:color w:val="auto"/>
          <w:kern w:val="0"/>
          <w:sz w:val="24"/>
          <w:szCs w:val="24"/>
          <w:highlight w:val="none"/>
          <w:lang w:val="en-US" w:eastAsia="zh-CN" w:bidi="ar"/>
        </w:rPr>
        <w:t>月</w:t>
      </w:r>
      <w:r>
        <w:rPr>
          <w:rFonts w:hint="eastAsia" w:ascii="宋体" w:hAnsi="宋体" w:cs="宋体"/>
          <w:bCs/>
          <w:color w:val="auto"/>
          <w:kern w:val="0"/>
          <w:sz w:val="24"/>
          <w:szCs w:val="24"/>
          <w:highlight w:val="none"/>
          <w:lang w:val="en-US" w:eastAsia="zh-CN" w:bidi="ar"/>
        </w:rPr>
        <w:t>28</w:t>
      </w:r>
      <w:r>
        <w:rPr>
          <w:rFonts w:hint="eastAsia" w:ascii="宋体" w:hAnsi="宋体" w:eastAsia="宋体" w:cs="宋体"/>
          <w:bCs/>
          <w:color w:val="auto"/>
          <w:kern w:val="0"/>
          <w:sz w:val="24"/>
          <w:szCs w:val="24"/>
          <w:highlight w:val="none"/>
          <w:lang w:val="en-US" w:eastAsia="zh-CN" w:bidi="ar"/>
        </w:rPr>
        <w:t>日</w:t>
      </w:r>
      <w:r>
        <w:rPr>
          <w:rFonts w:hint="eastAsia" w:ascii="宋体" w:hAnsi="宋体" w:cs="宋体"/>
          <w:bCs/>
          <w:color w:val="auto"/>
          <w:kern w:val="0"/>
          <w:sz w:val="24"/>
          <w:szCs w:val="24"/>
          <w:highlight w:val="none"/>
          <w:lang w:val="en-US" w:eastAsia="zh-CN" w:bidi="ar"/>
        </w:rPr>
        <w:t>09</w:t>
      </w:r>
      <w:r>
        <w:rPr>
          <w:rFonts w:hint="eastAsia" w:ascii="宋体" w:hAnsi="宋体" w:eastAsia="宋体" w:cs="宋体"/>
          <w:bCs/>
          <w:color w:val="auto"/>
          <w:kern w:val="0"/>
          <w:sz w:val="24"/>
          <w:szCs w:val="24"/>
          <w:highlight w:val="none"/>
          <w:lang w:val="en-US" w:eastAsia="zh-CN" w:bidi="ar"/>
        </w:rPr>
        <w:t>时</w:t>
      </w:r>
      <w:r>
        <w:rPr>
          <w:rFonts w:hint="eastAsia" w:ascii="宋体" w:hAnsi="宋体" w:cs="宋体"/>
          <w:bCs/>
          <w:color w:val="auto"/>
          <w:kern w:val="0"/>
          <w:sz w:val="24"/>
          <w:szCs w:val="24"/>
          <w:highlight w:val="none"/>
          <w:lang w:val="en-US" w:eastAsia="zh-CN" w:bidi="ar"/>
        </w:rPr>
        <w:t>00</w:t>
      </w:r>
      <w:r>
        <w:rPr>
          <w:rFonts w:hint="eastAsia" w:ascii="宋体" w:hAnsi="宋体" w:eastAsia="宋体" w:cs="宋体"/>
          <w:bCs/>
          <w:color w:val="auto"/>
          <w:kern w:val="0"/>
          <w:sz w:val="24"/>
          <w:szCs w:val="24"/>
          <w:highlight w:val="none"/>
          <w:lang w:val="en-US" w:eastAsia="zh-CN" w:bidi="ar"/>
        </w:rPr>
        <w:t>分</w:t>
      </w:r>
      <w:r>
        <w:rPr>
          <w:rFonts w:hint="eastAsia" w:ascii="宋体" w:hAnsi="宋体"/>
          <w:color w:val="auto"/>
          <w:kern w:val="0"/>
          <w:sz w:val="24"/>
        </w:rPr>
        <w:t>（北京时间）</w:t>
      </w:r>
    </w:p>
    <w:p w14:paraId="33562177">
      <w:pPr>
        <w:keepNext w:val="0"/>
        <w:keepLines w:val="0"/>
        <w:pageBreakBefore w:val="0"/>
        <w:widowControl/>
        <w:shd w:val="clear" w:color="auto" w:fill="FFFFFF"/>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kern w:val="0"/>
          <w:sz w:val="24"/>
        </w:rPr>
      </w:pPr>
      <w:r>
        <w:rPr>
          <w:rFonts w:hint="eastAsia" w:ascii="宋体" w:hAnsi="宋体"/>
          <w:color w:val="auto"/>
          <w:kern w:val="0"/>
          <w:sz w:val="24"/>
        </w:rPr>
        <w:t>2.地点：《全国公共资源交易平台（河南省·平顶山市）》公共资源交易系统。</w:t>
      </w:r>
    </w:p>
    <w:p w14:paraId="0827490D">
      <w:pPr>
        <w:keepNext w:val="0"/>
        <w:keepLines w:val="0"/>
        <w:pageBreakBefore w:val="0"/>
        <w:kinsoku/>
        <w:wordWrap/>
        <w:overflowPunct/>
        <w:topLinePunct w:val="0"/>
        <w:autoSpaceDE/>
        <w:autoSpaceDN/>
        <w:bidi w:val="0"/>
        <w:spacing w:after="0" w:line="500" w:lineRule="exact"/>
        <w:textAlignment w:val="auto"/>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shd w:val="clear" w:color="auto" w:fill="FFFFFF"/>
        </w:rPr>
        <w:t>六</w:t>
      </w:r>
      <w:r>
        <w:rPr>
          <w:rFonts w:hint="eastAsia" w:asciiTheme="minorEastAsia" w:hAnsiTheme="minorEastAsia" w:eastAsiaTheme="minorEastAsia" w:cstheme="minorEastAsia"/>
          <w:b/>
          <w:bCs/>
          <w:color w:val="auto"/>
          <w:sz w:val="24"/>
          <w:highlight w:val="none"/>
          <w:shd w:val="clear" w:color="auto" w:fill="FFFFFF"/>
        </w:rPr>
        <w:t>、发布公告的媒介及招标公告期限</w:t>
      </w:r>
      <w:r>
        <w:rPr>
          <w:rFonts w:hint="eastAsia" w:asciiTheme="minorEastAsia" w:hAnsiTheme="minorEastAsia" w:eastAsiaTheme="minorEastAsia" w:cstheme="minorEastAsia"/>
          <w:b/>
          <w:color w:val="auto"/>
          <w:sz w:val="24"/>
          <w:highlight w:val="none"/>
        </w:rPr>
        <w:t>：</w:t>
      </w:r>
    </w:p>
    <w:p w14:paraId="2A10CF2F">
      <w:pPr>
        <w:keepNext w:val="0"/>
        <w:keepLines w:val="0"/>
        <w:pageBreakBefore w:val="0"/>
        <w:kinsoku/>
        <w:wordWrap/>
        <w:overflowPunct/>
        <w:topLinePunct w:val="0"/>
        <w:autoSpaceDE/>
        <w:autoSpaceDN/>
        <w:bidi w:val="0"/>
        <w:spacing w:line="480" w:lineRule="exact"/>
        <w:ind w:firstLine="480" w:firstLineChars="200"/>
        <w:jc w:val="left"/>
        <w:textAlignment w:val="auto"/>
        <w:rPr>
          <w:rFonts w:hint="eastAsia" w:ascii="宋体" w:hAnsi="宋体"/>
          <w:color w:val="auto"/>
          <w:kern w:val="0"/>
          <w:sz w:val="24"/>
        </w:rPr>
      </w:pPr>
      <w:r>
        <w:rPr>
          <w:rFonts w:hint="eastAsia" w:ascii="宋体" w:hAnsi="宋体"/>
          <w:color w:val="auto"/>
          <w:kern w:val="0"/>
          <w:sz w:val="24"/>
        </w:rPr>
        <w:t>本次招标公告在《河南省政府采购网》、《中国采购与招标网》、《平顶山市政府采购网》、《全国公共资源交易平台（河南省·平顶山市）》</w:t>
      </w:r>
      <w:r>
        <w:rPr>
          <w:rFonts w:hint="eastAsia" w:ascii="宋体" w:hAnsi="宋体"/>
          <w:color w:val="auto"/>
          <w:kern w:val="0"/>
          <w:sz w:val="24"/>
          <w:lang w:eastAsia="zh-CN"/>
        </w:rPr>
        <w:t>上</w:t>
      </w:r>
      <w:r>
        <w:rPr>
          <w:rFonts w:hint="eastAsia" w:ascii="宋体" w:hAnsi="宋体"/>
          <w:color w:val="auto"/>
          <w:kern w:val="0"/>
          <w:sz w:val="24"/>
        </w:rPr>
        <w:t>发布，招标公告期限为三个工作日。</w:t>
      </w:r>
    </w:p>
    <w:p w14:paraId="79199883">
      <w:pPr>
        <w:keepNext w:val="0"/>
        <w:keepLines w:val="0"/>
        <w:pageBreakBefore w:val="0"/>
        <w:kinsoku/>
        <w:wordWrap/>
        <w:overflowPunct/>
        <w:topLinePunct w:val="0"/>
        <w:autoSpaceDE/>
        <w:autoSpaceDN/>
        <w:bidi w:val="0"/>
        <w:spacing w:after="0" w:line="500" w:lineRule="exact"/>
        <w:textAlignment w:val="auto"/>
        <w:rPr>
          <w:rFonts w:asciiTheme="minorEastAsia" w:hAnsiTheme="minorEastAsia" w:eastAsiaTheme="minorEastAsia" w:cstheme="minorEastAsia"/>
          <w:b/>
          <w:color w:val="auto"/>
          <w:sz w:val="24"/>
          <w:highlight w:val="none"/>
          <w:shd w:val="clear" w:color="auto" w:fill="FFFFFF"/>
        </w:rPr>
      </w:pPr>
      <w:r>
        <w:rPr>
          <w:rFonts w:hint="eastAsia" w:asciiTheme="minorEastAsia" w:hAnsiTheme="minorEastAsia" w:eastAsiaTheme="minorEastAsia" w:cstheme="minorEastAsia"/>
          <w:b/>
          <w:color w:val="auto"/>
          <w:sz w:val="24"/>
          <w:highlight w:val="none"/>
          <w:shd w:val="clear" w:color="auto" w:fill="FFFFFF"/>
        </w:rPr>
        <w:t>七、其他补充事宜</w:t>
      </w:r>
    </w:p>
    <w:p w14:paraId="1116E7D1">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rPr>
      </w:pPr>
      <w:r>
        <w:rPr>
          <w:rFonts w:hint="eastAsia" w:ascii="宋体" w:hAnsi="宋体"/>
          <w:color w:val="auto"/>
          <w:sz w:val="24"/>
        </w:rPr>
        <w:t>1.平顶山市公共资源交易中心全面实行在线“不见面”开标，供应商远程在线解密响应文件，不再到开标现场，供应商开标前应仔细阅读招标文件中《“不见面”开标注意事项及操作流程》。</w:t>
      </w:r>
    </w:p>
    <w:p w14:paraId="60A26ABB">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rPr>
      </w:pPr>
      <w:r>
        <w:rPr>
          <w:rFonts w:hint="eastAsia" w:ascii="宋体" w:hAnsi="宋体"/>
          <w:color w:val="auto"/>
          <w:sz w:val="24"/>
        </w:rPr>
        <w:t>2.</w:t>
      </w:r>
      <w:r>
        <w:rPr>
          <w:rFonts w:hint="eastAsia" w:ascii="宋体" w:hAnsi="宋体"/>
          <w:color w:val="auto"/>
          <w:sz w:val="24"/>
          <w:lang w:val="en-US" w:eastAsia="zh-CN"/>
        </w:rPr>
        <w:t>投标人或其他利害关系人对本次公告、文件如有异议，请按中华人民共和国财政部令第94号《政府采购质疑和投诉办法》的相关规定，在规定时间内，向采购人、采购代理机构、监督部门提出书面质疑、投诉等事宜。逾期未提交或未按照要求提交的质疑、投诉将不予受理。</w:t>
      </w:r>
    </w:p>
    <w:p w14:paraId="035B276B">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lang w:val="en-US" w:eastAsia="zh-CN"/>
        </w:rPr>
      </w:pPr>
      <w:r>
        <w:rPr>
          <w:rFonts w:hint="eastAsia" w:ascii="宋体" w:hAnsi="宋体"/>
          <w:color w:val="auto"/>
          <w:sz w:val="24"/>
          <w:lang w:val="en-US" w:eastAsia="zh-CN"/>
        </w:rPr>
        <w:t>3.监督部门：平顶山市财政局</w:t>
      </w:r>
    </w:p>
    <w:p w14:paraId="2A106A45">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联系方式：0375-2627595</w:t>
      </w:r>
    </w:p>
    <w:p w14:paraId="7D18EE14">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监督单位：平顶山市卫生健康委员会</w:t>
      </w:r>
    </w:p>
    <w:p w14:paraId="19088D65">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统一社会信用代码：11410400MB1632093J</w:t>
      </w:r>
    </w:p>
    <w:p w14:paraId="26C7920C">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联系人:易先生</w:t>
      </w:r>
    </w:p>
    <w:p w14:paraId="70592422">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电话:0375-4976018</w:t>
      </w:r>
    </w:p>
    <w:p w14:paraId="50EBE6B2">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监督单位：中共平顶山市第一人民医院纪律检查委员会</w:t>
      </w:r>
    </w:p>
    <w:p w14:paraId="3A3C814C">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统一社会信用代码：12410400416845373A</w:t>
      </w:r>
    </w:p>
    <w:p w14:paraId="429835EF">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联系电话：0375-3383077</w:t>
      </w:r>
    </w:p>
    <w:p w14:paraId="298E8BC8">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left"/>
        <w:textAlignment w:val="auto"/>
        <w:rPr>
          <w:rFonts w:hint="eastAsia" w:ascii="宋体" w:hAnsi="宋体"/>
          <w:color w:val="auto"/>
          <w:sz w:val="24"/>
        </w:rPr>
      </w:pPr>
      <w:r>
        <w:rPr>
          <w:rFonts w:hint="eastAsia" w:ascii="宋体" w:hAnsi="宋体"/>
          <w:color w:val="auto"/>
          <w:sz w:val="24"/>
          <w:lang w:val="en-US" w:eastAsia="zh-CN"/>
        </w:rPr>
        <w:t>4.</w:t>
      </w:r>
      <w:r>
        <w:rPr>
          <w:rFonts w:hint="eastAsia" w:ascii="宋体" w:hAnsi="宋体"/>
          <w:color w:val="auto"/>
          <w:sz w:val="24"/>
        </w:rPr>
        <w:t>该公告已同步至“平顶山市公共资源交易中心微信公众号”，可通过公众号中的服务栏目进行查阅。</w:t>
      </w:r>
    </w:p>
    <w:p w14:paraId="4A34B053">
      <w:pPr>
        <w:keepNext w:val="0"/>
        <w:keepLines w:val="0"/>
        <w:pageBreakBefore w:val="0"/>
        <w:kinsoku/>
        <w:wordWrap/>
        <w:overflowPunct/>
        <w:topLinePunct w:val="0"/>
        <w:autoSpaceDE/>
        <w:autoSpaceDN/>
        <w:bidi w:val="0"/>
        <w:spacing w:after="0" w:line="500" w:lineRule="exact"/>
        <w:textAlignment w:val="auto"/>
        <w:rPr>
          <w:rFonts w:asciiTheme="minorEastAsia" w:hAnsiTheme="minorEastAsia" w:eastAsiaTheme="minorEastAsia" w:cstheme="minorEastAsia"/>
          <w:b/>
          <w:color w:val="auto"/>
          <w:sz w:val="24"/>
          <w:highlight w:val="none"/>
          <w:shd w:val="clear" w:color="auto" w:fill="FFFFFF"/>
        </w:rPr>
      </w:pPr>
      <w:r>
        <w:rPr>
          <w:rFonts w:hint="eastAsia" w:asciiTheme="minorEastAsia" w:hAnsiTheme="minorEastAsia" w:eastAsiaTheme="minorEastAsia" w:cstheme="minorEastAsia"/>
          <w:b/>
          <w:color w:val="auto"/>
          <w:sz w:val="24"/>
          <w:highlight w:val="none"/>
          <w:shd w:val="clear" w:color="auto" w:fill="FFFFFF"/>
        </w:rPr>
        <w:t>八</w:t>
      </w:r>
      <w:r>
        <w:rPr>
          <w:rFonts w:hint="eastAsia" w:asciiTheme="minorEastAsia" w:hAnsiTheme="minorEastAsia" w:eastAsiaTheme="minorEastAsia" w:cstheme="minorEastAsia"/>
          <w:b/>
          <w:bCs/>
          <w:color w:val="auto"/>
          <w:sz w:val="24"/>
          <w:highlight w:val="none"/>
          <w:shd w:val="clear" w:color="auto" w:fill="FFFFFF"/>
        </w:rPr>
        <w:t>、</w:t>
      </w:r>
      <w:r>
        <w:rPr>
          <w:rFonts w:hint="eastAsia" w:ascii="宋体" w:hAnsi="宋体"/>
          <w:b/>
          <w:bCs/>
          <w:color w:val="auto"/>
          <w:sz w:val="24"/>
        </w:rPr>
        <w:t>凡对本次招标提出询问，请按照以下方式联系</w:t>
      </w:r>
    </w:p>
    <w:p w14:paraId="04FCD6A9">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rPr>
        <w:t>1</w:t>
      </w:r>
      <w:r>
        <w:rPr>
          <w:rFonts w:hint="eastAsia" w:asciiTheme="minorEastAsia" w:hAnsiTheme="minorEastAsia" w:eastAsiaTheme="minorEastAsia" w:cstheme="minorEastAsia"/>
          <w:color w:val="auto"/>
          <w:kern w:val="0"/>
          <w:sz w:val="24"/>
          <w:highlight w:val="none"/>
          <w:lang w:eastAsia="zh-CN"/>
        </w:rPr>
        <w:t>、</w:t>
      </w:r>
      <w:r>
        <w:rPr>
          <w:rFonts w:hint="eastAsia" w:asciiTheme="minorEastAsia" w:hAnsiTheme="minorEastAsia" w:eastAsiaTheme="minorEastAsia" w:cstheme="minorEastAsia"/>
          <w:color w:val="auto"/>
          <w:kern w:val="0"/>
          <w:sz w:val="24"/>
          <w:highlight w:val="none"/>
        </w:rPr>
        <w:t>采购人信息</w:t>
      </w:r>
    </w:p>
    <w:p w14:paraId="30942C74">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名称：平顶山市第一人民医院</w:t>
      </w:r>
    </w:p>
    <w:p w14:paraId="3C591E3D">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地址：平顶山市新城区未来路</w:t>
      </w:r>
    </w:p>
    <w:p w14:paraId="3F45A659">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w:t>
      </w:r>
      <w:r>
        <w:rPr>
          <w:rFonts w:hint="eastAsia" w:ascii="宋体" w:hAnsi="宋体" w:cs="宋体"/>
          <w:color w:val="auto"/>
          <w:kern w:val="0"/>
          <w:sz w:val="24"/>
          <w:highlight w:val="none"/>
          <w:lang w:val="en-US" w:eastAsia="zh-CN"/>
        </w:rPr>
        <w:t>付</w:t>
      </w:r>
      <w:r>
        <w:rPr>
          <w:rFonts w:hint="eastAsia" w:ascii="宋体" w:hAnsi="宋体" w:cs="宋体"/>
          <w:color w:val="auto"/>
          <w:kern w:val="0"/>
          <w:sz w:val="24"/>
          <w:highlight w:val="none"/>
          <w:lang w:eastAsia="zh-CN"/>
        </w:rPr>
        <w:t>先生</w:t>
      </w:r>
    </w:p>
    <w:p w14:paraId="735C1373">
      <w:pPr>
        <w:keepNext w:val="0"/>
        <w:keepLines w:val="0"/>
        <w:pageBreakBefore w:val="0"/>
        <w:kinsoku/>
        <w:wordWrap/>
        <w:overflowPunct/>
        <w:topLinePunct w:val="0"/>
        <w:autoSpaceDE/>
        <w:autoSpaceDN/>
        <w:bidi w:val="0"/>
        <w:spacing w:after="0" w:line="500" w:lineRule="exact"/>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联系电话：</w:t>
      </w:r>
      <w:r>
        <w:rPr>
          <w:rFonts w:hint="eastAsia" w:asciiTheme="minorEastAsia" w:hAnsiTheme="minorEastAsia" w:eastAsiaTheme="minorEastAsia" w:cstheme="minorEastAsia"/>
          <w:color w:val="auto"/>
          <w:sz w:val="24"/>
          <w:highlight w:val="none"/>
          <w:lang w:val="en-US" w:eastAsia="zh-CN"/>
        </w:rPr>
        <w:t>0375-3383081</w:t>
      </w:r>
    </w:p>
    <w:p w14:paraId="7D98DD77">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采购代理机构信息（如有）</w:t>
      </w:r>
    </w:p>
    <w:p w14:paraId="57865521">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名称：河南荣之鑫工程管理有限公司</w:t>
      </w:r>
    </w:p>
    <w:p w14:paraId="49FE887A">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地址:平顶山市和顺路公园南门嘉荷天城0326003号</w:t>
      </w:r>
    </w:p>
    <w:p w14:paraId="7DBD3DDE">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联系人：张先生</w:t>
      </w:r>
    </w:p>
    <w:p w14:paraId="088429F2">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联系电话：17737565013</w:t>
      </w:r>
    </w:p>
    <w:p w14:paraId="08318846">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 xml:space="preserve">项目联系方式 </w:t>
      </w:r>
    </w:p>
    <w:p w14:paraId="1A01A5C4">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项目联系人：张先生 </w:t>
      </w:r>
    </w:p>
    <w:p w14:paraId="0197A7BE">
      <w:pPr>
        <w:keepNext w:val="0"/>
        <w:keepLines w:val="0"/>
        <w:pageBreakBefore w:val="0"/>
        <w:kinsoku/>
        <w:wordWrap/>
        <w:overflowPunct/>
        <w:topLinePunct w:val="0"/>
        <w:autoSpaceDE/>
        <w:autoSpaceDN/>
        <w:bidi w:val="0"/>
        <w:spacing w:after="0" w:line="500" w:lineRule="exact"/>
        <w:ind w:firstLine="480" w:firstLineChars="200"/>
        <w:textAlignment w:val="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联系方式：17737565013 </w:t>
      </w:r>
    </w:p>
    <w:p w14:paraId="5B5ED698">
      <w:pPr>
        <w:pStyle w:val="13"/>
        <w:rPr>
          <w:rFonts w:asciiTheme="minorEastAsia" w:hAnsiTheme="minorEastAsia" w:eastAsiaTheme="minorEastAsia" w:cstheme="minorEastAsia"/>
          <w:color w:val="auto"/>
          <w:sz w:val="24"/>
          <w:highlight w:val="none"/>
        </w:rPr>
      </w:pPr>
    </w:p>
    <w:p w14:paraId="517959E0">
      <w:pPr>
        <w:pStyle w:val="13"/>
        <w:rPr>
          <w:rFonts w:asciiTheme="minorEastAsia" w:hAnsiTheme="minorEastAsia" w:eastAsiaTheme="minorEastAsia" w:cstheme="minorEastAsia"/>
          <w:color w:val="auto"/>
          <w:sz w:val="24"/>
          <w:highlight w:val="none"/>
        </w:rPr>
      </w:pPr>
    </w:p>
    <w:p w14:paraId="5CB2A463">
      <w:pPr>
        <w:pStyle w:val="13"/>
        <w:rPr>
          <w:rFonts w:asciiTheme="minorEastAsia" w:hAnsiTheme="minorEastAsia" w:eastAsiaTheme="minorEastAsia" w:cstheme="minorEastAsia"/>
          <w:color w:val="auto"/>
          <w:sz w:val="24"/>
          <w:highlight w:val="none"/>
        </w:rPr>
      </w:pPr>
    </w:p>
    <w:p w14:paraId="12508ED6">
      <w:pPr>
        <w:pStyle w:val="13"/>
        <w:rPr>
          <w:rFonts w:asciiTheme="minorEastAsia" w:hAnsiTheme="minorEastAsia" w:eastAsiaTheme="minorEastAsia" w:cstheme="minorEastAsia"/>
          <w:color w:val="auto"/>
          <w:sz w:val="24"/>
          <w:highlight w:val="none"/>
        </w:rPr>
      </w:pPr>
    </w:p>
    <w:p w14:paraId="167E5F55">
      <w:pPr>
        <w:spacing w:line="440" w:lineRule="exact"/>
        <w:jc w:val="center"/>
        <w:rPr>
          <w:rFonts w:hint="eastAsia" w:ascii="宋体" w:hAnsi="宋体" w:cs="宋体"/>
          <w:b/>
          <w:bCs/>
          <w:color w:val="auto"/>
          <w:sz w:val="24"/>
          <w:szCs w:val="24"/>
          <w:highlight w:val="none"/>
        </w:rPr>
      </w:pPr>
      <w:r>
        <w:rPr>
          <w:rFonts w:hint="eastAsia" w:ascii="宋体" w:hAnsi="宋体" w:cs="宋体"/>
          <w:b/>
          <w:color w:val="auto"/>
          <w:kern w:val="0"/>
          <w:sz w:val="30"/>
          <w:szCs w:val="30"/>
          <w:highlight w:val="none"/>
          <w:shd w:val="clear" w:color="auto" w:fill="FFFFFF"/>
          <w:lang w:bidi="ar"/>
        </w:rPr>
        <w:t>温馨提示：</w:t>
      </w:r>
    </w:p>
    <w:p w14:paraId="24AEF2BC">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本项目为全流程电子化交易项目，请认真阅读采购文件，并注意以下事项。</w:t>
      </w:r>
    </w:p>
    <w:p w14:paraId="07234C9E">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1.供应商应按采购文件规定编制、提交电子投标文件。</w:t>
      </w:r>
    </w:p>
    <w:p w14:paraId="67E053E4">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2.本项目供应商不用再提供纸质投标文件。</w:t>
      </w:r>
    </w:p>
    <w:p w14:paraId="3EB6C680">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3.电子文件下载、制作、提交期间和开标（电子投标文件的解密）环节，供应商须使用CA数字证书（证书须在有效期内）。</w:t>
      </w:r>
    </w:p>
    <w:p w14:paraId="1F18F1EE">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4.电子投标文件的制作</w:t>
      </w:r>
    </w:p>
    <w:p w14:paraId="01AA8C12">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4.1供应商登录《全国公共资源交易平台(河南省▪平顶山市)》公共资源交易系统（</w:t>
      </w:r>
      <w:r>
        <w:rPr>
          <w:rFonts w:hint="eastAsia" w:ascii="宋体" w:hAnsi="宋体" w:cs="宋体"/>
          <w:color w:val="auto"/>
          <w:sz w:val="24"/>
          <w:szCs w:val="24"/>
          <w:highlight w:val="none"/>
          <w:lang w:eastAsia="zh-CN"/>
        </w:rPr>
        <w:t>http://ggzy.pds.gov.cn/dbgxz/72277.jhtml</w:t>
      </w:r>
      <w:r>
        <w:rPr>
          <w:rFonts w:hint="eastAsia" w:ascii="宋体" w:hAnsi="宋体" w:cs="宋体"/>
          <w:color w:val="auto"/>
          <w:sz w:val="24"/>
          <w:szCs w:val="24"/>
          <w:highlight w:val="none"/>
        </w:rPr>
        <w:t>）下载“平顶山投标文件制作系统”，按采购文件要求制作电子投标文件。</w:t>
      </w:r>
    </w:p>
    <w:p w14:paraId="264566DD">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电子投标文件的制作，参考《全国公共资源交易平台(河南省▪平顶山市)》公共资源交易系统——组件下载——交易系统操作手册（投标人、供应商）。</w:t>
      </w:r>
    </w:p>
    <w:p w14:paraId="3AE67533">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4.2供应商须将采购文件要求的资质、业绩、荣誉及相关人员证明材料等资料原件扫描件（或图片）制作到所提交的电子投标文件中。</w:t>
      </w:r>
    </w:p>
    <w:p w14:paraId="7780F8AC">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4.3供应商对同一项目多个标段进行投标的，应分别下载所投标段的采购文件，按标段制作电子投标文件，并按采购文件要求在相应位置加盖供应商电子印章和法人电子印章。</w:t>
      </w:r>
    </w:p>
    <w:p w14:paraId="010068A0">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一个标段对应生成一个文件夹（xxxx项目xx标段）, 其中包含2个文件和1个文件夹。后缀名为“.file”的文件用于电子投标使用，名称为“备份”的文件夹使用电子介质存储，供开标现场备用。</w:t>
      </w:r>
    </w:p>
    <w:p w14:paraId="7EF96180">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5.加密电子投标文件的提交</w:t>
      </w:r>
    </w:p>
    <w:p w14:paraId="5B423E42">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5.1加密电子投标文件应在采购文件规定的投标截止时间（开标时间）之前成功提交至《全国公共资源交易平台(河南省▪平顶山市)》公共资源交易系统（</w:t>
      </w:r>
      <w:r>
        <w:rPr>
          <w:rFonts w:hint="eastAsia" w:ascii="宋体" w:hAnsi="宋体" w:eastAsia="宋体" w:cs="宋体"/>
          <w:color w:val="auto"/>
          <w:sz w:val="24"/>
          <w:szCs w:val="24"/>
        </w:rPr>
        <w:t>http://ggzy.pds.gov.cn/cas/login?service=http%3A%2F%2Fggzy.pds.gov.cn%2Fywpt%2Fj_login%2Fcas</w:t>
      </w:r>
      <w:r>
        <w:rPr>
          <w:rFonts w:hint="eastAsia" w:ascii="宋体" w:hAnsi="宋体" w:cs="宋体"/>
          <w:color w:val="auto"/>
          <w:sz w:val="24"/>
          <w:szCs w:val="24"/>
          <w:highlight w:val="none"/>
        </w:rPr>
        <w:t>）。</w:t>
      </w:r>
    </w:p>
    <w:p w14:paraId="2477F893">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供应商应充分考虑并预留技术处理和上传数据所需时间。</w:t>
      </w:r>
    </w:p>
    <w:p w14:paraId="5635FE24">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5.2供应商对同一项目多个标段进行投标的，加密电子投标文件应按标段分别提交。</w:t>
      </w:r>
    </w:p>
    <w:p w14:paraId="1E2D760A">
      <w:pPr>
        <w:widowControl/>
        <w:spacing w:before="226" w:line="357" w:lineRule="auto"/>
        <w:jc w:val="center"/>
        <w:rPr>
          <w:rFonts w:hint="eastAsia" w:ascii="宋体" w:hAnsi="宋体" w:cs="宋体"/>
          <w:color w:val="auto"/>
          <w:sz w:val="24"/>
          <w:szCs w:val="24"/>
          <w:highlight w:val="none"/>
        </w:rPr>
      </w:pPr>
      <w:r>
        <w:rPr>
          <w:rFonts w:hint="eastAsia" w:ascii="宋体" w:hAnsi="宋体" w:cs="宋体"/>
          <w:b/>
          <w:color w:val="auto"/>
          <w:kern w:val="0"/>
          <w:sz w:val="24"/>
          <w:szCs w:val="24"/>
          <w:highlight w:val="none"/>
          <w:shd w:val="clear" w:color="auto" w:fill="FFFFFF"/>
          <w:lang w:bidi="ar"/>
        </w:rPr>
        <w:br w:type="page"/>
      </w:r>
      <w:r>
        <w:rPr>
          <w:rFonts w:hint="eastAsia" w:ascii="宋体" w:hAnsi="宋体" w:cs="宋体"/>
          <w:b/>
          <w:color w:val="auto"/>
          <w:kern w:val="0"/>
          <w:sz w:val="30"/>
          <w:szCs w:val="30"/>
          <w:highlight w:val="none"/>
          <w:shd w:val="clear" w:color="auto" w:fill="FFFFFF"/>
          <w:lang w:bidi="ar"/>
        </w:rPr>
        <w:t>“不见面”开标注意事项</w:t>
      </w:r>
    </w:p>
    <w:p w14:paraId="08F2457F">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14:paraId="24D7B267">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2、如出现投标人的电子投标文件无法解密的情况，投标人应及时联系招标人（代理机构）进行说明。投标文件解密异常，按以下步骤进行处理：</w:t>
      </w:r>
    </w:p>
    <w:p w14:paraId="0366521F">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（1）如果是投标文件自身问题导致投标文件无法解密的，该投标文件将不予接收、解密。</w:t>
      </w:r>
    </w:p>
    <w:p w14:paraId="515B75AB">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（2）如果是电子化交易系统问题造成投标文件无法解密的，将由技术人员进行排查处理。如短时间内问题无法解决的，将由招标人（代理机构）联系监督部门申请暂停开标，待问题解决后继续开标。</w:t>
      </w:r>
    </w:p>
    <w:p w14:paraId="6CE38409">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3、所有投标文件解密完成后，由招标人（代理机构）操作，对开标结果进行公示。</w:t>
      </w:r>
    </w:p>
    <w:p w14:paraId="68A8A8EB">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4、投标人应保证在开标期间电话、电脑、网络等能够正常使用，投标人因停电、电脑病毒、网络堵塞等原因，未在规定的解密时间内对投标文件进行解密的，其投标文件不予接收。</w:t>
      </w:r>
    </w:p>
    <w:p w14:paraId="1F6D503D">
      <w:pPr>
        <w:spacing w:line="440" w:lineRule="exact"/>
        <w:ind w:firstLine="480" w:firstLineChars="200"/>
        <w:rPr>
          <w:rFonts w:hint="eastAsia" w:ascii="宋体" w:hAnsi="宋体"/>
          <w:color w:val="auto"/>
          <w:sz w:val="24"/>
          <w:szCs w:val="24"/>
          <w:highlight w:val="none"/>
        </w:rPr>
      </w:pPr>
      <w:r>
        <w:rPr>
          <w:rFonts w:hint="eastAsia" w:ascii="宋体" w:hAnsi="宋体" w:cs="宋体"/>
          <w:color w:val="auto"/>
          <w:sz w:val="24"/>
          <w:szCs w:val="24"/>
          <w:highlight w:val="none"/>
        </w:rPr>
        <w:t>5、解密完成后，投标人可登录到交易系统查看自己的投标报价。如对自己的报价内容有异议的，应在报价内容显示后20分钟内联系招标人（代理机构）进行质疑，投标人未在规定时间内提出质疑的，视为认可开标结果显示内容。</w:t>
      </w:r>
    </w:p>
    <w:p w14:paraId="2FA02338">
      <w:pPr>
        <w:spacing w:line="440" w:lineRule="exact"/>
        <w:ind w:firstLine="420" w:firstLineChars="200"/>
        <w:rPr>
          <w:rFonts w:hint="eastAsia" w:ascii="宋体" w:hAnsi="宋体"/>
          <w:color w:val="auto"/>
          <w:highlight w:val="none"/>
        </w:rPr>
      </w:pPr>
    </w:p>
    <w:p w14:paraId="4ED665A7">
      <w:pPr>
        <w:spacing w:line="440" w:lineRule="exact"/>
        <w:ind w:firstLine="480" w:firstLineChars="200"/>
        <w:rPr>
          <w:rFonts w:hint="eastAsia" w:ascii="宋体" w:hAnsi="宋体"/>
          <w:color w:val="auto"/>
          <w:sz w:val="24"/>
          <w:szCs w:val="24"/>
        </w:rPr>
      </w:pPr>
    </w:p>
    <w:p w14:paraId="623C94DE">
      <w:pPr>
        <w:spacing w:line="440" w:lineRule="exact"/>
        <w:ind w:firstLine="420" w:firstLineChars="200"/>
        <w:rPr>
          <w:rFonts w:hint="eastAsia" w:ascii="宋体" w:hAnsi="宋体"/>
          <w:color w:val="auto"/>
        </w:rPr>
      </w:pPr>
    </w:p>
    <w:p w14:paraId="19F7381C">
      <w:pPr>
        <w:spacing w:line="440" w:lineRule="exact"/>
        <w:ind w:firstLine="480" w:firstLineChars="200"/>
        <w:jc w:val="left"/>
        <w:rPr>
          <w:rFonts w:hint="eastAsia" w:ascii="宋体" w:hAnsi="宋体"/>
          <w:color w:val="auto"/>
          <w:kern w:val="0"/>
          <w:sz w:val="24"/>
        </w:rPr>
      </w:pPr>
    </w:p>
    <w:p w14:paraId="06FDAC7D">
      <w:pPr>
        <w:rPr>
          <w:rFonts w:hint="eastAsia"/>
          <w:color w:val="auto"/>
        </w:rPr>
      </w:pPr>
    </w:p>
    <w:p w14:paraId="357DCCDD">
      <w:pPr>
        <w:rPr>
          <w:rFonts w:hint="eastAsia"/>
          <w:color w:val="auto"/>
        </w:rPr>
      </w:pPr>
    </w:p>
    <w:p w14:paraId="0C49A37C">
      <w:pPr>
        <w:rPr>
          <w:rFonts w:hint="eastAsia"/>
          <w:color w:val="auto"/>
        </w:rPr>
      </w:pPr>
    </w:p>
    <w:p w14:paraId="13D60572">
      <w:pPr>
        <w:rPr>
          <w:rFonts w:hint="eastAsia"/>
          <w:color w:val="auto"/>
        </w:rPr>
      </w:pPr>
    </w:p>
    <w:p w14:paraId="6B70EB1A">
      <w:pPr>
        <w:pStyle w:val="8"/>
        <w:rPr>
          <w:color w:val="auto"/>
        </w:rPr>
      </w:pPr>
      <w:r>
        <w:rPr>
          <w:rFonts w:hint="eastAsia" w:ascii="宋体" w:hAnsi="宋体"/>
          <w:b/>
          <w:bCs/>
          <w:color w:val="auto"/>
          <w:kern w:val="44"/>
          <w:sz w:val="36"/>
          <w:szCs w:val="36"/>
        </w:rPr>
        <w:br w:type="page"/>
      </w:r>
    </w:p>
    <w:bookmarkEnd w:id="7"/>
    <w:bookmarkEnd w:id="8"/>
    <w:p w14:paraId="7F5D11E7">
      <w:pPr>
        <w:pStyle w:val="3"/>
        <w:spacing w:before="120" w:after="120" w:line="360" w:lineRule="auto"/>
        <w:jc w:val="center"/>
        <w:rPr>
          <w:rFonts w:asciiTheme="minorEastAsia" w:hAnsiTheme="minorEastAsia" w:eastAsiaTheme="minorEastAsia" w:cstheme="minorEastAsia"/>
          <w:color w:val="auto"/>
          <w:kern w:val="0"/>
          <w:sz w:val="40"/>
          <w:szCs w:val="40"/>
          <w:highlight w:val="none"/>
        </w:rPr>
      </w:pPr>
      <w:bookmarkStart w:id="9" w:name="_Toc281744720"/>
      <w:bookmarkStart w:id="10" w:name="_Toc24603"/>
      <w:bookmarkStart w:id="11" w:name="_Toc16172911"/>
      <w:bookmarkStart w:id="162" w:name="_GoBack"/>
      <w:bookmarkEnd w:id="162"/>
      <w:r>
        <w:rPr>
          <w:rFonts w:hint="eastAsia" w:asciiTheme="minorEastAsia" w:hAnsiTheme="minorEastAsia" w:eastAsiaTheme="minorEastAsia" w:cstheme="minorEastAsia"/>
          <w:color w:val="auto"/>
          <w:kern w:val="0"/>
          <w:sz w:val="40"/>
          <w:szCs w:val="40"/>
          <w:highlight w:val="none"/>
        </w:rPr>
        <w:t>第二章 竞谈商须知</w:t>
      </w:r>
      <w:bookmarkEnd w:id="9"/>
      <w:bookmarkEnd w:id="10"/>
      <w:bookmarkEnd w:id="11"/>
    </w:p>
    <w:p w14:paraId="26E0F82A">
      <w:pPr>
        <w:spacing w:beforeLines="50" w:afterLines="50"/>
        <w:jc w:val="center"/>
        <w:rPr>
          <w:rFonts w:asciiTheme="minorEastAsia" w:hAnsiTheme="minorEastAsia" w:eastAsiaTheme="minorEastAsia" w:cstheme="minorEastAsia"/>
          <w:b/>
          <w:color w:val="auto"/>
          <w:sz w:val="28"/>
          <w:szCs w:val="28"/>
          <w:highlight w:val="none"/>
        </w:rPr>
      </w:pPr>
      <w:bookmarkStart w:id="12" w:name="_Toc335435259"/>
      <w:bookmarkStart w:id="13" w:name="_Toc318932192"/>
      <w:bookmarkStart w:id="14" w:name="_Toc294794565"/>
      <w:r>
        <w:rPr>
          <w:rFonts w:hint="eastAsia" w:asciiTheme="minorEastAsia" w:hAnsiTheme="minorEastAsia" w:eastAsiaTheme="minorEastAsia" w:cstheme="minorEastAsia"/>
          <w:b/>
          <w:color w:val="auto"/>
          <w:sz w:val="28"/>
          <w:szCs w:val="28"/>
          <w:highlight w:val="none"/>
        </w:rPr>
        <w:t>一．竞谈商须知前附表</w:t>
      </w:r>
      <w:bookmarkEnd w:id="12"/>
      <w:bookmarkEnd w:id="13"/>
      <w:bookmarkEnd w:id="14"/>
    </w:p>
    <w:tbl>
      <w:tblPr>
        <w:tblStyle w:val="25"/>
        <w:tblW w:w="93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916"/>
        <w:gridCol w:w="6612"/>
      </w:tblGrid>
      <w:tr w14:paraId="30FD68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791" w:type="dxa"/>
            <w:vAlign w:val="center"/>
          </w:tcPr>
          <w:p w14:paraId="303DD3E4">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序号</w:t>
            </w:r>
          </w:p>
        </w:tc>
        <w:tc>
          <w:tcPr>
            <w:tcW w:w="1916" w:type="dxa"/>
            <w:vAlign w:val="center"/>
          </w:tcPr>
          <w:p w14:paraId="1DA5DF35">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内　容</w:t>
            </w:r>
          </w:p>
        </w:tc>
        <w:tc>
          <w:tcPr>
            <w:tcW w:w="6612" w:type="dxa"/>
            <w:vAlign w:val="center"/>
          </w:tcPr>
          <w:p w14:paraId="404731D8">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说明与要求</w:t>
            </w:r>
          </w:p>
        </w:tc>
      </w:tr>
      <w:tr w14:paraId="6AA85F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791" w:type="dxa"/>
            <w:vAlign w:val="center"/>
          </w:tcPr>
          <w:p w14:paraId="0D5A57EA">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916" w:type="dxa"/>
            <w:vAlign w:val="center"/>
          </w:tcPr>
          <w:p w14:paraId="207C8784">
            <w:pPr>
              <w:keepNext w:val="0"/>
              <w:keepLines w:val="0"/>
              <w:pageBreakBefore w:val="0"/>
              <w:widowControl w:val="0"/>
              <w:kinsoku/>
              <w:wordWrap/>
              <w:overflowPunct/>
              <w:topLinePunct w:val="0"/>
              <w:autoSpaceDE/>
              <w:autoSpaceDN/>
              <w:bidi w:val="0"/>
              <w:adjustRightInd/>
              <w:snapToGrid/>
              <w:spacing w:after="0" w:line="440" w:lineRule="exact"/>
              <w:ind w:firstLine="0" w:firstLineChars="0"/>
              <w:jc w:val="center"/>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w:t>
            </w:r>
          </w:p>
        </w:tc>
        <w:tc>
          <w:tcPr>
            <w:tcW w:w="6612" w:type="dxa"/>
            <w:vAlign w:val="center"/>
          </w:tcPr>
          <w:p w14:paraId="753F9886">
            <w:pPr>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名称：平顶山市第一人民医院</w:t>
            </w:r>
          </w:p>
          <w:p w14:paraId="60F2A68A">
            <w:pPr>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联系人：</w:t>
            </w:r>
            <w:r>
              <w:rPr>
                <w:rFonts w:hint="eastAsia" w:ascii="宋体" w:hAnsi="宋体" w:eastAsia="宋体"/>
                <w:color w:val="auto"/>
                <w:sz w:val="21"/>
                <w:szCs w:val="21"/>
                <w:highlight w:val="none"/>
                <w:lang w:val="en-US" w:eastAsia="zh-CN"/>
              </w:rPr>
              <w:t>付</w:t>
            </w:r>
            <w:r>
              <w:rPr>
                <w:rFonts w:hint="eastAsia" w:ascii="宋体" w:hAnsi="宋体" w:eastAsia="宋体"/>
                <w:color w:val="auto"/>
                <w:sz w:val="21"/>
                <w:szCs w:val="21"/>
                <w:highlight w:val="none"/>
                <w:lang w:eastAsia="zh-CN"/>
              </w:rPr>
              <w:t>先生</w:t>
            </w:r>
          </w:p>
          <w:p w14:paraId="0EE299CB">
            <w:pPr>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联系电话：0375-3383081</w:t>
            </w:r>
          </w:p>
          <w:p w14:paraId="7668F54C">
            <w:pPr>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    址：平顶山市新城区未来路</w:t>
            </w:r>
          </w:p>
        </w:tc>
      </w:tr>
      <w:tr w14:paraId="679204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4" w:hRule="atLeast"/>
          <w:jc w:val="center"/>
        </w:trPr>
        <w:tc>
          <w:tcPr>
            <w:tcW w:w="791" w:type="dxa"/>
            <w:vAlign w:val="center"/>
          </w:tcPr>
          <w:p w14:paraId="30990E8F">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916" w:type="dxa"/>
            <w:vAlign w:val="center"/>
          </w:tcPr>
          <w:p w14:paraId="44A19AC9">
            <w:pPr>
              <w:keepNext w:val="0"/>
              <w:keepLines w:val="0"/>
              <w:pageBreakBefore w:val="0"/>
              <w:widowControl w:val="0"/>
              <w:kinsoku/>
              <w:wordWrap/>
              <w:overflowPunct/>
              <w:topLinePunct w:val="0"/>
              <w:autoSpaceDE/>
              <w:autoSpaceDN/>
              <w:bidi w:val="0"/>
              <w:adjustRightInd/>
              <w:snapToGrid/>
              <w:spacing w:after="0" w:line="440" w:lineRule="exact"/>
              <w:ind w:firstLine="0" w:firstLineChars="0"/>
              <w:jc w:val="center"/>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采购</w:t>
            </w:r>
            <w:r>
              <w:rPr>
                <w:rFonts w:hint="eastAsia" w:asciiTheme="minorEastAsia" w:hAnsiTheme="minorEastAsia" w:eastAsiaTheme="minorEastAsia" w:cstheme="minorEastAsia"/>
                <w:color w:val="auto"/>
                <w:szCs w:val="21"/>
                <w:highlight w:val="none"/>
              </w:rPr>
              <w:t>代理机构</w:t>
            </w:r>
          </w:p>
        </w:tc>
        <w:tc>
          <w:tcPr>
            <w:tcW w:w="6612" w:type="dxa"/>
            <w:vAlign w:val="center"/>
          </w:tcPr>
          <w:p w14:paraId="185C214F">
            <w:pPr>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名称：河南荣之鑫工程管理有限公司</w:t>
            </w:r>
          </w:p>
          <w:p w14:paraId="2A52ACAF">
            <w:pPr>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地址：平顶山市和顺路公园南门嘉荷天城0326003号</w:t>
            </w:r>
          </w:p>
          <w:p w14:paraId="5076A77D">
            <w:pPr>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联系人：张先生</w:t>
            </w:r>
          </w:p>
          <w:p w14:paraId="04B0E8CB">
            <w:pPr>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联系电话：17737565013</w:t>
            </w:r>
          </w:p>
          <w:p w14:paraId="5B4B437C">
            <w:pPr>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电子邮件：hnrzxzb@163.com</w:t>
            </w:r>
          </w:p>
        </w:tc>
      </w:tr>
      <w:tr w14:paraId="4AD0B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Align w:val="center"/>
          </w:tcPr>
          <w:p w14:paraId="17D04513">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1916" w:type="dxa"/>
            <w:vAlign w:val="center"/>
          </w:tcPr>
          <w:p w14:paraId="1B954116">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项目名称</w:t>
            </w:r>
          </w:p>
        </w:tc>
        <w:tc>
          <w:tcPr>
            <w:tcW w:w="6612" w:type="dxa"/>
            <w:vAlign w:val="center"/>
          </w:tcPr>
          <w:p w14:paraId="2098B0E2">
            <w:pPr>
              <w:keepNext w:val="0"/>
              <w:keepLines w:val="0"/>
              <w:pageBreakBefore w:val="0"/>
              <w:widowControl w:val="0"/>
              <w:kinsoku/>
              <w:wordWrap/>
              <w:overflowPunct/>
              <w:topLinePunct w:val="0"/>
              <w:bidi w:val="0"/>
              <w:adjustRightInd w:val="0"/>
              <w:snapToGrid w:val="0"/>
              <w:spacing w:after="0" w:line="440" w:lineRule="exact"/>
              <w:ind w:firstLine="0" w:firstLineChars="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平顶山市第一人民医院优越路院区维修下送服务外包项目</w:t>
            </w:r>
          </w:p>
        </w:tc>
      </w:tr>
      <w:tr w14:paraId="79D2F8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Align w:val="center"/>
          </w:tcPr>
          <w:p w14:paraId="632B6882">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4</w:t>
            </w:r>
          </w:p>
        </w:tc>
        <w:tc>
          <w:tcPr>
            <w:tcW w:w="1916" w:type="dxa"/>
            <w:vAlign w:val="center"/>
          </w:tcPr>
          <w:p w14:paraId="632B6560">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olor w:val="auto"/>
                <w:sz w:val="21"/>
                <w:szCs w:val="21"/>
                <w:highlight w:val="none"/>
              </w:rPr>
              <w:t>资金来源及落实情况</w:t>
            </w:r>
          </w:p>
        </w:tc>
        <w:tc>
          <w:tcPr>
            <w:tcW w:w="6612" w:type="dxa"/>
            <w:vAlign w:val="center"/>
          </w:tcPr>
          <w:p w14:paraId="56FA52D5">
            <w:pPr>
              <w:keepNext w:val="0"/>
              <w:keepLines w:val="0"/>
              <w:pageBreakBefore w:val="0"/>
              <w:widowControl w:val="0"/>
              <w:kinsoku/>
              <w:wordWrap/>
              <w:overflowPunct/>
              <w:topLinePunct w:val="0"/>
              <w:bidi w:val="0"/>
              <w:spacing w:after="0" w:line="440" w:lineRule="exact"/>
              <w:ind w:firstLine="0" w:firstLineChars="0"/>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lang w:val="en-US" w:eastAsia="zh-CN"/>
              </w:rPr>
              <w:t>自筹</w:t>
            </w:r>
            <w:r>
              <w:rPr>
                <w:rFonts w:hint="eastAsia" w:ascii="宋体" w:hAnsi="宋体" w:eastAsia="宋体"/>
                <w:color w:val="auto"/>
                <w:sz w:val="21"/>
                <w:szCs w:val="21"/>
                <w:highlight w:val="none"/>
              </w:rPr>
              <w:t>资金，已落实。</w:t>
            </w:r>
          </w:p>
        </w:tc>
      </w:tr>
      <w:tr w14:paraId="21C5E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Align w:val="center"/>
          </w:tcPr>
          <w:p w14:paraId="3AE9D6B8">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5</w:t>
            </w:r>
          </w:p>
        </w:tc>
        <w:tc>
          <w:tcPr>
            <w:tcW w:w="1916" w:type="dxa"/>
            <w:vAlign w:val="center"/>
          </w:tcPr>
          <w:p w14:paraId="35DDF78A">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服务内容</w:t>
            </w:r>
          </w:p>
        </w:tc>
        <w:tc>
          <w:tcPr>
            <w:tcW w:w="6612" w:type="dxa"/>
            <w:vAlign w:val="center"/>
          </w:tcPr>
          <w:p w14:paraId="7273D3B8">
            <w:pPr>
              <w:keepNext w:val="0"/>
              <w:keepLines w:val="0"/>
              <w:pageBreakBefore w:val="0"/>
              <w:widowControl w:val="0"/>
              <w:kinsoku/>
              <w:wordWrap/>
              <w:overflowPunct/>
              <w:topLinePunct w:val="0"/>
              <w:bidi w:val="0"/>
              <w:adjustRightInd w:val="0"/>
              <w:snapToGrid w:val="0"/>
              <w:spacing w:after="0" w:line="440" w:lineRule="exact"/>
              <w:ind w:firstLine="0" w:firstLineChars="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优越路院区水、电、木工维修及物资下送4项服务外包，所需维修更换零配件由院方供应，承包方免费更换；</w:t>
            </w:r>
          </w:p>
        </w:tc>
      </w:tr>
      <w:tr w14:paraId="73890D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Align w:val="center"/>
          </w:tcPr>
          <w:p w14:paraId="26923F96">
            <w:pPr>
              <w:keepNext w:val="0"/>
              <w:keepLines w:val="0"/>
              <w:pageBreakBefore w:val="0"/>
              <w:widowControl w:val="0"/>
              <w:kinsoku/>
              <w:wordWrap/>
              <w:overflowPunct/>
              <w:topLinePunct w:val="0"/>
              <w:autoSpaceDE w:val="0"/>
              <w:autoSpaceDN w:val="0"/>
              <w:bidi w:val="0"/>
              <w:spacing w:after="0" w:line="440" w:lineRule="exact"/>
              <w:ind w:right="-20" w:rightChars="0" w:firstLine="0" w:firstLineChars="0"/>
              <w:jc w:val="center"/>
              <w:rPr>
                <w:rFonts w:hint="eastAsia" w:ascii="宋体" w:hAnsi="宋体" w:eastAsia="宋体" w:cs="Times New Roman"/>
                <w:color w:val="auto"/>
                <w:spacing w:val="1"/>
                <w:kern w:val="0"/>
                <w:sz w:val="21"/>
                <w:szCs w:val="21"/>
                <w:lang w:val="en-US" w:eastAsia="zh-CN" w:bidi="ar-SA"/>
              </w:rPr>
            </w:pPr>
            <w:r>
              <w:rPr>
                <w:rFonts w:hint="eastAsia" w:ascii="宋体" w:hAnsi="宋体" w:eastAsia="宋体"/>
                <w:color w:val="auto"/>
                <w:spacing w:val="1"/>
                <w:kern w:val="0"/>
                <w:sz w:val="21"/>
                <w:szCs w:val="21"/>
              </w:rPr>
              <w:t>6</w:t>
            </w:r>
          </w:p>
        </w:tc>
        <w:tc>
          <w:tcPr>
            <w:tcW w:w="1916" w:type="dxa"/>
            <w:vAlign w:val="center"/>
          </w:tcPr>
          <w:p w14:paraId="3C04C3C5">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采购方式</w:t>
            </w:r>
          </w:p>
        </w:tc>
        <w:tc>
          <w:tcPr>
            <w:tcW w:w="6612" w:type="dxa"/>
            <w:vAlign w:val="center"/>
          </w:tcPr>
          <w:p w14:paraId="786851F3">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color w:val="auto"/>
                <w:sz w:val="21"/>
                <w:szCs w:val="21"/>
                <w:lang w:eastAsia="zh-CN"/>
              </w:rPr>
              <w:t>竞争性谈判</w:t>
            </w:r>
          </w:p>
        </w:tc>
      </w:tr>
      <w:tr w14:paraId="271CF9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Align w:val="center"/>
          </w:tcPr>
          <w:p w14:paraId="3DA3FDB5">
            <w:pPr>
              <w:keepNext w:val="0"/>
              <w:keepLines w:val="0"/>
              <w:pageBreakBefore w:val="0"/>
              <w:widowControl w:val="0"/>
              <w:kinsoku/>
              <w:wordWrap/>
              <w:overflowPunct/>
              <w:topLinePunct w:val="0"/>
              <w:autoSpaceDE w:val="0"/>
              <w:autoSpaceDN w:val="0"/>
              <w:bidi w:val="0"/>
              <w:spacing w:after="0" w:line="440" w:lineRule="exact"/>
              <w:ind w:right="-20" w:rightChars="0" w:firstLine="0" w:firstLineChars="0"/>
              <w:jc w:val="center"/>
              <w:rPr>
                <w:rFonts w:hint="eastAsia" w:ascii="宋体" w:hAnsi="宋体" w:eastAsia="宋体" w:cs="Times New Roman"/>
                <w:color w:val="auto"/>
                <w:spacing w:val="1"/>
                <w:kern w:val="0"/>
                <w:sz w:val="21"/>
                <w:szCs w:val="21"/>
                <w:lang w:val="en-US" w:eastAsia="zh-CN" w:bidi="ar-SA"/>
              </w:rPr>
            </w:pPr>
            <w:r>
              <w:rPr>
                <w:rFonts w:hint="eastAsia" w:ascii="宋体" w:hAnsi="宋体" w:eastAsia="宋体"/>
                <w:color w:val="auto"/>
                <w:spacing w:val="1"/>
                <w:kern w:val="0"/>
                <w:sz w:val="21"/>
                <w:szCs w:val="21"/>
              </w:rPr>
              <w:t>7</w:t>
            </w:r>
          </w:p>
        </w:tc>
        <w:tc>
          <w:tcPr>
            <w:tcW w:w="1916" w:type="dxa"/>
            <w:vAlign w:val="center"/>
          </w:tcPr>
          <w:p w14:paraId="4ED68B85">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采购项目属性</w:t>
            </w:r>
          </w:p>
        </w:tc>
        <w:tc>
          <w:tcPr>
            <w:tcW w:w="6612" w:type="dxa"/>
            <w:vAlign w:val="center"/>
          </w:tcPr>
          <w:p w14:paraId="16EE3AE7">
            <w:pPr>
              <w:keepNext w:val="0"/>
              <w:keepLines w:val="0"/>
              <w:pageBreakBefore w:val="0"/>
              <w:widowControl w:val="0"/>
              <w:kinsoku/>
              <w:wordWrap/>
              <w:overflowPunct/>
              <w:topLinePunct w:val="0"/>
              <w:bidi w:val="0"/>
              <w:spacing w:after="0" w:line="440" w:lineRule="exact"/>
              <w:ind w:firstLine="0" w:firstLineChars="0"/>
              <w:rPr>
                <w:rFonts w:hint="eastAsia" w:ascii="宋体" w:hAnsi="宋体" w:eastAsia="宋体" w:cs="Times New Roman"/>
                <w:color w:val="auto"/>
                <w:kern w:val="2"/>
                <w:sz w:val="21"/>
                <w:szCs w:val="21"/>
                <w:lang w:val="en-US" w:eastAsia="zh-CN" w:bidi="ar-SA"/>
              </w:rPr>
            </w:pPr>
            <w:r>
              <w:rPr>
                <w:rFonts w:hint="eastAsia" w:ascii="宋体" w:hAnsi="宋体"/>
                <w:color w:val="auto"/>
                <w:sz w:val="21"/>
                <w:szCs w:val="21"/>
                <w:lang w:eastAsia="zh-CN"/>
              </w:rPr>
              <w:t>□</w:t>
            </w:r>
            <w:r>
              <w:rPr>
                <w:rFonts w:hint="eastAsia" w:ascii="宋体" w:hAnsi="宋体" w:eastAsia="宋体"/>
                <w:color w:val="auto"/>
                <w:sz w:val="21"/>
                <w:szCs w:val="21"/>
              </w:rPr>
              <w:t xml:space="preserve">货物      </w:t>
            </w:r>
            <w:r>
              <w:rPr>
                <w:rFonts w:hint="eastAsia" w:ascii="宋体" w:hAnsi="宋体"/>
                <w:color w:val="auto"/>
                <w:sz w:val="21"/>
                <w:szCs w:val="21"/>
                <w:lang w:eastAsia="zh-CN"/>
              </w:rPr>
              <w:t>☑</w:t>
            </w:r>
            <w:r>
              <w:rPr>
                <w:rFonts w:hint="eastAsia" w:ascii="宋体" w:hAnsi="宋体" w:eastAsia="宋体"/>
                <w:color w:val="auto"/>
                <w:sz w:val="21"/>
                <w:szCs w:val="21"/>
              </w:rPr>
              <w:t xml:space="preserve">服务       </w:t>
            </w:r>
            <w:r>
              <w:rPr>
                <w:rFonts w:hint="eastAsia" w:ascii="宋体" w:hAnsi="宋体" w:eastAsia="宋体"/>
                <w:color w:val="auto"/>
                <w:sz w:val="21"/>
                <w:szCs w:val="21"/>
                <w:lang w:eastAsia="zh-CN"/>
              </w:rPr>
              <w:t>□</w:t>
            </w:r>
            <w:r>
              <w:rPr>
                <w:rFonts w:hint="eastAsia" w:ascii="宋体" w:hAnsi="宋体" w:eastAsia="宋体"/>
                <w:color w:val="auto"/>
                <w:sz w:val="21"/>
                <w:szCs w:val="21"/>
              </w:rPr>
              <w:t>工程</w:t>
            </w:r>
          </w:p>
        </w:tc>
      </w:tr>
      <w:tr w14:paraId="50199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Align w:val="center"/>
          </w:tcPr>
          <w:p w14:paraId="769FD426">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8</w:t>
            </w:r>
          </w:p>
        </w:tc>
        <w:tc>
          <w:tcPr>
            <w:tcW w:w="1916" w:type="dxa"/>
            <w:vAlign w:val="center"/>
          </w:tcPr>
          <w:p w14:paraId="73840CE5">
            <w:pPr>
              <w:keepNext w:val="0"/>
              <w:keepLines w:val="0"/>
              <w:pageBreakBefore w:val="0"/>
              <w:widowControl w:val="0"/>
              <w:kinsoku/>
              <w:wordWrap/>
              <w:overflowPunct/>
              <w:topLinePunct w:val="0"/>
              <w:bidi w:val="0"/>
              <w:spacing w:after="0" w:line="440" w:lineRule="exact"/>
              <w:ind w:firstLine="0" w:firstLineChars="0"/>
              <w:jc w:val="center"/>
              <w:rPr>
                <w:rFonts w:hint="eastAsia" w:asciiTheme="minorEastAsia" w:hAnsiTheme="minorEastAsia" w:eastAsiaTheme="minorEastAsia" w:cstheme="minorEastAsia"/>
                <w:color w:val="auto"/>
                <w:szCs w:val="21"/>
                <w:highlight w:val="none"/>
                <w:lang w:eastAsia="zh-CN"/>
              </w:rPr>
            </w:pPr>
            <w:r>
              <w:rPr>
                <w:rFonts w:hint="eastAsia" w:ascii="宋体" w:hAnsi="宋体" w:eastAsia="宋体"/>
                <w:color w:val="auto"/>
                <w:sz w:val="21"/>
                <w:szCs w:val="21"/>
              </w:rPr>
              <w:t>合同履行期限</w:t>
            </w:r>
          </w:p>
        </w:tc>
        <w:tc>
          <w:tcPr>
            <w:tcW w:w="6612" w:type="dxa"/>
            <w:vAlign w:val="center"/>
          </w:tcPr>
          <w:p w14:paraId="6D846E6A">
            <w:pPr>
              <w:keepNext w:val="0"/>
              <w:keepLines w:val="0"/>
              <w:pageBreakBefore w:val="0"/>
              <w:widowControl w:val="0"/>
              <w:kinsoku/>
              <w:wordWrap/>
              <w:overflowPunct/>
              <w:topLinePunct w:val="0"/>
              <w:bidi w:val="0"/>
              <w:spacing w:after="0" w:line="440" w:lineRule="exact"/>
              <w:ind w:firstLine="0" w:firstLineChars="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同服务期限</w:t>
            </w:r>
          </w:p>
        </w:tc>
      </w:tr>
      <w:tr w14:paraId="41EA0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Align w:val="center"/>
          </w:tcPr>
          <w:p w14:paraId="615E3364">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9</w:t>
            </w:r>
          </w:p>
        </w:tc>
        <w:tc>
          <w:tcPr>
            <w:tcW w:w="1916" w:type="dxa"/>
            <w:vAlign w:val="center"/>
          </w:tcPr>
          <w:p w14:paraId="7329CAF5">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olor w:val="auto"/>
                <w:sz w:val="21"/>
                <w:szCs w:val="21"/>
                <w:highlight w:val="none"/>
              </w:rPr>
            </w:pPr>
            <w:r>
              <w:rPr>
                <w:rFonts w:hint="eastAsia" w:asciiTheme="minorEastAsia" w:hAnsiTheme="minorEastAsia" w:eastAsiaTheme="minorEastAsia" w:cstheme="minorEastAsia"/>
                <w:color w:val="auto"/>
                <w:highlight w:val="none"/>
                <w:shd w:val="clear" w:color="auto" w:fill="FFFFFF"/>
                <w:lang w:eastAsia="zh-CN"/>
              </w:rPr>
              <w:t>服务期限</w:t>
            </w:r>
          </w:p>
        </w:tc>
        <w:tc>
          <w:tcPr>
            <w:tcW w:w="6612" w:type="dxa"/>
            <w:vAlign w:val="center"/>
          </w:tcPr>
          <w:p w14:paraId="341937CB">
            <w:pPr>
              <w:keepNext w:val="0"/>
              <w:keepLines w:val="0"/>
              <w:pageBreakBefore w:val="0"/>
              <w:widowControl w:val="0"/>
              <w:kinsoku/>
              <w:wordWrap/>
              <w:overflowPunct/>
              <w:topLinePunct w:val="0"/>
              <w:bidi w:val="0"/>
              <w:spacing w:after="0" w:line="440" w:lineRule="exact"/>
              <w:ind w:firstLine="0" w:firstLineChars="0"/>
              <w:jc w:val="both"/>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一年</w:t>
            </w:r>
          </w:p>
        </w:tc>
      </w:tr>
      <w:tr w14:paraId="07D14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Align w:val="center"/>
          </w:tcPr>
          <w:p w14:paraId="0178CBC6">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10</w:t>
            </w:r>
          </w:p>
        </w:tc>
        <w:tc>
          <w:tcPr>
            <w:tcW w:w="1916" w:type="dxa"/>
            <w:vAlign w:val="center"/>
          </w:tcPr>
          <w:p w14:paraId="0D9E0210">
            <w:pPr>
              <w:keepNext w:val="0"/>
              <w:keepLines w:val="0"/>
              <w:pageBreakBefore w:val="0"/>
              <w:widowControl w:val="0"/>
              <w:kinsoku/>
              <w:wordWrap/>
              <w:overflowPunct/>
              <w:topLinePunct w:val="0"/>
              <w:bidi w:val="0"/>
              <w:adjustRightInd w:val="0"/>
              <w:spacing w:after="0" w:line="440" w:lineRule="exact"/>
              <w:ind w:firstLine="0" w:firstLineChars="0"/>
              <w:jc w:val="center"/>
              <w:textAlignment w:val="baseline"/>
              <w:rPr>
                <w:rFonts w:hint="eastAsia" w:eastAsia="宋体" w:asciiTheme="minorEastAsia" w:hAnsiTheme="minorEastAsia" w:cstheme="minorEastAsia"/>
                <w:color w:val="auto"/>
                <w:szCs w:val="21"/>
                <w:highlight w:val="none"/>
                <w:lang w:eastAsia="zh-CN"/>
              </w:rPr>
            </w:pPr>
            <w:r>
              <w:rPr>
                <w:rFonts w:hint="eastAsia"/>
                <w:color w:val="auto"/>
                <w:szCs w:val="21"/>
              </w:rPr>
              <w:t>服务</w:t>
            </w:r>
            <w:r>
              <w:rPr>
                <w:rFonts w:hint="eastAsia"/>
                <w:color w:val="auto"/>
                <w:szCs w:val="21"/>
                <w:lang w:eastAsia="zh-CN"/>
              </w:rPr>
              <w:t>地点</w:t>
            </w:r>
          </w:p>
        </w:tc>
        <w:tc>
          <w:tcPr>
            <w:tcW w:w="6612" w:type="dxa"/>
            <w:vAlign w:val="center"/>
          </w:tcPr>
          <w:p w14:paraId="12F23BD2">
            <w:pPr>
              <w:keepNext w:val="0"/>
              <w:keepLines w:val="0"/>
              <w:pageBreakBefore w:val="0"/>
              <w:widowControl w:val="0"/>
              <w:kinsoku/>
              <w:wordWrap/>
              <w:overflowPunct/>
              <w:topLinePunct w:val="0"/>
              <w:bidi w:val="0"/>
              <w:spacing w:after="0" w:line="440" w:lineRule="exact"/>
              <w:ind w:firstLine="0" w:firstLineChars="0"/>
              <w:rPr>
                <w:rFonts w:hint="eastAsia" w:eastAsia="宋体" w:asciiTheme="minorEastAsia" w:hAnsiTheme="minorEastAsia" w:cstheme="minorEastAsia"/>
                <w:color w:val="auto"/>
                <w:szCs w:val="21"/>
                <w:highlight w:val="none"/>
                <w:lang w:eastAsia="zh-CN"/>
              </w:rPr>
            </w:pPr>
            <w:r>
              <w:rPr>
                <w:rFonts w:hint="eastAsia" w:asciiTheme="minorEastAsia" w:hAnsiTheme="minorEastAsia" w:cstheme="minorEastAsia"/>
                <w:color w:val="auto"/>
                <w:szCs w:val="21"/>
                <w:highlight w:val="none"/>
                <w:lang w:eastAsia="zh-CN"/>
              </w:rPr>
              <w:t>平顶山市第一人民医院优越路院区</w:t>
            </w:r>
          </w:p>
        </w:tc>
      </w:tr>
      <w:tr w14:paraId="2986B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Align w:val="center"/>
          </w:tcPr>
          <w:p w14:paraId="6F669BB7">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11</w:t>
            </w:r>
          </w:p>
        </w:tc>
        <w:tc>
          <w:tcPr>
            <w:tcW w:w="1916" w:type="dxa"/>
            <w:vAlign w:val="center"/>
          </w:tcPr>
          <w:p w14:paraId="0B7E52A7">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bCs/>
                <w:color w:val="auto"/>
                <w:szCs w:val="21"/>
                <w:lang w:val="en-US" w:eastAsia="zh-CN"/>
              </w:rPr>
            </w:pPr>
            <w:r>
              <w:rPr>
                <w:rFonts w:hint="eastAsia" w:ascii="宋体" w:hAnsi="宋体"/>
                <w:bCs/>
                <w:color w:val="auto"/>
                <w:szCs w:val="21"/>
              </w:rPr>
              <w:t>质量要求</w:t>
            </w:r>
          </w:p>
        </w:tc>
        <w:tc>
          <w:tcPr>
            <w:tcW w:w="6612" w:type="dxa"/>
            <w:vAlign w:val="center"/>
          </w:tcPr>
          <w:p w14:paraId="62ABFC28">
            <w:pPr>
              <w:keepNext w:val="0"/>
              <w:keepLines w:val="0"/>
              <w:pageBreakBefore w:val="0"/>
              <w:widowControl w:val="0"/>
              <w:kinsoku/>
              <w:wordWrap/>
              <w:overflowPunct/>
              <w:topLinePunct w:val="0"/>
              <w:bidi w:val="0"/>
              <w:spacing w:after="0" w:line="440" w:lineRule="exact"/>
              <w:ind w:firstLine="0" w:firstLineChars="0"/>
              <w:rPr>
                <w:rFonts w:hint="eastAsia" w:ascii="宋体" w:hAnsi="宋体"/>
                <w:bCs/>
                <w:color w:val="auto"/>
                <w:szCs w:val="21"/>
                <w:lang w:val="en-US" w:eastAsia="zh-CN"/>
              </w:rPr>
            </w:pPr>
            <w:r>
              <w:rPr>
                <w:rFonts w:hint="eastAsia" w:ascii="宋体" w:hAnsi="宋体"/>
                <w:bCs/>
                <w:color w:val="auto"/>
                <w:szCs w:val="21"/>
                <w:lang w:val="en-US" w:eastAsia="zh-CN"/>
              </w:rPr>
              <w:t>按国家规定的标准执行</w:t>
            </w:r>
          </w:p>
        </w:tc>
      </w:tr>
      <w:tr w14:paraId="1FD82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Align w:val="center"/>
          </w:tcPr>
          <w:p w14:paraId="363A0F9E">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strike/>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12</w:t>
            </w:r>
          </w:p>
        </w:tc>
        <w:tc>
          <w:tcPr>
            <w:tcW w:w="1916" w:type="dxa"/>
            <w:shd w:val="clear" w:color="auto" w:fill="auto"/>
            <w:vAlign w:val="center"/>
          </w:tcPr>
          <w:p w14:paraId="6FFD7211">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竞谈商资格要求</w:t>
            </w:r>
          </w:p>
        </w:tc>
        <w:tc>
          <w:tcPr>
            <w:tcW w:w="6612" w:type="dxa"/>
            <w:shd w:val="clear" w:color="auto" w:fill="auto"/>
            <w:vAlign w:val="center"/>
          </w:tcPr>
          <w:p w14:paraId="11274DC5">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合格供应商：具备招标公告“二、申请人的资格要求”规定的条件。</w:t>
            </w:r>
          </w:p>
        </w:tc>
      </w:tr>
      <w:tr w14:paraId="69D287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Align w:val="center"/>
          </w:tcPr>
          <w:p w14:paraId="3D511713">
            <w:pPr>
              <w:keepNext w:val="0"/>
              <w:keepLines w:val="0"/>
              <w:pageBreakBefore w:val="0"/>
              <w:widowControl w:val="0"/>
              <w:kinsoku/>
              <w:wordWrap/>
              <w:overflowPunct/>
              <w:topLinePunct w:val="0"/>
              <w:autoSpaceDE w:val="0"/>
              <w:autoSpaceDN w:val="0"/>
              <w:bidi w:val="0"/>
              <w:spacing w:after="0" w:line="440" w:lineRule="exact"/>
              <w:ind w:right="-20" w:rightChars="0" w:firstLine="0" w:firstLineChars="0"/>
              <w:jc w:val="center"/>
              <w:rPr>
                <w:rFonts w:hint="eastAsia" w:ascii="宋体" w:hAnsi="宋体" w:eastAsia="宋体" w:cs="Times New Roman"/>
                <w:color w:val="auto"/>
                <w:spacing w:val="1"/>
                <w:kern w:val="0"/>
                <w:sz w:val="21"/>
                <w:szCs w:val="21"/>
                <w:lang w:val="en-US" w:eastAsia="zh-CN" w:bidi="ar-SA"/>
              </w:rPr>
            </w:pPr>
            <w:r>
              <w:rPr>
                <w:rFonts w:hint="eastAsia" w:ascii="宋体" w:hAnsi="宋体" w:eastAsia="宋体"/>
                <w:color w:val="auto"/>
                <w:spacing w:val="1"/>
                <w:kern w:val="0"/>
                <w:sz w:val="21"/>
                <w:szCs w:val="21"/>
              </w:rPr>
              <w:t>13</w:t>
            </w:r>
          </w:p>
        </w:tc>
        <w:tc>
          <w:tcPr>
            <w:tcW w:w="1916" w:type="dxa"/>
            <w:shd w:val="clear" w:color="auto" w:fill="auto"/>
            <w:vAlign w:val="center"/>
          </w:tcPr>
          <w:p w14:paraId="59904BCF">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olor w:val="auto"/>
                <w:sz w:val="21"/>
                <w:szCs w:val="21"/>
              </w:rPr>
            </w:pPr>
            <w:r>
              <w:rPr>
                <w:rFonts w:hint="eastAsia" w:ascii="宋体" w:hAnsi="宋体" w:eastAsia="宋体"/>
                <w:color w:val="auto"/>
                <w:sz w:val="21"/>
                <w:szCs w:val="21"/>
              </w:rPr>
              <w:t>是否接受联合体</w:t>
            </w:r>
          </w:p>
          <w:p w14:paraId="38317C98">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投标</w:t>
            </w:r>
          </w:p>
        </w:tc>
        <w:tc>
          <w:tcPr>
            <w:tcW w:w="6612" w:type="dxa"/>
            <w:shd w:val="clear" w:color="auto" w:fill="auto"/>
            <w:vAlign w:val="center"/>
          </w:tcPr>
          <w:p w14:paraId="0DC015B4">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sym w:font="Wingdings 2" w:char="0052"/>
            </w:r>
            <w:r>
              <w:rPr>
                <w:rFonts w:hint="eastAsia" w:ascii="宋体" w:hAnsi="宋体" w:eastAsia="宋体"/>
                <w:color w:val="auto"/>
                <w:sz w:val="21"/>
                <w:szCs w:val="21"/>
              </w:rPr>
              <w:t>不接受</w:t>
            </w:r>
          </w:p>
          <w:p w14:paraId="793DADD3">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□接受</w:t>
            </w:r>
          </w:p>
        </w:tc>
      </w:tr>
      <w:tr w14:paraId="1709B3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Align w:val="center"/>
          </w:tcPr>
          <w:p w14:paraId="6EE26A8B">
            <w:pPr>
              <w:keepNext w:val="0"/>
              <w:keepLines w:val="0"/>
              <w:pageBreakBefore w:val="0"/>
              <w:widowControl w:val="0"/>
              <w:kinsoku/>
              <w:wordWrap/>
              <w:overflowPunct/>
              <w:topLinePunct w:val="0"/>
              <w:autoSpaceDE w:val="0"/>
              <w:autoSpaceDN w:val="0"/>
              <w:bidi w:val="0"/>
              <w:spacing w:after="0" w:line="440" w:lineRule="exact"/>
              <w:ind w:right="35" w:rightChars="0" w:firstLine="0" w:firstLineChars="0"/>
              <w:jc w:val="center"/>
              <w:rPr>
                <w:rFonts w:hint="eastAsia" w:ascii="宋体" w:hAnsi="宋体" w:eastAsia="宋体" w:cs="Times New Roman"/>
                <w:color w:val="auto"/>
                <w:spacing w:val="1"/>
                <w:kern w:val="0"/>
                <w:sz w:val="21"/>
                <w:szCs w:val="21"/>
                <w:lang w:val="en-US" w:eastAsia="zh-CN" w:bidi="ar-SA"/>
              </w:rPr>
            </w:pPr>
            <w:r>
              <w:rPr>
                <w:rFonts w:hint="eastAsia" w:ascii="宋体" w:hAnsi="宋体" w:eastAsia="宋体"/>
                <w:color w:val="auto"/>
                <w:spacing w:val="1"/>
                <w:kern w:val="0"/>
                <w:sz w:val="21"/>
                <w:szCs w:val="21"/>
              </w:rPr>
              <w:t>14</w:t>
            </w:r>
          </w:p>
        </w:tc>
        <w:tc>
          <w:tcPr>
            <w:tcW w:w="1916" w:type="dxa"/>
            <w:shd w:val="clear" w:color="auto" w:fill="auto"/>
            <w:vAlign w:val="center"/>
          </w:tcPr>
          <w:p w14:paraId="5D3FA840">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踏勘现场及答疑</w:t>
            </w:r>
          </w:p>
        </w:tc>
        <w:tc>
          <w:tcPr>
            <w:tcW w:w="6612" w:type="dxa"/>
            <w:shd w:val="clear" w:color="auto" w:fill="auto"/>
            <w:vAlign w:val="center"/>
          </w:tcPr>
          <w:p w14:paraId="559523C2">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sym w:font="Wingdings 2" w:char="0052"/>
            </w:r>
            <w:r>
              <w:rPr>
                <w:rFonts w:hint="eastAsia" w:ascii="宋体" w:hAnsi="宋体" w:eastAsia="宋体"/>
                <w:color w:val="auto"/>
                <w:sz w:val="21"/>
                <w:szCs w:val="21"/>
              </w:rPr>
              <w:t>不组织</w:t>
            </w:r>
          </w:p>
          <w:p w14:paraId="1792B7D9">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□组织</w:t>
            </w:r>
          </w:p>
        </w:tc>
      </w:tr>
      <w:tr w14:paraId="5C19EA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Align w:val="center"/>
          </w:tcPr>
          <w:p w14:paraId="41BFBDBB">
            <w:pPr>
              <w:keepNext w:val="0"/>
              <w:keepLines w:val="0"/>
              <w:pageBreakBefore w:val="0"/>
              <w:widowControl w:val="0"/>
              <w:kinsoku/>
              <w:wordWrap/>
              <w:overflowPunct/>
              <w:topLinePunct w:val="0"/>
              <w:autoSpaceDE w:val="0"/>
              <w:autoSpaceDN w:val="0"/>
              <w:bidi w:val="0"/>
              <w:spacing w:after="0" w:line="440" w:lineRule="exact"/>
              <w:ind w:right="35" w:rightChars="0" w:firstLine="0" w:firstLineChars="0"/>
              <w:jc w:val="center"/>
              <w:rPr>
                <w:rFonts w:hint="eastAsia" w:ascii="宋体" w:hAnsi="宋体" w:eastAsia="宋体" w:cs="Times New Roman"/>
                <w:color w:val="auto"/>
                <w:spacing w:val="1"/>
                <w:kern w:val="0"/>
                <w:sz w:val="21"/>
                <w:szCs w:val="21"/>
                <w:lang w:val="en-US" w:eastAsia="zh-CN" w:bidi="ar-SA"/>
              </w:rPr>
            </w:pPr>
            <w:r>
              <w:rPr>
                <w:rFonts w:hint="eastAsia" w:ascii="宋体" w:hAnsi="宋体" w:eastAsia="宋体"/>
                <w:color w:val="auto"/>
                <w:spacing w:val="1"/>
                <w:kern w:val="0"/>
                <w:sz w:val="21"/>
                <w:szCs w:val="21"/>
              </w:rPr>
              <w:t>15</w:t>
            </w:r>
          </w:p>
        </w:tc>
        <w:tc>
          <w:tcPr>
            <w:tcW w:w="1916" w:type="dxa"/>
            <w:shd w:val="clear" w:color="auto" w:fill="auto"/>
            <w:vAlign w:val="center"/>
          </w:tcPr>
          <w:p w14:paraId="7BB6B434">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投标预备会</w:t>
            </w:r>
          </w:p>
        </w:tc>
        <w:tc>
          <w:tcPr>
            <w:tcW w:w="6612" w:type="dxa"/>
            <w:shd w:val="clear" w:color="auto" w:fill="auto"/>
            <w:vAlign w:val="center"/>
          </w:tcPr>
          <w:p w14:paraId="354DD134">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sym w:font="Wingdings 2" w:char="0052"/>
            </w:r>
            <w:r>
              <w:rPr>
                <w:rFonts w:hint="eastAsia" w:ascii="宋体" w:hAnsi="宋体" w:eastAsia="宋体"/>
                <w:color w:val="auto"/>
                <w:sz w:val="21"/>
                <w:szCs w:val="21"/>
              </w:rPr>
              <w:t>不召开</w:t>
            </w:r>
          </w:p>
          <w:p w14:paraId="6B59A167">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□召开</w:t>
            </w:r>
          </w:p>
        </w:tc>
      </w:tr>
      <w:tr w14:paraId="59CF5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Align w:val="center"/>
          </w:tcPr>
          <w:p w14:paraId="3928D0B4">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16</w:t>
            </w:r>
          </w:p>
        </w:tc>
        <w:tc>
          <w:tcPr>
            <w:tcW w:w="1916" w:type="dxa"/>
            <w:shd w:val="clear" w:color="auto" w:fill="auto"/>
            <w:vAlign w:val="center"/>
          </w:tcPr>
          <w:p w14:paraId="1EF927CA">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技术偏离</w:t>
            </w:r>
          </w:p>
        </w:tc>
        <w:tc>
          <w:tcPr>
            <w:tcW w:w="6612" w:type="dxa"/>
            <w:shd w:val="clear" w:color="auto" w:fill="auto"/>
            <w:vAlign w:val="center"/>
          </w:tcPr>
          <w:p w14:paraId="34EA3C64">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sym w:font="Wingdings 2" w:char="0052"/>
            </w:r>
            <w:r>
              <w:rPr>
                <w:rFonts w:hint="eastAsia" w:ascii="宋体" w:hAnsi="宋体" w:eastAsia="宋体"/>
                <w:color w:val="auto"/>
                <w:sz w:val="21"/>
                <w:szCs w:val="21"/>
              </w:rPr>
              <w:t>不允许负偏差</w:t>
            </w:r>
          </w:p>
          <w:p w14:paraId="60A5BF8C">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□允许</w:t>
            </w:r>
          </w:p>
        </w:tc>
      </w:tr>
      <w:tr w14:paraId="2E7A90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791" w:type="dxa"/>
            <w:vAlign w:val="center"/>
          </w:tcPr>
          <w:p w14:paraId="574469F0">
            <w:pPr>
              <w:pStyle w:val="46"/>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0"/>
                <w:sz w:val="21"/>
                <w:szCs w:val="21"/>
                <w:lang w:val="en-US" w:eastAsia="zh-CN" w:bidi="ar-SA"/>
              </w:rPr>
            </w:pPr>
            <w:r>
              <w:rPr>
                <w:rFonts w:hint="eastAsia" w:ascii="宋体" w:hAnsi="宋体" w:eastAsia="宋体"/>
                <w:color w:val="auto"/>
                <w:sz w:val="21"/>
                <w:szCs w:val="21"/>
                <w:lang w:val="en-US" w:eastAsia="zh-CN"/>
              </w:rPr>
              <w:t>17</w:t>
            </w:r>
          </w:p>
        </w:tc>
        <w:tc>
          <w:tcPr>
            <w:tcW w:w="1916" w:type="dxa"/>
            <w:shd w:val="clear" w:color="auto" w:fill="auto"/>
            <w:vAlign w:val="center"/>
          </w:tcPr>
          <w:p w14:paraId="68324ABC">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构成</w:t>
            </w:r>
            <w:r>
              <w:rPr>
                <w:rFonts w:hint="eastAsia" w:ascii="宋体" w:hAnsi="宋体"/>
                <w:color w:val="auto"/>
                <w:sz w:val="21"/>
                <w:szCs w:val="21"/>
                <w:lang w:eastAsia="zh-CN"/>
              </w:rPr>
              <w:t>竞争性谈判</w:t>
            </w:r>
            <w:r>
              <w:rPr>
                <w:rFonts w:hint="eastAsia" w:ascii="宋体" w:hAnsi="宋体" w:eastAsia="宋体"/>
                <w:color w:val="auto"/>
                <w:sz w:val="21"/>
                <w:szCs w:val="21"/>
              </w:rPr>
              <w:t>文件的其他材料</w:t>
            </w:r>
          </w:p>
        </w:tc>
        <w:tc>
          <w:tcPr>
            <w:tcW w:w="6612" w:type="dxa"/>
            <w:shd w:val="clear" w:color="auto" w:fill="auto"/>
            <w:vAlign w:val="center"/>
          </w:tcPr>
          <w:p w14:paraId="1E25EF94">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与本项目有关的解答、澄清、修改与补充等</w:t>
            </w:r>
            <w:r>
              <w:rPr>
                <w:rFonts w:hint="eastAsia" w:ascii="宋体" w:hAnsi="宋体" w:eastAsia="宋体"/>
                <w:color w:val="auto"/>
                <w:sz w:val="21"/>
                <w:szCs w:val="21"/>
                <w:lang w:eastAsia="zh-CN"/>
              </w:rPr>
              <w:t>。</w:t>
            </w:r>
            <w:r>
              <w:rPr>
                <w:rFonts w:hint="eastAsia" w:ascii="宋体" w:hAnsi="宋体" w:eastAsia="宋体"/>
                <w:color w:val="auto"/>
                <w:sz w:val="21"/>
                <w:szCs w:val="21"/>
              </w:rPr>
              <w:t>当</w:t>
            </w:r>
            <w:r>
              <w:rPr>
                <w:rFonts w:hint="eastAsia" w:ascii="宋体" w:hAnsi="宋体"/>
                <w:color w:val="auto"/>
                <w:sz w:val="21"/>
                <w:szCs w:val="21"/>
                <w:lang w:eastAsia="zh-CN"/>
              </w:rPr>
              <w:t>竞争性谈判</w:t>
            </w:r>
            <w:r>
              <w:rPr>
                <w:rFonts w:hint="eastAsia" w:ascii="宋体" w:hAnsi="宋体" w:eastAsia="宋体"/>
                <w:color w:val="auto"/>
                <w:sz w:val="21"/>
                <w:szCs w:val="21"/>
              </w:rPr>
              <w:t>文件的答疑、澄清、补充或解释等文件的内容在同一内容的表述上不一致时，以最后发出的文件为准。</w:t>
            </w:r>
          </w:p>
        </w:tc>
      </w:tr>
      <w:tr w14:paraId="32AE3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791" w:type="dxa"/>
            <w:vAlign w:val="center"/>
          </w:tcPr>
          <w:p w14:paraId="2A906632">
            <w:pPr>
              <w:keepNext w:val="0"/>
              <w:keepLines w:val="0"/>
              <w:pageBreakBefore w:val="0"/>
              <w:widowControl w:val="0"/>
              <w:kinsoku/>
              <w:wordWrap/>
              <w:overflowPunct/>
              <w:topLinePunct w:val="0"/>
              <w:autoSpaceDE w:val="0"/>
              <w:autoSpaceDN w:val="0"/>
              <w:bidi w:val="0"/>
              <w:spacing w:after="0" w:line="440" w:lineRule="exact"/>
              <w:ind w:right="-20" w:rightChars="0" w:firstLine="0" w:firstLineChars="0"/>
              <w:jc w:val="center"/>
              <w:rPr>
                <w:rFonts w:hint="eastAsia" w:ascii="宋体" w:hAnsi="宋体" w:eastAsia="宋体" w:cs="Times New Roman"/>
                <w:color w:val="auto"/>
                <w:spacing w:val="1"/>
                <w:kern w:val="0"/>
                <w:sz w:val="21"/>
                <w:szCs w:val="21"/>
                <w:lang w:val="en-US" w:eastAsia="zh-CN" w:bidi="ar-SA"/>
              </w:rPr>
            </w:pPr>
            <w:r>
              <w:rPr>
                <w:rFonts w:hint="eastAsia" w:ascii="宋体" w:hAnsi="宋体" w:eastAsia="宋体"/>
                <w:color w:val="auto"/>
                <w:spacing w:val="1"/>
                <w:kern w:val="0"/>
                <w:sz w:val="21"/>
                <w:szCs w:val="21"/>
                <w:lang w:val="en-US" w:eastAsia="zh-CN"/>
              </w:rPr>
              <w:t>18</w:t>
            </w:r>
          </w:p>
        </w:tc>
        <w:tc>
          <w:tcPr>
            <w:tcW w:w="1916" w:type="dxa"/>
            <w:shd w:val="clear" w:color="auto" w:fill="auto"/>
            <w:vAlign w:val="center"/>
          </w:tcPr>
          <w:p w14:paraId="2672D92F">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 w:val="21"/>
                <w:szCs w:val="21"/>
                <w:lang w:eastAsia="zh-CN"/>
              </w:rPr>
              <w:t>竞谈商</w:t>
            </w:r>
            <w:r>
              <w:rPr>
                <w:rFonts w:hint="eastAsia" w:ascii="宋体" w:hAnsi="宋体" w:eastAsia="宋体"/>
                <w:color w:val="auto"/>
                <w:sz w:val="21"/>
                <w:szCs w:val="21"/>
              </w:rPr>
              <w:t>要求澄清</w:t>
            </w:r>
            <w:r>
              <w:rPr>
                <w:rFonts w:hint="eastAsia" w:ascii="宋体" w:hAnsi="宋体"/>
                <w:color w:val="auto"/>
                <w:sz w:val="21"/>
                <w:szCs w:val="21"/>
                <w:lang w:eastAsia="zh-CN"/>
              </w:rPr>
              <w:t>竞争性谈判文件</w:t>
            </w:r>
            <w:r>
              <w:rPr>
                <w:rFonts w:hint="eastAsia" w:ascii="宋体" w:hAnsi="宋体" w:eastAsia="宋体"/>
                <w:color w:val="auto"/>
                <w:sz w:val="21"/>
                <w:szCs w:val="21"/>
              </w:rPr>
              <w:t>的截止时间</w:t>
            </w:r>
          </w:p>
        </w:tc>
        <w:tc>
          <w:tcPr>
            <w:tcW w:w="6612" w:type="dxa"/>
            <w:shd w:val="clear" w:color="auto" w:fill="auto"/>
            <w:vAlign w:val="center"/>
          </w:tcPr>
          <w:p w14:paraId="4E8E5A38">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按</w:t>
            </w:r>
            <w:r>
              <w:rPr>
                <w:rFonts w:hint="eastAsia" w:ascii="宋体" w:hAnsi="宋体"/>
                <w:color w:val="auto"/>
                <w:sz w:val="21"/>
                <w:szCs w:val="21"/>
                <w:lang w:eastAsia="zh-CN"/>
              </w:rPr>
              <w:t>竞争性谈判文件</w:t>
            </w:r>
            <w:r>
              <w:rPr>
                <w:rFonts w:hint="eastAsia" w:ascii="宋体" w:hAnsi="宋体" w:eastAsia="宋体"/>
                <w:color w:val="auto"/>
                <w:sz w:val="21"/>
                <w:szCs w:val="21"/>
              </w:rPr>
              <w:t>规定的</w:t>
            </w:r>
            <w:r>
              <w:rPr>
                <w:rFonts w:hint="eastAsia" w:ascii="宋体" w:hAnsi="宋体"/>
                <w:color w:val="auto"/>
                <w:sz w:val="21"/>
                <w:szCs w:val="21"/>
                <w:lang w:eastAsia="zh-CN"/>
              </w:rPr>
              <w:t>响应</w:t>
            </w:r>
            <w:r>
              <w:rPr>
                <w:rFonts w:hint="eastAsia" w:ascii="宋体" w:hAnsi="宋体" w:eastAsia="宋体"/>
                <w:color w:val="auto"/>
                <w:sz w:val="21"/>
                <w:szCs w:val="21"/>
              </w:rPr>
              <w:t xml:space="preserve">文件截止前 </w:t>
            </w:r>
            <w:r>
              <w:rPr>
                <w:rFonts w:hint="eastAsia" w:ascii="宋体" w:hAnsi="宋体"/>
                <w:color w:val="auto"/>
                <w:sz w:val="21"/>
                <w:szCs w:val="21"/>
                <w:lang w:val="en-US" w:eastAsia="zh-CN"/>
              </w:rPr>
              <w:t>3</w:t>
            </w:r>
            <w:r>
              <w:rPr>
                <w:rFonts w:hint="eastAsia" w:ascii="宋体" w:hAnsi="宋体" w:eastAsia="宋体"/>
                <w:color w:val="auto"/>
                <w:sz w:val="21"/>
                <w:szCs w:val="21"/>
              </w:rPr>
              <w:t xml:space="preserve"> 日前</w:t>
            </w:r>
          </w:p>
        </w:tc>
      </w:tr>
      <w:tr w14:paraId="39AB1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791" w:type="dxa"/>
            <w:vAlign w:val="center"/>
          </w:tcPr>
          <w:p w14:paraId="675AC9E1">
            <w:pPr>
              <w:keepNext w:val="0"/>
              <w:keepLines w:val="0"/>
              <w:pageBreakBefore w:val="0"/>
              <w:widowControl w:val="0"/>
              <w:kinsoku/>
              <w:wordWrap/>
              <w:overflowPunct/>
              <w:topLinePunct w:val="0"/>
              <w:autoSpaceDE w:val="0"/>
              <w:autoSpaceDN w:val="0"/>
              <w:bidi w:val="0"/>
              <w:spacing w:after="0" w:line="440" w:lineRule="exact"/>
              <w:ind w:right="-20" w:rightChars="0" w:firstLine="0" w:firstLineChars="0"/>
              <w:jc w:val="center"/>
              <w:rPr>
                <w:rFonts w:hint="default" w:ascii="宋体" w:hAnsi="宋体" w:eastAsia="宋体"/>
                <w:color w:val="auto"/>
                <w:spacing w:val="1"/>
                <w:kern w:val="0"/>
                <w:sz w:val="21"/>
                <w:szCs w:val="21"/>
                <w:lang w:val="en-US" w:eastAsia="zh-CN"/>
              </w:rPr>
            </w:pPr>
            <w:r>
              <w:rPr>
                <w:rFonts w:hint="eastAsia" w:ascii="宋体" w:hAnsi="宋体"/>
                <w:color w:val="auto"/>
                <w:spacing w:val="1"/>
                <w:kern w:val="0"/>
                <w:sz w:val="21"/>
                <w:szCs w:val="21"/>
                <w:lang w:val="en-US" w:eastAsia="zh-CN"/>
              </w:rPr>
              <w:t>19</w:t>
            </w:r>
          </w:p>
        </w:tc>
        <w:tc>
          <w:tcPr>
            <w:tcW w:w="1916" w:type="dxa"/>
            <w:shd w:val="clear" w:color="auto" w:fill="auto"/>
            <w:vAlign w:val="center"/>
          </w:tcPr>
          <w:p w14:paraId="426B8F6A">
            <w:pPr>
              <w:keepNext w:val="0"/>
              <w:keepLines w:val="0"/>
              <w:pageBreakBefore w:val="0"/>
              <w:widowControl w:val="0"/>
              <w:kinsoku/>
              <w:wordWrap/>
              <w:overflowPunct/>
              <w:topLinePunct w:val="0"/>
              <w:bidi w:val="0"/>
              <w:spacing w:after="0" w:line="440" w:lineRule="exact"/>
              <w:ind w:firstLine="0" w:firstLineChars="0"/>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cs="宋体"/>
                <w:color w:val="auto"/>
                <w:szCs w:val="21"/>
                <w:highlight w:val="none"/>
              </w:rPr>
              <w:t>递交响应文件截止时间</w:t>
            </w:r>
          </w:p>
        </w:tc>
        <w:tc>
          <w:tcPr>
            <w:tcW w:w="6612" w:type="dxa"/>
            <w:shd w:val="clear" w:color="auto" w:fill="auto"/>
            <w:vAlign w:val="center"/>
          </w:tcPr>
          <w:p w14:paraId="6972DAF3">
            <w:pPr>
              <w:keepNext w:val="0"/>
              <w:keepLines w:val="0"/>
              <w:pageBreakBefore w:val="0"/>
              <w:widowControl w:val="0"/>
              <w:kinsoku/>
              <w:wordWrap/>
              <w:overflowPunct/>
              <w:topLinePunct w:val="0"/>
              <w:bidi w:val="0"/>
              <w:adjustRightInd w:val="0"/>
              <w:snapToGrid w:val="0"/>
              <w:spacing w:after="0" w:line="440" w:lineRule="exact"/>
              <w:ind w:firstLine="0" w:firstLineChars="0"/>
              <w:jc w:val="left"/>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lang w:val="en-US" w:eastAsia="zh-CN"/>
              </w:rPr>
              <w:t>2026年8月28日9时00分</w:t>
            </w:r>
            <w:r>
              <w:rPr>
                <w:rFonts w:hint="eastAsia" w:ascii="宋体" w:hAnsi="宋体" w:eastAsia="宋体"/>
                <w:b/>
                <w:bCs/>
                <w:color w:val="auto"/>
                <w:sz w:val="21"/>
                <w:szCs w:val="21"/>
                <w:highlight w:val="none"/>
              </w:rPr>
              <w:t>(北京时间）</w:t>
            </w:r>
          </w:p>
          <w:p w14:paraId="6B58B02C">
            <w:pPr>
              <w:keepNext w:val="0"/>
              <w:keepLines w:val="0"/>
              <w:pageBreakBefore w:val="0"/>
              <w:widowControl w:val="0"/>
              <w:kinsoku/>
              <w:wordWrap/>
              <w:overflowPunct/>
              <w:topLinePunct w:val="0"/>
              <w:bidi w:val="0"/>
              <w:adjustRightInd w:val="0"/>
              <w:snapToGrid w:val="0"/>
              <w:spacing w:after="0" w:line="440" w:lineRule="exact"/>
              <w:ind w:firstLine="0" w:firstLineChars="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olor w:val="auto"/>
                <w:sz w:val="21"/>
                <w:szCs w:val="21"/>
              </w:rPr>
              <w:t>注：全面实行在线“不见面”开标，投标人远程在线解密</w:t>
            </w:r>
            <w:r>
              <w:rPr>
                <w:rFonts w:hint="eastAsia" w:ascii="宋体" w:hAnsi="宋体" w:eastAsia="宋体"/>
                <w:color w:val="auto"/>
                <w:sz w:val="21"/>
                <w:szCs w:val="21"/>
                <w:lang w:eastAsia="zh-CN"/>
              </w:rPr>
              <w:t>响应文件</w:t>
            </w:r>
            <w:r>
              <w:rPr>
                <w:rFonts w:hint="eastAsia" w:ascii="宋体" w:hAnsi="宋体" w:eastAsia="宋体"/>
                <w:color w:val="auto"/>
                <w:sz w:val="21"/>
                <w:szCs w:val="21"/>
              </w:rPr>
              <w:t>，不再到开标现场，投标人开标前应仔细阅读《“不见面”开标注意事项及操作流程》。</w:t>
            </w:r>
          </w:p>
        </w:tc>
      </w:tr>
      <w:tr w14:paraId="2BCF47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Align w:val="center"/>
          </w:tcPr>
          <w:p w14:paraId="1A65752F">
            <w:pPr>
              <w:pStyle w:val="46"/>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0"/>
                <w:sz w:val="21"/>
                <w:szCs w:val="21"/>
                <w:lang w:val="en-US" w:eastAsia="zh-CN" w:bidi="ar-SA"/>
              </w:rPr>
            </w:pPr>
            <w:r>
              <w:rPr>
                <w:rFonts w:hint="eastAsia" w:ascii="宋体" w:hAnsi="宋体" w:eastAsia="宋体"/>
                <w:color w:val="auto"/>
                <w:sz w:val="21"/>
                <w:szCs w:val="21"/>
                <w:lang w:val="en-US" w:eastAsia="zh-CN"/>
              </w:rPr>
              <w:t>20</w:t>
            </w:r>
          </w:p>
        </w:tc>
        <w:tc>
          <w:tcPr>
            <w:tcW w:w="1916" w:type="dxa"/>
            <w:shd w:val="clear" w:color="auto" w:fill="auto"/>
            <w:vAlign w:val="center"/>
          </w:tcPr>
          <w:p w14:paraId="46424682">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 w:val="21"/>
                <w:szCs w:val="21"/>
                <w:lang w:eastAsia="zh-CN"/>
              </w:rPr>
              <w:t>响应文件</w:t>
            </w:r>
            <w:r>
              <w:rPr>
                <w:rFonts w:hint="eastAsia" w:ascii="宋体" w:hAnsi="宋体" w:eastAsia="宋体"/>
                <w:color w:val="auto"/>
                <w:sz w:val="21"/>
                <w:szCs w:val="21"/>
              </w:rPr>
              <w:t>电子版</w:t>
            </w:r>
          </w:p>
        </w:tc>
        <w:tc>
          <w:tcPr>
            <w:tcW w:w="6612" w:type="dxa"/>
            <w:shd w:val="clear" w:color="auto" w:fill="auto"/>
            <w:vAlign w:val="center"/>
          </w:tcPr>
          <w:p w14:paraId="2EABDBC6">
            <w:pPr>
              <w:keepNext w:val="0"/>
              <w:keepLines w:val="0"/>
              <w:pageBreakBefore w:val="0"/>
              <w:widowControl w:val="0"/>
              <w:kinsoku/>
              <w:wordWrap/>
              <w:overflowPunct/>
              <w:topLinePunct w:val="0"/>
              <w:bidi w:val="0"/>
              <w:spacing w:after="0" w:line="440" w:lineRule="exact"/>
              <w:ind w:firstLine="0" w:firstLineChars="0"/>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加密版</w:t>
            </w:r>
            <w:r>
              <w:rPr>
                <w:rFonts w:hint="eastAsia" w:ascii="宋体" w:hAnsi="宋体"/>
                <w:color w:val="auto"/>
                <w:sz w:val="21"/>
                <w:szCs w:val="21"/>
                <w:lang w:eastAsia="zh-CN"/>
              </w:rPr>
              <w:t>响应文件</w:t>
            </w:r>
            <w:r>
              <w:rPr>
                <w:rFonts w:hint="eastAsia" w:ascii="宋体" w:hAnsi="宋体" w:eastAsia="宋体"/>
                <w:color w:val="auto"/>
                <w:sz w:val="21"/>
                <w:szCs w:val="21"/>
              </w:rPr>
              <w:t>1份（.file格式），并按规定进行上传</w:t>
            </w:r>
            <w:r>
              <w:rPr>
                <w:rFonts w:hint="eastAsia" w:ascii="宋体" w:hAnsi="宋体" w:eastAsia="宋体"/>
                <w:color w:val="auto"/>
                <w:sz w:val="21"/>
                <w:szCs w:val="21"/>
                <w:lang w:eastAsia="zh-CN"/>
              </w:rPr>
              <w:t>。</w:t>
            </w:r>
          </w:p>
        </w:tc>
      </w:tr>
      <w:tr w14:paraId="26C0D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Align w:val="center"/>
          </w:tcPr>
          <w:p w14:paraId="5166B4DA">
            <w:pPr>
              <w:pStyle w:val="46"/>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0"/>
                <w:sz w:val="21"/>
                <w:szCs w:val="21"/>
                <w:lang w:val="en-US" w:eastAsia="zh-CN" w:bidi="ar-SA"/>
              </w:rPr>
            </w:pPr>
            <w:r>
              <w:rPr>
                <w:rFonts w:hint="eastAsia" w:ascii="宋体" w:hAnsi="宋体" w:eastAsia="宋体"/>
                <w:color w:val="auto"/>
                <w:sz w:val="21"/>
                <w:szCs w:val="21"/>
                <w:lang w:val="en-US" w:eastAsia="zh-CN"/>
              </w:rPr>
              <w:t>21</w:t>
            </w:r>
          </w:p>
        </w:tc>
        <w:tc>
          <w:tcPr>
            <w:tcW w:w="1916" w:type="dxa"/>
            <w:shd w:val="clear" w:color="auto" w:fill="auto"/>
            <w:vAlign w:val="center"/>
          </w:tcPr>
          <w:p w14:paraId="576994C2">
            <w:pPr>
              <w:keepNext w:val="0"/>
              <w:keepLines w:val="0"/>
              <w:pageBreakBefore w:val="0"/>
              <w:widowControl w:val="0"/>
              <w:kinsoku/>
              <w:wordWrap/>
              <w:overflowPunct/>
              <w:topLinePunct w:val="0"/>
              <w:autoSpaceDE w:val="0"/>
              <w:autoSpaceDN w:val="0"/>
              <w:bidi w:val="0"/>
              <w:snapToGrid w:val="0"/>
              <w:spacing w:after="0" w:line="440" w:lineRule="exact"/>
              <w:ind w:firstLine="0" w:firstLineChars="0"/>
              <w:jc w:val="center"/>
              <w:rPr>
                <w:rFonts w:hint="eastAsia" w:ascii="宋体" w:hAnsi="宋体" w:eastAsia="宋体" w:cs="Times New Roman"/>
                <w:color w:val="auto"/>
                <w:spacing w:val="1"/>
                <w:kern w:val="0"/>
                <w:sz w:val="21"/>
                <w:szCs w:val="21"/>
                <w:lang w:val="en-US" w:eastAsia="zh-CN" w:bidi="ar-SA"/>
              </w:rPr>
            </w:pPr>
            <w:r>
              <w:rPr>
                <w:rFonts w:hint="eastAsia" w:ascii="宋体" w:hAnsi="宋体" w:eastAsia="宋体"/>
                <w:color w:val="auto"/>
                <w:spacing w:val="1"/>
                <w:kern w:val="0"/>
                <w:sz w:val="21"/>
                <w:szCs w:val="21"/>
              </w:rPr>
              <w:t>投标有效期</w:t>
            </w:r>
          </w:p>
        </w:tc>
        <w:tc>
          <w:tcPr>
            <w:tcW w:w="6612" w:type="dxa"/>
            <w:shd w:val="clear" w:color="auto" w:fill="auto"/>
            <w:vAlign w:val="center"/>
          </w:tcPr>
          <w:p w14:paraId="171E164E">
            <w:pPr>
              <w:keepNext w:val="0"/>
              <w:keepLines w:val="0"/>
              <w:pageBreakBefore w:val="0"/>
              <w:widowControl w:val="0"/>
              <w:kinsoku/>
              <w:wordWrap/>
              <w:overflowPunct/>
              <w:topLinePunct w:val="0"/>
              <w:bidi w:val="0"/>
              <w:snapToGrid w:val="0"/>
              <w:spacing w:after="0" w:line="440" w:lineRule="exact"/>
              <w:ind w:firstLine="0" w:firstLineChars="0"/>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从投标截止之日起</w:t>
            </w:r>
            <w:r>
              <w:rPr>
                <w:rFonts w:hint="eastAsia" w:ascii="宋体" w:hAnsi="宋体"/>
                <w:color w:val="auto"/>
                <w:sz w:val="21"/>
                <w:szCs w:val="21"/>
                <w:lang w:val="en-US" w:eastAsia="zh-CN"/>
              </w:rPr>
              <w:t>60</w:t>
            </w:r>
            <w:r>
              <w:rPr>
                <w:rFonts w:hint="eastAsia" w:ascii="宋体" w:hAnsi="宋体" w:eastAsia="宋体"/>
                <w:color w:val="auto"/>
                <w:sz w:val="21"/>
                <w:szCs w:val="21"/>
              </w:rPr>
              <w:t>日历天</w:t>
            </w:r>
          </w:p>
        </w:tc>
      </w:tr>
      <w:tr w14:paraId="1B2954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Merge w:val="restart"/>
            <w:vAlign w:val="center"/>
          </w:tcPr>
          <w:p w14:paraId="7E419D6C">
            <w:pPr>
              <w:keepNext w:val="0"/>
              <w:keepLines w:val="0"/>
              <w:pageBreakBefore w:val="0"/>
              <w:widowControl w:val="0"/>
              <w:kinsoku/>
              <w:wordWrap/>
              <w:overflowPunct/>
              <w:topLinePunct w:val="0"/>
              <w:autoSpaceDE w:val="0"/>
              <w:autoSpaceDN w:val="0"/>
              <w:bidi w:val="0"/>
              <w:spacing w:after="0" w:line="440" w:lineRule="exact"/>
              <w:ind w:right="35" w:rightChars="0" w:firstLine="0" w:firstLineChars="0"/>
              <w:jc w:val="center"/>
              <w:rPr>
                <w:rFonts w:hint="eastAsia" w:ascii="宋体" w:hAnsi="宋体" w:eastAsia="宋体" w:cs="Times New Roman"/>
                <w:color w:val="auto"/>
                <w:spacing w:val="1"/>
                <w:kern w:val="0"/>
                <w:sz w:val="21"/>
                <w:szCs w:val="21"/>
                <w:lang w:val="en-US" w:eastAsia="zh-CN" w:bidi="ar-SA"/>
              </w:rPr>
            </w:pPr>
            <w:r>
              <w:rPr>
                <w:rFonts w:hint="eastAsia" w:ascii="宋体" w:hAnsi="宋体" w:eastAsia="宋体"/>
                <w:color w:val="auto"/>
                <w:spacing w:val="1"/>
                <w:kern w:val="0"/>
                <w:sz w:val="21"/>
                <w:szCs w:val="21"/>
                <w:lang w:val="en-US" w:eastAsia="zh-CN"/>
              </w:rPr>
              <w:t>22</w:t>
            </w:r>
          </w:p>
        </w:tc>
        <w:tc>
          <w:tcPr>
            <w:tcW w:w="1916" w:type="dxa"/>
            <w:shd w:val="clear" w:color="auto" w:fill="auto"/>
            <w:vAlign w:val="top"/>
          </w:tcPr>
          <w:p w14:paraId="4E00095E">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投标保证金</w:t>
            </w:r>
          </w:p>
        </w:tc>
        <w:tc>
          <w:tcPr>
            <w:tcW w:w="6612" w:type="dxa"/>
            <w:shd w:val="clear" w:color="auto" w:fill="auto"/>
            <w:vAlign w:val="top"/>
          </w:tcPr>
          <w:p w14:paraId="16805E7B">
            <w:pPr>
              <w:keepNext w:val="0"/>
              <w:keepLines w:val="0"/>
              <w:pageBreakBefore w:val="0"/>
              <w:widowControl w:val="0"/>
              <w:kinsoku/>
              <w:wordWrap/>
              <w:overflowPunct/>
              <w:topLinePunct w:val="0"/>
              <w:bidi w:val="0"/>
              <w:spacing w:after="0" w:line="440" w:lineRule="exact"/>
              <w:ind w:firstLine="0" w:firstLineChars="0"/>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不收取</w:t>
            </w:r>
          </w:p>
        </w:tc>
      </w:tr>
      <w:tr w14:paraId="5A110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Merge w:val="continue"/>
            <w:vAlign w:val="center"/>
          </w:tcPr>
          <w:p w14:paraId="47ADBDD6">
            <w:pPr>
              <w:pStyle w:val="8"/>
              <w:keepNext w:val="0"/>
              <w:keepLines w:val="0"/>
              <w:pageBreakBefore w:val="0"/>
              <w:widowControl w:val="0"/>
              <w:kinsoku/>
              <w:wordWrap/>
              <w:overflowPunct/>
              <w:topLinePunct w:val="0"/>
              <w:bidi w:val="0"/>
              <w:spacing w:after="0" w:line="440" w:lineRule="exact"/>
              <w:ind w:firstLine="0" w:firstLineChars="0"/>
              <w:rPr>
                <w:rFonts w:hint="eastAsia"/>
                <w:color w:val="auto"/>
                <w:lang w:val="en-US" w:eastAsia="zh-CN"/>
              </w:rPr>
            </w:pPr>
          </w:p>
        </w:tc>
        <w:tc>
          <w:tcPr>
            <w:tcW w:w="1916" w:type="dxa"/>
            <w:shd w:val="clear" w:color="auto" w:fill="auto"/>
            <w:vAlign w:val="top"/>
          </w:tcPr>
          <w:p w14:paraId="527356D1">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履约保证金</w:t>
            </w:r>
          </w:p>
        </w:tc>
        <w:tc>
          <w:tcPr>
            <w:tcW w:w="6612" w:type="dxa"/>
            <w:shd w:val="clear" w:color="auto" w:fill="auto"/>
            <w:vAlign w:val="top"/>
          </w:tcPr>
          <w:p w14:paraId="5167A688">
            <w:pPr>
              <w:keepNext w:val="0"/>
              <w:keepLines w:val="0"/>
              <w:pageBreakBefore w:val="0"/>
              <w:widowControl w:val="0"/>
              <w:kinsoku/>
              <w:wordWrap/>
              <w:overflowPunct/>
              <w:topLinePunct w:val="0"/>
              <w:bidi w:val="0"/>
              <w:spacing w:after="0" w:line="440" w:lineRule="exact"/>
              <w:ind w:firstLine="0" w:firstLineChars="0"/>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不收取</w:t>
            </w:r>
          </w:p>
        </w:tc>
      </w:tr>
      <w:tr w14:paraId="4CE36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91" w:type="dxa"/>
            <w:vMerge w:val="continue"/>
            <w:vAlign w:val="center"/>
          </w:tcPr>
          <w:p w14:paraId="6A81AAF2">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szCs w:val="21"/>
                <w:highlight w:val="none"/>
                <w:lang w:val="en-US" w:eastAsia="zh-CN"/>
              </w:rPr>
            </w:pPr>
          </w:p>
        </w:tc>
        <w:tc>
          <w:tcPr>
            <w:tcW w:w="1916" w:type="dxa"/>
            <w:shd w:val="clear" w:color="auto" w:fill="auto"/>
            <w:vAlign w:val="top"/>
          </w:tcPr>
          <w:p w14:paraId="1A144CDE">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质量保证金</w:t>
            </w:r>
          </w:p>
        </w:tc>
        <w:tc>
          <w:tcPr>
            <w:tcW w:w="6612" w:type="dxa"/>
            <w:shd w:val="clear" w:color="auto" w:fill="auto"/>
            <w:vAlign w:val="top"/>
          </w:tcPr>
          <w:p w14:paraId="5B18D441">
            <w:pPr>
              <w:keepNext w:val="0"/>
              <w:keepLines w:val="0"/>
              <w:pageBreakBefore w:val="0"/>
              <w:widowControl w:val="0"/>
              <w:kinsoku/>
              <w:wordWrap/>
              <w:overflowPunct/>
              <w:topLinePunct w:val="0"/>
              <w:bidi w:val="0"/>
              <w:spacing w:after="0" w:line="440" w:lineRule="exact"/>
              <w:ind w:firstLine="0" w:firstLineChars="0"/>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不收取</w:t>
            </w:r>
          </w:p>
        </w:tc>
      </w:tr>
      <w:tr w14:paraId="27A79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Merge w:val="continue"/>
            <w:vAlign w:val="center"/>
          </w:tcPr>
          <w:p w14:paraId="62B3EA96">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szCs w:val="21"/>
                <w:highlight w:val="none"/>
                <w:lang w:val="en-US" w:eastAsia="zh-CN"/>
              </w:rPr>
            </w:pPr>
          </w:p>
        </w:tc>
        <w:tc>
          <w:tcPr>
            <w:tcW w:w="1916" w:type="dxa"/>
            <w:shd w:val="clear" w:color="auto" w:fill="auto"/>
            <w:vAlign w:val="center"/>
          </w:tcPr>
          <w:p w14:paraId="46806B11">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 w:val="21"/>
                <w:szCs w:val="21"/>
                <w:lang w:eastAsia="zh-CN"/>
              </w:rPr>
              <w:t>竞争性谈判文件</w:t>
            </w:r>
            <w:r>
              <w:rPr>
                <w:rFonts w:hint="eastAsia" w:ascii="宋体" w:hAnsi="宋体" w:eastAsia="宋体"/>
                <w:color w:val="auto"/>
                <w:sz w:val="21"/>
                <w:szCs w:val="21"/>
              </w:rPr>
              <w:t>费用</w:t>
            </w:r>
          </w:p>
        </w:tc>
        <w:tc>
          <w:tcPr>
            <w:tcW w:w="6612" w:type="dxa"/>
            <w:shd w:val="clear" w:color="auto" w:fill="auto"/>
            <w:vAlign w:val="center"/>
          </w:tcPr>
          <w:p w14:paraId="53AAAC61">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不收取</w:t>
            </w:r>
          </w:p>
        </w:tc>
      </w:tr>
      <w:tr w14:paraId="37ADD6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791" w:type="dxa"/>
            <w:vAlign w:val="center"/>
          </w:tcPr>
          <w:p w14:paraId="01C7C5EA">
            <w:pPr>
              <w:keepNext w:val="0"/>
              <w:keepLines w:val="0"/>
              <w:pageBreakBefore w:val="0"/>
              <w:widowControl w:val="0"/>
              <w:kinsoku/>
              <w:wordWrap/>
              <w:overflowPunct/>
              <w:topLinePunct w:val="0"/>
              <w:autoSpaceDE w:val="0"/>
              <w:autoSpaceDN w:val="0"/>
              <w:bidi w:val="0"/>
              <w:spacing w:after="0" w:line="440" w:lineRule="exact"/>
              <w:ind w:right="35" w:rightChars="0" w:firstLine="0" w:firstLineChars="0"/>
              <w:jc w:val="center"/>
              <w:rPr>
                <w:rFonts w:hint="eastAsia" w:ascii="宋体" w:hAnsi="宋体" w:eastAsia="宋体" w:cs="Times New Roman"/>
                <w:color w:val="auto"/>
                <w:spacing w:val="1"/>
                <w:kern w:val="0"/>
                <w:sz w:val="21"/>
                <w:szCs w:val="21"/>
                <w:lang w:val="en-US" w:eastAsia="zh-CN" w:bidi="ar-SA"/>
              </w:rPr>
            </w:pPr>
            <w:r>
              <w:rPr>
                <w:rFonts w:hint="eastAsia" w:ascii="宋体" w:hAnsi="宋体" w:eastAsia="宋体"/>
                <w:color w:val="auto"/>
                <w:spacing w:val="1"/>
                <w:kern w:val="0"/>
                <w:sz w:val="21"/>
                <w:szCs w:val="21"/>
                <w:lang w:val="en-US" w:eastAsia="zh-CN"/>
              </w:rPr>
              <w:t>23</w:t>
            </w:r>
          </w:p>
        </w:tc>
        <w:tc>
          <w:tcPr>
            <w:tcW w:w="1916" w:type="dxa"/>
            <w:shd w:val="clear" w:color="auto" w:fill="auto"/>
            <w:vAlign w:val="center"/>
          </w:tcPr>
          <w:p w14:paraId="6ED72C57">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签字或盖章要求</w:t>
            </w:r>
          </w:p>
        </w:tc>
        <w:tc>
          <w:tcPr>
            <w:tcW w:w="6612" w:type="dxa"/>
            <w:shd w:val="clear" w:color="auto" w:fill="auto"/>
            <w:vAlign w:val="center"/>
          </w:tcPr>
          <w:p w14:paraId="1CDC413D">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color w:val="auto"/>
                <w:sz w:val="21"/>
                <w:szCs w:val="21"/>
                <w:lang w:eastAsia="zh-CN"/>
              </w:rPr>
              <w:t>响应</w:t>
            </w:r>
            <w:r>
              <w:rPr>
                <w:rFonts w:hint="eastAsia" w:ascii="宋体" w:hAnsi="宋体" w:eastAsia="宋体"/>
                <w:color w:val="auto"/>
                <w:sz w:val="21"/>
                <w:szCs w:val="21"/>
              </w:rPr>
              <w:t>文件应按</w:t>
            </w:r>
            <w:r>
              <w:rPr>
                <w:rFonts w:hint="eastAsia" w:ascii="宋体" w:hAnsi="宋体"/>
                <w:color w:val="auto"/>
                <w:sz w:val="21"/>
                <w:szCs w:val="21"/>
                <w:lang w:eastAsia="zh-CN"/>
              </w:rPr>
              <w:t>竞争性谈判</w:t>
            </w:r>
            <w:r>
              <w:rPr>
                <w:rFonts w:hint="eastAsia" w:ascii="宋体" w:hAnsi="宋体" w:eastAsia="宋体"/>
                <w:color w:val="auto"/>
                <w:sz w:val="21"/>
                <w:szCs w:val="21"/>
              </w:rPr>
              <w:t>文件要求加盖单位公章、签字、盖章。</w:t>
            </w:r>
            <w:r>
              <w:rPr>
                <w:rFonts w:hint="eastAsia" w:ascii="宋体" w:hAnsi="宋体"/>
                <w:color w:val="auto"/>
                <w:sz w:val="21"/>
                <w:szCs w:val="21"/>
                <w:lang w:eastAsia="zh-CN"/>
              </w:rPr>
              <w:t>响应</w:t>
            </w:r>
            <w:r>
              <w:rPr>
                <w:rFonts w:hint="eastAsia" w:ascii="宋体" w:hAnsi="宋体" w:eastAsia="宋体"/>
                <w:color w:val="auto"/>
                <w:sz w:val="21"/>
                <w:szCs w:val="21"/>
              </w:rPr>
              <w:t>文件中的各类证书及企业相关证明资料复印件须加盖</w:t>
            </w:r>
            <w:r>
              <w:rPr>
                <w:rFonts w:hint="eastAsia" w:ascii="宋体" w:hAnsi="宋体"/>
                <w:color w:val="auto"/>
                <w:sz w:val="21"/>
                <w:szCs w:val="21"/>
                <w:lang w:eastAsia="zh-CN"/>
              </w:rPr>
              <w:t>竞谈商</w:t>
            </w:r>
            <w:r>
              <w:rPr>
                <w:rFonts w:hint="eastAsia" w:ascii="宋体" w:hAnsi="宋体" w:eastAsia="宋体"/>
                <w:color w:val="auto"/>
                <w:sz w:val="21"/>
                <w:szCs w:val="21"/>
              </w:rPr>
              <w:t>电子印章。若被授权代理人签字或盖章的，</w:t>
            </w:r>
            <w:r>
              <w:rPr>
                <w:rFonts w:hint="eastAsia" w:ascii="宋体" w:hAnsi="宋体"/>
                <w:color w:val="auto"/>
                <w:sz w:val="21"/>
                <w:szCs w:val="21"/>
                <w:lang w:eastAsia="zh-CN"/>
              </w:rPr>
              <w:t>响应</w:t>
            </w:r>
            <w:r>
              <w:rPr>
                <w:rFonts w:hint="eastAsia" w:ascii="宋体" w:hAnsi="宋体" w:eastAsia="宋体"/>
                <w:color w:val="auto"/>
                <w:sz w:val="21"/>
                <w:szCs w:val="21"/>
              </w:rPr>
              <w:t>文件中应附法定代表人有效授权委托书。</w:t>
            </w:r>
          </w:p>
        </w:tc>
      </w:tr>
      <w:tr w14:paraId="491DC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Align w:val="center"/>
          </w:tcPr>
          <w:p w14:paraId="287555A5">
            <w:pPr>
              <w:keepNext w:val="0"/>
              <w:keepLines w:val="0"/>
              <w:pageBreakBefore w:val="0"/>
              <w:widowControl w:val="0"/>
              <w:kinsoku/>
              <w:wordWrap/>
              <w:overflowPunct/>
              <w:topLinePunct w:val="0"/>
              <w:autoSpaceDE w:val="0"/>
              <w:autoSpaceDN w:val="0"/>
              <w:bidi w:val="0"/>
              <w:spacing w:after="0" w:line="440" w:lineRule="exact"/>
              <w:ind w:right="35" w:rightChars="0"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lang w:val="en-US" w:eastAsia="zh-CN"/>
              </w:rPr>
              <w:t>24</w:t>
            </w:r>
          </w:p>
        </w:tc>
        <w:tc>
          <w:tcPr>
            <w:tcW w:w="1916" w:type="dxa"/>
            <w:shd w:val="clear" w:color="auto" w:fill="auto"/>
            <w:vAlign w:val="center"/>
          </w:tcPr>
          <w:p w14:paraId="3E0BC8C0">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递交</w:t>
            </w:r>
            <w:r>
              <w:rPr>
                <w:rFonts w:hint="eastAsia" w:ascii="宋体" w:hAnsi="宋体"/>
                <w:color w:val="auto"/>
                <w:sz w:val="21"/>
                <w:szCs w:val="21"/>
                <w:lang w:eastAsia="zh-CN"/>
              </w:rPr>
              <w:t>响应</w:t>
            </w:r>
            <w:r>
              <w:rPr>
                <w:rFonts w:hint="eastAsia" w:ascii="宋体" w:hAnsi="宋体" w:eastAsia="宋体"/>
                <w:color w:val="auto"/>
                <w:sz w:val="21"/>
                <w:szCs w:val="21"/>
              </w:rPr>
              <w:t>文件地点</w:t>
            </w:r>
          </w:p>
        </w:tc>
        <w:tc>
          <w:tcPr>
            <w:tcW w:w="6612" w:type="dxa"/>
            <w:shd w:val="clear" w:color="auto" w:fill="auto"/>
            <w:vAlign w:val="center"/>
          </w:tcPr>
          <w:p w14:paraId="60096019">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平顶山市公共资源交易中心电子交易系统</w:t>
            </w:r>
          </w:p>
        </w:tc>
      </w:tr>
      <w:tr w14:paraId="2DF338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Align w:val="center"/>
          </w:tcPr>
          <w:p w14:paraId="1AE79500">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lang w:val="en-US" w:eastAsia="zh-CN"/>
              </w:rPr>
              <w:t>25</w:t>
            </w:r>
          </w:p>
        </w:tc>
        <w:tc>
          <w:tcPr>
            <w:tcW w:w="1916" w:type="dxa"/>
            <w:shd w:val="clear" w:color="auto" w:fill="auto"/>
            <w:vAlign w:val="center"/>
          </w:tcPr>
          <w:p w14:paraId="4F6624D2">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开标时间和地点</w:t>
            </w:r>
          </w:p>
        </w:tc>
        <w:tc>
          <w:tcPr>
            <w:tcW w:w="6612" w:type="dxa"/>
            <w:shd w:val="clear" w:color="auto" w:fill="auto"/>
            <w:vAlign w:val="center"/>
          </w:tcPr>
          <w:p w14:paraId="45E32383">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开标时间：同投标截止时间；</w:t>
            </w:r>
          </w:p>
          <w:p w14:paraId="5E0A1874">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开标地点：平顶山市公共资源交易中心</w:t>
            </w:r>
          </w:p>
        </w:tc>
      </w:tr>
      <w:tr w14:paraId="4980B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Align w:val="center"/>
          </w:tcPr>
          <w:p w14:paraId="032DBC64">
            <w:pPr>
              <w:pStyle w:val="46"/>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0"/>
                <w:sz w:val="21"/>
                <w:szCs w:val="21"/>
                <w:lang w:val="en-US" w:eastAsia="zh-CN" w:bidi="ar-SA"/>
              </w:rPr>
            </w:pPr>
            <w:r>
              <w:rPr>
                <w:rFonts w:hint="eastAsia" w:hAnsi="宋体" w:eastAsia="宋体"/>
                <w:color w:val="auto"/>
                <w:sz w:val="21"/>
                <w:szCs w:val="21"/>
                <w:lang w:val="en-US" w:eastAsia="zh-CN"/>
              </w:rPr>
              <w:t>26</w:t>
            </w:r>
          </w:p>
        </w:tc>
        <w:tc>
          <w:tcPr>
            <w:tcW w:w="1916" w:type="dxa"/>
            <w:shd w:val="clear" w:color="auto" w:fill="auto"/>
            <w:vAlign w:val="center"/>
          </w:tcPr>
          <w:p w14:paraId="5379973B">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开标程序</w:t>
            </w:r>
          </w:p>
        </w:tc>
        <w:tc>
          <w:tcPr>
            <w:tcW w:w="6612" w:type="dxa"/>
            <w:shd w:val="clear" w:color="auto" w:fill="auto"/>
            <w:vAlign w:val="center"/>
          </w:tcPr>
          <w:p w14:paraId="15657F46">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（1）电子化投标文件采用双重加密方式。开标时，首先由投标人使用 CA 证书，在规定时间内对其电子化投标文件进行首次解密，投标人解密完成后，再由中介服务机构使用 CA 证书对投标文件进行再次解密。</w:t>
            </w:r>
          </w:p>
          <w:p w14:paraId="6F8C4B97">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（2）待所有投标人投标文件解密完成后，由中介服务机构操作，对所有已解密投标文件进行唱标。</w:t>
            </w:r>
          </w:p>
        </w:tc>
      </w:tr>
      <w:tr w14:paraId="4DD908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4" w:hRule="atLeast"/>
          <w:jc w:val="center"/>
        </w:trPr>
        <w:tc>
          <w:tcPr>
            <w:tcW w:w="791" w:type="dxa"/>
            <w:vAlign w:val="center"/>
          </w:tcPr>
          <w:p w14:paraId="405073FF">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lang w:val="en-US" w:eastAsia="zh-CN"/>
              </w:rPr>
              <w:t>27</w:t>
            </w:r>
          </w:p>
        </w:tc>
        <w:tc>
          <w:tcPr>
            <w:tcW w:w="1916" w:type="dxa"/>
            <w:shd w:val="clear" w:color="auto" w:fill="auto"/>
            <w:vAlign w:val="center"/>
          </w:tcPr>
          <w:p w14:paraId="6DF39C94">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谈判小组的组建</w:t>
            </w:r>
          </w:p>
        </w:tc>
        <w:tc>
          <w:tcPr>
            <w:tcW w:w="6612" w:type="dxa"/>
            <w:shd w:val="clear" w:color="auto" w:fill="auto"/>
            <w:vAlign w:val="center"/>
          </w:tcPr>
          <w:p w14:paraId="5EFE760D">
            <w:pPr>
              <w:keepNext w:val="0"/>
              <w:keepLines w:val="0"/>
              <w:pageBreakBefore w:val="0"/>
              <w:widowControl w:val="0"/>
              <w:kinsoku/>
              <w:wordWrap/>
              <w:overflowPunct/>
              <w:topLinePunct w:val="0"/>
              <w:autoSpaceDE/>
              <w:autoSpaceDN/>
              <w:bidi w:val="0"/>
              <w:adjustRightInd w:val="0"/>
              <w:snapToGrid w:val="0"/>
              <w:spacing w:after="0" w:line="440" w:lineRule="exact"/>
              <w:ind w:firstLine="0" w:firstLineChars="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谈判小组构成：谈判小组由采购人代表和评审专家组成，成员人数应当为3人以上单数，其中评审专家不得少于成员总人数的三分之二。</w:t>
            </w:r>
          </w:p>
          <w:p w14:paraId="668AEF34">
            <w:pPr>
              <w:keepNext w:val="0"/>
              <w:keepLines w:val="0"/>
              <w:pageBreakBefore w:val="0"/>
              <w:widowControl w:val="0"/>
              <w:kinsoku/>
              <w:wordWrap/>
              <w:overflowPunct/>
              <w:topLinePunct w:val="0"/>
              <w:autoSpaceDE/>
              <w:autoSpaceDN/>
              <w:bidi w:val="0"/>
              <w:adjustRightInd w:val="0"/>
              <w:snapToGrid w:val="0"/>
              <w:spacing w:after="0" w:line="440" w:lineRule="exact"/>
              <w:ind w:firstLine="0" w:firstLineChars="0"/>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注：上述规定为一组谈判小组组成方式，根据项目标段数量和谈判工作量，可由多组谈判小组完成评审，但一个标段只能由一组谈判小组进行评审。</w:t>
            </w:r>
          </w:p>
        </w:tc>
      </w:tr>
      <w:tr w14:paraId="304F47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791" w:type="dxa"/>
            <w:vAlign w:val="center"/>
          </w:tcPr>
          <w:p w14:paraId="0A109A37">
            <w:pPr>
              <w:pStyle w:val="46"/>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0"/>
                <w:sz w:val="21"/>
                <w:szCs w:val="21"/>
                <w:lang w:val="en-US" w:eastAsia="zh-CN" w:bidi="ar-SA"/>
              </w:rPr>
            </w:pPr>
            <w:r>
              <w:rPr>
                <w:rFonts w:hint="eastAsia" w:hAnsi="宋体" w:eastAsia="宋体"/>
                <w:color w:val="auto"/>
                <w:sz w:val="21"/>
                <w:szCs w:val="21"/>
                <w:lang w:val="en-US" w:eastAsia="zh-CN"/>
              </w:rPr>
              <w:t>28</w:t>
            </w:r>
          </w:p>
        </w:tc>
        <w:tc>
          <w:tcPr>
            <w:tcW w:w="1916" w:type="dxa"/>
            <w:shd w:val="clear" w:color="auto" w:fill="auto"/>
            <w:vAlign w:val="center"/>
          </w:tcPr>
          <w:p w14:paraId="35D003B1">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是否授权</w:t>
            </w:r>
            <w:r>
              <w:rPr>
                <w:rFonts w:hint="eastAsia" w:ascii="宋体" w:hAnsi="宋体"/>
                <w:color w:val="auto"/>
                <w:sz w:val="21"/>
                <w:szCs w:val="21"/>
                <w:lang w:eastAsia="zh-CN"/>
              </w:rPr>
              <w:t>谈判小组</w:t>
            </w:r>
            <w:r>
              <w:rPr>
                <w:rFonts w:hint="eastAsia" w:ascii="宋体" w:hAnsi="宋体" w:eastAsia="宋体"/>
                <w:color w:val="auto"/>
                <w:sz w:val="21"/>
                <w:szCs w:val="21"/>
              </w:rPr>
              <w:t>确定中标人</w:t>
            </w:r>
          </w:p>
        </w:tc>
        <w:tc>
          <w:tcPr>
            <w:tcW w:w="6612" w:type="dxa"/>
            <w:shd w:val="clear" w:color="auto" w:fill="auto"/>
            <w:vAlign w:val="center"/>
          </w:tcPr>
          <w:p w14:paraId="5600157D">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否，由</w:t>
            </w:r>
            <w:r>
              <w:rPr>
                <w:rFonts w:hint="eastAsia" w:ascii="宋体" w:hAnsi="宋体"/>
                <w:color w:val="auto"/>
                <w:sz w:val="21"/>
                <w:szCs w:val="21"/>
                <w:lang w:eastAsia="zh-CN"/>
              </w:rPr>
              <w:t>谈判小组</w:t>
            </w:r>
            <w:r>
              <w:rPr>
                <w:rFonts w:hint="eastAsia" w:ascii="宋体" w:hAnsi="宋体" w:eastAsia="宋体"/>
                <w:color w:val="auto"/>
                <w:sz w:val="21"/>
                <w:szCs w:val="21"/>
              </w:rPr>
              <w:t>按</w:t>
            </w:r>
            <w:r>
              <w:rPr>
                <w:rFonts w:hint="eastAsia" w:ascii="宋体" w:hAnsi="宋体"/>
                <w:color w:val="auto"/>
                <w:sz w:val="21"/>
                <w:szCs w:val="21"/>
                <w:lang w:eastAsia="zh-CN"/>
              </w:rPr>
              <w:t>竞谈商最终报价</w:t>
            </w:r>
            <w:r>
              <w:rPr>
                <w:rFonts w:hint="eastAsia" w:ascii="宋体" w:hAnsi="宋体" w:eastAsia="宋体"/>
                <w:color w:val="auto"/>
                <w:sz w:val="21"/>
                <w:szCs w:val="21"/>
              </w:rPr>
              <w:t>推荐前1-3名为中标候选人。若排名第一的中标候选人放弃中标、因不可抗力提出不能履行合同，</w:t>
            </w:r>
            <w:r>
              <w:rPr>
                <w:rFonts w:hint="eastAsia" w:ascii="宋体" w:hAnsi="宋体" w:eastAsia="宋体"/>
                <w:color w:val="auto"/>
                <w:sz w:val="21"/>
                <w:szCs w:val="21"/>
                <w:lang w:eastAsia="zh-CN"/>
              </w:rPr>
              <w:t>采购人</w:t>
            </w:r>
            <w:r>
              <w:rPr>
                <w:rFonts w:hint="eastAsia" w:ascii="宋体" w:hAnsi="宋体" w:eastAsia="宋体"/>
                <w:color w:val="auto"/>
                <w:sz w:val="21"/>
                <w:szCs w:val="21"/>
              </w:rPr>
              <w:t>可以确定第二中标候选人为中标人；依此类推</w:t>
            </w:r>
            <w:r>
              <w:rPr>
                <w:rFonts w:hint="eastAsia" w:ascii="宋体" w:hAnsi="宋体"/>
                <w:color w:val="auto"/>
                <w:sz w:val="21"/>
                <w:szCs w:val="21"/>
                <w:lang w:eastAsia="zh-CN"/>
              </w:rPr>
              <w:t>，或重新招标</w:t>
            </w:r>
            <w:r>
              <w:rPr>
                <w:rFonts w:hint="eastAsia" w:ascii="宋体" w:hAnsi="宋体" w:eastAsia="宋体"/>
                <w:color w:val="auto"/>
                <w:sz w:val="21"/>
                <w:szCs w:val="21"/>
              </w:rPr>
              <w:t>。当所有中标候选人因上述原因不能签订合同的，</w:t>
            </w:r>
            <w:r>
              <w:rPr>
                <w:rFonts w:hint="eastAsia" w:ascii="宋体" w:hAnsi="宋体" w:eastAsia="宋体"/>
                <w:color w:val="auto"/>
                <w:sz w:val="21"/>
                <w:szCs w:val="21"/>
                <w:lang w:eastAsia="zh-CN"/>
              </w:rPr>
              <w:t>采购人</w:t>
            </w:r>
            <w:r>
              <w:rPr>
                <w:rFonts w:hint="eastAsia" w:ascii="宋体" w:hAnsi="宋体" w:eastAsia="宋体"/>
                <w:color w:val="auto"/>
                <w:sz w:val="21"/>
                <w:szCs w:val="21"/>
              </w:rPr>
              <w:t>将依法重新招标。</w:t>
            </w:r>
          </w:p>
        </w:tc>
      </w:tr>
      <w:tr w14:paraId="1D96C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91" w:type="dxa"/>
            <w:vAlign w:val="center"/>
          </w:tcPr>
          <w:p w14:paraId="02E51283">
            <w:pPr>
              <w:pStyle w:val="46"/>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0"/>
                <w:sz w:val="21"/>
                <w:szCs w:val="21"/>
                <w:lang w:val="en-US" w:eastAsia="zh-CN" w:bidi="ar-SA"/>
              </w:rPr>
            </w:pPr>
            <w:r>
              <w:rPr>
                <w:rFonts w:hint="eastAsia" w:hAnsi="宋体" w:eastAsia="宋体"/>
                <w:color w:val="auto"/>
                <w:sz w:val="21"/>
                <w:szCs w:val="21"/>
                <w:lang w:val="en-US" w:eastAsia="zh-CN"/>
              </w:rPr>
              <w:t>29</w:t>
            </w:r>
          </w:p>
        </w:tc>
        <w:tc>
          <w:tcPr>
            <w:tcW w:w="1916" w:type="dxa"/>
            <w:shd w:val="clear" w:color="auto" w:fill="auto"/>
            <w:vAlign w:val="center"/>
          </w:tcPr>
          <w:p w14:paraId="4A29ABD7">
            <w:pPr>
              <w:keepNext w:val="0"/>
              <w:keepLines w:val="0"/>
              <w:pageBreakBefore w:val="0"/>
              <w:widowControl w:val="0"/>
              <w:kinsoku/>
              <w:wordWrap/>
              <w:overflowPunct/>
              <w:topLinePunct w:val="0"/>
              <w:bidi w:val="0"/>
              <w:spacing w:after="0" w:line="440" w:lineRule="exact"/>
              <w:ind w:right="0" w:rightChars="0" w:firstLine="0" w:firstLineChars="0"/>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bCs/>
                <w:color w:val="auto"/>
                <w:sz w:val="21"/>
                <w:szCs w:val="21"/>
                <w:highlight w:val="none"/>
              </w:rPr>
              <w:t>接收质疑函的方式和联系方式</w:t>
            </w:r>
          </w:p>
        </w:tc>
        <w:tc>
          <w:tcPr>
            <w:tcW w:w="6612" w:type="dxa"/>
            <w:shd w:val="clear" w:color="auto" w:fill="auto"/>
            <w:vAlign w:val="center"/>
          </w:tcPr>
          <w:p w14:paraId="70190D0A">
            <w:pPr>
              <w:keepNext w:val="0"/>
              <w:keepLines w:val="0"/>
              <w:pageBreakBefore w:val="0"/>
              <w:widowControl w:val="0"/>
              <w:kinsoku/>
              <w:wordWrap/>
              <w:overflowPunct/>
              <w:topLinePunct w:val="0"/>
              <w:autoSpaceDE/>
              <w:autoSpaceDN/>
              <w:bidi w:val="0"/>
              <w:adjustRightInd/>
              <w:snapToGrid/>
              <w:spacing w:after="0" w:line="440" w:lineRule="exact"/>
              <w:ind w:right="0" w:rightChars="0" w:firstLine="0" w:firstLineChars="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（1）投标人认为采购文件、采购过程和中标结果使自己的权益受到损害的, 可以在知道或者应知其权益受到损害之日起七个工作日内，按中华人民共和国财政部令第94号《政府采购质疑和投诉办法》的相关规定，以书面形式同时向采购人和采购代理机构提出质疑（加盖单位公章且法定代表人签字），由其授权代表携带法人授权书及本人身份证件提交（邮寄、传真件不予受理）。逾期未提交或未按照要求提交的质疑函将不予受理。</w:t>
            </w:r>
          </w:p>
          <w:p w14:paraId="77649647">
            <w:pPr>
              <w:keepNext w:val="0"/>
              <w:keepLines w:val="0"/>
              <w:pageBreakBefore w:val="0"/>
              <w:widowControl w:val="0"/>
              <w:kinsoku/>
              <w:wordWrap/>
              <w:overflowPunct/>
              <w:topLinePunct w:val="0"/>
              <w:autoSpaceDE/>
              <w:autoSpaceDN/>
              <w:bidi w:val="0"/>
              <w:adjustRightInd/>
              <w:snapToGrid/>
              <w:spacing w:after="0" w:line="440" w:lineRule="exact"/>
              <w:ind w:right="0" w:rightChars="0" w:firstLine="0" w:firstLineChars="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若有投诉，可按照相关规定以书面形式向监督部门进行投诉。</w:t>
            </w:r>
          </w:p>
          <w:p w14:paraId="0210FA24">
            <w:pPr>
              <w:keepNext w:val="0"/>
              <w:keepLines w:val="0"/>
              <w:pageBreakBefore w:val="0"/>
              <w:widowControl w:val="0"/>
              <w:kinsoku/>
              <w:wordWrap/>
              <w:overflowPunct/>
              <w:topLinePunct w:val="0"/>
              <w:autoSpaceDE/>
              <w:autoSpaceDN/>
              <w:bidi w:val="0"/>
              <w:adjustRightInd/>
              <w:snapToGrid/>
              <w:spacing w:after="0" w:line="440" w:lineRule="exact"/>
              <w:ind w:right="0" w:rightChars="0" w:firstLine="0" w:firstLineChars="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（2）质疑函的内容、格式：应符合《政府采购质疑和投诉办法》（财政部第94号令）相关规定和财政部门制定的《政府采购质疑函范本》格式。</w:t>
            </w:r>
          </w:p>
          <w:p w14:paraId="452AFC25">
            <w:pPr>
              <w:keepNext w:val="0"/>
              <w:keepLines w:val="0"/>
              <w:pageBreakBefore w:val="0"/>
              <w:widowControl w:val="0"/>
              <w:kinsoku/>
              <w:wordWrap/>
              <w:overflowPunct/>
              <w:topLinePunct w:val="0"/>
              <w:autoSpaceDE/>
              <w:autoSpaceDN/>
              <w:bidi w:val="0"/>
              <w:adjustRightInd/>
              <w:snapToGrid/>
              <w:spacing w:after="0" w:line="440" w:lineRule="exact"/>
              <w:ind w:right="0" w:rightChars="0" w:firstLine="0" w:firstLineChars="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（3）投标人应在法定质疑期内一次性提出针对同一采购程序环节的质疑。</w:t>
            </w:r>
          </w:p>
          <w:p w14:paraId="0045F7A5">
            <w:pPr>
              <w:keepNext w:val="0"/>
              <w:keepLines w:val="0"/>
              <w:pageBreakBefore w:val="0"/>
              <w:widowControl w:val="0"/>
              <w:kinsoku/>
              <w:wordWrap/>
              <w:overflowPunct/>
              <w:topLinePunct w:val="0"/>
              <w:autoSpaceDE/>
              <w:autoSpaceDN/>
              <w:bidi w:val="0"/>
              <w:adjustRightInd/>
              <w:snapToGrid/>
              <w:spacing w:after="0" w:line="440" w:lineRule="exact"/>
              <w:ind w:right="0" w:rightChars="0" w:firstLine="0" w:firstLineChars="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（4）接收质疑函联系方式：</w:t>
            </w:r>
          </w:p>
          <w:p w14:paraId="6E074545">
            <w:pPr>
              <w:keepNext w:val="0"/>
              <w:keepLines w:val="0"/>
              <w:pageBreakBefore w:val="0"/>
              <w:widowControl w:val="0"/>
              <w:kinsoku/>
              <w:wordWrap/>
              <w:overflowPunct/>
              <w:topLinePunct w:val="0"/>
              <w:autoSpaceDE/>
              <w:autoSpaceDN/>
              <w:bidi w:val="0"/>
              <w:adjustRightInd/>
              <w:snapToGrid/>
              <w:spacing w:after="0" w:line="440" w:lineRule="exact"/>
              <w:ind w:right="0" w:rightChars="0" w:firstLine="0" w:firstLineChars="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联系人：张先生    联系电话：17737565013</w:t>
            </w:r>
          </w:p>
          <w:p w14:paraId="569DA5BC">
            <w:pPr>
              <w:keepNext w:val="0"/>
              <w:keepLines w:val="0"/>
              <w:pageBreakBefore w:val="0"/>
              <w:widowControl w:val="0"/>
              <w:kinsoku/>
              <w:wordWrap/>
              <w:overflowPunct/>
              <w:topLinePunct w:val="0"/>
              <w:autoSpaceDE/>
              <w:autoSpaceDN/>
              <w:bidi w:val="0"/>
              <w:adjustRightInd/>
              <w:snapToGrid/>
              <w:spacing w:after="0" w:line="440" w:lineRule="exact"/>
              <w:ind w:right="0" w:rightChars="0" w:firstLine="0" w:firstLineChars="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cs="宋体"/>
                <w:bCs/>
                <w:color w:val="auto"/>
                <w:highlight w:val="none"/>
              </w:rPr>
              <w:t>对供应商提出的质疑，采购人、采购代理机构应当依法及时答复和处理，不得推诿扯皮故意刁难，须进行实质性回应。</w:t>
            </w:r>
          </w:p>
        </w:tc>
      </w:tr>
      <w:tr w14:paraId="031E5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Align w:val="center"/>
          </w:tcPr>
          <w:p w14:paraId="594A617B">
            <w:pPr>
              <w:pStyle w:val="46"/>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0"/>
                <w:sz w:val="21"/>
                <w:szCs w:val="21"/>
                <w:lang w:val="en-US" w:eastAsia="zh-CN" w:bidi="ar-SA"/>
              </w:rPr>
            </w:pPr>
            <w:r>
              <w:rPr>
                <w:rFonts w:hint="eastAsia" w:hAnsi="宋体" w:eastAsia="宋体"/>
                <w:color w:val="auto"/>
                <w:sz w:val="21"/>
                <w:szCs w:val="21"/>
                <w:lang w:val="en-US" w:eastAsia="zh-CN"/>
              </w:rPr>
              <w:t>30</w:t>
            </w:r>
          </w:p>
        </w:tc>
        <w:tc>
          <w:tcPr>
            <w:tcW w:w="1916" w:type="dxa"/>
            <w:shd w:val="clear" w:color="auto" w:fill="auto"/>
            <w:vAlign w:val="center"/>
          </w:tcPr>
          <w:p w14:paraId="68291F07">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color w:val="auto"/>
                <w:szCs w:val="21"/>
              </w:rPr>
              <w:t>最高限价及报价要求</w:t>
            </w:r>
          </w:p>
        </w:tc>
        <w:tc>
          <w:tcPr>
            <w:tcW w:w="6612" w:type="dxa"/>
            <w:shd w:val="clear" w:color="auto" w:fill="auto"/>
            <w:vAlign w:val="center"/>
          </w:tcPr>
          <w:p w14:paraId="7BBB1FA2">
            <w:pPr>
              <w:keepNext w:val="0"/>
              <w:keepLines w:val="0"/>
              <w:pageBreakBefore w:val="0"/>
              <w:widowControl w:val="0"/>
              <w:kinsoku/>
              <w:wordWrap/>
              <w:overflowPunct/>
              <w:topLinePunct w:val="0"/>
              <w:autoSpaceDE/>
              <w:autoSpaceDN/>
              <w:bidi w:val="0"/>
              <w:adjustRightInd/>
              <w:spacing w:after="0" w:line="440" w:lineRule="exact"/>
              <w:ind w:firstLine="0" w:firstLineChars="0"/>
              <w:textAlignment w:val="auto"/>
              <w:rPr>
                <w:color w:val="auto"/>
                <w:szCs w:val="21"/>
              </w:rPr>
            </w:pPr>
            <w:r>
              <w:rPr>
                <w:rFonts w:hint="eastAsia" w:ascii="宋体" w:hAnsi="宋体" w:cs="宋体"/>
                <w:color w:val="auto"/>
                <w:highlight w:val="none"/>
              </w:rPr>
              <w:t>最高限价：</w:t>
            </w:r>
            <w:r>
              <w:rPr>
                <w:rFonts w:hint="eastAsia" w:ascii="宋体" w:hAnsi="宋体" w:cs="宋体"/>
                <w:color w:val="auto"/>
                <w:highlight w:val="none"/>
                <w:lang w:val="en-US" w:eastAsia="zh-CN"/>
              </w:rPr>
              <w:t>528000.00</w:t>
            </w:r>
            <w:r>
              <w:rPr>
                <w:rFonts w:hint="eastAsia" w:ascii="宋体" w:hAnsi="宋体" w:cs="宋体"/>
                <w:color w:val="auto"/>
                <w:highlight w:val="none"/>
              </w:rPr>
              <w:t>元</w:t>
            </w:r>
          </w:p>
          <w:p w14:paraId="4607455B">
            <w:pPr>
              <w:keepNext w:val="0"/>
              <w:keepLines w:val="0"/>
              <w:pageBreakBefore w:val="0"/>
              <w:widowControl w:val="0"/>
              <w:kinsoku/>
              <w:wordWrap/>
              <w:overflowPunct/>
              <w:topLinePunct w:val="0"/>
              <w:autoSpaceDE/>
              <w:autoSpaceDN/>
              <w:bidi w:val="0"/>
              <w:adjustRightInd/>
              <w:spacing w:after="0" w:line="440" w:lineRule="exact"/>
              <w:ind w:firstLine="0" w:firstLineChars="0"/>
              <w:textAlignment w:val="auto"/>
              <w:rPr>
                <w:rFonts w:hint="eastAsia" w:ascii="宋体" w:hAnsi="宋体" w:eastAsia="宋体" w:cs="Times New Roman"/>
                <w:color w:val="auto"/>
                <w:kern w:val="2"/>
                <w:sz w:val="21"/>
                <w:szCs w:val="21"/>
                <w:lang w:val="en-US" w:eastAsia="zh-CN" w:bidi="ar-SA"/>
              </w:rPr>
            </w:pPr>
            <w:r>
              <w:rPr>
                <w:rFonts w:hint="eastAsia"/>
                <w:color w:val="auto"/>
                <w:szCs w:val="21"/>
              </w:rPr>
              <w:t>注：</w:t>
            </w:r>
            <w:r>
              <w:rPr>
                <w:rFonts w:hint="eastAsia"/>
                <w:color w:val="auto"/>
                <w:szCs w:val="21"/>
                <w:lang w:eastAsia="zh-CN"/>
              </w:rPr>
              <w:t>谈判</w:t>
            </w:r>
            <w:r>
              <w:rPr>
                <w:rFonts w:hint="eastAsia"/>
                <w:color w:val="auto"/>
                <w:szCs w:val="21"/>
              </w:rPr>
              <w:t>报价超出采购控制价的将取消其</w:t>
            </w:r>
            <w:r>
              <w:rPr>
                <w:rFonts w:hint="eastAsia"/>
                <w:color w:val="auto"/>
                <w:szCs w:val="21"/>
                <w:lang w:eastAsia="zh-CN"/>
              </w:rPr>
              <w:t>谈判</w:t>
            </w:r>
            <w:r>
              <w:rPr>
                <w:rFonts w:hint="eastAsia"/>
                <w:color w:val="auto"/>
                <w:szCs w:val="21"/>
              </w:rPr>
              <w:t>资格。</w:t>
            </w:r>
          </w:p>
        </w:tc>
      </w:tr>
      <w:tr w14:paraId="1D5A47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791" w:type="dxa"/>
            <w:vAlign w:val="center"/>
          </w:tcPr>
          <w:p w14:paraId="41EB5786">
            <w:pPr>
              <w:pStyle w:val="46"/>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0"/>
                <w:sz w:val="21"/>
                <w:szCs w:val="21"/>
                <w:lang w:val="en-US" w:eastAsia="zh-CN" w:bidi="ar-SA"/>
              </w:rPr>
            </w:pPr>
            <w:r>
              <w:rPr>
                <w:rFonts w:hint="eastAsia" w:hAnsi="宋体" w:eastAsia="宋体"/>
                <w:color w:val="auto"/>
                <w:sz w:val="21"/>
                <w:szCs w:val="21"/>
                <w:lang w:val="en-US" w:eastAsia="zh-CN"/>
              </w:rPr>
              <w:t>31</w:t>
            </w:r>
          </w:p>
        </w:tc>
        <w:tc>
          <w:tcPr>
            <w:tcW w:w="1916" w:type="dxa"/>
            <w:shd w:val="clear" w:color="auto" w:fill="auto"/>
            <w:vAlign w:val="center"/>
          </w:tcPr>
          <w:p w14:paraId="6BD6AC22">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招标代理服务费</w:t>
            </w:r>
          </w:p>
        </w:tc>
        <w:tc>
          <w:tcPr>
            <w:tcW w:w="6612" w:type="dxa"/>
            <w:shd w:val="clear" w:color="auto" w:fill="auto"/>
            <w:vAlign w:val="center"/>
          </w:tcPr>
          <w:p w14:paraId="76B208BE">
            <w:pPr>
              <w:keepNext w:val="0"/>
              <w:keepLines w:val="0"/>
              <w:pageBreakBefore w:val="0"/>
              <w:widowControl w:val="0"/>
              <w:kinsoku/>
              <w:wordWrap/>
              <w:overflowPunct/>
              <w:topLinePunct w:val="0"/>
              <w:bidi w:val="0"/>
              <w:spacing w:after="0" w:line="440" w:lineRule="exact"/>
              <w:ind w:firstLine="0" w:firstLineChars="0"/>
              <w:jc w:val="left"/>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中标人在领取中标通知书前，应按照豫招协《河南省招标代理服务收费指导意见》【2023】002号文规定，</w:t>
            </w:r>
            <w:r>
              <w:rPr>
                <w:rFonts w:hint="eastAsia" w:ascii="宋体" w:hAnsi="宋体" w:cs="宋体"/>
                <w:color w:val="auto"/>
                <w:highlight w:val="none"/>
              </w:rPr>
              <w:t>向招标代理人支付招标代理服务费</w:t>
            </w:r>
            <w:r>
              <w:rPr>
                <w:rFonts w:hint="eastAsia" w:ascii="宋体" w:hAnsi="宋体" w:eastAsia="宋体"/>
                <w:color w:val="auto"/>
                <w:sz w:val="21"/>
                <w:szCs w:val="21"/>
              </w:rPr>
              <w:t>。此项费用由</w:t>
            </w:r>
            <w:r>
              <w:rPr>
                <w:rFonts w:hint="eastAsia" w:ascii="宋体" w:hAnsi="宋体"/>
                <w:color w:val="auto"/>
                <w:sz w:val="21"/>
                <w:szCs w:val="21"/>
                <w:lang w:eastAsia="zh-CN"/>
              </w:rPr>
              <w:t>竞谈商</w:t>
            </w:r>
            <w:r>
              <w:rPr>
                <w:rFonts w:hint="eastAsia" w:ascii="宋体" w:hAnsi="宋体" w:eastAsia="宋体"/>
                <w:color w:val="auto"/>
                <w:sz w:val="21"/>
                <w:szCs w:val="21"/>
              </w:rPr>
              <w:t>综合考虑到投标报价中，不单独列项报价。</w:t>
            </w:r>
          </w:p>
        </w:tc>
      </w:tr>
      <w:tr w14:paraId="733B3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19" w:hRule="atLeast"/>
          <w:jc w:val="center"/>
        </w:trPr>
        <w:tc>
          <w:tcPr>
            <w:tcW w:w="791" w:type="dxa"/>
            <w:vAlign w:val="center"/>
          </w:tcPr>
          <w:p w14:paraId="674065B6">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32</w:t>
            </w:r>
          </w:p>
        </w:tc>
        <w:tc>
          <w:tcPr>
            <w:tcW w:w="1916" w:type="dxa"/>
            <w:shd w:val="clear" w:color="auto" w:fill="auto"/>
            <w:vAlign w:val="center"/>
          </w:tcPr>
          <w:p w14:paraId="2DC1649C">
            <w:pPr>
              <w:keepNext w:val="0"/>
              <w:keepLines w:val="0"/>
              <w:pageBreakBefore w:val="0"/>
              <w:widowControl w:val="0"/>
              <w:kinsoku/>
              <w:wordWrap/>
              <w:overflowPunct/>
              <w:topLinePunct w:val="0"/>
              <w:bidi w:val="0"/>
              <w:spacing w:after="0" w:line="440" w:lineRule="exact"/>
              <w:ind w:firstLine="0" w:firstLineChars="0"/>
              <w:jc w:val="center"/>
              <w:rPr>
                <w:rFonts w:hint="eastAsia" w:ascii="宋体" w:hAnsi="宋体" w:eastAsia="宋体" w:cs="Times New Roman"/>
                <w:color w:val="auto"/>
                <w:kern w:val="2"/>
                <w:sz w:val="21"/>
                <w:szCs w:val="21"/>
                <w:lang w:val="en-US" w:eastAsia="zh-CN" w:bidi="ar"/>
              </w:rPr>
            </w:pPr>
            <w:r>
              <w:rPr>
                <w:rFonts w:hint="eastAsia" w:ascii="宋体" w:hAnsi="宋体" w:eastAsia="宋体"/>
                <w:color w:val="auto"/>
                <w:sz w:val="21"/>
                <w:szCs w:val="21"/>
                <w:lang w:bidi="ar"/>
              </w:rPr>
              <w:t>开标程序</w:t>
            </w:r>
          </w:p>
        </w:tc>
        <w:tc>
          <w:tcPr>
            <w:tcW w:w="6612" w:type="dxa"/>
            <w:shd w:val="clear" w:color="auto" w:fill="auto"/>
            <w:vAlign w:val="center"/>
          </w:tcPr>
          <w:p w14:paraId="05F4855F">
            <w:pPr>
              <w:keepNext w:val="0"/>
              <w:keepLines w:val="0"/>
              <w:pageBreakBefore w:val="0"/>
              <w:widowControl w:val="0"/>
              <w:kinsoku/>
              <w:wordWrap/>
              <w:overflowPunct/>
              <w:topLinePunct w:val="0"/>
              <w:autoSpaceDE/>
              <w:autoSpaceDN/>
              <w:bidi w:val="0"/>
              <w:spacing w:after="0" w:line="440" w:lineRule="exact"/>
              <w:ind w:firstLine="0" w:firstLineChars="0"/>
              <w:textAlignment w:val="auto"/>
              <w:rPr>
                <w:rFonts w:hint="eastAsia" w:ascii="宋体" w:hAnsi="宋体" w:eastAsia="宋体"/>
                <w:color w:val="auto"/>
                <w:sz w:val="21"/>
                <w:szCs w:val="21"/>
              </w:rPr>
            </w:pPr>
            <w:r>
              <w:rPr>
                <w:rFonts w:hint="eastAsia" w:ascii="宋体" w:hAnsi="宋体" w:eastAsia="宋体"/>
                <w:color w:val="auto"/>
                <w:sz w:val="21"/>
                <w:szCs w:val="21"/>
              </w:rPr>
              <w:t>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14:paraId="3EBF9144">
            <w:pPr>
              <w:keepNext w:val="0"/>
              <w:keepLines w:val="0"/>
              <w:pageBreakBefore w:val="0"/>
              <w:widowControl w:val="0"/>
              <w:kinsoku/>
              <w:wordWrap/>
              <w:overflowPunct/>
              <w:topLinePunct w:val="0"/>
              <w:autoSpaceDE/>
              <w:autoSpaceDN/>
              <w:bidi w:val="0"/>
              <w:spacing w:after="0" w:line="440" w:lineRule="exact"/>
              <w:ind w:firstLine="0" w:firstLineChars="0"/>
              <w:textAlignment w:val="auto"/>
              <w:rPr>
                <w:rFonts w:hint="eastAsia" w:ascii="宋体" w:hAnsi="宋体" w:eastAsia="宋体"/>
                <w:color w:val="auto"/>
                <w:sz w:val="21"/>
                <w:szCs w:val="21"/>
              </w:rPr>
            </w:pPr>
            <w:r>
              <w:rPr>
                <w:rFonts w:hint="eastAsia" w:ascii="宋体" w:hAnsi="宋体" w:eastAsia="宋体"/>
                <w:color w:val="auto"/>
                <w:sz w:val="21"/>
                <w:szCs w:val="21"/>
              </w:rPr>
              <w:t>2、如出现投标人的电子投标文件无法解密的情况，投标人应及时联系</w:t>
            </w:r>
            <w:r>
              <w:rPr>
                <w:rFonts w:hint="eastAsia" w:ascii="宋体" w:hAnsi="宋体" w:eastAsia="宋体"/>
                <w:color w:val="auto"/>
                <w:sz w:val="21"/>
                <w:szCs w:val="21"/>
                <w:lang w:eastAsia="zh-CN"/>
              </w:rPr>
              <w:t>采购人</w:t>
            </w:r>
            <w:r>
              <w:rPr>
                <w:rFonts w:hint="eastAsia" w:ascii="宋体" w:hAnsi="宋体" w:eastAsia="宋体"/>
                <w:color w:val="auto"/>
                <w:sz w:val="21"/>
                <w:szCs w:val="21"/>
              </w:rPr>
              <w:t>（代理机构）进行说明。投标文件解密异常，按以下步骤进行处理：</w:t>
            </w:r>
          </w:p>
          <w:p w14:paraId="1E307756">
            <w:pPr>
              <w:keepNext w:val="0"/>
              <w:keepLines w:val="0"/>
              <w:pageBreakBefore w:val="0"/>
              <w:widowControl w:val="0"/>
              <w:kinsoku/>
              <w:wordWrap/>
              <w:overflowPunct/>
              <w:topLinePunct w:val="0"/>
              <w:autoSpaceDE/>
              <w:autoSpaceDN/>
              <w:bidi w:val="0"/>
              <w:spacing w:after="0" w:line="440" w:lineRule="exact"/>
              <w:ind w:firstLine="0" w:firstLineChars="0"/>
              <w:textAlignment w:val="auto"/>
              <w:rPr>
                <w:rFonts w:hint="eastAsia" w:ascii="宋体" w:hAnsi="宋体" w:eastAsia="宋体"/>
                <w:color w:val="auto"/>
                <w:sz w:val="21"/>
                <w:szCs w:val="21"/>
              </w:rPr>
            </w:pPr>
            <w:r>
              <w:rPr>
                <w:rFonts w:hint="eastAsia" w:ascii="宋体" w:hAnsi="宋体" w:eastAsia="宋体"/>
                <w:color w:val="auto"/>
                <w:sz w:val="21"/>
                <w:szCs w:val="21"/>
              </w:rPr>
              <w:t>（1）如果是投标文件自身问题导致投标文件无法解密的，该投标文件将不予接收、解密。</w:t>
            </w:r>
          </w:p>
          <w:p w14:paraId="575905A3">
            <w:pPr>
              <w:keepNext w:val="0"/>
              <w:keepLines w:val="0"/>
              <w:pageBreakBefore w:val="0"/>
              <w:widowControl w:val="0"/>
              <w:kinsoku/>
              <w:wordWrap/>
              <w:overflowPunct/>
              <w:topLinePunct w:val="0"/>
              <w:autoSpaceDE/>
              <w:autoSpaceDN/>
              <w:bidi w:val="0"/>
              <w:spacing w:after="0" w:line="440" w:lineRule="exact"/>
              <w:ind w:firstLine="0" w:firstLineChars="0"/>
              <w:textAlignment w:val="auto"/>
              <w:rPr>
                <w:rFonts w:hint="eastAsia" w:ascii="宋体" w:hAnsi="宋体" w:eastAsia="宋体"/>
                <w:color w:val="auto"/>
                <w:sz w:val="21"/>
                <w:szCs w:val="21"/>
              </w:rPr>
            </w:pPr>
            <w:r>
              <w:rPr>
                <w:rFonts w:hint="eastAsia" w:ascii="宋体" w:hAnsi="宋体" w:eastAsia="宋体"/>
                <w:color w:val="auto"/>
                <w:sz w:val="21"/>
                <w:szCs w:val="21"/>
              </w:rPr>
              <w:t>（2）如果是电子化交易系统问题造成投标文件无法解密的，将由技术人员进行排查处理。如短时间内问题无法解决的，将由</w:t>
            </w:r>
            <w:r>
              <w:rPr>
                <w:rFonts w:hint="eastAsia" w:ascii="宋体" w:hAnsi="宋体" w:eastAsia="宋体"/>
                <w:color w:val="auto"/>
                <w:sz w:val="21"/>
                <w:szCs w:val="21"/>
                <w:lang w:eastAsia="zh-CN"/>
              </w:rPr>
              <w:t>采购人</w:t>
            </w:r>
            <w:r>
              <w:rPr>
                <w:rFonts w:hint="eastAsia" w:ascii="宋体" w:hAnsi="宋体" w:eastAsia="宋体"/>
                <w:color w:val="auto"/>
                <w:sz w:val="21"/>
                <w:szCs w:val="21"/>
              </w:rPr>
              <w:t>（代理机构）联系监督部门申请暂停开标，待问题解决后继续开标。</w:t>
            </w:r>
          </w:p>
          <w:p w14:paraId="4E07BCFA">
            <w:pPr>
              <w:keepNext w:val="0"/>
              <w:keepLines w:val="0"/>
              <w:pageBreakBefore w:val="0"/>
              <w:widowControl w:val="0"/>
              <w:kinsoku/>
              <w:wordWrap/>
              <w:overflowPunct/>
              <w:topLinePunct w:val="0"/>
              <w:autoSpaceDE/>
              <w:autoSpaceDN/>
              <w:bidi w:val="0"/>
              <w:spacing w:after="0" w:line="440" w:lineRule="exact"/>
              <w:ind w:firstLine="0" w:firstLineChars="0"/>
              <w:textAlignment w:val="auto"/>
              <w:rPr>
                <w:rFonts w:hint="eastAsia" w:ascii="宋体" w:hAnsi="宋体" w:eastAsia="宋体"/>
                <w:color w:val="auto"/>
                <w:sz w:val="21"/>
                <w:szCs w:val="21"/>
              </w:rPr>
            </w:pPr>
            <w:r>
              <w:rPr>
                <w:rFonts w:hint="eastAsia" w:ascii="宋体" w:hAnsi="宋体" w:eastAsia="宋体"/>
                <w:color w:val="auto"/>
                <w:sz w:val="21"/>
                <w:szCs w:val="21"/>
              </w:rPr>
              <w:t>3、所有投标文件解密完成后，由</w:t>
            </w:r>
            <w:r>
              <w:rPr>
                <w:rFonts w:hint="eastAsia" w:ascii="宋体" w:hAnsi="宋体" w:eastAsia="宋体"/>
                <w:color w:val="auto"/>
                <w:sz w:val="21"/>
                <w:szCs w:val="21"/>
                <w:lang w:eastAsia="zh-CN"/>
              </w:rPr>
              <w:t>采购人</w:t>
            </w:r>
            <w:r>
              <w:rPr>
                <w:rFonts w:hint="eastAsia" w:ascii="宋体" w:hAnsi="宋体" w:eastAsia="宋体"/>
                <w:color w:val="auto"/>
                <w:sz w:val="21"/>
                <w:szCs w:val="21"/>
              </w:rPr>
              <w:t>（代理机构）操作，对开标结果进行公示。</w:t>
            </w:r>
          </w:p>
          <w:p w14:paraId="043EDFF0">
            <w:pPr>
              <w:keepNext w:val="0"/>
              <w:keepLines w:val="0"/>
              <w:pageBreakBefore w:val="0"/>
              <w:widowControl w:val="0"/>
              <w:kinsoku/>
              <w:wordWrap/>
              <w:overflowPunct/>
              <w:topLinePunct w:val="0"/>
              <w:autoSpaceDE/>
              <w:autoSpaceDN/>
              <w:bidi w:val="0"/>
              <w:spacing w:after="0" w:line="440" w:lineRule="exact"/>
              <w:ind w:firstLine="0" w:firstLineChars="0"/>
              <w:textAlignment w:val="auto"/>
              <w:rPr>
                <w:rFonts w:hint="eastAsia" w:ascii="宋体" w:hAnsi="宋体" w:eastAsia="宋体"/>
                <w:color w:val="auto"/>
                <w:sz w:val="21"/>
                <w:szCs w:val="21"/>
              </w:rPr>
            </w:pPr>
            <w:r>
              <w:rPr>
                <w:rFonts w:hint="eastAsia" w:ascii="宋体" w:hAnsi="宋体" w:eastAsia="宋体"/>
                <w:color w:val="auto"/>
                <w:sz w:val="21"/>
                <w:szCs w:val="21"/>
              </w:rPr>
              <w:t>4、投标人应保证在开标期间电话、电脑、网络等能够正常使用，投标人因停电、电脑病毒、网络堵塞等原因，未在规定的解密时间内对投标文件进行解密的，其投标文件不予接收。</w:t>
            </w:r>
          </w:p>
          <w:p w14:paraId="17CAB916">
            <w:pPr>
              <w:keepNext w:val="0"/>
              <w:keepLines w:val="0"/>
              <w:pageBreakBefore w:val="0"/>
              <w:widowControl w:val="0"/>
              <w:kinsoku/>
              <w:wordWrap/>
              <w:overflowPunct/>
              <w:topLinePunct w:val="0"/>
              <w:autoSpaceDE/>
              <w:autoSpaceDN/>
              <w:bidi w:val="0"/>
              <w:spacing w:after="0" w:line="440" w:lineRule="exact"/>
              <w:ind w:firstLine="0" w:firstLineChars="0"/>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olor w:val="auto"/>
                <w:sz w:val="21"/>
                <w:szCs w:val="21"/>
              </w:rPr>
              <w:t>5、解密完成后，投标人可登录到交易系统查看自己的投标报价。如对自己的报价内容有异议的，应在报价内容显示后20分钟内联系</w:t>
            </w:r>
            <w:r>
              <w:rPr>
                <w:rFonts w:hint="eastAsia" w:ascii="宋体" w:hAnsi="宋体" w:eastAsia="宋体"/>
                <w:color w:val="auto"/>
                <w:sz w:val="21"/>
                <w:szCs w:val="21"/>
                <w:lang w:eastAsia="zh-CN"/>
              </w:rPr>
              <w:t>采购人</w:t>
            </w:r>
            <w:r>
              <w:rPr>
                <w:rFonts w:hint="eastAsia" w:ascii="宋体" w:hAnsi="宋体" w:eastAsia="宋体"/>
                <w:color w:val="auto"/>
                <w:sz w:val="21"/>
                <w:szCs w:val="21"/>
              </w:rPr>
              <w:t>（代理机构）进行质疑，投标人未在规定时间内提出质疑的，视为认可开标结果显示内容。</w:t>
            </w:r>
          </w:p>
        </w:tc>
      </w:tr>
      <w:tr w14:paraId="602706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9" w:hRule="atLeast"/>
          <w:jc w:val="center"/>
        </w:trPr>
        <w:tc>
          <w:tcPr>
            <w:tcW w:w="791" w:type="dxa"/>
            <w:vAlign w:val="center"/>
          </w:tcPr>
          <w:p w14:paraId="2A39BD0C">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33</w:t>
            </w:r>
          </w:p>
        </w:tc>
        <w:tc>
          <w:tcPr>
            <w:tcW w:w="1916" w:type="dxa"/>
            <w:vAlign w:val="center"/>
          </w:tcPr>
          <w:p w14:paraId="7511BC09">
            <w:pPr>
              <w:keepNext w:val="0"/>
              <w:keepLines w:val="0"/>
              <w:pageBreakBefore w:val="0"/>
              <w:widowControl w:val="0"/>
              <w:kinsoku/>
              <w:wordWrap/>
              <w:overflowPunct/>
              <w:topLinePunct w:val="0"/>
              <w:bidi w:val="0"/>
              <w:spacing w:after="0" w:line="440" w:lineRule="exact"/>
              <w:ind w:firstLine="0" w:firstLineChars="0"/>
              <w:jc w:val="center"/>
              <w:rPr>
                <w:rFonts w:hint="eastAsia" w:asciiTheme="minorEastAsia" w:hAnsiTheme="minorEastAsia" w:eastAsiaTheme="minorEastAsia" w:cstheme="minorEastAsia"/>
                <w:color w:val="auto"/>
                <w:szCs w:val="21"/>
                <w:highlight w:val="none"/>
              </w:rPr>
            </w:pPr>
            <w:r>
              <w:rPr>
                <w:rFonts w:hint="eastAsia" w:ascii="宋体" w:hAnsi="宋体" w:cs="宋体"/>
                <w:b/>
                <w:color w:val="auto"/>
                <w:highlight w:val="none"/>
              </w:rPr>
              <w:t>政采领域优化营商环境相关政策</w:t>
            </w:r>
          </w:p>
        </w:tc>
        <w:tc>
          <w:tcPr>
            <w:tcW w:w="6612" w:type="dxa"/>
            <w:vAlign w:val="center"/>
          </w:tcPr>
          <w:p w14:paraId="2FC6B0B4">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一、落实四个“一日办”精神：</w:t>
            </w:r>
          </w:p>
          <w:p w14:paraId="68E5EFDE">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按照《平顶山市财政局关于压减政府采购各环节时限 进一步优化政府采购营商环境的通知》（平财购〔2021〕34号）通知，落实四个“一日办”精神：</w:t>
            </w:r>
          </w:p>
          <w:p w14:paraId="681C5676">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（1）在评审结束后1日内确定采购结果，同时对中标单位发出中标或成交通知书，并在网上进行公告；</w:t>
            </w:r>
          </w:p>
          <w:p w14:paraId="3054F91A">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（2）中标或成交通知书发出后，1日内与中标或成交供应商签订合同，合同签订当日完成合同备案工作；</w:t>
            </w:r>
          </w:p>
          <w:p w14:paraId="5EDAD96C">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（3）政府采购项目供应商履约完成后，采购人应在供应商提出验收申请1个工作日内完成验收，同时在平顶山市政府采购网发布验收结果公告；</w:t>
            </w:r>
          </w:p>
          <w:p w14:paraId="28A47A7B">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（4）验收合格具备付款条件的项目，采购人要在1个工作日内按照合同约定支付项目资金。</w:t>
            </w:r>
          </w:p>
          <w:p w14:paraId="21642CF7">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注：签合同需法定代表人携带本人身份证（如为授权委托人，则携带法定代表人授权委托书及本人身份证）、单位公章、合同纸质版本一式六份及合同电子版。</w:t>
            </w:r>
          </w:p>
          <w:p w14:paraId="65271C04">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二、维护企业在政府采购活动中的知情权</w:t>
            </w:r>
          </w:p>
          <w:p w14:paraId="5C9A08C0">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p w14:paraId="48C09E3E">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三、提供中小企业声明函格式</w:t>
            </w:r>
          </w:p>
          <w:p w14:paraId="0438FC1F">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在采购文件中，采购代理机构应按照财政部、工信部印发的《政府采购促进中小企业发展管理办法》的通知精神（财库〔2020〕46号）提供中小企业声明函格式。</w:t>
            </w:r>
          </w:p>
          <w:p w14:paraId="5A180423">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根据《政府采购促进中小企业发展管理办法》（财库〔2020〕46号）第四条：在政府采购活动中，供应商提供的货物、工程或者服务符合下列情形的，享受本办法规定的中小企业扶持政策：</w:t>
            </w:r>
          </w:p>
          <w:p w14:paraId="568CC0E7">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（一）在货物采购项目中，货物由中小企业制造，即货物由中小企业生产且使用该中小企业商号或者注册商标；</w:t>
            </w:r>
          </w:p>
          <w:p w14:paraId="7AF22D8F">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（二）在工程采购项目中，工程由中小企业承建，即工程施工单位为中小企业；</w:t>
            </w:r>
          </w:p>
          <w:p w14:paraId="5101883F">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（三）在服务采购项目中，服务由中小企业承接，即提供服务的人员为中小企业依照《中华人民共和国劳动合同法》订立劳动合同的从业人员。</w:t>
            </w:r>
          </w:p>
          <w:p w14:paraId="6F9FF1AC">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在货物采购项目中，供应商提供的货物既有中小企业制造货物，也有大型企业制造货物的，不享受本办法规定的中小企业扶持政策。</w:t>
            </w:r>
          </w:p>
          <w:p w14:paraId="463F6398">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以联合体形式参加政府采购活动，联合体各方均为中小企业的，联合体视同中小企业。其中，联合体各方均为小微企业的，联合体视同小微企业。</w:t>
            </w:r>
          </w:p>
          <w:p w14:paraId="2FE4A389">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四、推广政府采购合同融资</w:t>
            </w:r>
          </w:p>
          <w:p w14:paraId="27A15C7B">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要求采购人和代理机构将“政府采购合同融资告知函”写入竞争性磋商文件，鼓励中标供应商凭借采购合同申请贷款，助力解决中小企业融资难、融资贵的问题。</w:t>
            </w:r>
          </w:p>
          <w:p w14:paraId="735D671D">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五、落实预留采购份额</w:t>
            </w:r>
          </w:p>
          <w:p w14:paraId="3F904F8E">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14:paraId="462877A7">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六、落实价格评审优惠政策</w:t>
            </w:r>
          </w:p>
          <w:p w14:paraId="011A30C2">
            <w:pPr>
              <w:pStyle w:val="48"/>
              <w:keepNext w:val="0"/>
              <w:keepLines w:val="0"/>
              <w:pageBreakBefore w:val="0"/>
              <w:widowControl w:val="0"/>
              <w:kinsoku/>
              <w:wordWrap/>
              <w:overflowPunct/>
              <w:topLinePunct w:val="0"/>
              <w:bidi w:val="0"/>
              <w:spacing w:after="0" w:line="440" w:lineRule="exact"/>
              <w:ind w:firstLine="0" w:firstLineChars="0"/>
              <w:jc w:val="left"/>
              <w:rPr>
                <w:rStyle w:val="44"/>
                <w:rFonts w:hint="eastAsia" w:ascii="宋体" w:hAnsi="宋体" w:cs="宋体"/>
                <w:color w:val="auto"/>
                <w:highlight w:val="none"/>
              </w:rPr>
            </w:pPr>
            <w:r>
              <w:rPr>
                <w:rStyle w:val="44"/>
                <w:rFonts w:hint="eastAsia" w:ascii="宋体" w:hAnsi="宋体" w:cs="宋体"/>
                <w:color w:val="auto"/>
                <w:highlight w:val="none"/>
              </w:rPr>
              <w:t>对于未预留份额专门面向中小企业采购的采购项目，以及预留份额项目中的非预留部分采购包，采购人、采购代理机构应当对符合《政府采购促进中小企业发展管理办法》（财库〔2020〕46号）规定的小微企业报价给予6%—10%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2%—3%（工程项目为1%—2%）的价格扣除优惠，用扣除后的价格参加评审。按照平顶山市财政局出台的《平顶山市财政局关于进一步加大政府采购支持中小企业力度的通知》（平财购〔2022〕8号）的规定：采购人在货物和服务采购项目中， 对于经主管预算单位统筹后未预留份额专门面向中小企业的采购项目，以及预留份额项目中的非预留部分采购包，给予小微企业10%—20%的价格扣除优惠。大中型企业与小微企业组成联合体或者大中型企业向小微企业分包的（联合协议或者分包意向协议约定小微企业的合同份额应占合同总金额的30%以上），给予联合体或大中型企业4%—6%的价格扣除优惠，用扣除后的价格参加评审。鼓励采购人结合采购标的相关行业平均利润率、市场竞争状况等从高选择价格扣除比例和评审优惠幅度，支持中小企业发展。上述政策应当在评审办法中注明确定值。</w:t>
            </w:r>
          </w:p>
          <w:p w14:paraId="29DC299B">
            <w:pPr>
              <w:pageBreakBefore w:val="0"/>
              <w:widowControl w:val="0"/>
              <w:tabs>
                <w:tab w:val="left" w:pos="540"/>
              </w:tabs>
              <w:kinsoku/>
              <w:wordWrap/>
              <w:overflowPunct/>
              <w:topLinePunct w:val="0"/>
              <w:bidi w:val="0"/>
              <w:snapToGrid/>
              <w:spacing w:after="0" w:line="430" w:lineRule="exact"/>
              <w:jc w:val="left"/>
              <w:textAlignment w:val="auto"/>
              <w:rPr>
                <w:rStyle w:val="44"/>
                <w:rFonts w:hint="eastAsia" w:ascii="宋体" w:hAnsi="宋体" w:eastAsia="宋体" w:cs="宋体"/>
                <w:b/>
                <w:bCs/>
                <w:color w:val="auto"/>
                <w:kern w:val="2"/>
                <w:sz w:val="21"/>
                <w:szCs w:val="24"/>
                <w:highlight w:val="none"/>
                <w:lang w:val="en-US" w:eastAsia="zh-CN" w:bidi="ar-SA"/>
              </w:rPr>
            </w:pPr>
            <w:r>
              <w:rPr>
                <w:rStyle w:val="44"/>
                <w:rFonts w:hint="eastAsia" w:ascii="宋体" w:hAnsi="宋体" w:eastAsia="宋体" w:cs="宋体"/>
                <w:b/>
                <w:bCs/>
                <w:color w:val="auto"/>
                <w:kern w:val="2"/>
                <w:sz w:val="21"/>
                <w:szCs w:val="24"/>
                <w:highlight w:val="none"/>
                <w:lang w:val="en-US" w:eastAsia="zh-CN" w:bidi="ar-SA"/>
              </w:rPr>
              <w:t>注：</w:t>
            </w:r>
            <w:r>
              <w:rPr>
                <w:rStyle w:val="44"/>
                <w:rFonts w:hint="eastAsia" w:ascii="宋体" w:hAnsi="宋体" w:cs="宋体"/>
                <w:b/>
                <w:bCs/>
                <w:color w:val="auto"/>
                <w:kern w:val="2"/>
                <w:sz w:val="21"/>
                <w:szCs w:val="24"/>
                <w:highlight w:val="none"/>
                <w:lang w:val="en-US" w:eastAsia="zh-CN" w:bidi="ar-SA"/>
              </w:rPr>
              <w:t>1</w:t>
            </w:r>
            <w:r>
              <w:rPr>
                <w:rStyle w:val="44"/>
                <w:rFonts w:hint="eastAsia" w:ascii="宋体" w:hAnsi="宋体" w:eastAsia="宋体" w:cs="宋体"/>
                <w:b/>
                <w:bCs/>
                <w:color w:val="auto"/>
                <w:kern w:val="2"/>
                <w:sz w:val="21"/>
                <w:szCs w:val="24"/>
                <w:highlight w:val="none"/>
                <w:lang w:val="en-US" w:eastAsia="zh-CN" w:bidi="ar-SA"/>
              </w:rPr>
              <w:t>.根据政府采购相关政策，给予小型或微型企业产品（所有采购标的均为小微企业制造的）价格20%的扣除，用扣除后的价格参与评审，参与评审的小型（微型）企业产品投标报价=小型（微型）企业产品报价×（1-20%）</w:t>
            </w:r>
          </w:p>
          <w:p w14:paraId="09BD1832">
            <w:pPr>
              <w:pageBreakBefore w:val="0"/>
              <w:widowControl w:val="0"/>
              <w:tabs>
                <w:tab w:val="left" w:pos="540"/>
              </w:tabs>
              <w:kinsoku/>
              <w:wordWrap/>
              <w:overflowPunct/>
              <w:topLinePunct w:val="0"/>
              <w:bidi w:val="0"/>
              <w:snapToGrid/>
              <w:spacing w:after="0" w:line="430" w:lineRule="exact"/>
              <w:jc w:val="left"/>
              <w:textAlignment w:val="auto"/>
              <w:rPr>
                <w:rStyle w:val="44"/>
                <w:rFonts w:hint="eastAsia" w:ascii="宋体" w:hAnsi="宋体" w:eastAsia="宋体" w:cs="宋体"/>
                <w:b/>
                <w:bCs/>
                <w:color w:val="auto"/>
                <w:kern w:val="2"/>
                <w:sz w:val="21"/>
                <w:szCs w:val="24"/>
                <w:highlight w:val="none"/>
                <w:lang w:val="en-US" w:eastAsia="zh-CN" w:bidi="ar-SA"/>
              </w:rPr>
            </w:pPr>
            <w:r>
              <w:rPr>
                <w:rStyle w:val="44"/>
                <w:rFonts w:hint="eastAsia" w:ascii="宋体" w:hAnsi="宋体" w:cs="宋体"/>
                <w:b/>
                <w:bCs/>
                <w:color w:val="auto"/>
                <w:kern w:val="2"/>
                <w:sz w:val="21"/>
                <w:szCs w:val="24"/>
                <w:highlight w:val="none"/>
                <w:lang w:val="en-US" w:eastAsia="zh-CN" w:bidi="ar-SA"/>
              </w:rPr>
              <w:t>2</w:t>
            </w:r>
            <w:r>
              <w:rPr>
                <w:rStyle w:val="44"/>
                <w:rFonts w:hint="eastAsia" w:ascii="宋体" w:hAnsi="宋体" w:eastAsia="宋体" w:cs="宋体"/>
                <w:b/>
                <w:bCs/>
                <w:color w:val="auto"/>
                <w:kern w:val="2"/>
                <w:sz w:val="21"/>
                <w:szCs w:val="24"/>
                <w:highlight w:val="none"/>
                <w:lang w:val="en-US" w:eastAsia="zh-CN" w:bidi="ar-SA"/>
              </w:rPr>
              <w:t>.残疾人福利性单位视同小型或微型企业，价格给予20%的扣除，用扣除后的价格参与评审。</w:t>
            </w:r>
          </w:p>
          <w:p w14:paraId="430C991B">
            <w:pPr>
              <w:pageBreakBefore w:val="0"/>
              <w:widowControl w:val="0"/>
              <w:tabs>
                <w:tab w:val="left" w:pos="540"/>
              </w:tabs>
              <w:kinsoku/>
              <w:wordWrap/>
              <w:overflowPunct/>
              <w:topLinePunct w:val="0"/>
              <w:bidi w:val="0"/>
              <w:snapToGrid/>
              <w:spacing w:after="0" w:line="430" w:lineRule="exact"/>
              <w:jc w:val="left"/>
              <w:textAlignment w:val="auto"/>
              <w:rPr>
                <w:rStyle w:val="44"/>
                <w:rFonts w:hint="eastAsia" w:ascii="宋体" w:hAnsi="宋体" w:eastAsia="宋体" w:cs="宋体"/>
                <w:b/>
                <w:bCs/>
                <w:color w:val="auto"/>
                <w:kern w:val="2"/>
                <w:sz w:val="21"/>
                <w:szCs w:val="24"/>
                <w:highlight w:val="none"/>
                <w:lang w:val="en-US" w:eastAsia="zh-CN" w:bidi="ar-SA"/>
              </w:rPr>
            </w:pPr>
            <w:r>
              <w:rPr>
                <w:rStyle w:val="44"/>
                <w:rFonts w:hint="eastAsia" w:ascii="宋体" w:hAnsi="宋体" w:cs="宋体"/>
                <w:b/>
                <w:bCs/>
                <w:color w:val="auto"/>
                <w:kern w:val="2"/>
                <w:sz w:val="21"/>
                <w:szCs w:val="24"/>
                <w:highlight w:val="none"/>
                <w:lang w:val="en-US" w:eastAsia="zh-CN" w:bidi="ar-SA"/>
              </w:rPr>
              <w:t>3</w:t>
            </w:r>
            <w:r>
              <w:rPr>
                <w:rStyle w:val="44"/>
                <w:rFonts w:hint="eastAsia" w:ascii="宋体" w:hAnsi="宋体" w:eastAsia="宋体" w:cs="宋体"/>
                <w:b/>
                <w:bCs/>
                <w:color w:val="auto"/>
                <w:kern w:val="2"/>
                <w:sz w:val="21"/>
                <w:szCs w:val="24"/>
                <w:highlight w:val="none"/>
                <w:lang w:val="en-US" w:eastAsia="zh-CN" w:bidi="ar-SA"/>
              </w:rPr>
              <w:t>.在政府采购活动中，监狱企业视同小型、微型企业，价格给予20%的扣除，用扣除后的价格参与评审。</w:t>
            </w:r>
          </w:p>
          <w:p w14:paraId="00A850ED">
            <w:pPr>
              <w:pageBreakBefore w:val="0"/>
              <w:widowControl w:val="0"/>
              <w:tabs>
                <w:tab w:val="left" w:pos="540"/>
              </w:tabs>
              <w:kinsoku/>
              <w:wordWrap/>
              <w:overflowPunct/>
              <w:topLinePunct w:val="0"/>
              <w:bidi w:val="0"/>
              <w:snapToGrid/>
              <w:spacing w:after="0" w:line="430" w:lineRule="exact"/>
              <w:jc w:val="left"/>
              <w:textAlignment w:val="auto"/>
              <w:rPr>
                <w:rStyle w:val="44"/>
                <w:rFonts w:hint="eastAsia" w:ascii="宋体" w:hAnsi="宋体" w:eastAsia="宋体" w:cs="宋体"/>
                <w:b/>
                <w:bCs/>
                <w:color w:val="auto"/>
                <w:kern w:val="2"/>
                <w:sz w:val="21"/>
                <w:szCs w:val="24"/>
                <w:highlight w:val="none"/>
                <w:lang w:val="en-US" w:eastAsia="zh-CN" w:bidi="ar-SA"/>
              </w:rPr>
            </w:pPr>
            <w:r>
              <w:rPr>
                <w:rStyle w:val="44"/>
                <w:rFonts w:hint="eastAsia" w:ascii="宋体" w:hAnsi="宋体" w:cs="宋体"/>
                <w:b/>
                <w:bCs/>
                <w:color w:val="auto"/>
                <w:kern w:val="2"/>
                <w:sz w:val="21"/>
                <w:szCs w:val="24"/>
                <w:highlight w:val="none"/>
                <w:lang w:val="en-US" w:eastAsia="zh-CN" w:bidi="ar-SA"/>
              </w:rPr>
              <w:t>4</w:t>
            </w:r>
            <w:r>
              <w:rPr>
                <w:rStyle w:val="44"/>
                <w:rFonts w:hint="eastAsia" w:ascii="宋体" w:hAnsi="宋体" w:eastAsia="宋体" w:cs="宋体"/>
                <w:b/>
                <w:bCs/>
                <w:color w:val="auto"/>
                <w:kern w:val="2"/>
                <w:sz w:val="21"/>
                <w:szCs w:val="24"/>
                <w:highlight w:val="none"/>
                <w:lang w:val="en-US" w:eastAsia="zh-CN" w:bidi="ar-SA"/>
              </w:rPr>
              <w:t>.投标人采用本国产品价格给予20% 的扣除，用扣除后的价格参与评审。</w:t>
            </w:r>
          </w:p>
          <w:p w14:paraId="460B4CEE">
            <w:pPr>
              <w:pageBreakBefore w:val="0"/>
              <w:widowControl w:val="0"/>
              <w:tabs>
                <w:tab w:val="left" w:pos="540"/>
              </w:tabs>
              <w:kinsoku/>
              <w:wordWrap/>
              <w:overflowPunct/>
              <w:topLinePunct w:val="0"/>
              <w:bidi w:val="0"/>
              <w:snapToGrid/>
              <w:spacing w:after="0" w:line="430" w:lineRule="exact"/>
              <w:jc w:val="left"/>
              <w:textAlignment w:val="auto"/>
              <w:rPr>
                <w:rStyle w:val="44"/>
                <w:rFonts w:hint="eastAsia" w:ascii="宋体" w:hAnsi="宋体" w:eastAsia="宋体" w:cs="宋体"/>
                <w:b/>
                <w:bCs/>
                <w:color w:val="auto"/>
                <w:kern w:val="2"/>
                <w:sz w:val="21"/>
                <w:szCs w:val="24"/>
                <w:highlight w:val="none"/>
                <w:lang w:val="en-US" w:eastAsia="zh-CN" w:bidi="ar-SA"/>
              </w:rPr>
            </w:pPr>
            <w:r>
              <w:rPr>
                <w:rStyle w:val="44"/>
                <w:rFonts w:hint="eastAsia" w:ascii="宋体" w:hAnsi="宋体" w:eastAsia="宋体" w:cs="宋体"/>
                <w:b/>
                <w:bCs/>
                <w:color w:val="auto"/>
                <w:kern w:val="2"/>
                <w:sz w:val="21"/>
                <w:szCs w:val="24"/>
                <w:highlight w:val="none"/>
                <w:lang w:val="en-US" w:eastAsia="zh-CN" w:bidi="ar-SA"/>
              </w:rPr>
              <w:t>注：（1）若投标人所有采购标的均为小微企业制造的，须自行提供中小企业声明函（见投标文件格式部分），并对其真实性负责；</w:t>
            </w:r>
          </w:p>
          <w:p w14:paraId="60365B83">
            <w:pPr>
              <w:pageBreakBefore w:val="0"/>
              <w:widowControl w:val="0"/>
              <w:tabs>
                <w:tab w:val="left" w:pos="540"/>
              </w:tabs>
              <w:kinsoku/>
              <w:wordWrap/>
              <w:overflowPunct/>
              <w:topLinePunct w:val="0"/>
              <w:bidi w:val="0"/>
              <w:snapToGrid/>
              <w:spacing w:after="0" w:line="430" w:lineRule="exact"/>
              <w:jc w:val="left"/>
              <w:textAlignment w:val="auto"/>
              <w:rPr>
                <w:rStyle w:val="44"/>
                <w:rFonts w:hint="eastAsia" w:ascii="宋体" w:hAnsi="宋体" w:eastAsia="宋体" w:cs="宋体"/>
                <w:b/>
                <w:bCs/>
                <w:color w:val="auto"/>
                <w:kern w:val="2"/>
                <w:sz w:val="21"/>
                <w:szCs w:val="24"/>
                <w:highlight w:val="none"/>
                <w:lang w:val="en-US" w:eastAsia="zh-CN" w:bidi="ar-SA"/>
              </w:rPr>
            </w:pPr>
            <w:r>
              <w:rPr>
                <w:rStyle w:val="44"/>
                <w:rFonts w:hint="eastAsia" w:ascii="宋体" w:hAnsi="宋体" w:eastAsia="宋体" w:cs="宋体"/>
                <w:b/>
                <w:bCs/>
                <w:color w:val="auto"/>
                <w:kern w:val="2"/>
                <w:sz w:val="21"/>
                <w:szCs w:val="24"/>
                <w:highlight w:val="none"/>
                <w:lang w:val="en-US" w:eastAsia="zh-CN" w:bidi="ar-SA"/>
              </w:rPr>
              <w:t>（2）投标人若为残疾人福利性单位，须按规定提供《残疾人福利性单位声明函》（见投标文件格式部分），并对其真实性负责；</w:t>
            </w:r>
          </w:p>
          <w:p w14:paraId="47C30E2A">
            <w:pPr>
              <w:pageBreakBefore w:val="0"/>
              <w:widowControl w:val="0"/>
              <w:tabs>
                <w:tab w:val="left" w:pos="540"/>
              </w:tabs>
              <w:kinsoku/>
              <w:wordWrap/>
              <w:overflowPunct/>
              <w:topLinePunct w:val="0"/>
              <w:bidi w:val="0"/>
              <w:snapToGrid/>
              <w:spacing w:after="0" w:line="430" w:lineRule="exact"/>
              <w:jc w:val="left"/>
              <w:textAlignment w:val="auto"/>
              <w:rPr>
                <w:rStyle w:val="44"/>
                <w:rFonts w:hint="eastAsia" w:ascii="宋体" w:hAnsi="宋体" w:eastAsia="宋体" w:cs="宋体"/>
                <w:b/>
                <w:bCs/>
                <w:color w:val="auto"/>
                <w:kern w:val="2"/>
                <w:sz w:val="21"/>
                <w:szCs w:val="24"/>
                <w:highlight w:val="none"/>
                <w:lang w:val="en-US" w:eastAsia="zh-CN" w:bidi="ar-SA"/>
              </w:rPr>
            </w:pPr>
            <w:r>
              <w:rPr>
                <w:rStyle w:val="44"/>
                <w:rFonts w:hint="eastAsia" w:ascii="宋体" w:hAnsi="宋体" w:eastAsia="宋体" w:cs="宋体"/>
                <w:b/>
                <w:bCs/>
                <w:color w:val="auto"/>
                <w:kern w:val="2"/>
                <w:sz w:val="21"/>
                <w:szCs w:val="24"/>
                <w:highlight w:val="none"/>
                <w:lang w:val="en-US" w:eastAsia="zh-CN" w:bidi="ar-SA"/>
              </w:rPr>
              <w:t>（3）投标人若为监狱企业参加政府采购活动，应当提供由省级以上监狱管理局、戒毒管理局(含新疆生产建设兵团)出具的属于监狱企业的证明文件。</w:t>
            </w:r>
          </w:p>
          <w:p w14:paraId="0FC49156">
            <w:pPr>
              <w:pageBreakBefore w:val="0"/>
              <w:widowControl w:val="0"/>
              <w:tabs>
                <w:tab w:val="left" w:pos="540"/>
              </w:tabs>
              <w:kinsoku/>
              <w:wordWrap/>
              <w:overflowPunct/>
              <w:topLinePunct w:val="0"/>
              <w:bidi w:val="0"/>
              <w:snapToGrid/>
              <w:spacing w:after="0" w:line="430" w:lineRule="exact"/>
              <w:jc w:val="left"/>
              <w:textAlignment w:val="auto"/>
              <w:rPr>
                <w:rStyle w:val="44"/>
                <w:rFonts w:hint="eastAsia" w:ascii="宋体" w:hAnsi="宋体" w:eastAsia="宋体" w:cs="宋体"/>
                <w:b/>
                <w:bCs/>
                <w:color w:val="auto"/>
                <w:kern w:val="2"/>
                <w:sz w:val="21"/>
                <w:szCs w:val="24"/>
                <w:highlight w:val="none"/>
                <w:lang w:val="en-US" w:eastAsia="zh-CN" w:bidi="ar-SA"/>
              </w:rPr>
            </w:pPr>
            <w:r>
              <w:rPr>
                <w:rStyle w:val="44"/>
                <w:rFonts w:hint="eastAsia" w:ascii="宋体" w:hAnsi="宋体" w:eastAsia="宋体" w:cs="宋体"/>
                <w:b/>
                <w:bCs/>
                <w:color w:val="auto"/>
                <w:kern w:val="2"/>
                <w:sz w:val="21"/>
                <w:szCs w:val="24"/>
                <w:highlight w:val="none"/>
                <w:lang w:val="en-US" w:eastAsia="zh-CN" w:bidi="ar-SA"/>
              </w:rPr>
              <w:t>（4）投标人为小型或微型企业的，同时又为残疾人福利性单位或监狱企业的，不重复享受政策。</w:t>
            </w:r>
          </w:p>
          <w:p w14:paraId="3B4966D5">
            <w:pPr>
              <w:pageBreakBefore w:val="0"/>
              <w:widowControl w:val="0"/>
              <w:tabs>
                <w:tab w:val="left" w:pos="540"/>
              </w:tabs>
              <w:kinsoku/>
              <w:wordWrap/>
              <w:overflowPunct/>
              <w:topLinePunct w:val="0"/>
              <w:bidi w:val="0"/>
              <w:snapToGrid/>
              <w:spacing w:after="0" w:line="430" w:lineRule="exact"/>
              <w:jc w:val="left"/>
              <w:textAlignment w:val="auto"/>
              <w:rPr>
                <w:rStyle w:val="44"/>
                <w:rFonts w:hint="eastAsia" w:ascii="宋体" w:hAnsi="宋体" w:eastAsia="宋体" w:cs="宋体"/>
                <w:b/>
                <w:bCs/>
                <w:color w:val="auto"/>
                <w:kern w:val="2"/>
                <w:sz w:val="21"/>
                <w:szCs w:val="24"/>
                <w:highlight w:val="none"/>
                <w:lang w:val="en-US" w:eastAsia="zh-CN" w:bidi="ar-SA"/>
              </w:rPr>
            </w:pPr>
            <w:r>
              <w:rPr>
                <w:rStyle w:val="44"/>
                <w:rFonts w:hint="eastAsia" w:ascii="宋体" w:hAnsi="宋体" w:eastAsia="宋体" w:cs="宋体"/>
                <w:b/>
                <w:bCs/>
                <w:color w:val="auto"/>
                <w:kern w:val="2"/>
                <w:sz w:val="21"/>
                <w:szCs w:val="24"/>
                <w:highlight w:val="none"/>
                <w:lang w:val="en-US" w:eastAsia="zh-CN" w:bidi="ar-SA"/>
              </w:rPr>
              <w:t>（5）本项目对中小企业、本国产品分别落实价格扣除政策，符合条件的可叠加享受、重复计算。</w:t>
            </w:r>
          </w:p>
          <w:p w14:paraId="4B7A8E0D">
            <w:pPr>
              <w:pStyle w:val="48"/>
              <w:keepNext w:val="0"/>
              <w:keepLines w:val="0"/>
              <w:pageBreakBefore w:val="0"/>
              <w:widowControl w:val="0"/>
              <w:kinsoku/>
              <w:wordWrap/>
              <w:overflowPunct/>
              <w:topLinePunct w:val="0"/>
              <w:bidi w:val="0"/>
              <w:spacing w:after="0" w:line="440" w:lineRule="exact"/>
              <w:ind w:firstLine="0" w:firstLineChars="0"/>
              <w:jc w:val="left"/>
              <w:rPr>
                <w:rStyle w:val="44"/>
                <w:rFonts w:hint="eastAsia" w:ascii="宋体" w:hAnsi="宋体" w:cs="宋体"/>
                <w:color w:val="auto"/>
                <w:highlight w:val="none"/>
                <w:lang w:eastAsia="zh-CN"/>
              </w:rPr>
            </w:pPr>
            <w:r>
              <w:rPr>
                <w:rStyle w:val="44"/>
                <w:rFonts w:hint="eastAsia" w:ascii="宋体" w:hAnsi="宋体" w:eastAsia="宋体" w:cs="宋体"/>
                <w:b/>
                <w:bCs/>
                <w:color w:val="auto"/>
                <w:kern w:val="2"/>
                <w:sz w:val="21"/>
                <w:szCs w:val="24"/>
                <w:highlight w:val="none"/>
                <w:lang w:val="en-US" w:eastAsia="zh-CN" w:bidi="ar-SA"/>
              </w:rPr>
              <w:t>（6）当采购项目或者采购包的采购标的中含有多种产品，投标人为该采购项目或者采购包提供的符合本国产品标准的产品成本之和占该投标人提供的全部产品成本之和的比例达到80%以上时，且投标人在投标(响应)文件中对此作出承诺的，则依法对该投标人提供的全部产品给予价格评审优惠，即对该投标人提供的全部产品的总报价给予20%的价格扣除，用扣除后的价格参与评审。</w:t>
            </w:r>
          </w:p>
        </w:tc>
      </w:tr>
      <w:tr w14:paraId="73FB0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791" w:type="dxa"/>
            <w:vAlign w:val="center"/>
          </w:tcPr>
          <w:p w14:paraId="7FA02C22">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34</w:t>
            </w:r>
          </w:p>
        </w:tc>
        <w:tc>
          <w:tcPr>
            <w:tcW w:w="1916" w:type="dxa"/>
            <w:vAlign w:val="center"/>
          </w:tcPr>
          <w:p w14:paraId="54EA23D4">
            <w:pPr>
              <w:keepNext w:val="0"/>
              <w:keepLines w:val="0"/>
              <w:pageBreakBefore w:val="0"/>
              <w:widowControl w:val="0"/>
              <w:kinsoku/>
              <w:wordWrap/>
              <w:overflowPunct/>
              <w:topLinePunct w:val="0"/>
              <w:bidi w:val="0"/>
              <w:spacing w:after="0" w:line="440" w:lineRule="exact"/>
              <w:ind w:firstLine="0" w:firstLineChars="0"/>
              <w:jc w:val="center"/>
              <w:rPr>
                <w:rFonts w:hint="eastAsia" w:asciiTheme="minorEastAsia" w:hAnsiTheme="minorEastAsia" w:eastAsiaTheme="minorEastAsia" w:cstheme="minorEastAsia"/>
                <w:color w:val="auto"/>
                <w:szCs w:val="21"/>
                <w:highlight w:val="none"/>
              </w:rPr>
            </w:pPr>
            <w:r>
              <w:rPr>
                <w:rFonts w:hint="eastAsia" w:ascii="宋体" w:hAnsi="宋体" w:cs="宋体"/>
                <w:b/>
                <w:bCs/>
                <w:color w:val="auto"/>
                <w:highlight w:val="none"/>
              </w:rPr>
              <w:t>本项目所属行业</w:t>
            </w:r>
          </w:p>
        </w:tc>
        <w:tc>
          <w:tcPr>
            <w:tcW w:w="6612" w:type="dxa"/>
            <w:vAlign w:val="center"/>
          </w:tcPr>
          <w:p w14:paraId="32394D01">
            <w:pPr>
              <w:pStyle w:val="23"/>
              <w:keepNext w:val="0"/>
              <w:keepLines w:val="0"/>
              <w:pageBreakBefore w:val="0"/>
              <w:widowControl w:val="0"/>
              <w:kinsoku/>
              <w:wordWrap/>
              <w:overflowPunct/>
              <w:topLinePunct w:val="0"/>
              <w:bidi w:val="0"/>
              <w:spacing w:after="0" w:line="440" w:lineRule="exact"/>
              <w:ind w:right="105" w:rightChars="50" w:firstLine="0" w:firstLineChars="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采购标的所属行业：</w:t>
            </w:r>
            <w:r>
              <w:rPr>
                <w:rFonts w:hint="eastAsia" w:ascii="宋体" w:hAnsi="宋体" w:cs="宋体"/>
                <w:color w:val="auto"/>
                <w:sz w:val="21"/>
                <w:szCs w:val="21"/>
                <w:highlight w:val="none"/>
                <w:lang w:val="en-US" w:eastAsia="zh-CN"/>
              </w:rPr>
              <w:t>其他未列明行业</w:t>
            </w:r>
          </w:p>
          <w:p w14:paraId="0EB0F3F0">
            <w:pPr>
              <w:pStyle w:val="23"/>
              <w:keepNext w:val="0"/>
              <w:keepLines w:val="0"/>
              <w:pageBreakBefore w:val="0"/>
              <w:widowControl w:val="0"/>
              <w:kinsoku/>
              <w:wordWrap/>
              <w:overflowPunct/>
              <w:topLinePunct w:val="0"/>
              <w:bidi w:val="0"/>
              <w:spacing w:after="0" w:line="440" w:lineRule="exact"/>
              <w:ind w:right="105" w:rightChars="50" w:firstLine="0" w:firstLineChars="0"/>
              <w:rPr>
                <w:rFonts w:hint="eastAsia" w:asciiTheme="minorEastAsia" w:hAnsiTheme="minorEastAsia" w:eastAsiaTheme="minorEastAsia" w:cstheme="minorEastAsia"/>
                <w:color w:val="auto"/>
                <w:szCs w:val="21"/>
                <w:highlight w:val="none"/>
              </w:rPr>
            </w:pPr>
            <w:r>
              <w:rPr>
                <w:rFonts w:hint="eastAsia" w:ascii="宋体" w:hAnsi="宋体" w:cs="宋体"/>
                <w:color w:val="auto"/>
                <w:sz w:val="21"/>
                <w:szCs w:val="21"/>
                <w:highlight w:val="none"/>
              </w:rPr>
              <w:t>划定标准（行业属性划分参照关于印发中小企业划型标准规定的通知(工信部联企业〔2011〕300号) ）</w:t>
            </w:r>
          </w:p>
        </w:tc>
      </w:tr>
      <w:tr w14:paraId="6A2FD2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791" w:type="dxa"/>
            <w:vAlign w:val="center"/>
          </w:tcPr>
          <w:p w14:paraId="3EF24277">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35</w:t>
            </w:r>
          </w:p>
        </w:tc>
        <w:tc>
          <w:tcPr>
            <w:tcW w:w="1916" w:type="dxa"/>
            <w:vAlign w:val="center"/>
          </w:tcPr>
          <w:p w14:paraId="4228308C">
            <w:pPr>
              <w:keepNext w:val="0"/>
              <w:keepLines w:val="0"/>
              <w:pageBreakBefore w:val="0"/>
              <w:widowControl w:val="0"/>
              <w:kinsoku/>
              <w:wordWrap/>
              <w:overflowPunct/>
              <w:topLinePunct w:val="0"/>
              <w:bidi w:val="0"/>
              <w:spacing w:after="0" w:line="440" w:lineRule="exact"/>
              <w:ind w:firstLine="0" w:firstLineChars="0"/>
              <w:jc w:val="center"/>
              <w:rPr>
                <w:rFonts w:hint="eastAsia" w:asciiTheme="minorEastAsia" w:hAnsiTheme="minorEastAsia" w:eastAsiaTheme="minorEastAsia" w:cstheme="minorEastAsia"/>
                <w:color w:val="auto"/>
                <w:szCs w:val="21"/>
                <w:highlight w:val="none"/>
              </w:rPr>
            </w:pPr>
            <w:r>
              <w:rPr>
                <w:rFonts w:hint="eastAsia" w:ascii="宋体" w:hAnsi="宋体" w:cs="宋体"/>
                <w:b/>
                <w:color w:val="auto"/>
                <w:highlight w:val="none"/>
              </w:rPr>
              <w:t>合同签订方式</w:t>
            </w:r>
          </w:p>
        </w:tc>
        <w:tc>
          <w:tcPr>
            <w:tcW w:w="6612" w:type="dxa"/>
            <w:vAlign w:val="center"/>
          </w:tcPr>
          <w:p w14:paraId="3E5649D0">
            <w:pPr>
              <w:pStyle w:val="48"/>
              <w:keepNext w:val="0"/>
              <w:keepLines w:val="0"/>
              <w:pageBreakBefore w:val="0"/>
              <w:widowControl w:val="0"/>
              <w:kinsoku/>
              <w:wordWrap/>
              <w:overflowPunct/>
              <w:topLinePunct w:val="0"/>
              <w:bidi w:val="0"/>
              <w:spacing w:after="0" w:line="440" w:lineRule="exact"/>
              <w:ind w:right="105" w:rightChars="50" w:firstLine="0" w:firstLineChars="0"/>
              <w:rPr>
                <w:rFonts w:hint="eastAsia" w:asciiTheme="minorEastAsia" w:hAnsiTheme="minorEastAsia" w:eastAsiaTheme="minorEastAsia" w:cstheme="minorEastAsia"/>
                <w:color w:val="auto"/>
                <w:szCs w:val="21"/>
                <w:highlight w:val="none"/>
              </w:rPr>
            </w:pPr>
            <w:r>
              <w:rPr>
                <w:rFonts w:hint="eastAsia" w:ascii="宋体" w:hAnsi="宋体" w:cs="宋体"/>
                <w:color w:val="auto"/>
                <w:highlight w:val="none"/>
                <w:lang w:val="zh-TW"/>
              </w:rPr>
              <w:t>合同在线签订，采购人与中标人（供应商）利用平顶山公共资源交易平台“合同在线签订模块”，将电子合同推送至对方进行审核，经双方确认均无异议通过后，进行在线签章，完成合同签订并公示。</w:t>
            </w:r>
          </w:p>
        </w:tc>
      </w:tr>
      <w:tr w14:paraId="474A32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5" w:hRule="atLeast"/>
          <w:jc w:val="center"/>
        </w:trPr>
        <w:tc>
          <w:tcPr>
            <w:tcW w:w="791" w:type="dxa"/>
            <w:vAlign w:val="center"/>
          </w:tcPr>
          <w:p w14:paraId="0DB12E25">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36</w:t>
            </w:r>
          </w:p>
        </w:tc>
        <w:tc>
          <w:tcPr>
            <w:tcW w:w="1916" w:type="dxa"/>
            <w:vAlign w:val="center"/>
          </w:tcPr>
          <w:p w14:paraId="3C7BD22F">
            <w:pPr>
              <w:pStyle w:val="43"/>
              <w:keepNext w:val="0"/>
              <w:keepLines w:val="0"/>
              <w:pageBreakBefore w:val="0"/>
              <w:widowControl w:val="0"/>
              <w:kinsoku/>
              <w:wordWrap/>
              <w:overflowPunct/>
              <w:topLinePunct w:val="0"/>
              <w:bidi w:val="0"/>
              <w:spacing w:line="440" w:lineRule="exact"/>
              <w:ind w:firstLine="0" w:firstLineChars="0"/>
              <w:jc w:val="center"/>
              <w:rPr>
                <w:rFonts w:hint="eastAsia" w:hAnsi="宋体" w:cs="宋体"/>
                <w:b/>
                <w:bCs/>
                <w:color w:val="auto"/>
                <w:kern w:val="2"/>
                <w:sz w:val="21"/>
                <w:szCs w:val="21"/>
                <w:highlight w:val="none"/>
              </w:rPr>
            </w:pPr>
            <w:r>
              <w:rPr>
                <w:rFonts w:hint="eastAsia" w:hAnsi="宋体" w:cs="宋体"/>
                <w:b/>
                <w:bCs/>
                <w:color w:val="auto"/>
                <w:kern w:val="2"/>
                <w:sz w:val="21"/>
                <w:szCs w:val="21"/>
                <w:highlight w:val="none"/>
              </w:rPr>
              <w:t>★专家特别注意</w:t>
            </w:r>
          </w:p>
          <w:p w14:paraId="0DB48E49">
            <w:pPr>
              <w:keepNext w:val="0"/>
              <w:keepLines w:val="0"/>
              <w:pageBreakBefore w:val="0"/>
              <w:widowControl w:val="0"/>
              <w:kinsoku/>
              <w:wordWrap/>
              <w:overflowPunct/>
              <w:topLinePunct w:val="0"/>
              <w:bidi w:val="0"/>
              <w:spacing w:after="0" w:line="440" w:lineRule="exact"/>
              <w:ind w:firstLine="0" w:firstLineChars="0"/>
              <w:jc w:val="center"/>
              <w:rPr>
                <w:rFonts w:hint="eastAsia" w:asciiTheme="minorEastAsia" w:hAnsiTheme="minorEastAsia" w:eastAsiaTheme="minorEastAsia" w:cstheme="minorEastAsia"/>
                <w:color w:val="auto"/>
                <w:szCs w:val="21"/>
                <w:highlight w:val="none"/>
              </w:rPr>
            </w:pPr>
            <w:r>
              <w:rPr>
                <w:rFonts w:hint="eastAsia" w:ascii="宋体" w:hAnsi="宋体" w:cs="宋体"/>
                <w:b/>
                <w:bCs/>
                <w:color w:val="auto"/>
                <w:highlight w:val="none"/>
              </w:rPr>
              <w:t>“四方信用评价”须知（采购人、代理机构、本项目评审专家、本项目中标供应商）</w:t>
            </w:r>
          </w:p>
        </w:tc>
        <w:tc>
          <w:tcPr>
            <w:tcW w:w="6612" w:type="dxa"/>
            <w:vAlign w:val="center"/>
          </w:tcPr>
          <w:p w14:paraId="37C50D61">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《河南省政府采购网》目前已增加“四方信用评价”功能。请本项目采购人、代理机构、本项目评审专家、本项目中标供应商，按照评价时间节点按时完成评价工作。</w:t>
            </w:r>
          </w:p>
          <w:p w14:paraId="0D9E0955">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时间节点在评审结束后的五个工作日内。如果超期未评价，系统会默认超期不让评价。注：请各方注意时间，避免因超期未评价影响自身信用！</w:t>
            </w:r>
          </w:p>
          <w:p w14:paraId="68087535">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1.采购人、采购代理机构应当在评审工作结束后五个工作日内对评审专家进行评价。</w:t>
            </w:r>
          </w:p>
          <w:p w14:paraId="488DB15B">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2.采购人、评审专家、供应商应当在评审工作结束后五个工作日内对代理机构进行评价。</w:t>
            </w:r>
          </w:p>
          <w:p w14:paraId="77F13732">
            <w:pPr>
              <w:keepNext w:val="0"/>
              <w:keepLines w:val="0"/>
              <w:pageBreakBefore w:val="0"/>
              <w:widowControl w:val="0"/>
              <w:kinsoku/>
              <w:wordWrap/>
              <w:overflowPunct/>
              <w:topLinePunct w:val="0"/>
              <w:bidi w:val="0"/>
              <w:spacing w:after="0" w:line="440" w:lineRule="exact"/>
              <w:ind w:firstLine="0" w:firstLineChars="0"/>
              <w:rPr>
                <w:rStyle w:val="44"/>
                <w:rFonts w:hint="eastAsia" w:ascii="宋体" w:hAnsi="宋体" w:cs="宋体"/>
                <w:color w:val="auto"/>
                <w:highlight w:val="none"/>
              </w:rPr>
            </w:pPr>
            <w:r>
              <w:rPr>
                <w:rStyle w:val="44"/>
                <w:rFonts w:hint="eastAsia" w:ascii="宋体" w:hAnsi="宋体" w:cs="宋体"/>
                <w:color w:val="auto"/>
                <w:highlight w:val="none"/>
              </w:rPr>
              <w:t>3.采购人应当在合同履约完成后对中标供应商进行评价。</w:t>
            </w:r>
          </w:p>
          <w:p w14:paraId="7B4DBF42">
            <w:pPr>
              <w:pStyle w:val="23"/>
              <w:keepNext w:val="0"/>
              <w:keepLines w:val="0"/>
              <w:pageBreakBefore w:val="0"/>
              <w:widowControl w:val="0"/>
              <w:kinsoku/>
              <w:wordWrap/>
              <w:overflowPunct/>
              <w:topLinePunct w:val="0"/>
              <w:bidi w:val="0"/>
              <w:spacing w:after="0" w:line="440" w:lineRule="exact"/>
              <w:ind w:right="105" w:rightChars="50" w:firstLine="0" w:firstLineChars="0"/>
              <w:rPr>
                <w:rFonts w:hint="eastAsia" w:asciiTheme="minorEastAsia" w:hAnsiTheme="minorEastAsia" w:eastAsiaTheme="minorEastAsia" w:cstheme="minorEastAsia"/>
                <w:color w:val="auto"/>
                <w:szCs w:val="21"/>
                <w:highlight w:val="none"/>
              </w:rPr>
            </w:pPr>
            <w:r>
              <w:rPr>
                <w:rStyle w:val="44"/>
                <w:rFonts w:hint="eastAsia" w:ascii="宋体" w:hAnsi="宋体" w:cs="宋体"/>
                <w:color w:val="auto"/>
                <w:sz w:val="21"/>
                <w:szCs w:val="21"/>
                <w:highlight w:val="none"/>
              </w:rPr>
              <w:t>4.中标供应商应当在合同履约完成后对采购人进行评价。</w:t>
            </w:r>
          </w:p>
        </w:tc>
      </w:tr>
      <w:tr w14:paraId="15340B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Align w:val="center"/>
          </w:tcPr>
          <w:p w14:paraId="6AEA3F5A">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37</w:t>
            </w:r>
          </w:p>
        </w:tc>
        <w:tc>
          <w:tcPr>
            <w:tcW w:w="1916" w:type="dxa"/>
            <w:vAlign w:val="center"/>
          </w:tcPr>
          <w:p w14:paraId="37EFDF40">
            <w:pPr>
              <w:keepNext w:val="0"/>
              <w:keepLines w:val="0"/>
              <w:pageBreakBefore w:val="0"/>
              <w:widowControl w:val="0"/>
              <w:kinsoku/>
              <w:wordWrap/>
              <w:overflowPunct/>
              <w:topLinePunct w:val="0"/>
              <w:bidi w:val="0"/>
              <w:spacing w:after="0" w:line="440" w:lineRule="exact"/>
              <w:ind w:firstLine="0" w:firstLineChars="0"/>
              <w:jc w:val="center"/>
              <w:rPr>
                <w:rFonts w:hint="eastAsia" w:asciiTheme="minorEastAsia" w:hAnsiTheme="minorEastAsia" w:eastAsiaTheme="minorEastAsia" w:cstheme="minorEastAsia"/>
                <w:color w:val="auto"/>
                <w:szCs w:val="21"/>
                <w:highlight w:val="none"/>
              </w:rPr>
            </w:pPr>
            <w:r>
              <w:rPr>
                <w:rFonts w:hint="eastAsia" w:ascii="宋体" w:hAnsi="宋体" w:cs="宋体"/>
                <w:b/>
                <w:bCs/>
                <w:color w:val="auto"/>
                <w:highlight w:val="none"/>
              </w:rPr>
              <w:t>★供应商特别注意</w:t>
            </w:r>
          </w:p>
        </w:tc>
        <w:tc>
          <w:tcPr>
            <w:tcW w:w="6612" w:type="dxa"/>
            <w:vAlign w:val="center"/>
          </w:tcPr>
          <w:p w14:paraId="1E83165A">
            <w:pPr>
              <w:pStyle w:val="23"/>
              <w:keepNext w:val="0"/>
              <w:keepLines w:val="0"/>
              <w:pageBreakBefore w:val="0"/>
              <w:widowControl w:val="0"/>
              <w:kinsoku/>
              <w:wordWrap/>
              <w:overflowPunct/>
              <w:topLinePunct w:val="0"/>
              <w:bidi w:val="0"/>
              <w:spacing w:after="0" w:line="440" w:lineRule="exact"/>
              <w:ind w:left="63" w:leftChars="30" w:right="105" w:rightChars="50" w:firstLine="0" w:firstLineChars="0"/>
              <w:jc w:val="left"/>
              <w:rPr>
                <w:rFonts w:hint="eastAsia" w:asciiTheme="minorEastAsia" w:hAnsiTheme="minorEastAsia" w:eastAsiaTheme="minorEastAsia" w:cstheme="minorEastAsia"/>
                <w:color w:val="auto"/>
                <w:szCs w:val="21"/>
                <w:highlight w:val="none"/>
              </w:rPr>
            </w:pPr>
            <w:r>
              <w:rPr>
                <w:rFonts w:hint="eastAsia" w:ascii="宋体" w:hAnsi="宋体" w:cs="宋体"/>
                <w:color w:val="auto"/>
                <w:sz w:val="21"/>
                <w:szCs w:val="21"/>
                <w:highlight w:val="none"/>
              </w:rPr>
              <w:t>开标前需在“河南省政府采购网”完成供应商注册，以备中标后合同公示能够提取到供应商相关信息。</w:t>
            </w:r>
          </w:p>
        </w:tc>
      </w:tr>
      <w:tr w14:paraId="115B4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8" w:hRule="atLeast"/>
          <w:jc w:val="center"/>
        </w:trPr>
        <w:tc>
          <w:tcPr>
            <w:tcW w:w="791" w:type="dxa"/>
            <w:vAlign w:val="center"/>
          </w:tcPr>
          <w:p w14:paraId="48D6430C">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38</w:t>
            </w:r>
          </w:p>
        </w:tc>
        <w:tc>
          <w:tcPr>
            <w:tcW w:w="1916" w:type="dxa"/>
            <w:vAlign w:val="center"/>
          </w:tcPr>
          <w:p w14:paraId="6D0C8A4B">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szCs w:val="21"/>
                <w:highlight w:val="none"/>
              </w:rPr>
            </w:pPr>
            <w:r>
              <w:rPr>
                <w:rFonts w:hint="eastAsia" w:ascii="宋体" w:hAnsi="宋体" w:cs="宋体"/>
                <w:bCs/>
                <w:color w:val="auto"/>
                <w:szCs w:val="21"/>
                <w:highlight w:val="none"/>
              </w:rPr>
              <w:t>河南省政府采购合同融资政策告知函</w:t>
            </w:r>
          </w:p>
        </w:tc>
        <w:tc>
          <w:tcPr>
            <w:tcW w:w="6612" w:type="dxa"/>
            <w:vAlign w:val="center"/>
          </w:tcPr>
          <w:p w14:paraId="59490946">
            <w:pPr>
              <w:keepNext w:val="0"/>
              <w:keepLines w:val="0"/>
              <w:pageBreakBefore w:val="0"/>
              <w:widowControl w:val="0"/>
              <w:kinsoku/>
              <w:wordWrap/>
              <w:overflowPunct/>
              <w:topLinePunct w:val="0"/>
              <w:bidi w:val="0"/>
              <w:spacing w:after="0" w:line="44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各供应商：</w:t>
            </w:r>
          </w:p>
          <w:p w14:paraId="2C2FE8FA">
            <w:pPr>
              <w:keepNext w:val="0"/>
              <w:keepLines w:val="0"/>
              <w:pageBreakBefore w:val="0"/>
              <w:widowControl w:val="0"/>
              <w:kinsoku/>
              <w:wordWrap/>
              <w:overflowPunct/>
              <w:topLinePunct w:val="0"/>
              <w:bidi w:val="0"/>
              <w:spacing w:after="0" w:line="44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欢迎贵公司参与河南省政府采购活动！</w:t>
            </w:r>
          </w:p>
          <w:p w14:paraId="26A153FA">
            <w:pPr>
              <w:keepNext w:val="0"/>
              <w:keepLines w:val="0"/>
              <w:pageBreakBefore w:val="0"/>
              <w:widowControl w:val="0"/>
              <w:kinsoku/>
              <w:wordWrap/>
              <w:overflowPunct/>
              <w:topLinePunct w:val="0"/>
              <w:bidi w:val="0"/>
              <w:spacing w:after="0" w:line="440" w:lineRule="exact"/>
              <w:ind w:firstLine="0" w:firstLineChars="0"/>
              <w:rPr>
                <w:rFonts w:ascii="宋体" w:hAnsi="宋体" w:cs="宋体"/>
                <w:color w:val="auto"/>
                <w:szCs w:val="21"/>
                <w:highlight w:val="none"/>
              </w:rPr>
            </w:pPr>
            <w:r>
              <w:rPr>
                <w:rFonts w:hint="eastAsia" w:ascii="宋体" w:hAnsi="宋体" w:cs="宋体"/>
                <w:color w:val="auto"/>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3134D6A">
            <w:pPr>
              <w:keepNext w:val="0"/>
              <w:keepLines w:val="0"/>
              <w:pageBreakBefore w:val="0"/>
              <w:widowControl w:val="0"/>
              <w:kinsoku/>
              <w:wordWrap/>
              <w:overflowPunct/>
              <w:topLinePunct w:val="0"/>
              <w:bidi w:val="0"/>
              <w:spacing w:after="0" w:line="440" w:lineRule="exact"/>
              <w:ind w:firstLine="0" w:firstLineChars="0"/>
              <w:rPr>
                <w:rFonts w:hint="eastAsia" w:asciiTheme="minorEastAsia" w:hAnsiTheme="minorEastAsia" w:eastAsiaTheme="minorEastAsia" w:cstheme="minorEastAsia"/>
                <w:color w:val="auto"/>
                <w:szCs w:val="21"/>
                <w:highlight w:val="none"/>
              </w:rPr>
            </w:pPr>
            <w:r>
              <w:rPr>
                <w:rFonts w:hint="eastAsia" w:ascii="宋体" w:hAnsi="宋体" w:cs="宋体"/>
                <w:color w:val="auto"/>
                <w:szCs w:val="21"/>
                <w:highlight w:val="none"/>
              </w:rPr>
              <w:t>贷款渠道和提供贷款的金融机构，可在河南省政府采购网“河南省政府采购合同融资平台”查询联系。</w:t>
            </w:r>
          </w:p>
        </w:tc>
      </w:tr>
      <w:tr w14:paraId="412873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dxa"/>
            <w:vAlign w:val="center"/>
          </w:tcPr>
          <w:p w14:paraId="088B3B7C">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39</w:t>
            </w:r>
          </w:p>
        </w:tc>
        <w:tc>
          <w:tcPr>
            <w:tcW w:w="1916" w:type="dxa"/>
            <w:vAlign w:val="center"/>
          </w:tcPr>
          <w:p w14:paraId="2B9CC218">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谈判结果公示</w:t>
            </w:r>
          </w:p>
        </w:tc>
        <w:tc>
          <w:tcPr>
            <w:tcW w:w="6612" w:type="dxa"/>
          </w:tcPr>
          <w:p w14:paraId="6968B74C">
            <w:pPr>
              <w:keepNext w:val="0"/>
              <w:keepLines w:val="0"/>
              <w:pageBreakBefore w:val="0"/>
              <w:widowControl w:val="0"/>
              <w:kinsoku/>
              <w:wordWrap/>
              <w:overflowPunct/>
              <w:topLinePunct w:val="0"/>
              <w:autoSpaceDE/>
              <w:autoSpaceDN/>
              <w:bidi w:val="0"/>
              <w:adjustRightInd w:val="0"/>
              <w:snapToGrid w:val="0"/>
              <w:spacing w:after="0" w:line="440" w:lineRule="exact"/>
              <w:ind w:firstLine="0" w:firstLineChars="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在中标通知书发出前，采购人将中标候选人的情况在本项目谈判公告发布的同一媒介予以公示，公示期不少于1个工作日。</w:t>
            </w:r>
          </w:p>
        </w:tc>
      </w:tr>
      <w:tr w14:paraId="160FD4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791" w:type="dxa"/>
            <w:vAlign w:val="center"/>
          </w:tcPr>
          <w:p w14:paraId="65121E22">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40</w:t>
            </w:r>
          </w:p>
        </w:tc>
        <w:tc>
          <w:tcPr>
            <w:tcW w:w="1916" w:type="dxa"/>
            <w:vAlign w:val="center"/>
          </w:tcPr>
          <w:p w14:paraId="64CB6B24">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付款方式</w:t>
            </w:r>
          </w:p>
        </w:tc>
        <w:tc>
          <w:tcPr>
            <w:tcW w:w="6612" w:type="dxa"/>
            <w:vAlign w:val="center"/>
          </w:tcPr>
          <w:p w14:paraId="2DBD0C2A">
            <w:pPr>
              <w:keepNext w:val="0"/>
              <w:keepLines w:val="0"/>
              <w:pageBreakBefore w:val="0"/>
              <w:widowControl w:val="0"/>
              <w:kinsoku/>
              <w:wordWrap/>
              <w:overflowPunct/>
              <w:topLinePunct w:val="0"/>
              <w:bidi w:val="0"/>
              <w:adjustRightInd w:val="0"/>
              <w:snapToGrid w:val="0"/>
              <w:spacing w:after="0" w:line="440" w:lineRule="exact"/>
              <w:ind w:firstLine="0" w:firstLineChars="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每月支付一次，于每月末根据考核情况进行支付</w:t>
            </w:r>
          </w:p>
        </w:tc>
      </w:tr>
      <w:tr w14:paraId="5F4769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91" w:type="dxa"/>
            <w:vAlign w:val="center"/>
          </w:tcPr>
          <w:p w14:paraId="1C6F899F">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41</w:t>
            </w:r>
          </w:p>
        </w:tc>
        <w:tc>
          <w:tcPr>
            <w:tcW w:w="1916" w:type="dxa"/>
            <w:vAlign w:val="center"/>
          </w:tcPr>
          <w:p w14:paraId="127E8A52">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售后服务</w:t>
            </w:r>
          </w:p>
        </w:tc>
        <w:tc>
          <w:tcPr>
            <w:tcW w:w="6612" w:type="dxa"/>
            <w:vAlign w:val="center"/>
          </w:tcPr>
          <w:p w14:paraId="0141C1F5">
            <w:pPr>
              <w:keepNext w:val="0"/>
              <w:keepLines w:val="0"/>
              <w:pageBreakBefore w:val="0"/>
              <w:widowControl w:val="0"/>
              <w:kinsoku/>
              <w:wordWrap/>
              <w:overflowPunct/>
              <w:topLinePunct w:val="0"/>
              <w:bidi w:val="0"/>
              <w:adjustRightInd w:val="0"/>
              <w:snapToGrid w:val="0"/>
              <w:spacing w:after="0" w:line="440" w:lineRule="exact"/>
              <w:ind w:firstLine="0" w:firstLineChars="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按国家规定的标准执行</w:t>
            </w:r>
          </w:p>
        </w:tc>
      </w:tr>
      <w:tr w14:paraId="6EC1A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91" w:type="dxa"/>
            <w:vAlign w:val="center"/>
          </w:tcPr>
          <w:p w14:paraId="7BF5FC51">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42</w:t>
            </w:r>
          </w:p>
        </w:tc>
        <w:tc>
          <w:tcPr>
            <w:tcW w:w="1916" w:type="dxa"/>
            <w:vAlign w:val="center"/>
          </w:tcPr>
          <w:p w14:paraId="743D241B">
            <w:pPr>
              <w:keepNext w:val="0"/>
              <w:keepLines w:val="0"/>
              <w:pageBreakBefore w:val="0"/>
              <w:widowControl w:val="0"/>
              <w:kinsoku/>
              <w:wordWrap/>
              <w:overflowPunct/>
              <w:topLinePunct w:val="0"/>
              <w:bidi w:val="0"/>
              <w:adjustRightInd w:val="0"/>
              <w:snapToGrid w:val="0"/>
              <w:spacing w:after="0" w:line="440" w:lineRule="exact"/>
              <w:ind w:firstLine="0" w:firstLineChars="0"/>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解释权</w:t>
            </w:r>
          </w:p>
        </w:tc>
        <w:tc>
          <w:tcPr>
            <w:tcW w:w="6612" w:type="dxa"/>
            <w:vAlign w:val="center"/>
          </w:tcPr>
          <w:p w14:paraId="2EAC700E">
            <w:pPr>
              <w:keepNext w:val="0"/>
              <w:keepLines w:val="0"/>
              <w:pageBreakBefore w:val="0"/>
              <w:widowControl w:val="0"/>
              <w:kinsoku/>
              <w:wordWrap/>
              <w:overflowPunct/>
              <w:topLinePunct w:val="0"/>
              <w:bidi w:val="0"/>
              <w:adjustRightInd w:val="0"/>
              <w:snapToGrid w:val="0"/>
              <w:spacing w:after="0" w:line="440" w:lineRule="exact"/>
              <w:ind w:firstLine="0" w:firstLineChars="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本谈判文件的解释权归采购人。</w:t>
            </w:r>
          </w:p>
        </w:tc>
      </w:tr>
    </w:tbl>
    <w:p w14:paraId="73B69593">
      <w:pPr>
        <w:spacing w:line="440" w:lineRule="exact"/>
        <w:jc w:val="center"/>
        <w:rPr>
          <w:rFonts w:asciiTheme="minorEastAsia" w:hAnsiTheme="minorEastAsia" w:eastAsiaTheme="minorEastAsia" w:cstheme="minorEastAsia"/>
          <w:b/>
          <w:color w:val="auto"/>
          <w:sz w:val="28"/>
          <w:szCs w:val="28"/>
          <w:highlight w:val="none"/>
        </w:rPr>
      </w:pPr>
      <w:bookmarkStart w:id="15" w:name="_Toc335435260"/>
      <w:r>
        <w:rPr>
          <w:rFonts w:hint="eastAsia" w:asciiTheme="minorEastAsia" w:hAnsiTheme="minorEastAsia" w:eastAsiaTheme="minorEastAsia" w:cstheme="minorEastAsia"/>
          <w:b/>
          <w:color w:val="auto"/>
          <w:sz w:val="28"/>
          <w:szCs w:val="28"/>
          <w:highlight w:val="none"/>
        </w:rPr>
        <w:t>二．</w:t>
      </w:r>
      <w:bookmarkEnd w:id="15"/>
      <w:r>
        <w:rPr>
          <w:rFonts w:hint="eastAsia" w:asciiTheme="minorEastAsia" w:hAnsiTheme="minorEastAsia" w:eastAsiaTheme="minorEastAsia" w:cstheme="minorEastAsia"/>
          <w:b/>
          <w:color w:val="auto"/>
          <w:sz w:val="28"/>
          <w:szCs w:val="28"/>
          <w:highlight w:val="none"/>
        </w:rPr>
        <w:t>竞谈商须知</w:t>
      </w:r>
    </w:p>
    <w:p w14:paraId="37E4BF9A">
      <w:pPr>
        <w:pStyle w:val="2"/>
        <w:keepNext w:val="0"/>
        <w:keepLines w:val="0"/>
        <w:pageBreakBefore w:val="0"/>
        <w:kinsoku/>
        <w:wordWrap/>
        <w:overflowPunct/>
        <w:topLinePunct w:val="0"/>
        <w:bidi w:val="0"/>
        <w:snapToGrid/>
        <w:spacing w:before="0" w:after="0" w:line="430" w:lineRule="exact"/>
        <w:textAlignment w:val="auto"/>
        <w:rPr>
          <w:rFonts w:asciiTheme="minorEastAsia" w:hAnsiTheme="minorEastAsia" w:eastAsiaTheme="minorEastAsia" w:cstheme="minorEastAsia"/>
          <w:color w:val="auto"/>
          <w:kern w:val="0"/>
          <w:sz w:val="28"/>
          <w:szCs w:val="28"/>
          <w:highlight w:val="none"/>
        </w:rPr>
      </w:pPr>
      <w:bookmarkStart w:id="16" w:name="_Toc335435261"/>
      <w:bookmarkStart w:id="17" w:name="_Toc335435034"/>
      <w:bookmarkStart w:id="18" w:name="_Toc281744721"/>
      <w:bookmarkStart w:id="19" w:name="_Toc18989"/>
      <w:bookmarkStart w:id="20" w:name="_Toc2433"/>
      <w:bookmarkStart w:id="21" w:name="_Toc16172912"/>
      <w:bookmarkStart w:id="22" w:name="_Toc335902123"/>
      <w:bookmarkStart w:id="23" w:name="_Toc10784"/>
      <w:bookmarkStart w:id="24" w:name="_Toc26877"/>
      <w:r>
        <w:rPr>
          <w:rFonts w:hint="eastAsia" w:asciiTheme="minorEastAsia" w:hAnsiTheme="minorEastAsia" w:eastAsiaTheme="minorEastAsia" w:cstheme="minorEastAsia"/>
          <w:color w:val="auto"/>
          <w:kern w:val="0"/>
          <w:sz w:val="28"/>
          <w:szCs w:val="28"/>
          <w:highlight w:val="none"/>
        </w:rPr>
        <w:t>一、总则</w:t>
      </w:r>
      <w:bookmarkEnd w:id="16"/>
      <w:bookmarkEnd w:id="17"/>
      <w:bookmarkEnd w:id="18"/>
      <w:bookmarkEnd w:id="19"/>
      <w:bookmarkEnd w:id="20"/>
      <w:bookmarkEnd w:id="21"/>
      <w:bookmarkEnd w:id="22"/>
      <w:bookmarkEnd w:id="23"/>
      <w:bookmarkEnd w:id="24"/>
    </w:p>
    <w:p w14:paraId="796E0CAE">
      <w:pPr>
        <w:pageBreakBefore w:val="0"/>
        <w:kinsoku/>
        <w:wordWrap/>
        <w:overflowPunct/>
        <w:topLinePunct w:val="0"/>
        <w:autoSpaceDE w:val="0"/>
        <w:autoSpaceDN w:val="0"/>
        <w:bidi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1.1 竞谈商</w:t>
      </w:r>
      <w:r>
        <w:rPr>
          <w:rFonts w:hint="eastAsia" w:asciiTheme="minorEastAsia" w:hAnsiTheme="minorEastAsia" w:eastAsiaTheme="minorEastAsia" w:cstheme="minorEastAsia"/>
          <w:color w:val="auto"/>
          <w:szCs w:val="21"/>
          <w:highlight w:val="none"/>
        </w:rPr>
        <w:t>应</w:t>
      </w:r>
      <w:r>
        <w:rPr>
          <w:rFonts w:hint="eastAsia" w:asciiTheme="minorEastAsia" w:hAnsiTheme="minorEastAsia" w:eastAsiaTheme="minorEastAsia" w:cstheme="minorEastAsia"/>
          <w:color w:val="auto"/>
          <w:kern w:val="0"/>
          <w:szCs w:val="21"/>
          <w:highlight w:val="none"/>
        </w:rPr>
        <w:t>自行承担所有与编写和提交响应文件有关的费用,不论谈判的结果如何,</w:t>
      </w:r>
      <w:r>
        <w:rPr>
          <w:rFonts w:hint="eastAsia" w:asciiTheme="minorEastAsia" w:hAnsiTheme="minorEastAsia" w:eastAsiaTheme="minorEastAsia" w:cstheme="minorEastAsia"/>
          <w:color w:val="auto"/>
          <w:kern w:val="0"/>
          <w:szCs w:val="21"/>
          <w:highlight w:val="none"/>
          <w:lang w:eastAsia="zh-CN"/>
        </w:rPr>
        <w:t>采购代理机构</w:t>
      </w:r>
      <w:r>
        <w:rPr>
          <w:rFonts w:hint="eastAsia" w:asciiTheme="minorEastAsia" w:hAnsiTheme="minorEastAsia" w:eastAsiaTheme="minorEastAsia" w:cstheme="minorEastAsia"/>
          <w:color w:val="auto"/>
          <w:kern w:val="0"/>
          <w:szCs w:val="21"/>
          <w:highlight w:val="none"/>
        </w:rPr>
        <w:t>和采购人在任何情况下均无义务和责任承担这些费用。</w:t>
      </w:r>
    </w:p>
    <w:p w14:paraId="4E97B233">
      <w:pPr>
        <w:pageBreakBefore w:val="0"/>
        <w:kinsoku/>
        <w:wordWrap/>
        <w:overflowPunct/>
        <w:topLinePunct w:val="0"/>
        <w:autoSpaceDE w:val="0"/>
        <w:autoSpaceDN w:val="0"/>
        <w:bidi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1.2 如有必要，采购人有权通过意向书，让成交人在合同签字生效前开始必要的技术工作。</w:t>
      </w:r>
    </w:p>
    <w:p w14:paraId="282F2707">
      <w:pPr>
        <w:pageBreakBefore w:val="0"/>
        <w:kinsoku/>
        <w:wordWrap/>
        <w:overflowPunct/>
        <w:topLinePunct w:val="0"/>
        <w:autoSpaceDE w:val="0"/>
        <w:autoSpaceDN w:val="0"/>
        <w:bidi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1.3 竞谈商不得转让谈判文件。</w:t>
      </w:r>
      <w:bookmarkStart w:id="25" w:name="_Toc335435262"/>
      <w:bookmarkStart w:id="26" w:name="_Toc29314"/>
      <w:bookmarkStart w:id="27" w:name="_Toc18426"/>
      <w:bookmarkStart w:id="28" w:name="_Toc335902124"/>
      <w:bookmarkStart w:id="29" w:name="_Toc2509"/>
      <w:bookmarkStart w:id="30" w:name="_Toc335435035"/>
    </w:p>
    <w:p w14:paraId="3AF3180F">
      <w:pPr>
        <w:pStyle w:val="2"/>
        <w:keepNext w:val="0"/>
        <w:keepLines w:val="0"/>
        <w:pageBreakBefore w:val="0"/>
        <w:kinsoku/>
        <w:wordWrap/>
        <w:overflowPunct/>
        <w:topLinePunct w:val="0"/>
        <w:bidi w:val="0"/>
        <w:snapToGrid/>
        <w:spacing w:before="0" w:after="0" w:line="430" w:lineRule="exact"/>
        <w:textAlignment w:val="auto"/>
        <w:rPr>
          <w:rFonts w:asciiTheme="minorEastAsia" w:hAnsiTheme="minorEastAsia" w:eastAsiaTheme="minorEastAsia" w:cstheme="minorEastAsia"/>
          <w:color w:val="auto"/>
          <w:kern w:val="0"/>
          <w:sz w:val="28"/>
          <w:szCs w:val="28"/>
          <w:highlight w:val="none"/>
        </w:rPr>
      </w:pPr>
      <w:bookmarkStart w:id="31" w:name="_Toc16172913"/>
      <w:bookmarkStart w:id="32" w:name="_Toc30039"/>
      <w:r>
        <w:rPr>
          <w:rFonts w:hint="eastAsia" w:asciiTheme="minorEastAsia" w:hAnsiTheme="minorEastAsia" w:eastAsiaTheme="minorEastAsia" w:cstheme="minorEastAsia"/>
          <w:color w:val="auto"/>
          <w:kern w:val="0"/>
          <w:sz w:val="28"/>
          <w:szCs w:val="28"/>
          <w:highlight w:val="none"/>
        </w:rPr>
        <w:t>二、资格审查</w:t>
      </w:r>
      <w:bookmarkEnd w:id="25"/>
      <w:bookmarkEnd w:id="26"/>
      <w:bookmarkEnd w:id="27"/>
      <w:bookmarkEnd w:id="28"/>
      <w:bookmarkEnd w:id="29"/>
      <w:bookmarkEnd w:id="30"/>
      <w:bookmarkEnd w:id="31"/>
      <w:bookmarkEnd w:id="32"/>
    </w:p>
    <w:p w14:paraId="02304DB9">
      <w:pPr>
        <w:pageBreakBefore w:val="0"/>
        <w:kinsoku/>
        <w:wordWrap/>
        <w:overflowPunct/>
        <w:topLinePunct w:val="0"/>
        <w:autoSpaceDE w:val="0"/>
        <w:autoSpaceDN w:val="0"/>
        <w:bidi w:val="0"/>
        <w:snapToGrid/>
        <w:spacing w:after="0" w:line="43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rPr>
      </w:pPr>
      <w:bookmarkStart w:id="33" w:name="_Toc335435263"/>
      <w:bookmarkStart w:id="34" w:name="_Toc5655"/>
      <w:bookmarkStart w:id="35" w:name="_Toc335435036"/>
      <w:bookmarkStart w:id="36" w:name="_Toc335902125"/>
      <w:bookmarkStart w:id="37" w:name="_Toc16172914"/>
      <w:bookmarkStart w:id="38" w:name="_Toc18884"/>
      <w:bookmarkStart w:id="39" w:name="_Toc23080"/>
      <w:bookmarkStart w:id="40" w:name="_Toc19575"/>
      <w:r>
        <w:rPr>
          <w:rFonts w:hint="eastAsia" w:asciiTheme="minorEastAsia" w:hAnsiTheme="minorEastAsia" w:eastAsiaTheme="minorEastAsia" w:cstheme="minorEastAsia"/>
          <w:color w:val="auto"/>
          <w:kern w:val="0"/>
          <w:szCs w:val="21"/>
          <w:highlight w:val="none"/>
        </w:rPr>
        <w:t>见供应商须知前附表</w:t>
      </w:r>
    </w:p>
    <w:p w14:paraId="0320BD88">
      <w:pPr>
        <w:pStyle w:val="2"/>
        <w:keepNext w:val="0"/>
        <w:keepLines w:val="0"/>
        <w:pageBreakBefore w:val="0"/>
        <w:kinsoku/>
        <w:wordWrap/>
        <w:overflowPunct/>
        <w:topLinePunct w:val="0"/>
        <w:bidi w:val="0"/>
        <w:snapToGrid/>
        <w:spacing w:before="0" w:after="0" w:line="430" w:lineRule="exact"/>
        <w:textAlignment w:val="auto"/>
        <w:rPr>
          <w:rFonts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三、谈判文件</w:t>
      </w:r>
      <w:bookmarkEnd w:id="33"/>
      <w:bookmarkEnd w:id="34"/>
      <w:bookmarkEnd w:id="35"/>
      <w:bookmarkEnd w:id="36"/>
      <w:bookmarkEnd w:id="37"/>
      <w:bookmarkEnd w:id="38"/>
      <w:bookmarkEnd w:id="39"/>
      <w:bookmarkEnd w:id="40"/>
    </w:p>
    <w:p w14:paraId="4F1D41D1">
      <w:pPr>
        <w:pageBreakBefore w:val="0"/>
        <w:kinsoku/>
        <w:wordWrap/>
        <w:overflowPunct/>
        <w:topLinePunct w:val="0"/>
        <w:autoSpaceDE w:val="0"/>
        <w:autoSpaceDN w:val="0"/>
        <w:bidi w:val="0"/>
        <w:adjustRightInd w:val="0"/>
        <w:snapToGrid/>
        <w:spacing w:after="0" w:line="430" w:lineRule="exact"/>
        <w:ind w:firstLine="420" w:firstLineChars="200"/>
        <w:jc w:val="left"/>
        <w:textAlignment w:val="auto"/>
        <w:rPr>
          <w:rFonts w:hint="eastAsia" w:ascii="宋体" w:hAnsi="宋体" w:cs="宋体"/>
          <w:color w:val="auto"/>
          <w:kern w:val="0"/>
          <w:sz w:val="21"/>
          <w:szCs w:val="21"/>
          <w:highlight w:val="none"/>
        </w:rPr>
      </w:pPr>
      <w:bookmarkStart w:id="41" w:name="_Toc335435264"/>
      <w:bookmarkStart w:id="42" w:name="_Toc335435037"/>
      <w:bookmarkStart w:id="43" w:name="_Toc9300"/>
      <w:bookmarkStart w:id="44" w:name="_Toc30993"/>
      <w:bookmarkStart w:id="45" w:name="_Toc335902126"/>
      <w:bookmarkStart w:id="46" w:name="_Toc281744724"/>
      <w:bookmarkStart w:id="47" w:name="_Toc21856"/>
      <w:bookmarkStart w:id="48" w:name="_Toc228"/>
      <w:bookmarkStart w:id="49" w:name="_Toc16172915"/>
      <w:r>
        <w:rPr>
          <w:rFonts w:hint="eastAsia" w:ascii="宋体" w:hAnsi="宋体" w:cs="宋体"/>
          <w:color w:val="auto"/>
          <w:kern w:val="0"/>
          <w:sz w:val="21"/>
          <w:szCs w:val="21"/>
          <w:highlight w:val="none"/>
        </w:rPr>
        <w:t>3.1 谈判文件</w:t>
      </w:r>
    </w:p>
    <w:p w14:paraId="1FA6427B">
      <w:pPr>
        <w:pageBreakBefore w:val="0"/>
        <w:kinsoku/>
        <w:wordWrap/>
        <w:overflowPunct/>
        <w:topLinePunct w:val="0"/>
        <w:autoSpaceDE w:val="0"/>
        <w:autoSpaceDN w:val="0"/>
        <w:bidi w:val="0"/>
        <w:adjustRightInd w:val="0"/>
        <w:snapToGrid/>
        <w:spacing w:after="0" w:line="43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竞谈商应认真阅读谈判文件中所有的事项、格式、条款和规范等要求。如果没有按照谈判文件要求提交全部资料或者响应文件没有对谈判文件做出实质性响应，该谈判将被拒绝，其风险应由竞谈商自行承担。</w:t>
      </w:r>
    </w:p>
    <w:p w14:paraId="1DB82460">
      <w:pPr>
        <w:pageBreakBefore w:val="0"/>
        <w:kinsoku/>
        <w:wordWrap/>
        <w:overflowPunct/>
        <w:topLinePunct w:val="0"/>
        <w:autoSpaceDE w:val="0"/>
        <w:autoSpaceDN w:val="0"/>
        <w:bidi w:val="0"/>
        <w:adjustRightInd w:val="0"/>
        <w:snapToGrid/>
        <w:spacing w:after="0" w:line="43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3.2 谈判文件的澄清</w:t>
      </w:r>
      <w:r>
        <w:rPr>
          <w:rFonts w:hint="eastAsia" w:ascii="宋体" w:hAnsi="宋体" w:cs="宋体"/>
          <w:color w:val="auto"/>
          <w:kern w:val="0"/>
          <w:sz w:val="21"/>
          <w:szCs w:val="21"/>
          <w:highlight w:val="none"/>
          <w:lang w:eastAsia="zh-CN"/>
        </w:rPr>
        <w:t>和</w:t>
      </w:r>
      <w:r>
        <w:rPr>
          <w:rFonts w:hint="eastAsia" w:ascii="宋体" w:hAnsi="宋体" w:cs="宋体"/>
          <w:color w:val="auto"/>
          <w:kern w:val="0"/>
          <w:sz w:val="21"/>
          <w:szCs w:val="21"/>
          <w:highlight w:val="none"/>
        </w:rPr>
        <w:t>修改</w:t>
      </w:r>
    </w:p>
    <w:p w14:paraId="68559DA1">
      <w:pPr>
        <w:pageBreakBefore w:val="0"/>
        <w:kinsoku/>
        <w:wordWrap/>
        <w:overflowPunct/>
        <w:topLinePunct w:val="0"/>
        <w:autoSpaceDE w:val="0"/>
        <w:autoSpaceDN w:val="0"/>
        <w:bidi w:val="0"/>
        <w:adjustRightInd w:val="0"/>
        <w:snapToGrid/>
        <w:spacing w:after="0" w:line="43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rPr>
      </w:pPr>
      <w:r>
        <w:rPr>
          <w:rFonts w:hint="eastAsia" w:ascii="宋体" w:hAnsi="宋体" w:cs="宋体"/>
          <w:color w:val="auto"/>
          <w:kern w:val="0"/>
          <w:sz w:val="21"/>
          <w:szCs w:val="21"/>
          <w:highlight w:val="none"/>
        </w:rPr>
        <w:t xml:space="preserve">3.2.1 </w:t>
      </w:r>
      <w:r>
        <w:rPr>
          <w:rFonts w:hint="eastAsia" w:asciiTheme="minorEastAsia" w:hAnsiTheme="minorEastAsia" w:eastAsiaTheme="minorEastAsia" w:cstheme="minorEastAsia"/>
          <w:color w:val="auto"/>
          <w:kern w:val="0"/>
          <w:szCs w:val="21"/>
          <w:highlight w:val="none"/>
          <w:lang w:eastAsia="zh-CN"/>
        </w:rPr>
        <w:t>竞谈商</w:t>
      </w:r>
      <w:r>
        <w:rPr>
          <w:rFonts w:hint="eastAsia" w:asciiTheme="minorEastAsia" w:hAnsiTheme="minorEastAsia" w:eastAsiaTheme="minorEastAsia" w:cstheme="minorEastAsia"/>
          <w:color w:val="auto"/>
          <w:kern w:val="0"/>
          <w:szCs w:val="21"/>
          <w:highlight w:val="none"/>
        </w:rPr>
        <w:t>应仔细阅读和检查</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的全部内容。如发现缺页或附件不全，应及时向</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提出，以便补齐。</w:t>
      </w:r>
      <w:r>
        <w:rPr>
          <w:rFonts w:hint="eastAsia" w:asciiTheme="minorEastAsia" w:hAnsiTheme="minorEastAsia" w:eastAsiaTheme="minorEastAsia" w:cstheme="minorEastAsia"/>
          <w:color w:val="auto"/>
          <w:kern w:val="0"/>
          <w:szCs w:val="21"/>
          <w:highlight w:val="none"/>
          <w:lang w:eastAsia="zh-CN"/>
        </w:rPr>
        <w:t>竞谈商</w:t>
      </w:r>
      <w:r>
        <w:rPr>
          <w:rFonts w:hint="eastAsia" w:asciiTheme="minorEastAsia" w:hAnsiTheme="minorEastAsia" w:eastAsiaTheme="minorEastAsia" w:cstheme="minorEastAsia"/>
          <w:color w:val="auto"/>
          <w:kern w:val="0"/>
          <w:szCs w:val="21"/>
          <w:highlight w:val="none"/>
        </w:rPr>
        <w:t>若对</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有任何疑问，应在电子交易系统中向</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提出澄清要求。无论是</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根据需要主动对</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进行必要的澄清，或是根据</w:t>
      </w:r>
      <w:r>
        <w:rPr>
          <w:rFonts w:hint="eastAsia" w:asciiTheme="minorEastAsia" w:hAnsiTheme="minorEastAsia" w:eastAsiaTheme="minorEastAsia" w:cstheme="minorEastAsia"/>
          <w:color w:val="auto"/>
          <w:kern w:val="0"/>
          <w:szCs w:val="21"/>
          <w:highlight w:val="none"/>
          <w:lang w:eastAsia="zh-CN"/>
        </w:rPr>
        <w:t>竞谈商</w:t>
      </w:r>
      <w:r>
        <w:rPr>
          <w:rFonts w:hint="eastAsia" w:asciiTheme="minorEastAsia" w:hAnsiTheme="minorEastAsia" w:eastAsiaTheme="minorEastAsia" w:cstheme="minorEastAsia"/>
          <w:color w:val="auto"/>
          <w:kern w:val="0"/>
          <w:szCs w:val="21"/>
          <w:highlight w:val="none"/>
        </w:rPr>
        <w:t>的要求对</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作出澄清，</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都将在电子交易系统中予以澄清，该答复作为</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的组成部分，具有约束作用。</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发出后，</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可对</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进行必要的澄清或修改。</w:t>
      </w:r>
    </w:p>
    <w:p w14:paraId="193C2B2D">
      <w:pPr>
        <w:pageBreakBefore w:val="0"/>
        <w:kinsoku/>
        <w:wordWrap/>
        <w:overflowPunct/>
        <w:topLinePunct w:val="0"/>
        <w:autoSpaceDE w:val="0"/>
        <w:autoSpaceDN w:val="0"/>
        <w:bidi w:val="0"/>
        <w:adjustRightInd w:val="0"/>
        <w:snapToGrid/>
        <w:spacing w:after="0" w:line="43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rPr>
      </w:pPr>
      <w:r>
        <w:rPr>
          <w:rFonts w:hint="eastAsia" w:ascii="宋体" w:hAnsi="宋体" w:cs="宋体"/>
          <w:color w:val="auto"/>
          <w:kern w:val="0"/>
          <w:sz w:val="21"/>
          <w:szCs w:val="21"/>
          <w:highlight w:val="none"/>
        </w:rPr>
        <w:t>3.2.</w:t>
      </w: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的澄清、修改、补充等内容均以电子交易系统中发布的内容为准。当</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的澄清、修改、补充等在同一内容的表述不一致时，以最后发出的文件为准。</w:t>
      </w:r>
    </w:p>
    <w:p w14:paraId="24892FE5">
      <w:pPr>
        <w:pageBreakBefore w:val="0"/>
        <w:kinsoku/>
        <w:wordWrap/>
        <w:overflowPunct/>
        <w:topLinePunct w:val="0"/>
        <w:autoSpaceDE w:val="0"/>
        <w:autoSpaceDN w:val="0"/>
        <w:bidi w:val="0"/>
        <w:adjustRightInd w:val="0"/>
        <w:snapToGrid/>
        <w:spacing w:after="0" w:line="43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rPr>
      </w:pPr>
      <w:r>
        <w:rPr>
          <w:rFonts w:hint="eastAsia" w:ascii="宋体" w:hAnsi="宋体" w:cs="宋体"/>
          <w:color w:val="auto"/>
          <w:kern w:val="0"/>
          <w:sz w:val="21"/>
          <w:szCs w:val="21"/>
          <w:highlight w:val="none"/>
        </w:rPr>
        <w:t>3.2.</w:t>
      </w:r>
      <w:r>
        <w:rPr>
          <w:rFonts w:hint="eastAsia" w:asciiTheme="minorEastAsia" w:hAnsiTheme="minorEastAsia" w:eastAsiaTheme="minorEastAsia" w:cstheme="minorEastAsia"/>
          <w:color w:val="auto"/>
          <w:kern w:val="0"/>
          <w:szCs w:val="21"/>
          <w:highlight w:val="none"/>
        </w:rPr>
        <w:t>3为使</w:t>
      </w:r>
      <w:r>
        <w:rPr>
          <w:rFonts w:hint="eastAsia" w:asciiTheme="minorEastAsia" w:hAnsiTheme="minorEastAsia" w:eastAsiaTheme="minorEastAsia" w:cstheme="minorEastAsia"/>
          <w:color w:val="auto"/>
          <w:kern w:val="0"/>
          <w:szCs w:val="21"/>
          <w:highlight w:val="none"/>
          <w:lang w:eastAsia="zh-CN"/>
        </w:rPr>
        <w:t>竞谈商</w:t>
      </w:r>
      <w:r>
        <w:rPr>
          <w:rFonts w:hint="eastAsia" w:asciiTheme="minorEastAsia" w:hAnsiTheme="minorEastAsia" w:eastAsiaTheme="minorEastAsia" w:cstheme="minorEastAsia"/>
          <w:color w:val="auto"/>
          <w:kern w:val="0"/>
          <w:szCs w:val="21"/>
          <w:highlight w:val="none"/>
        </w:rPr>
        <w:t>在编制</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时有充分的时间对</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的澄清、修改、补充等内容进行研究，</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将根据</w:t>
      </w:r>
      <w:r>
        <w:rPr>
          <w:rFonts w:hint="eastAsia" w:asciiTheme="minorEastAsia" w:hAnsiTheme="minorEastAsia" w:eastAsiaTheme="minorEastAsia" w:cstheme="minorEastAsia"/>
          <w:color w:val="auto"/>
          <w:kern w:val="0"/>
          <w:szCs w:val="21"/>
          <w:highlight w:val="none"/>
          <w:lang w:eastAsia="zh-CN"/>
        </w:rPr>
        <w:t>竞谈商</w:t>
      </w:r>
      <w:r>
        <w:rPr>
          <w:rFonts w:hint="eastAsia" w:asciiTheme="minorEastAsia" w:hAnsiTheme="minorEastAsia" w:eastAsiaTheme="minorEastAsia" w:cstheme="minorEastAsia"/>
          <w:color w:val="auto"/>
          <w:kern w:val="0"/>
          <w:szCs w:val="21"/>
          <w:highlight w:val="none"/>
        </w:rPr>
        <w:t>的延期投标意见酌情延长提交</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的截止时间，具体时间将在</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的修改、补充通知中予以明确；若所有</w:t>
      </w:r>
      <w:r>
        <w:rPr>
          <w:rFonts w:hint="eastAsia" w:asciiTheme="minorEastAsia" w:hAnsiTheme="minorEastAsia" w:eastAsiaTheme="minorEastAsia" w:cstheme="minorEastAsia"/>
          <w:color w:val="auto"/>
          <w:kern w:val="0"/>
          <w:szCs w:val="21"/>
          <w:highlight w:val="none"/>
          <w:lang w:eastAsia="zh-CN"/>
        </w:rPr>
        <w:t>竞谈商</w:t>
      </w:r>
      <w:r>
        <w:rPr>
          <w:rFonts w:hint="eastAsia" w:asciiTheme="minorEastAsia" w:hAnsiTheme="minorEastAsia" w:eastAsiaTheme="minorEastAsia" w:cstheme="minorEastAsia"/>
          <w:color w:val="auto"/>
          <w:kern w:val="0"/>
          <w:szCs w:val="21"/>
          <w:highlight w:val="none"/>
        </w:rPr>
        <w:t>认为</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的修改与补充不影响</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的编制，</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将不予延长</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提交时间；若</w:t>
      </w:r>
      <w:r>
        <w:rPr>
          <w:rFonts w:hint="eastAsia" w:asciiTheme="minorEastAsia" w:hAnsiTheme="minorEastAsia" w:eastAsiaTheme="minorEastAsia" w:cstheme="minorEastAsia"/>
          <w:color w:val="auto"/>
          <w:kern w:val="0"/>
          <w:szCs w:val="21"/>
          <w:highlight w:val="none"/>
          <w:lang w:eastAsia="zh-CN"/>
        </w:rPr>
        <w:t>竞谈商</w:t>
      </w:r>
      <w:r>
        <w:rPr>
          <w:rFonts w:hint="eastAsia" w:asciiTheme="minorEastAsia" w:hAnsiTheme="minorEastAsia" w:eastAsiaTheme="minorEastAsia" w:cstheme="minorEastAsia"/>
          <w:color w:val="auto"/>
          <w:kern w:val="0"/>
          <w:szCs w:val="21"/>
          <w:highlight w:val="none"/>
        </w:rPr>
        <w:t>未提出书面延期投标意见且同意本项目开标时间，则</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可以认为所有</w:t>
      </w:r>
      <w:r>
        <w:rPr>
          <w:rFonts w:hint="eastAsia" w:asciiTheme="minorEastAsia" w:hAnsiTheme="minorEastAsia" w:eastAsiaTheme="minorEastAsia" w:cstheme="minorEastAsia"/>
          <w:color w:val="auto"/>
          <w:kern w:val="0"/>
          <w:szCs w:val="21"/>
          <w:highlight w:val="none"/>
          <w:lang w:eastAsia="zh-CN"/>
        </w:rPr>
        <w:t>竞谈商</w:t>
      </w:r>
      <w:r>
        <w:rPr>
          <w:rFonts w:hint="eastAsia" w:asciiTheme="minorEastAsia" w:hAnsiTheme="minorEastAsia" w:eastAsiaTheme="minorEastAsia" w:cstheme="minorEastAsia"/>
          <w:color w:val="auto"/>
          <w:kern w:val="0"/>
          <w:szCs w:val="21"/>
          <w:highlight w:val="none"/>
        </w:rPr>
        <w:t>对</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的修改与补充通知不影响</w:t>
      </w:r>
      <w:r>
        <w:rPr>
          <w:rFonts w:hint="eastAsia" w:asciiTheme="minorEastAsia" w:hAnsiTheme="minorEastAsia" w:eastAsiaTheme="minorEastAsia" w:cstheme="minorEastAsia"/>
          <w:color w:val="auto"/>
          <w:kern w:val="0"/>
          <w:szCs w:val="21"/>
          <w:highlight w:val="none"/>
          <w:lang w:eastAsia="zh-CN"/>
        </w:rPr>
        <w:t>响应文件</w:t>
      </w:r>
      <w:r>
        <w:rPr>
          <w:rFonts w:hint="eastAsia" w:asciiTheme="minorEastAsia" w:hAnsiTheme="minorEastAsia" w:eastAsiaTheme="minorEastAsia" w:cstheme="minorEastAsia"/>
          <w:color w:val="auto"/>
          <w:kern w:val="0"/>
          <w:szCs w:val="21"/>
          <w:highlight w:val="none"/>
        </w:rPr>
        <w:t>的编制，开标时间将不予延期。</w:t>
      </w:r>
    </w:p>
    <w:p w14:paraId="63591D60">
      <w:pPr>
        <w:pageBreakBefore w:val="0"/>
        <w:kinsoku/>
        <w:wordWrap/>
        <w:overflowPunct/>
        <w:topLinePunct w:val="0"/>
        <w:bidi w:val="0"/>
        <w:snapToGrid w:val="0"/>
        <w:spacing w:before="156" w:after="156" w:line="430" w:lineRule="exact"/>
        <w:jc w:val="left"/>
        <w:textAlignment w:val="auto"/>
        <w:rPr>
          <w:rFonts w:hint="eastAsia" w:ascii="宋体" w:hAnsi="宋体"/>
          <w:b/>
          <w:bCs/>
          <w:color w:val="auto"/>
          <w:kern w:val="0"/>
          <w:sz w:val="24"/>
          <w:szCs w:val="24"/>
        </w:rPr>
      </w:pPr>
      <w:r>
        <w:rPr>
          <w:rFonts w:hint="eastAsia" w:ascii="宋体" w:hAnsi="宋体"/>
          <w:b/>
          <w:bCs/>
          <w:color w:val="auto"/>
          <w:kern w:val="0"/>
          <w:sz w:val="24"/>
          <w:szCs w:val="24"/>
          <w:lang w:val="en-US" w:eastAsia="zh-CN"/>
        </w:rPr>
        <w:t>3.3</w:t>
      </w:r>
      <w:r>
        <w:rPr>
          <w:rFonts w:hint="eastAsia" w:ascii="宋体" w:hAnsi="宋体"/>
          <w:b/>
          <w:bCs/>
          <w:color w:val="auto"/>
          <w:kern w:val="0"/>
          <w:sz w:val="24"/>
          <w:szCs w:val="24"/>
        </w:rPr>
        <w:t xml:space="preserve"> 答疑会</w:t>
      </w:r>
    </w:p>
    <w:p w14:paraId="688AD2D7">
      <w:pPr>
        <w:pageBreakBefore w:val="0"/>
        <w:kinsoku/>
        <w:wordWrap/>
        <w:overflowPunct/>
        <w:topLinePunct w:val="0"/>
        <w:autoSpaceDE w:val="0"/>
        <w:autoSpaceDN w:val="0"/>
        <w:bidi w:val="0"/>
        <w:adjustRightInd w:val="0"/>
        <w:snapToGrid/>
        <w:spacing w:after="0" w:line="43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eastAsia="zh-CN"/>
        </w:rPr>
        <w:t>不召开答疑会，投标人将需答疑的问题以应在电子交易系统中向采购人提出澄清要求。</w:t>
      </w:r>
    </w:p>
    <w:p w14:paraId="399C0946">
      <w:pPr>
        <w:pStyle w:val="2"/>
        <w:pageBreakBefore w:val="0"/>
        <w:kinsoku/>
        <w:wordWrap/>
        <w:overflowPunct/>
        <w:topLinePunct w:val="0"/>
        <w:bidi w:val="0"/>
        <w:snapToGrid/>
        <w:spacing w:before="0" w:after="0" w:line="430" w:lineRule="exact"/>
        <w:textAlignment w:val="auto"/>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8"/>
          <w:szCs w:val="28"/>
          <w:highlight w:val="none"/>
        </w:rPr>
        <w:t>四、响应文件</w:t>
      </w:r>
      <w:bookmarkEnd w:id="41"/>
      <w:bookmarkEnd w:id="42"/>
      <w:bookmarkEnd w:id="43"/>
      <w:bookmarkEnd w:id="44"/>
      <w:bookmarkEnd w:id="45"/>
      <w:bookmarkEnd w:id="46"/>
      <w:bookmarkEnd w:id="47"/>
      <w:bookmarkEnd w:id="48"/>
      <w:bookmarkEnd w:id="49"/>
    </w:p>
    <w:p w14:paraId="30AA97CA">
      <w:pPr>
        <w:pageBreakBefore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4.1 响应文件的编制依据</w:t>
      </w:r>
    </w:p>
    <w:p w14:paraId="1332D4BF">
      <w:pPr>
        <w:pageBreakBefore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4.1.1 </w:t>
      </w:r>
      <w:r>
        <w:rPr>
          <w:rFonts w:hint="eastAsia" w:asciiTheme="minorEastAsia" w:hAnsiTheme="minorEastAsia" w:eastAsiaTheme="minorEastAsia" w:cstheme="minorEastAsia"/>
          <w:color w:val="auto"/>
          <w:kern w:val="0"/>
          <w:szCs w:val="21"/>
          <w:highlight w:val="none"/>
          <w:lang w:eastAsia="zh-CN"/>
        </w:rPr>
        <w:t>采购代理机构</w:t>
      </w:r>
      <w:r>
        <w:rPr>
          <w:rFonts w:hint="eastAsia" w:asciiTheme="minorEastAsia" w:hAnsiTheme="minorEastAsia" w:eastAsiaTheme="minorEastAsia" w:cstheme="minorEastAsia"/>
          <w:color w:val="auto"/>
          <w:kern w:val="0"/>
          <w:szCs w:val="21"/>
          <w:highlight w:val="none"/>
        </w:rPr>
        <w:t>提供的谈判文件及有关资料；</w:t>
      </w:r>
    </w:p>
    <w:p w14:paraId="6C206EAB">
      <w:pPr>
        <w:pageBreakBefore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4.1.2 相关的法律法规。</w:t>
      </w:r>
    </w:p>
    <w:p w14:paraId="297E2262">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4.2 响应文件格式</w:t>
      </w:r>
    </w:p>
    <w:p w14:paraId="64031081">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响应文件应包括以下内容：</w:t>
      </w:r>
    </w:p>
    <w:p w14:paraId="14C5F8A3">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4.2.1 报价函</w:t>
      </w:r>
    </w:p>
    <w:p w14:paraId="16FCD130">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4.2.2 报价函附录</w:t>
      </w:r>
    </w:p>
    <w:p w14:paraId="6DAB0276">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4.2.3 法定代表人身份证明</w:t>
      </w:r>
    </w:p>
    <w:p w14:paraId="3E5B5F5E">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4.2.4 授权委托书</w:t>
      </w:r>
    </w:p>
    <w:p w14:paraId="73717A56">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 xml:space="preserve">4.2.5 </w:t>
      </w:r>
      <w:r>
        <w:rPr>
          <w:rFonts w:hint="eastAsia" w:asciiTheme="minorEastAsia" w:hAnsiTheme="minorEastAsia" w:eastAsiaTheme="minorEastAsia" w:cstheme="minorEastAsia"/>
          <w:color w:val="auto"/>
          <w:kern w:val="0"/>
          <w:szCs w:val="21"/>
          <w:highlight w:val="none"/>
          <w:lang w:eastAsia="zh-CN"/>
        </w:rPr>
        <w:t>针对本项目的服务方案</w:t>
      </w:r>
    </w:p>
    <w:p w14:paraId="7AF96D5A">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4.2.6 资格审查资料</w:t>
      </w:r>
    </w:p>
    <w:p w14:paraId="0D171285">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4.2.7 谈判文件要求的其它全部资料</w:t>
      </w:r>
    </w:p>
    <w:p w14:paraId="2E0467DE">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竞谈商应按照本企业的实际情况提供上述资料，如竞谈商中标，采购人有权对中标人考察，如发现有与谈判文件不符之处，采购人取消该竞谈商中标资格的权力。</w:t>
      </w:r>
    </w:p>
    <w:p w14:paraId="4F897246">
      <w:pPr>
        <w:pageBreakBefore w:val="0"/>
        <w:widowControl w:val="0"/>
        <w:kinsoku/>
        <w:wordWrap/>
        <w:overflowPunct/>
        <w:topLinePunct w:val="0"/>
        <w:autoSpaceDE w:val="0"/>
        <w:autoSpaceDN w:val="0"/>
        <w:bidi w:val="0"/>
        <w:adjustRightInd w:val="0"/>
        <w:snapToGrid/>
        <w:spacing w:after="0" w:line="430" w:lineRule="exact"/>
        <w:ind w:firstLine="480" w:firstLineChars="200"/>
        <w:jc w:val="left"/>
        <w:textAlignment w:val="auto"/>
        <w:rPr>
          <w:rFonts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color w:val="auto"/>
          <w:kern w:val="0"/>
          <w:sz w:val="24"/>
          <w:highlight w:val="none"/>
        </w:rPr>
        <w:t xml:space="preserve">4.3 </w:t>
      </w:r>
      <w:r>
        <w:rPr>
          <w:rFonts w:hint="eastAsia" w:asciiTheme="minorEastAsia" w:hAnsiTheme="minorEastAsia" w:eastAsiaTheme="minorEastAsia" w:cstheme="minorEastAsia"/>
          <w:b/>
          <w:color w:val="auto"/>
          <w:kern w:val="0"/>
          <w:sz w:val="24"/>
          <w:highlight w:val="none"/>
        </w:rPr>
        <w:t>谈判报价</w:t>
      </w:r>
    </w:p>
    <w:p w14:paraId="30C061D3">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4.3.1本项目的谈判报价采用总价方式，谈判报价应包括完成本项目发包范围内的全部工作内容所需的成本、利润、税金以及风险因素等全部费用。</w:t>
      </w:r>
    </w:p>
    <w:p w14:paraId="08BB2D4A">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4.3.2本次谈判，谈判过程供应商需二轮报价（首次报价、最后报价）。供应商在谈判文件中投报的报价为首次报价，再经一次报价后以最后一次确定的报价作为最后报价。（最后报价不能高于首次报价，高于首次报价视为无效报价。）</w:t>
      </w:r>
    </w:p>
    <w:p w14:paraId="37A23779">
      <w:pPr>
        <w:pageBreakBefore w:val="0"/>
        <w:widowControl w:val="0"/>
        <w:tabs>
          <w:tab w:val="left" w:pos="540"/>
        </w:tabs>
        <w:kinsoku/>
        <w:wordWrap/>
        <w:overflowPunct/>
        <w:topLinePunct w:val="0"/>
        <w:bidi w:val="0"/>
        <w:snapToGrid/>
        <w:spacing w:after="0" w:line="430" w:lineRule="exact"/>
        <w:ind w:firstLine="493"/>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4.3.3最终谈判单价为固定价，不得调整，除非采购人向成交竞谈商发出影响价格的变更通知。</w:t>
      </w:r>
    </w:p>
    <w:p w14:paraId="4B8DACBD">
      <w:pPr>
        <w:pageBreakBefore w:val="0"/>
        <w:widowControl w:val="0"/>
        <w:tabs>
          <w:tab w:val="left" w:pos="540"/>
        </w:tabs>
        <w:kinsoku/>
        <w:wordWrap/>
        <w:overflowPunct/>
        <w:topLinePunct w:val="0"/>
        <w:bidi w:val="0"/>
        <w:snapToGrid/>
        <w:spacing w:after="0" w:line="430" w:lineRule="exact"/>
        <w:ind w:firstLine="493"/>
        <w:jc w:val="left"/>
        <w:textAlignment w:val="auto"/>
        <w:rPr>
          <w:rFonts w:hint="default" w:asciiTheme="minorEastAsia" w:hAnsiTheme="minorEastAsia" w:eastAsiaTheme="minorEastAsia" w:cstheme="minorEastAsia"/>
          <w:b/>
          <w:bCs/>
          <w:color w:val="auto"/>
          <w:kern w:val="0"/>
          <w:szCs w:val="21"/>
          <w:highlight w:val="none"/>
          <w:lang w:val="en-US" w:eastAsia="zh-CN"/>
        </w:rPr>
      </w:pPr>
      <w:r>
        <w:rPr>
          <w:rFonts w:hint="eastAsia" w:asciiTheme="minorEastAsia" w:hAnsiTheme="minorEastAsia" w:eastAsiaTheme="minorEastAsia" w:cstheme="minorEastAsia"/>
          <w:b/>
          <w:bCs/>
          <w:color w:val="auto"/>
          <w:kern w:val="0"/>
          <w:szCs w:val="21"/>
          <w:highlight w:val="none"/>
          <w:lang w:val="en-US" w:eastAsia="zh-CN"/>
        </w:rPr>
        <w:t>注：</w:t>
      </w:r>
      <w:r>
        <w:rPr>
          <w:rFonts w:hint="default" w:asciiTheme="minorEastAsia" w:hAnsiTheme="minorEastAsia" w:eastAsiaTheme="minorEastAsia" w:cstheme="minorEastAsia"/>
          <w:b/>
          <w:bCs/>
          <w:color w:val="auto"/>
          <w:kern w:val="0"/>
          <w:szCs w:val="21"/>
          <w:highlight w:val="none"/>
          <w:lang w:val="en-US" w:eastAsia="zh-CN"/>
        </w:rPr>
        <w:t>依据《关于推动解决政府采购异常低价问题的通知》（财库〔2026〕2号）：政府采购评审中出现下列情形之一的，评审委员会应当启动异常低价投标（响应）审查程序：</w:t>
      </w:r>
    </w:p>
    <w:p w14:paraId="6A769A64">
      <w:pPr>
        <w:pageBreakBefore w:val="0"/>
        <w:widowControl w:val="0"/>
        <w:tabs>
          <w:tab w:val="left" w:pos="540"/>
        </w:tabs>
        <w:kinsoku/>
        <w:wordWrap/>
        <w:overflowPunct/>
        <w:topLinePunct w:val="0"/>
        <w:bidi w:val="0"/>
        <w:snapToGrid/>
        <w:spacing w:after="0" w:line="430" w:lineRule="exact"/>
        <w:ind w:firstLine="493"/>
        <w:jc w:val="left"/>
        <w:textAlignment w:val="auto"/>
        <w:rPr>
          <w:rFonts w:hint="default" w:asciiTheme="minorEastAsia" w:hAnsiTheme="minorEastAsia" w:eastAsiaTheme="minorEastAsia" w:cstheme="minorEastAsia"/>
          <w:b/>
          <w:bCs/>
          <w:color w:val="auto"/>
          <w:kern w:val="0"/>
          <w:szCs w:val="21"/>
          <w:highlight w:val="none"/>
          <w:lang w:val="en-US" w:eastAsia="zh-CN"/>
        </w:rPr>
      </w:pPr>
      <w:r>
        <w:rPr>
          <w:rFonts w:hint="default" w:asciiTheme="minorEastAsia" w:hAnsiTheme="minorEastAsia" w:eastAsiaTheme="minorEastAsia" w:cstheme="minorEastAsia"/>
          <w:b/>
          <w:bCs/>
          <w:color w:val="auto"/>
          <w:kern w:val="0"/>
          <w:szCs w:val="21"/>
          <w:highlight w:val="none"/>
          <w:lang w:val="en-US" w:eastAsia="zh-CN"/>
        </w:rPr>
        <w:t>（1）投标（响应）报价低于全部通过符合性审查供应商投标（响应）报价平均值50%的，即投标（响应）报价&lt;全部通过符合性审查供应商投标（响应）报价平均值×50%；</w:t>
      </w:r>
    </w:p>
    <w:p w14:paraId="7D1F6105">
      <w:pPr>
        <w:pageBreakBefore w:val="0"/>
        <w:widowControl w:val="0"/>
        <w:tabs>
          <w:tab w:val="left" w:pos="540"/>
        </w:tabs>
        <w:kinsoku/>
        <w:wordWrap/>
        <w:overflowPunct/>
        <w:topLinePunct w:val="0"/>
        <w:bidi w:val="0"/>
        <w:snapToGrid/>
        <w:spacing w:after="0" w:line="430" w:lineRule="exact"/>
        <w:ind w:firstLine="493"/>
        <w:jc w:val="left"/>
        <w:textAlignment w:val="auto"/>
        <w:rPr>
          <w:rFonts w:hint="default" w:asciiTheme="minorEastAsia" w:hAnsiTheme="minorEastAsia" w:eastAsiaTheme="minorEastAsia" w:cstheme="minorEastAsia"/>
          <w:b/>
          <w:bCs/>
          <w:color w:val="auto"/>
          <w:kern w:val="0"/>
          <w:szCs w:val="21"/>
          <w:highlight w:val="none"/>
          <w:lang w:val="en-US" w:eastAsia="zh-CN"/>
        </w:rPr>
      </w:pPr>
      <w:r>
        <w:rPr>
          <w:rFonts w:hint="default" w:asciiTheme="minorEastAsia" w:hAnsiTheme="minorEastAsia" w:eastAsiaTheme="minorEastAsia" w:cstheme="minorEastAsia"/>
          <w:b/>
          <w:bCs/>
          <w:color w:val="auto"/>
          <w:kern w:val="0"/>
          <w:szCs w:val="21"/>
          <w:highlight w:val="none"/>
          <w:lang w:val="en-US" w:eastAsia="zh-CN"/>
        </w:rPr>
        <w:t>（2）投标（响应）报价低于通过符合性审查的次低报价供应商投标（响应）报价50%的，即投标（响应）报价&lt;通过符合性审查的次低报价供应商投标（响应）报价×50%；</w:t>
      </w:r>
    </w:p>
    <w:p w14:paraId="74F99AAC">
      <w:pPr>
        <w:pageBreakBefore w:val="0"/>
        <w:widowControl w:val="0"/>
        <w:tabs>
          <w:tab w:val="left" w:pos="540"/>
        </w:tabs>
        <w:kinsoku/>
        <w:wordWrap/>
        <w:overflowPunct/>
        <w:topLinePunct w:val="0"/>
        <w:bidi w:val="0"/>
        <w:snapToGrid/>
        <w:spacing w:after="0" w:line="430" w:lineRule="exact"/>
        <w:ind w:firstLine="493"/>
        <w:jc w:val="left"/>
        <w:textAlignment w:val="auto"/>
        <w:rPr>
          <w:rFonts w:hint="default" w:asciiTheme="minorEastAsia" w:hAnsiTheme="minorEastAsia" w:eastAsiaTheme="minorEastAsia" w:cstheme="minorEastAsia"/>
          <w:b/>
          <w:bCs/>
          <w:color w:val="auto"/>
          <w:kern w:val="0"/>
          <w:szCs w:val="21"/>
          <w:highlight w:val="none"/>
          <w:lang w:val="en-US" w:eastAsia="zh-CN"/>
        </w:rPr>
      </w:pPr>
      <w:r>
        <w:rPr>
          <w:rFonts w:hint="default" w:asciiTheme="minorEastAsia" w:hAnsiTheme="minorEastAsia" w:eastAsiaTheme="minorEastAsia" w:cstheme="minorEastAsia"/>
          <w:b/>
          <w:bCs/>
          <w:color w:val="auto"/>
          <w:kern w:val="0"/>
          <w:szCs w:val="21"/>
          <w:highlight w:val="none"/>
          <w:lang w:val="en-US" w:eastAsia="zh-CN"/>
        </w:rPr>
        <w:t>（3）投标（响应）报价低于采购项目最高限价45%的，即投标（响应）报价&lt;采购项目最高限价×45%；</w:t>
      </w:r>
    </w:p>
    <w:p w14:paraId="13C21EEE">
      <w:pPr>
        <w:pageBreakBefore w:val="0"/>
        <w:widowControl w:val="0"/>
        <w:tabs>
          <w:tab w:val="left" w:pos="540"/>
        </w:tabs>
        <w:kinsoku/>
        <w:wordWrap/>
        <w:overflowPunct/>
        <w:topLinePunct w:val="0"/>
        <w:bidi w:val="0"/>
        <w:snapToGrid/>
        <w:spacing w:after="0" w:line="430" w:lineRule="exact"/>
        <w:ind w:firstLine="493"/>
        <w:jc w:val="left"/>
        <w:textAlignment w:val="auto"/>
        <w:rPr>
          <w:rFonts w:hint="default" w:asciiTheme="minorEastAsia" w:hAnsiTheme="minorEastAsia" w:eastAsiaTheme="minorEastAsia" w:cstheme="minorEastAsia"/>
          <w:b/>
          <w:bCs/>
          <w:color w:val="auto"/>
          <w:kern w:val="0"/>
          <w:szCs w:val="21"/>
          <w:highlight w:val="none"/>
          <w:lang w:val="en-US" w:eastAsia="zh-CN"/>
        </w:rPr>
      </w:pPr>
      <w:r>
        <w:rPr>
          <w:rFonts w:hint="default" w:asciiTheme="minorEastAsia" w:hAnsiTheme="minorEastAsia" w:eastAsiaTheme="minorEastAsia" w:cstheme="minorEastAsia"/>
          <w:b/>
          <w:bCs/>
          <w:color w:val="auto"/>
          <w:kern w:val="0"/>
          <w:szCs w:val="21"/>
          <w:highlight w:val="none"/>
          <w:lang w:val="en-US" w:eastAsia="zh-CN"/>
        </w:rPr>
        <w:t>（4）评审委员会基于专业判断，认为供应商报价过低，有可能影响产品质量或者不能诚信履约的其他情形。</w:t>
      </w:r>
    </w:p>
    <w:p w14:paraId="05AC4AD6">
      <w:pPr>
        <w:pageBreakBefore w:val="0"/>
        <w:widowControl w:val="0"/>
        <w:tabs>
          <w:tab w:val="left" w:pos="540"/>
        </w:tabs>
        <w:kinsoku/>
        <w:wordWrap/>
        <w:overflowPunct/>
        <w:topLinePunct w:val="0"/>
        <w:bidi w:val="0"/>
        <w:snapToGrid/>
        <w:spacing w:after="0" w:line="430" w:lineRule="exact"/>
        <w:ind w:firstLine="493"/>
        <w:jc w:val="left"/>
        <w:textAlignment w:val="auto"/>
        <w:rPr>
          <w:rFonts w:hint="default" w:asciiTheme="minorEastAsia" w:hAnsiTheme="minorEastAsia" w:eastAsiaTheme="minorEastAsia" w:cstheme="minorEastAsia"/>
          <w:b/>
          <w:bCs/>
          <w:color w:val="auto"/>
          <w:kern w:val="0"/>
          <w:szCs w:val="21"/>
          <w:highlight w:val="none"/>
          <w:lang w:val="en-US" w:eastAsia="zh-CN"/>
        </w:rPr>
      </w:pPr>
      <w:r>
        <w:rPr>
          <w:rFonts w:hint="default" w:asciiTheme="minorEastAsia" w:hAnsiTheme="minorEastAsia" w:eastAsiaTheme="minorEastAsia" w:cstheme="minorEastAsia"/>
          <w:b/>
          <w:bCs/>
          <w:color w:val="auto"/>
          <w:kern w:val="0"/>
          <w:szCs w:val="21"/>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46450CA">
      <w:pPr>
        <w:pageBreakBefore w:val="0"/>
        <w:widowControl w:val="0"/>
        <w:tabs>
          <w:tab w:val="left" w:pos="540"/>
        </w:tabs>
        <w:kinsoku/>
        <w:wordWrap/>
        <w:overflowPunct/>
        <w:topLinePunct w:val="0"/>
        <w:bidi w:val="0"/>
        <w:snapToGrid/>
        <w:spacing w:after="0" w:line="430" w:lineRule="exact"/>
        <w:ind w:firstLine="493"/>
        <w:jc w:val="left"/>
        <w:textAlignment w:val="auto"/>
        <w:rPr>
          <w:rFonts w:hint="eastAsia" w:asciiTheme="minorEastAsia" w:hAnsiTheme="minorEastAsia" w:eastAsiaTheme="minorEastAsia" w:cstheme="minorEastAsia"/>
          <w:b/>
          <w:bCs/>
          <w:color w:val="auto"/>
          <w:kern w:val="0"/>
          <w:szCs w:val="21"/>
          <w:highlight w:val="none"/>
          <w:lang w:val="en-US" w:eastAsia="zh-CN"/>
        </w:rPr>
      </w:pPr>
      <w:r>
        <w:rPr>
          <w:rFonts w:hint="default" w:asciiTheme="minorEastAsia" w:hAnsiTheme="minorEastAsia" w:eastAsiaTheme="minorEastAsia" w:cstheme="minorEastAsia"/>
          <w:b/>
          <w:bCs/>
          <w:color w:val="auto"/>
          <w:kern w:val="0"/>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1A44DB1">
      <w:pPr>
        <w:pageBreakBefore w:val="0"/>
        <w:widowControl w:val="0"/>
        <w:kinsoku/>
        <w:wordWrap/>
        <w:overflowPunct/>
        <w:topLinePunct w:val="0"/>
        <w:autoSpaceDE w:val="0"/>
        <w:autoSpaceDN w:val="0"/>
        <w:bidi w:val="0"/>
        <w:adjustRightInd w:val="0"/>
        <w:snapToGrid/>
        <w:spacing w:after="0" w:line="430" w:lineRule="exact"/>
        <w:ind w:firstLine="480" w:firstLineChars="200"/>
        <w:jc w:val="left"/>
        <w:textAlignment w:val="auto"/>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 xml:space="preserve">4.4 </w:t>
      </w:r>
      <w:r>
        <w:rPr>
          <w:rFonts w:hint="eastAsia" w:asciiTheme="minorEastAsia" w:hAnsiTheme="minorEastAsia" w:eastAsiaTheme="minorEastAsia" w:cstheme="minorEastAsia"/>
          <w:b/>
          <w:color w:val="auto"/>
          <w:kern w:val="0"/>
          <w:sz w:val="24"/>
          <w:highlight w:val="none"/>
        </w:rPr>
        <w:t>响应文件的有效期</w:t>
      </w:r>
    </w:p>
    <w:p w14:paraId="6428093E">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4.4.1 响应文件的有效期自开标之日起60日历天。</w:t>
      </w:r>
    </w:p>
    <w:p w14:paraId="7675EA89">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Cs w:val="21"/>
          <w:highlight w:val="none"/>
        </w:rPr>
        <w:t>4.4.2 在原定谈判有效期满之前，如果出现特殊情况，经招标监督管理机构核准，</w:t>
      </w:r>
      <w:r>
        <w:rPr>
          <w:rFonts w:hint="eastAsia" w:asciiTheme="minorEastAsia" w:hAnsiTheme="minorEastAsia" w:eastAsiaTheme="minorEastAsia" w:cstheme="minorEastAsia"/>
          <w:color w:val="auto"/>
          <w:kern w:val="0"/>
          <w:szCs w:val="21"/>
          <w:highlight w:val="none"/>
          <w:lang w:eastAsia="zh-CN"/>
        </w:rPr>
        <w:t>采购代理机构</w:t>
      </w:r>
      <w:r>
        <w:rPr>
          <w:rFonts w:hint="eastAsia" w:asciiTheme="minorEastAsia" w:hAnsiTheme="minorEastAsia" w:eastAsiaTheme="minorEastAsia" w:cstheme="minorEastAsia"/>
          <w:color w:val="auto"/>
          <w:kern w:val="0"/>
          <w:szCs w:val="21"/>
          <w:highlight w:val="none"/>
        </w:rPr>
        <w:t>可以以书面形式向竞谈商提出延长谈判有效期的要求。竞谈商须以书面形式予以答复。竞谈商可以拒绝</w:t>
      </w:r>
      <w:r>
        <w:rPr>
          <w:rFonts w:hint="eastAsia" w:asciiTheme="minorEastAsia" w:hAnsiTheme="minorEastAsia" w:eastAsiaTheme="minorEastAsia" w:cstheme="minorEastAsia"/>
          <w:color w:val="auto"/>
          <w:kern w:val="0"/>
          <w:sz w:val="21"/>
          <w:szCs w:val="21"/>
          <w:highlight w:val="none"/>
        </w:rPr>
        <w:t>这种要求，同意延长谈判有效期的竞谈商不允许修改谈判文件。</w:t>
      </w:r>
    </w:p>
    <w:p w14:paraId="42DE5004">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 xml:space="preserve">4.5 </w:t>
      </w:r>
      <w:r>
        <w:rPr>
          <w:rFonts w:hint="eastAsia" w:asciiTheme="minorEastAsia" w:hAnsiTheme="minorEastAsia" w:eastAsiaTheme="minorEastAsia" w:cstheme="minorEastAsia"/>
          <w:b/>
          <w:color w:val="auto"/>
          <w:kern w:val="0"/>
          <w:sz w:val="21"/>
          <w:szCs w:val="21"/>
          <w:highlight w:val="none"/>
        </w:rPr>
        <w:t>谈判保证金</w:t>
      </w:r>
    </w:p>
    <w:p w14:paraId="105F3F32">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本项目不收取</w:t>
      </w:r>
    </w:p>
    <w:p w14:paraId="6D5B9E16">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4.6</w:t>
      </w:r>
      <w:r>
        <w:rPr>
          <w:rFonts w:hint="eastAsia" w:asciiTheme="minorEastAsia" w:hAnsiTheme="minorEastAsia" w:eastAsiaTheme="minorEastAsia" w:cstheme="minorEastAsia"/>
          <w:b/>
          <w:color w:val="auto"/>
          <w:kern w:val="0"/>
          <w:sz w:val="21"/>
          <w:szCs w:val="21"/>
          <w:highlight w:val="none"/>
        </w:rPr>
        <w:t xml:space="preserve"> 响应文件的修改</w:t>
      </w:r>
    </w:p>
    <w:p w14:paraId="2014B1CD">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4.6.1 单价累计与总价不一致，以单价为准修改总价；</w:t>
      </w:r>
    </w:p>
    <w:p w14:paraId="46A3B8EE">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4.6.2 文字表示的数值与数字表示的数值不一致，以文字表达的数值为准；</w:t>
      </w:r>
    </w:p>
    <w:p w14:paraId="300AFB5C">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4.6.3 文字表述与图形不一致，以文字表述为准。</w:t>
      </w:r>
    </w:p>
    <w:p w14:paraId="1DBEA74A">
      <w:pPr>
        <w:pageBreakBefore w:val="0"/>
        <w:widowControl w:val="0"/>
        <w:kinsoku/>
        <w:wordWrap/>
        <w:overflowPunct/>
        <w:topLinePunct w:val="0"/>
        <w:autoSpaceDE w:val="0"/>
        <w:autoSpaceDN w:val="0"/>
        <w:bidi w:val="0"/>
        <w:adjustRightInd w:val="0"/>
        <w:snapToGrid/>
        <w:spacing w:after="0" w:line="430" w:lineRule="exact"/>
        <w:ind w:firstLine="420" w:firstLineChars="200"/>
        <w:jc w:val="left"/>
        <w:textAlignment w:val="auto"/>
        <w:rPr>
          <w:rFonts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4.7</w:t>
      </w:r>
      <w:r>
        <w:rPr>
          <w:rFonts w:hint="eastAsia" w:asciiTheme="minorEastAsia" w:hAnsiTheme="minorEastAsia" w:eastAsiaTheme="minorEastAsia" w:cstheme="minorEastAsia"/>
          <w:b/>
          <w:color w:val="auto"/>
          <w:kern w:val="0"/>
          <w:sz w:val="21"/>
          <w:szCs w:val="21"/>
          <w:highlight w:val="none"/>
        </w:rPr>
        <w:t xml:space="preserve"> 响应文件的编制要求</w:t>
      </w:r>
    </w:p>
    <w:p w14:paraId="685A151F">
      <w:pPr>
        <w:pageBreakBefore w:val="0"/>
        <w:widowControl w:val="0"/>
        <w:tabs>
          <w:tab w:val="left" w:pos="540"/>
        </w:tabs>
        <w:kinsoku/>
        <w:wordWrap/>
        <w:overflowPunct/>
        <w:topLinePunct w:val="0"/>
        <w:bidi w:val="0"/>
        <w:snapToGrid/>
        <w:spacing w:after="0" w:line="430" w:lineRule="exact"/>
        <w:ind w:firstLine="493"/>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响应</w:t>
      </w:r>
      <w:r>
        <w:rPr>
          <w:rFonts w:hint="eastAsia" w:asciiTheme="minorEastAsia" w:hAnsiTheme="minorEastAsia" w:eastAsiaTheme="minorEastAsia" w:cstheme="minorEastAsia"/>
          <w:color w:val="auto"/>
          <w:kern w:val="0"/>
          <w:szCs w:val="21"/>
          <w:highlight w:val="none"/>
        </w:rPr>
        <w:t>文件应按第</w:t>
      </w:r>
      <w:r>
        <w:rPr>
          <w:rFonts w:hint="eastAsia" w:asciiTheme="minorEastAsia" w:hAnsiTheme="minorEastAsia" w:eastAsiaTheme="minorEastAsia" w:cstheme="minorEastAsia"/>
          <w:color w:val="auto"/>
          <w:kern w:val="0"/>
          <w:szCs w:val="21"/>
          <w:highlight w:val="none"/>
          <w:lang w:eastAsia="zh-CN"/>
        </w:rPr>
        <w:t>五</w:t>
      </w:r>
      <w:r>
        <w:rPr>
          <w:rFonts w:hint="eastAsia" w:asciiTheme="minorEastAsia" w:hAnsiTheme="minorEastAsia" w:eastAsiaTheme="minorEastAsia" w:cstheme="minorEastAsia"/>
          <w:color w:val="auto"/>
          <w:kern w:val="0"/>
          <w:szCs w:val="21"/>
          <w:highlight w:val="none"/>
        </w:rPr>
        <w:t>章“</w:t>
      </w:r>
      <w:r>
        <w:rPr>
          <w:rFonts w:hint="eastAsia" w:asciiTheme="minorEastAsia" w:hAnsiTheme="minorEastAsia" w:eastAsiaTheme="minorEastAsia" w:cstheme="minorEastAsia"/>
          <w:color w:val="auto"/>
          <w:kern w:val="0"/>
          <w:szCs w:val="21"/>
          <w:highlight w:val="none"/>
          <w:lang w:eastAsia="zh-CN"/>
        </w:rPr>
        <w:t>响应</w:t>
      </w:r>
      <w:r>
        <w:rPr>
          <w:rFonts w:hint="eastAsia" w:asciiTheme="minorEastAsia" w:hAnsiTheme="minorEastAsia" w:eastAsiaTheme="minorEastAsia" w:cstheme="minorEastAsia"/>
          <w:color w:val="auto"/>
          <w:kern w:val="0"/>
          <w:szCs w:val="21"/>
          <w:highlight w:val="none"/>
        </w:rPr>
        <w:t>文件格式”进行编写，如有必要，可以增加附页，作为</w:t>
      </w:r>
      <w:r>
        <w:rPr>
          <w:rFonts w:hint="eastAsia" w:asciiTheme="minorEastAsia" w:hAnsiTheme="minorEastAsia" w:eastAsiaTheme="minorEastAsia" w:cstheme="minorEastAsia"/>
          <w:color w:val="auto"/>
          <w:kern w:val="0"/>
          <w:szCs w:val="21"/>
          <w:highlight w:val="none"/>
          <w:lang w:eastAsia="zh-CN"/>
        </w:rPr>
        <w:t>响应</w:t>
      </w:r>
      <w:r>
        <w:rPr>
          <w:rFonts w:hint="eastAsia" w:asciiTheme="minorEastAsia" w:hAnsiTheme="minorEastAsia" w:eastAsiaTheme="minorEastAsia" w:cstheme="minorEastAsia"/>
          <w:color w:val="auto"/>
          <w:kern w:val="0"/>
          <w:szCs w:val="21"/>
          <w:highlight w:val="none"/>
        </w:rPr>
        <w:t>文件的组成部分。投标函在满足</w:t>
      </w:r>
      <w:r>
        <w:rPr>
          <w:rFonts w:hint="eastAsia" w:asciiTheme="minorEastAsia" w:hAnsiTheme="minorEastAsia" w:eastAsiaTheme="minorEastAsia" w:cstheme="minorEastAsia"/>
          <w:color w:val="auto"/>
          <w:kern w:val="0"/>
          <w:szCs w:val="21"/>
          <w:highlight w:val="none"/>
          <w:lang w:eastAsia="zh-CN"/>
        </w:rPr>
        <w:t>竞争性谈判文件</w:t>
      </w:r>
      <w:r>
        <w:rPr>
          <w:rFonts w:hint="eastAsia" w:asciiTheme="minorEastAsia" w:hAnsiTheme="minorEastAsia" w:eastAsiaTheme="minorEastAsia" w:cstheme="minorEastAsia"/>
          <w:color w:val="auto"/>
          <w:kern w:val="0"/>
          <w:szCs w:val="21"/>
          <w:highlight w:val="none"/>
        </w:rPr>
        <w:t>实质性要求的基础上，可以提出比</w:t>
      </w:r>
      <w:r>
        <w:rPr>
          <w:rFonts w:hint="eastAsia" w:asciiTheme="minorEastAsia" w:hAnsiTheme="minorEastAsia" w:eastAsiaTheme="minorEastAsia" w:cstheme="minorEastAsia"/>
          <w:color w:val="auto"/>
          <w:kern w:val="0"/>
          <w:szCs w:val="21"/>
          <w:highlight w:val="none"/>
          <w:lang w:eastAsia="zh-CN"/>
        </w:rPr>
        <w:t>竞争性谈判</w:t>
      </w:r>
      <w:r>
        <w:rPr>
          <w:rFonts w:hint="eastAsia" w:asciiTheme="minorEastAsia" w:hAnsiTheme="minorEastAsia" w:eastAsiaTheme="minorEastAsia" w:cstheme="minorEastAsia"/>
          <w:color w:val="auto"/>
          <w:kern w:val="0"/>
          <w:szCs w:val="21"/>
          <w:highlight w:val="none"/>
        </w:rPr>
        <w:t>文件要求更有利于</w:t>
      </w:r>
      <w:r>
        <w:rPr>
          <w:rFonts w:hint="eastAsia" w:asciiTheme="minorEastAsia" w:hAnsiTheme="minorEastAsia" w:eastAsiaTheme="minorEastAsia" w:cstheme="minorEastAsia"/>
          <w:color w:val="auto"/>
          <w:kern w:val="0"/>
          <w:szCs w:val="21"/>
          <w:highlight w:val="none"/>
          <w:lang w:eastAsia="zh-CN"/>
        </w:rPr>
        <w:t>采购人</w:t>
      </w:r>
      <w:r>
        <w:rPr>
          <w:rFonts w:hint="eastAsia" w:asciiTheme="minorEastAsia" w:hAnsiTheme="minorEastAsia" w:eastAsiaTheme="minorEastAsia" w:cstheme="minorEastAsia"/>
          <w:color w:val="auto"/>
          <w:kern w:val="0"/>
          <w:szCs w:val="21"/>
          <w:highlight w:val="none"/>
        </w:rPr>
        <w:t>的承诺。</w:t>
      </w:r>
    </w:p>
    <w:p w14:paraId="213603EA">
      <w:pPr>
        <w:pageBreakBefore w:val="0"/>
        <w:widowControl w:val="0"/>
        <w:kinsoku/>
        <w:wordWrap/>
        <w:overflowPunct/>
        <w:topLinePunct w:val="0"/>
        <w:autoSpaceDE w:val="0"/>
        <w:autoSpaceDN w:val="0"/>
        <w:bidi w:val="0"/>
        <w:adjustRightInd w:val="0"/>
        <w:snapToGrid/>
        <w:spacing w:after="0" w:line="430" w:lineRule="exact"/>
        <w:ind w:firstLine="422" w:firstLineChars="200"/>
        <w:jc w:val="left"/>
        <w:textAlignment w:val="auto"/>
        <w:rPr>
          <w:rFonts w:hint="eastAsia" w:asciiTheme="minorEastAsia" w:hAnsiTheme="minorEastAsia" w:eastAsiaTheme="minorEastAsia" w:cstheme="minorEastAsia"/>
          <w:b/>
          <w:bCs w:val="0"/>
          <w:color w:val="auto"/>
          <w:kern w:val="0"/>
          <w:sz w:val="21"/>
          <w:szCs w:val="21"/>
          <w:highlight w:val="none"/>
        </w:rPr>
      </w:pPr>
      <w:bookmarkStart w:id="50" w:name="_Toc21366"/>
      <w:bookmarkStart w:id="51" w:name="_Toc335435038"/>
      <w:bookmarkStart w:id="52" w:name="_Toc281744725"/>
      <w:bookmarkStart w:id="53" w:name="_Toc335435265"/>
      <w:bookmarkStart w:id="54" w:name="_Toc80"/>
      <w:bookmarkStart w:id="55" w:name="_Toc15524"/>
      <w:bookmarkStart w:id="56" w:name="_Toc16172916"/>
      <w:bookmarkStart w:id="57" w:name="_Toc335902127"/>
      <w:bookmarkStart w:id="58" w:name="_Toc13621"/>
      <w:r>
        <w:rPr>
          <w:rFonts w:hint="eastAsia" w:asciiTheme="minorEastAsia" w:hAnsiTheme="minorEastAsia" w:eastAsiaTheme="minorEastAsia" w:cstheme="minorEastAsia"/>
          <w:b/>
          <w:bCs w:val="0"/>
          <w:color w:val="auto"/>
          <w:kern w:val="0"/>
          <w:sz w:val="21"/>
          <w:szCs w:val="21"/>
          <w:highlight w:val="none"/>
          <w:lang w:val="en-US" w:eastAsia="zh-CN"/>
        </w:rPr>
        <w:t>4.8</w:t>
      </w:r>
      <w:r>
        <w:rPr>
          <w:rFonts w:hint="eastAsia" w:asciiTheme="minorEastAsia" w:hAnsiTheme="minorEastAsia" w:eastAsiaTheme="minorEastAsia" w:cstheme="minorEastAsia"/>
          <w:b/>
          <w:bCs w:val="0"/>
          <w:color w:val="auto"/>
          <w:kern w:val="0"/>
          <w:sz w:val="21"/>
          <w:szCs w:val="21"/>
          <w:highlight w:val="none"/>
          <w:lang w:eastAsia="zh-CN"/>
        </w:rPr>
        <w:t>响应</w:t>
      </w:r>
      <w:r>
        <w:rPr>
          <w:rFonts w:hint="eastAsia" w:asciiTheme="minorEastAsia" w:hAnsiTheme="minorEastAsia" w:eastAsiaTheme="minorEastAsia" w:cstheme="minorEastAsia"/>
          <w:b/>
          <w:bCs w:val="0"/>
          <w:color w:val="auto"/>
          <w:kern w:val="0"/>
          <w:sz w:val="21"/>
          <w:szCs w:val="21"/>
          <w:highlight w:val="none"/>
        </w:rPr>
        <w:t>文件的印制和签署</w:t>
      </w:r>
    </w:p>
    <w:p w14:paraId="1FF49BF2">
      <w:pPr>
        <w:pageBreakBefore w:val="0"/>
        <w:widowControl w:val="0"/>
        <w:tabs>
          <w:tab w:val="left" w:pos="540"/>
        </w:tabs>
        <w:kinsoku/>
        <w:wordWrap/>
        <w:overflowPunct/>
        <w:topLinePunct w:val="0"/>
        <w:bidi w:val="0"/>
        <w:snapToGrid/>
        <w:spacing w:after="0" w:line="430" w:lineRule="exact"/>
        <w:ind w:firstLine="493"/>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4.8</w:t>
      </w:r>
      <w:r>
        <w:rPr>
          <w:rFonts w:hint="eastAsia" w:asciiTheme="minorEastAsia" w:hAnsiTheme="minorEastAsia" w:eastAsiaTheme="minorEastAsia" w:cstheme="minorEastAsia"/>
          <w:color w:val="auto"/>
          <w:kern w:val="0"/>
          <w:szCs w:val="21"/>
          <w:highlight w:val="none"/>
        </w:rPr>
        <w:t>.1电子化</w:t>
      </w:r>
      <w:r>
        <w:rPr>
          <w:rFonts w:hint="eastAsia" w:asciiTheme="minorEastAsia" w:hAnsiTheme="minorEastAsia" w:eastAsiaTheme="minorEastAsia" w:cstheme="minorEastAsia"/>
          <w:color w:val="auto"/>
          <w:kern w:val="0"/>
          <w:szCs w:val="21"/>
          <w:highlight w:val="none"/>
          <w:lang w:eastAsia="zh-CN"/>
        </w:rPr>
        <w:t>响应</w:t>
      </w:r>
      <w:r>
        <w:rPr>
          <w:rFonts w:hint="eastAsia" w:asciiTheme="minorEastAsia" w:hAnsiTheme="minorEastAsia" w:eastAsiaTheme="minorEastAsia" w:cstheme="minorEastAsia"/>
          <w:color w:val="auto"/>
          <w:kern w:val="0"/>
          <w:szCs w:val="21"/>
          <w:highlight w:val="none"/>
        </w:rPr>
        <w:t>文件的签章</w:t>
      </w:r>
    </w:p>
    <w:p w14:paraId="7C51EC1D">
      <w:pPr>
        <w:pageBreakBefore w:val="0"/>
        <w:widowControl w:val="0"/>
        <w:tabs>
          <w:tab w:val="left" w:pos="540"/>
        </w:tabs>
        <w:kinsoku/>
        <w:wordWrap/>
        <w:overflowPunct/>
        <w:topLinePunct w:val="0"/>
        <w:bidi w:val="0"/>
        <w:snapToGrid/>
        <w:spacing w:after="0" w:line="430" w:lineRule="exact"/>
        <w:ind w:firstLine="493"/>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4.8.1</w:t>
      </w:r>
      <w:r>
        <w:rPr>
          <w:rFonts w:hint="eastAsia" w:asciiTheme="minorEastAsia" w:hAnsiTheme="minorEastAsia" w:eastAsiaTheme="minorEastAsia" w:cstheme="minorEastAsia"/>
          <w:color w:val="auto"/>
          <w:kern w:val="0"/>
          <w:szCs w:val="21"/>
          <w:highlight w:val="none"/>
        </w:rPr>
        <w:t>.1供应商在生成电子化</w:t>
      </w:r>
      <w:r>
        <w:rPr>
          <w:rFonts w:hint="eastAsia" w:asciiTheme="minorEastAsia" w:hAnsiTheme="minorEastAsia" w:eastAsiaTheme="minorEastAsia" w:cstheme="minorEastAsia"/>
          <w:color w:val="auto"/>
          <w:kern w:val="0"/>
          <w:szCs w:val="21"/>
          <w:highlight w:val="none"/>
          <w:lang w:eastAsia="zh-CN"/>
        </w:rPr>
        <w:t>响应</w:t>
      </w:r>
      <w:r>
        <w:rPr>
          <w:rFonts w:hint="eastAsia" w:asciiTheme="minorEastAsia" w:hAnsiTheme="minorEastAsia" w:eastAsiaTheme="minorEastAsia" w:cstheme="minorEastAsia"/>
          <w:color w:val="auto"/>
          <w:kern w:val="0"/>
          <w:szCs w:val="21"/>
          <w:highlight w:val="none"/>
        </w:rPr>
        <w:t>文件后，应对电子化</w:t>
      </w:r>
      <w:r>
        <w:rPr>
          <w:rFonts w:hint="eastAsia" w:asciiTheme="minorEastAsia" w:hAnsiTheme="minorEastAsia" w:eastAsiaTheme="minorEastAsia" w:cstheme="minorEastAsia"/>
          <w:color w:val="auto"/>
          <w:kern w:val="0"/>
          <w:szCs w:val="21"/>
          <w:highlight w:val="none"/>
          <w:lang w:eastAsia="zh-CN"/>
        </w:rPr>
        <w:t>响应</w:t>
      </w:r>
      <w:r>
        <w:rPr>
          <w:rFonts w:hint="eastAsia" w:asciiTheme="minorEastAsia" w:hAnsiTheme="minorEastAsia" w:eastAsiaTheme="minorEastAsia" w:cstheme="minorEastAsia"/>
          <w:color w:val="auto"/>
          <w:kern w:val="0"/>
          <w:szCs w:val="21"/>
          <w:highlight w:val="none"/>
        </w:rPr>
        <w:t>文件进行签章，未进行签章的视为无效投标。</w:t>
      </w:r>
    </w:p>
    <w:p w14:paraId="59CDC26F">
      <w:pPr>
        <w:keepNext w:val="0"/>
        <w:keepLines w:val="0"/>
        <w:pageBreakBefore w:val="0"/>
        <w:widowControl w:val="0"/>
        <w:tabs>
          <w:tab w:val="left" w:pos="540"/>
        </w:tabs>
        <w:kinsoku/>
        <w:wordWrap/>
        <w:overflowPunct/>
        <w:topLinePunct w:val="0"/>
        <w:autoSpaceDE/>
        <w:autoSpaceDN/>
        <w:bidi w:val="0"/>
        <w:adjustRightInd w:val="0"/>
        <w:snapToGrid/>
        <w:spacing w:line="48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4.8.1</w:t>
      </w: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竞争性谈判</w:t>
      </w:r>
      <w:r>
        <w:rPr>
          <w:rFonts w:hint="eastAsia" w:asciiTheme="minorEastAsia" w:hAnsiTheme="minorEastAsia" w:eastAsiaTheme="minorEastAsia" w:cstheme="minorEastAsia"/>
          <w:color w:val="auto"/>
          <w:kern w:val="0"/>
          <w:szCs w:val="21"/>
          <w:highlight w:val="none"/>
        </w:rPr>
        <w:t>文件中要求法定代表人或授权委托人签字或盖章的，供应商在进行电子化</w:t>
      </w:r>
      <w:r>
        <w:rPr>
          <w:rFonts w:hint="eastAsia" w:asciiTheme="minorEastAsia" w:hAnsiTheme="minorEastAsia" w:eastAsiaTheme="minorEastAsia" w:cstheme="minorEastAsia"/>
          <w:color w:val="auto"/>
          <w:kern w:val="0"/>
          <w:szCs w:val="21"/>
          <w:highlight w:val="none"/>
          <w:lang w:eastAsia="zh-CN"/>
        </w:rPr>
        <w:t>响应</w:t>
      </w:r>
      <w:r>
        <w:rPr>
          <w:rFonts w:hint="eastAsia" w:asciiTheme="minorEastAsia" w:hAnsiTheme="minorEastAsia" w:eastAsiaTheme="minorEastAsia" w:cstheme="minorEastAsia"/>
          <w:color w:val="auto"/>
          <w:kern w:val="0"/>
          <w:szCs w:val="21"/>
          <w:highlight w:val="none"/>
        </w:rPr>
        <w:t>文件签章时，以签盖法定代表人签章为准。电子化</w:t>
      </w:r>
      <w:r>
        <w:rPr>
          <w:rFonts w:hint="eastAsia" w:asciiTheme="minorEastAsia" w:hAnsiTheme="minorEastAsia" w:eastAsiaTheme="minorEastAsia" w:cstheme="minorEastAsia"/>
          <w:color w:val="auto"/>
          <w:kern w:val="0"/>
          <w:szCs w:val="21"/>
          <w:highlight w:val="none"/>
          <w:lang w:eastAsia="zh-CN"/>
        </w:rPr>
        <w:t>响应</w:t>
      </w:r>
      <w:r>
        <w:rPr>
          <w:rFonts w:hint="eastAsia" w:asciiTheme="minorEastAsia" w:hAnsiTheme="minorEastAsia" w:eastAsiaTheme="minorEastAsia" w:cstheme="minorEastAsia"/>
          <w:color w:val="auto"/>
          <w:kern w:val="0"/>
          <w:szCs w:val="21"/>
          <w:highlight w:val="none"/>
        </w:rPr>
        <w:t>文件具体制作教材请供应商通过CA证书登录平顶山市公共资源电子化交易系统在右上角“组建下载”中查看。</w:t>
      </w:r>
      <w:bookmarkStart w:id="59" w:name="_Toc13209"/>
      <w:bookmarkStart w:id="60" w:name="_Toc1251"/>
      <w:bookmarkStart w:id="61" w:name="_Toc8041"/>
      <w:bookmarkStart w:id="62" w:name="_Toc11631"/>
      <w:bookmarkStart w:id="63" w:name="_Toc6464"/>
    </w:p>
    <w:p w14:paraId="2C211ECE">
      <w:pPr>
        <w:pageBreakBefore w:val="0"/>
        <w:widowControl w:val="0"/>
        <w:kinsoku/>
        <w:wordWrap/>
        <w:overflowPunct/>
        <w:topLinePunct w:val="0"/>
        <w:autoSpaceDE w:val="0"/>
        <w:autoSpaceDN w:val="0"/>
        <w:bidi w:val="0"/>
        <w:adjustRightInd w:val="0"/>
        <w:snapToGrid/>
        <w:spacing w:after="0" w:line="430" w:lineRule="exact"/>
        <w:ind w:firstLine="422" w:firstLineChars="200"/>
        <w:jc w:val="left"/>
        <w:textAlignment w:val="auto"/>
        <w:rPr>
          <w:rFonts w:hint="eastAsia" w:asciiTheme="minorEastAsia" w:hAnsiTheme="minorEastAsia" w:eastAsiaTheme="minorEastAsia" w:cstheme="minorEastAsia"/>
          <w:b/>
          <w:bCs w:val="0"/>
          <w:color w:val="auto"/>
          <w:kern w:val="0"/>
          <w:sz w:val="21"/>
          <w:szCs w:val="21"/>
          <w:highlight w:val="none"/>
          <w:lang w:val="en-US" w:eastAsia="zh-CN"/>
        </w:rPr>
      </w:pPr>
      <w:r>
        <w:rPr>
          <w:rFonts w:hint="eastAsia" w:asciiTheme="minorEastAsia" w:hAnsiTheme="minorEastAsia" w:eastAsiaTheme="minorEastAsia" w:cstheme="minorEastAsia"/>
          <w:b/>
          <w:bCs w:val="0"/>
          <w:color w:val="auto"/>
          <w:kern w:val="0"/>
          <w:sz w:val="21"/>
          <w:szCs w:val="21"/>
          <w:highlight w:val="none"/>
          <w:lang w:val="en-US" w:eastAsia="zh-CN"/>
        </w:rPr>
        <w:t>4.9电子化投标文件的格式及上传投标</w:t>
      </w:r>
    </w:p>
    <w:p w14:paraId="4FB2CDF0">
      <w:pPr>
        <w:pageBreakBefore w:val="0"/>
        <w:widowControl w:val="0"/>
        <w:tabs>
          <w:tab w:val="left" w:pos="540"/>
        </w:tabs>
        <w:kinsoku/>
        <w:wordWrap/>
        <w:overflowPunct/>
        <w:topLinePunct w:val="0"/>
        <w:bidi w:val="0"/>
        <w:snapToGrid/>
        <w:spacing w:after="0" w:line="430" w:lineRule="exact"/>
        <w:ind w:firstLine="493"/>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17.1</w:t>
      </w:r>
      <w:r>
        <w:rPr>
          <w:rFonts w:hint="eastAsia" w:asciiTheme="minorEastAsia" w:hAnsiTheme="minorEastAsia" w:eastAsiaTheme="minorEastAsia" w:cstheme="minorEastAsia"/>
          <w:color w:val="auto"/>
          <w:kern w:val="0"/>
          <w:szCs w:val="21"/>
          <w:highlight w:val="none"/>
          <w:lang w:eastAsia="zh-CN"/>
        </w:rPr>
        <w:t>投标人</w:t>
      </w:r>
      <w:r>
        <w:rPr>
          <w:rFonts w:hint="eastAsia" w:asciiTheme="minorEastAsia" w:hAnsiTheme="minorEastAsia" w:eastAsiaTheme="minorEastAsia" w:cstheme="minorEastAsia"/>
          <w:color w:val="auto"/>
          <w:kern w:val="0"/>
          <w:szCs w:val="21"/>
          <w:highlight w:val="none"/>
        </w:rPr>
        <w:t>所上传的电子化投标文件，应是通过中心投标文件制作系统制作的，经过签章和加密后生成的电子版投标文件。生成的电子版投标文件包含用于投标文件上传的主文件（项目文件格式为：xxx公司_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w:t>
      </w:r>
      <w:r>
        <w:rPr>
          <w:rFonts w:hint="eastAsia" w:asciiTheme="minorEastAsia" w:hAnsiTheme="minorEastAsia" w:eastAsiaTheme="minorEastAsia" w:cstheme="minorEastAsia"/>
          <w:color w:val="auto"/>
          <w:kern w:val="0"/>
          <w:szCs w:val="21"/>
          <w:highlight w:val="none"/>
          <w:lang w:eastAsia="zh-CN"/>
        </w:rPr>
        <w:t>投标人</w:t>
      </w:r>
      <w:r>
        <w:rPr>
          <w:rFonts w:hint="eastAsia" w:asciiTheme="minorEastAsia" w:hAnsiTheme="minorEastAsia" w:eastAsiaTheme="minorEastAsia" w:cstheme="minorEastAsia"/>
          <w:color w:val="auto"/>
          <w:kern w:val="0"/>
          <w:szCs w:val="21"/>
          <w:highlight w:val="none"/>
        </w:rPr>
        <w:t>随身携带。</w:t>
      </w:r>
    </w:p>
    <w:bookmarkEnd w:id="59"/>
    <w:bookmarkEnd w:id="60"/>
    <w:bookmarkEnd w:id="61"/>
    <w:bookmarkEnd w:id="62"/>
    <w:bookmarkEnd w:id="63"/>
    <w:p w14:paraId="133E6B4B">
      <w:pPr>
        <w:pageBreakBefore w:val="0"/>
        <w:widowControl w:val="0"/>
        <w:tabs>
          <w:tab w:val="left" w:pos="540"/>
        </w:tabs>
        <w:kinsoku/>
        <w:wordWrap/>
        <w:overflowPunct/>
        <w:topLinePunct w:val="0"/>
        <w:bidi w:val="0"/>
        <w:snapToGrid/>
        <w:spacing w:after="0" w:line="430" w:lineRule="exact"/>
        <w:ind w:firstLine="493"/>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注：</w:t>
      </w:r>
      <w:r>
        <w:rPr>
          <w:rFonts w:hint="eastAsia" w:asciiTheme="minorEastAsia" w:hAnsiTheme="minorEastAsia" w:eastAsiaTheme="minorEastAsia" w:cstheme="minorEastAsia"/>
          <w:color w:val="auto"/>
          <w:kern w:val="0"/>
          <w:szCs w:val="21"/>
          <w:highlight w:val="none"/>
          <w:lang w:eastAsia="zh-CN"/>
        </w:rPr>
        <w:t>投标人</w:t>
      </w:r>
      <w:r>
        <w:rPr>
          <w:rFonts w:hint="eastAsia" w:asciiTheme="minorEastAsia" w:hAnsiTheme="minorEastAsia" w:eastAsiaTheme="minorEastAsia" w:cstheme="minorEastAsia"/>
          <w:color w:val="auto"/>
          <w:kern w:val="0"/>
          <w:szCs w:val="21"/>
          <w:highlight w:val="none"/>
        </w:rPr>
        <w:t>投报多个标段的，根据标段制作各个标段的投标文件后上传</w:t>
      </w:r>
    </w:p>
    <w:p w14:paraId="582B6D56">
      <w:pPr>
        <w:pageBreakBefore w:val="0"/>
        <w:widowControl w:val="0"/>
        <w:tabs>
          <w:tab w:val="left" w:pos="540"/>
        </w:tabs>
        <w:kinsoku/>
        <w:wordWrap/>
        <w:overflowPunct/>
        <w:topLinePunct w:val="0"/>
        <w:bidi w:val="0"/>
        <w:snapToGrid/>
        <w:spacing w:after="0" w:line="430" w:lineRule="exact"/>
        <w:ind w:firstLine="493"/>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17.2电子化投标文件应在投标截止时间前成功上传至平顶山市公共资源电子化交易系统。至投标截止时间止，仍未上传成功的电子化投标文件将不予接收。</w:t>
      </w:r>
    </w:p>
    <w:p w14:paraId="16ED697C">
      <w:pPr>
        <w:pageBreakBefore w:val="0"/>
        <w:widowControl w:val="0"/>
        <w:tabs>
          <w:tab w:val="left" w:pos="540"/>
        </w:tabs>
        <w:kinsoku/>
        <w:wordWrap/>
        <w:overflowPunct/>
        <w:topLinePunct w:val="0"/>
        <w:bidi w:val="0"/>
        <w:snapToGrid/>
        <w:spacing w:after="0" w:line="430" w:lineRule="exact"/>
        <w:ind w:firstLine="493"/>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注：如按照电子化投标操作教材制作完成的电子化投标文件无法上传的，</w:t>
      </w:r>
      <w:r>
        <w:rPr>
          <w:rFonts w:hint="eastAsia" w:asciiTheme="minorEastAsia" w:hAnsiTheme="minorEastAsia" w:eastAsiaTheme="minorEastAsia" w:cstheme="minorEastAsia"/>
          <w:color w:val="auto"/>
          <w:kern w:val="0"/>
          <w:szCs w:val="21"/>
          <w:highlight w:val="none"/>
          <w:lang w:eastAsia="zh-CN"/>
        </w:rPr>
        <w:t>投标人</w:t>
      </w:r>
      <w:r>
        <w:rPr>
          <w:rFonts w:hint="eastAsia" w:asciiTheme="minorEastAsia" w:hAnsiTheme="minorEastAsia" w:eastAsiaTheme="minorEastAsia" w:cstheme="minorEastAsia"/>
          <w:color w:val="auto"/>
          <w:kern w:val="0"/>
          <w:szCs w:val="21"/>
          <w:highlight w:val="none"/>
        </w:rPr>
        <w:t>应在投标截止时间前尽早的联系中心技术人员，以便有充分的时间进行处理。</w:t>
      </w:r>
      <w:r>
        <w:rPr>
          <w:rFonts w:hint="eastAsia" w:asciiTheme="minorEastAsia" w:hAnsiTheme="minorEastAsia" w:eastAsiaTheme="minorEastAsia" w:cstheme="minorEastAsia"/>
          <w:color w:val="auto"/>
          <w:kern w:val="0"/>
          <w:szCs w:val="21"/>
          <w:highlight w:val="none"/>
          <w:lang w:eastAsia="zh-CN"/>
        </w:rPr>
        <w:t>投标人</w:t>
      </w:r>
      <w:r>
        <w:rPr>
          <w:rFonts w:hint="eastAsia" w:asciiTheme="minorEastAsia" w:hAnsiTheme="minorEastAsia" w:eastAsiaTheme="minorEastAsia" w:cstheme="minorEastAsia"/>
          <w:color w:val="auto"/>
          <w:kern w:val="0"/>
          <w:szCs w:val="21"/>
          <w:highlight w:val="none"/>
        </w:rPr>
        <w:t>应充分考虑到处理技术问题和上传数据等工作所需的时间问题，投标文件未在投标截止时间前成功上传的，其投标文件不予接收。</w:t>
      </w:r>
    </w:p>
    <w:p w14:paraId="59485C46">
      <w:pPr>
        <w:pStyle w:val="2"/>
        <w:pageBreakBefore w:val="0"/>
        <w:widowControl w:val="0"/>
        <w:kinsoku/>
        <w:wordWrap/>
        <w:overflowPunct/>
        <w:topLinePunct w:val="0"/>
        <w:bidi w:val="0"/>
        <w:snapToGrid/>
        <w:spacing w:before="0" w:after="0" w:line="430" w:lineRule="exact"/>
        <w:textAlignment w:val="auto"/>
        <w:rPr>
          <w:rFonts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五、谈判程序</w:t>
      </w:r>
      <w:bookmarkEnd w:id="50"/>
      <w:bookmarkEnd w:id="51"/>
      <w:bookmarkEnd w:id="52"/>
      <w:bookmarkEnd w:id="53"/>
      <w:bookmarkEnd w:id="54"/>
      <w:bookmarkEnd w:id="55"/>
      <w:bookmarkEnd w:id="56"/>
      <w:bookmarkEnd w:id="57"/>
      <w:bookmarkEnd w:id="58"/>
    </w:p>
    <w:p w14:paraId="6EAB2128">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5.1谈判小组的组成：谈判小组依法组建，谈判小组由采购人代表和评审专家组成，成员人数应当为3人以上单数，其中评审专家不得少于成员总人</w:t>
      </w:r>
      <w:r>
        <w:rPr>
          <w:rFonts w:hint="eastAsia" w:asciiTheme="minorEastAsia" w:hAnsiTheme="minorEastAsia" w:eastAsiaTheme="minorEastAsia" w:cstheme="minorEastAsia"/>
          <w:color w:val="auto"/>
          <w:szCs w:val="21"/>
          <w:highlight w:val="none"/>
        </w:rPr>
        <w:t>数的三分之二。</w:t>
      </w:r>
      <w:r>
        <w:rPr>
          <w:rFonts w:hint="eastAsia" w:asciiTheme="minorEastAsia" w:hAnsiTheme="minorEastAsia" w:eastAsiaTheme="minorEastAsia" w:cstheme="minorEastAsia"/>
          <w:color w:val="auto"/>
          <w:kern w:val="0"/>
          <w:szCs w:val="21"/>
          <w:highlight w:val="none"/>
        </w:rPr>
        <w:t>谈判小组依据本谈判文件独立完成评审工作，任何人不得干预谈判小组的正常工作。谈判小组的具体职责和权力是：</w:t>
      </w:r>
    </w:p>
    <w:p w14:paraId="0DA90A8E">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5.1.1根据采购项目内容要求，制定供应方案，确定谈判内容和谈判组织形式；</w:t>
      </w:r>
    </w:p>
    <w:p w14:paraId="1D26C27C">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5.1.2审阅竞争性谈判响应文件，有权决定竞谈商是否具有谈判资格；</w:t>
      </w:r>
    </w:p>
    <w:p w14:paraId="328FEDC5">
      <w:pPr>
        <w:pageBreakBefore w:val="0"/>
        <w:widowControl w:val="0"/>
        <w:tabs>
          <w:tab w:val="left" w:pos="540"/>
        </w:tabs>
        <w:kinsoku/>
        <w:wordWrap/>
        <w:overflowPunct/>
        <w:topLinePunct w:val="0"/>
        <w:bidi w:val="0"/>
        <w:snapToGrid/>
        <w:spacing w:after="0" w:line="430" w:lineRule="exact"/>
        <w:ind w:firstLine="493"/>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5.1.3在谈判的基础上，提出需要竞谈商澄清、承诺的具体内容，决定经过谈判后进入下一轮谈判和最终报价的竞谈商名单；</w:t>
      </w:r>
    </w:p>
    <w:p w14:paraId="3D108F63">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5.1.4对谈判情况进行综合比较，编写竞争性谈判结果报告，推荐预成交单位名单；</w:t>
      </w:r>
    </w:p>
    <w:p w14:paraId="224355C6">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5.1.5谈判小组意见的收集采取</w:t>
      </w:r>
      <w:r>
        <w:rPr>
          <w:rFonts w:hint="eastAsia" w:asciiTheme="minorEastAsia" w:hAnsiTheme="minorEastAsia" w:eastAsiaTheme="minorEastAsia" w:cstheme="minorEastAsia"/>
          <w:color w:val="auto"/>
          <w:szCs w:val="21"/>
          <w:highlight w:val="none"/>
        </w:rPr>
        <w:t>简单多数有效的原则进行。</w:t>
      </w:r>
    </w:p>
    <w:p w14:paraId="4241062E">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5.2谈判程序：</w:t>
      </w:r>
    </w:p>
    <w:p w14:paraId="536F884B">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5.2.1资格审查：按“二、资格审查”要求进行。</w:t>
      </w:r>
    </w:p>
    <w:p w14:paraId="7617705D">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符合谈判文件要求的进入下面的谈判：</w:t>
      </w:r>
    </w:p>
    <w:p w14:paraId="1B9FB594">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5.2.2报价谈判：</w:t>
      </w:r>
    </w:p>
    <w:p w14:paraId="610D03E6">
      <w:pPr>
        <w:pageBreakBefore w:val="0"/>
        <w:widowControl w:val="0"/>
        <w:tabs>
          <w:tab w:val="left" w:pos="540"/>
        </w:tabs>
        <w:kinsoku/>
        <w:wordWrap/>
        <w:overflowPunct/>
        <w:topLinePunct w:val="0"/>
        <w:bidi w:val="0"/>
        <w:snapToGrid/>
        <w:spacing w:after="0" w:line="430" w:lineRule="exact"/>
        <w:ind w:firstLine="493"/>
        <w:jc w:val="left"/>
        <w:textAlignment w:val="auto"/>
        <w:rPr>
          <w:rFonts w:hint="eastAsia" w:asciiTheme="minorEastAsia" w:hAnsiTheme="minorEastAsia" w:eastAsiaTheme="minorEastAsia" w:cstheme="minorEastAsia"/>
          <w:color w:val="auto"/>
          <w:szCs w:val="21"/>
          <w:highlight w:val="none"/>
          <w:lang w:val="en-US" w:eastAsia="zh-CN"/>
        </w:rPr>
      </w:pPr>
      <w:bookmarkStart w:id="64" w:name="_Toc30135"/>
      <w:bookmarkStart w:id="65" w:name="_Toc18184"/>
      <w:bookmarkStart w:id="66" w:name="_Toc335435266"/>
      <w:bookmarkStart w:id="67" w:name="_Toc335435039"/>
      <w:bookmarkStart w:id="68" w:name="_Toc281744726"/>
      <w:bookmarkStart w:id="69" w:name="_Toc335902128"/>
      <w:bookmarkStart w:id="70" w:name="_Toc27476"/>
      <w:bookmarkStart w:id="71" w:name="_Toc7390"/>
      <w:r>
        <w:rPr>
          <w:rFonts w:hint="eastAsia" w:asciiTheme="minorEastAsia" w:hAnsiTheme="minorEastAsia" w:eastAsiaTheme="minorEastAsia" w:cstheme="minorEastAsia"/>
          <w:color w:val="auto"/>
          <w:szCs w:val="21"/>
          <w:highlight w:val="none"/>
        </w:rPr>
        <w:t>5.2.2.</w:t>
      </w:r>
      <w:r>
        <w:rPr>
          <w:rFonts w:hint="eastAsia" w:asciiTheme="minorEastAsia" w:hAnsiTheme="minorEastAsia" w:eastAsiaTheme="minorEastAsia" w:cstheme="minorEastAsia"/>
          <w:color w:val="auto"/>
          <w:szCs w:val="21"/>
          <w:highlight w:val="none"/>
          <w:lang w:val="en-US" w:eastAsia="zh-CN"/>
        </w:rPr>
        <w:t>1谈判小组集中与单一供应商分别进行谈判。谈判顺序按照交易平台默认顺序进行谈判，在谈判中，谈判双方可以就谈判项目所涉及的价格、技术、服务等进行实质性谈判，但谈判的任何一方不得透露与谈判有关的其他供应商的商业秘密、技术资料、价格和其他信息，不得变动谈判文件中的其他内容。</w:t>
      </w:r>
      <w:r>
        <w:rPr>
          <w:rFonts w:hint="eastAsia" w:asciiTheme="minorEastAsia" w:hAnsiTheme="minorEastAsia" w:eastAsiaTheme="minorEastAsia" w:cstheme="minorEastAsia"/>
          <w:color w:val="auto"/>
          <w:szCs w:val="21"/>
          <w:highlight w:val="none"/>
        </w:rPr>
        <w:t>对谈判后方案明显不能满足谈判文件要求的，谈判小组有权拒绝，不再进行价格谈判。</w:t>
      </w:r>
    </w:p>
    <w:p w14:paraId="0C9FF36C">
      <w:pPr>
        <w:pageBreakBefore w:val="0"/>
        <w:widowControl w:val="0"/>
        <w:tabs>
          <w:tab w:val="left" w:pos="540"/>
        </w:tabs>
        <w:kinsoku/>
        <w:wordWrap/>
        <w:overflowPunct/>
        <w:topLinePunct w:val="0"/>
        <w:bidi w:val="0"/>
        <w:snapToGrid/>
        <w:spacing w:after="0" w:line="430" w:lineRule="exact"/>
        <w:ind w:firstLine="493"/>
        <w:jc w:val="left"/>
        <w:textAlignment w:val="auto"/>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5.2.2.</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谈判小组对竞谈商的谈判报价进行二次谈判，谈判响应文件中的报价为初次报价；谈判小组和各竞谈商再进行一次谈判</w:t>
      </w:r>
      <w:r>
        <w:rPr>
          <w:rFonts w:hint="eastAsia" w:asciiTheme="minorEastAsia" w:hAnsiTheme="minorEastAsia" w:eastAsiaTheme="minorEastAsia" w:cstheme="minorEastAsia"/>
          <w:color w:val="auto"/>
          <w:szCs w:val="21"/>
          <w:highlight w:val="none"/>
          <w:lang w:eastAsia="zh-CN"/>
        </w:rPr>
        <w:t>（最终报价）</w:t>
      </w:r>
      <w:r>
        <w:rPr>
          <w:rFonts w:hint="eastAsia" w:asciiTheme="minorEastAsia" w:hAnsiTheme="minorEastAsia" w:eastAsiaTheme="minorEastAsia" w:cstheme="minorEastAsia"/>
          <w:color w:val="auto"/>
          <w:szCs w:val="21"/>
          <w:highlight w:val="none"/>
        </w:rPr>
        <w:t>。竞谈商最后一次谈判确定的报价作为最终报价。</w:t>
      </w:r>
    </w:p>
    <w:p w14:paraId="382315A8">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5.3在谈判过程中谈判的任何一方不得向他人透露与谈判有关的技术资料、价格或其他信息。</w:t>
      </w:r>
    </w:p>
    <w:p w14:paraId="4F63F2B1">
      <w:pPr>
        <w:pageBreakBefore w:val="0"/>
        <w:widowControl w:val="0"/>
        <w:kinsoku/>
        <w:wordWrap/>
        <w:overflowPunct/>
        <w:topLinePunct w:val="0"/>
        <w:bidi w:val="0"/>
        <w:snapToGrid/>
        <w:spacing w:after="0" w:line="430" w:lineRule="exact"/>
        <w:ind w:firstLine="420" w:firstLineChars="200"/>
        <w:textAlignment w:val="auto"/>
        <w:rPr>
          <w:rFonts w:hint="eastAsia" w:ascii="宋体" w:hAnsi="宋体"/>
          <w:color w:val="auto"/>
          <w:sz w:val="24"/>
          <w:highlight w:val="none"/>
        </w:rPr>
      </w:pPr>
      <w:r>
        <w:rPr>
          <w:rFonts w:hint="eastAsia" w:asciiTheme="minorEastAsia" w:hAnsiTheme="minorEastAsia" w:eastAsiaTheme="minorEastAsia" w:cstheme="minorEastAsia"/>
          <w:color w:val="auto"/>
          <w:szCs w:val="21"/>
          <w:highlight w:val="none"/>
        </w:rPr>
        <w:t>5.4初始谈判后，如谈判文件有实质性变动的，谈判小组须以书面形式通知所有参加谈判的竞谈商。所有竞谈商根据竞争性谈判文件或其补充文件在规定的时间里提出有关书面建议及作出相关的书面承诺，并报出最佳服务和最后报价。谈判小组在此基础上公平选定成交报价。</w:t>
      </w:r>
    </w:p>
    <w:p w14:paraId="49C0A40D">
      <w:pPr>
        <w:pStyle w:val="2"/>
        <w:pageBreakBefore w:val="0"/>
        <w:widowControl w:val="0"/>
        <w:kinsoku/>
        <w:wordWrap/>
        <w:overflowPunct/>
        <w:topLinePunct w:val="0"/>
        <w:autoSpaceDE/>
        <w:autoSpaceDN/>
        <w:bidi w:val="0"/>
        <w:adjustRightInd/>
        <w:snapToGrid/>
        <w:spacing w:before="0" w:after="0" w:line="430" w:lineRule="exact"/>
        <w:textAlignment w:val="auto"/>
        <w:rPr>
          <w:rFonts w:asciiTheme="minorEastAsia" w:hAnsiTheme="minorEastAsia" w:eastAsiaTheme="minorEastAsia" w:cstheme="minorEastAsia"/>
          <w:color w:val="auto"/>
          <w:kern w:val="0"/>
          <w:highlight w:val="none"/>
        </w:rPr>
      </w:pPr>
      <w:bookmarkStart w:id="72" w:name="_Toc16172917"/>
      <w:r>
        <w:rPr>
          <w:rFonts w:hint="eastAsia" w:asciiTheme="minorEastAsia" w:hAnsiTheme="minorEastAsia" w:eastAsiaTheme="minorEastAsia" w:cstheme="minorEastAsia"/>
          <w:color w:val="auto"/>
          <w:kern w:val="0"/>
          <w:sz w:val="28"/>
          <w:szCs w:val="28"/>
          <w:highlight w:val="none"/>
        </w:rPr>
        <w:t>六、成交原则</w:t>
      </w:r>
      <w:bookmarkEnd w:id="64"/>
      <w:bookmarkEnd w:id="65"/>
      <w:bookmarkEnd w:id="66"/>
      <w:bookmarkEnd w:id="67"/>
      <w:bookmarkEnd w:id="68"/>
      <w:bookmarkEnd w:id="69"/>
      <w:bookmarkEnd w:id="70"/>
      <w:bookmarkEnd w:id="71"/>
      <w:bookmarkEnd w:id="72"/>
    </w:p>
    <w:p w14:paraId="51225579">
      <w:pPr>
        <w:pageBreakBefore w:val="0"/>
        <w:widowControl w:val="0"/>
        <w:kinsoku/>
        <w:wordWrap/>
        <w:overflowPunct/>
        <w:topLinePunct w:val="0"/>
        <w:autoSpaceDE/>
        <w:autoSpaceDN/>
        <w:bidi w:val="0"/>
        <w:adjustRightInd/>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谈判小组将按《中华人民共和国政府采购法》、谈判文件的要求，根据符合采购需求、质量和服务等要求，以最终报价由低到高的顺序向采购人推荐3名中标候选人，采购人原则上选择谈判总报价最低的竞谈商作为中标人。在谈判过程中，谈判小组成员发现竞谈商的最终报价明显低于成本或有恶性竞标嫌疑的，应当要求其作出书面说明并提供相关证明材料。竞谈商不能合理说明、不能提供相关证明材料，或者书面说明和相关证明材料未通过认可的，谈判小组将否决其投标。</w:t>
      </w:r>
    </w:p>
    <w:p w14:paraId="51DA02ED">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6.2出现以下情况之一的，作为采购失败处理，重新组织采购：</w:t>
      </w:r>
    </w:p>
    <w:p w14:paraId="77CAC5B4">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（1）竞谈商的报价均超过了采购预算，采购人不能支付的；</w:t>
      </w:r>
    </w:p>
    <w:p w14:paraId="016F95B7">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（2）出现影响采购公正的违法、违规行为的；</w:t>
      </w:r>
    </w:p>
    <w:p w14:paraId="00272927">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（3）因不可抗力因素导致重大变故，采购任务取消的。</w:t>
      </w:r>
    </w:p>
    <w:p w14:paraId="1FF874A7">
      <w:pPr>
        <w:pStyle w:val="2"/>
        <w:keepNext w:val="0"/>
        <w:keepLines w:val="0"/>
        <w:pageBreakBefore w:val="0"/>
        <w:widowControl w:val="0"/>
        <w:kinsoku/>
        <w:wordWrap/>
        <w:overflowPunct/>
        <w:topLinePunct w:val="0"/>
        <w:bidi w:val="0"/>
        <w:snapToGrid/>
        <w:spacing w:before="0" w:after="0" w:line="430" w:lineRule="exact"/>
        <w:textAlignment w:val="auto"/>
        <w:rPr>
          <w:rFonts w:asciiTheme="minorEastAsia" w:hAnsiTheme="minorEastAsia" w:eastAsiaTheme="minorEastAsia" w:cstheme="minorEastAsia"/>
          <w:color w:val="auto"/>
          <w:kern w:val="0"/>
          <w:highlight w:val="none"/>
        </w:rPr>
      </w:pPr>
      <w:bookmarkStart w:id="73" w:name="_Toc16172918"/>
      <w:bookmarkStart w:id="74" w:name="_Toc30270"/>
      <w:bookmarkStart w:id="75" w:name="_Toc335435040"/>
      <w:bookmarkStart w:id="76" w:name="_Toc335435267"/>
      <w:bookmarkStart w:id="77" w:name="_Toc32001"/>
      <w:bookmarkStart w:id="78" w:name="_Toc18890"/>
      <w:bookmarkStart w:id="79" w:name="_Toc25891"/>
      <w:bookmarkStart w:id="80" w:name="_Toc335902129"/>
      <w:bookmarkStart w:id="81" w:name="_Toc281744727"/>
      <w:r>
        <w:rPr>
          <w:rFonts w:hint="eastAsia" w:asciiTheme="minorEastAsia" w:hAnsiTheme="minorEastAsia" w:eastAsiaTheme="minorEastAsia" w:cstheme="minorEastAsia"/>
          <w:color w:val="auto"/>
          <w:kern w:val="0"/>
          <w:sz w:val="28"/>
          <w:szCs w:val="28"/>
          <w:highlight w:val="none"/>
        </w:rPr>
        <w:t>七、成交通知</w:t>
      </w:r>
      <w:bookmarkEnd w:id="73"/>
      <w:bookmarkEnd w:id="74"/>
      <w:bookmarkEnd w:id="75"/>
      <w:bookmarkEnd w:id="76"/>
      <w:bookmarkEnd w:id="77"/>
      <w:bookmarkEnd w:id="78"/>
      <w:bookmarkEnd w:id="79"/>
      <w:bookmarkEnd w:id="80"/>
      <w:bookmarkEnd w:id="81"/>
    </w:p>
    <w:p w14:paraId="46AD9974">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7.1成交结果将在相关媒介上公示。</w:t>
      </w:r>
    </w:p>
    <w:p w14:paraId="7ADCBA00">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7.2在成交结果公示结束规定时间内，成交商应领取中标通知书，未按时领取的视为自动放弃。在发出《中标通知书》的同时，成交结果通知未成交的竞谈商。</w:t>
      </w:r>
    </w:p>
    <w:p w14:paraId="614AE1A7">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7.3《中标通知书》将作为签订协议的依据。</w:t>
      </w:r>
    </w:p>
    <w:p w14:paraId="7164CCF1">
      <w:pPr>
        <w:pStyle w:val="2"/>
        <w:keepNext w:val="0"/>
        <w:keepLines w:val="0"/>
        <w:pageBreakBefore w:val="0"/>
        <w:widowControl w:val="0"/>
        <w:kinsoku/>
        <w:wordWrap/>
        <w:overflowPunct/>
        <w:topLinePunct w:val="0"/>
        <w:bidi w:val="0"/>
        <w:snapToGrid/>
        <w:spacing w:before="0" w:after="0" w:line="430" w:lineRule="exact"/>
        <w:textAlignment w:val="auto"/>
        <w:rPr>
          <w:rFonts w:asciiTheme="minorEastAsia" w:hAnsiTheme="minorEastAsia" w:eastAsiaTheme="minorEastAsia" w:cstheme="minorEastAsia"/>
          <w:color w:val="auto"/>
          <w:kern w:val="0"/>
          <w:sz w:val="24"/>
          <w:highlight w:val="none"/>
        </w:rPr>
      </w:pPr>
      <w:bookmarkStart w:id="82" w:name="_Toc16172919"/>
      <w:bookmarkStart w:id="83" w:name="_Toc335902130"/>
      <w:bookmarkStart w:id="84" w:name="_Toc281744728"/>
      <w:bookmarkStart w:id="85" w:name="_Toc18176"/>
      <w:bookmarkStart w:id="86" w:name="_Toc20792"/>
      <w:bookmarkStart w:id="87" w:name="_Toc26741"/>
      <w:bookmarkStart w:id="88" w:name="_Toc335435041"/>
      <w:bookmarkStart w:id="89" w:name="_Toc335435268"/>
      <w:bookmarkStart w:id="90" w:name="_Toc18425"/>
      <w:r>
        <w:rPr>
          <w:rFonts w:hint="eastAsia" w:asciiTheme="minorEastAsia" w:hAnsiTheme="minorEastAsia" w:eastAsiaTheme="minorEastAsia" w:cstheme="minorEastAsia"/>
          <w:color w:val="auto"/>
          <w:kern w:val="0"/>
          <w:sz w:val="28"/>
          <w:szCs w:val="28"/>
          <w:highlight w:val="none"/>
        </w:rPr>
        <w:t>八、签订合同</w:t>
      </w:r>
      <w:bookmarkEnd w:id="82"/>
      <w:bookmarkEnd w:id="83"/>
      <w:bookmarkEnd w:id="84"/>
      <w:bookmarkEnd w:id="85"/>
      <w:bookmarkEnd w:id="86"/>
      <w:bookmarkEnd w:id="87"/>
      <w:bookmarkEnd w:id="88"/>
      <w:bookmarkEnd w:id="89"/>
      <w:bookmarkEnd w:id="90"/>
    </w:p>
    <w:p w14:paraId="1F378BAF">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8.1成交竞谈商按《中标通知书》指定时间、地点与采购人签订采购合同。</w:t>
      </w:r>
    </w:p>
    <w:p w14:paraId="672F11F9">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8.2竞争性谈判文件、成交竞谈商的响应文件及有效承诺等，均为签订合同的依据。</w:t>
      </w:r>
    </w:p>
    <w:p w14:paraId="51D0A1AE">
      <w:pPr>
        <w:pageBreakBefore w:val="0"/>
        <w:widowControl w:val="0"/>
        <w:kinsoku/>
        <w:wordWrap/>
        <w:overflowPunct/>
        <w:topLinePunct w:val="0"/>
        <w:bidi w:val="0"/>
        <w:snapToGrid/>
        <w:spacing w:after="0" w:line="430" w:lineRule="exact"/>
        <w:ind w:firstLine="420" w:firstLineChars="200"/>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8.3如成交竞谈商放弃成交项目或在签订合同时擅自改变成交内容的，将取消其成交资格。</w:t>
      </w:r>
      <w:bookmarkStart w:id="91" w:name="_Toc6733"/>
    </w:p>
    <w:bookmarkEnd w:id="91"/>
    <w:p w14:paraId="6DED4213">
      <w:pPr>
        <w:pStyle w:val="3"/>
        <w:spacing w:before="120" w:after="120" w:line="360" w:lineRule="auto"/>
        <w:jc w:val="center"/>
        <w:rPr>
          <w:rFonts w:hint="eastAsia" w:asciiTheme="minorEastAsia" w:hAnsiTheme="minorEastAsia" w:eastAsiaTheme="minorEastAsia" w:cstheme="minorEastAsia"/>
          <w:color w:val="auto"/>
          <w:kern w:val="0"/>
          <w:sz w:val="40"/>
          <w:szCs w:val="40"/>
          <w:highlight w:val="none"/>
          <w:lang w:eastAsia="zh-CN"/>
        </w:rPr>
      </w:pPr>
      <w:bookmarkStart w:id="92" w:name="_Toc281744729"/>
      <w:r>
        <w:rPr>
          <w:rFonts w:hint="eastAsia" w:asciiTheme="minorEastAsia" w:hAnsiTheme="minorEastAsia" w:eastAsiaTheme="minorEastAsia" w:cstheme="minorEastAsia"/>
          <w:color w:val="auto"/>
          <w:kern w:val="0"/>
          <w:sz w:val="40"/>
          <w:szCs w:val="40"/>
          <w:highlight w:val="none"/>
        </w:rPr>
        <w:br w:type="page"/>
      </w:r>
      <w:bookmarkStart w:id="93" w:name="_Toc16172920"/>
      <w:bookmarkStart w:id="94" w:name="_Toc25619"/>
      <w:r>
        <w:rPr>
          <w:rFonts w:hint="eastAsia" w:asciiTheme="minorEastAsia" w:hAnsiTheme="minorEastAsia" w:eastAsiaTheme="minorEastAsia" w:cstheme="minorEastAsia"/>
          <w:color w:val="auto"/>
          <w:kern w:val="0"/>
          <w:sz w:val="40"/>
          <w:szCs w:val="40"/>
          <w:highlight w:val="none"/>
        </w:rPr>
        <w:t xml:space="preserve">第三章 </w:t>
      </w:r>
      <w:bookmarkEnd w:id="93"/>
      <w:bookmarkEnd w:id="94"/>
      <w:r>
        <w:rPr>
          <w:rFonts w:hint="eastAsia" w:asciiTheme="minorEastAsia" w:hAnsiTheme="minorEastAsia" w:eastAsiaTheme="minorEastAsia" w:cstheme="minorEastAsia"/>
          <w:color w:val="auto"/>
          <w:kern w:val="0"/>
          <w:sz w:val="40"/>
          <w:szCs w:val="40"/>
          <w:highlight w:val="none"/>
          <w:lang w:eastAsia="zh-CN"/>
        </w:rPr>
        <w:t>技术标准及服务要求</w:t>
      </w:r>
    </w:p>
    <w:p w14:paraId="22B6118F">
      <w:pPr>
        <w:keepNext w:val="0"/>
        <w:keepLines w:val="0"/>
        <w:pageBreakBefore w:val="0"/>
        <w:widowControl/>
        <w:kinsoku/>
        <w:wordWrap/>
        <w:overflowPunct/>
        <w:topLinePunct w:val="0"/>
        <w:autoSpaceDE/>
        <w:autoSpaceDN/>
        <w:bidi w:val="0"/>
        <w:adjustRightInd/>
        <w:snapToGrid/>
        <w:spacing w:after="0" w:line="440" w:lineRule="exact"/>
        <w:ind w:firstLine="482" w:firstLineChars="200"/>
        <w:textAlignment w:val="auto"/>
        <w:rPr>
          <w:rFonts w:hint="eastAsia" w:ascii="宋体" w:hAnsi="宋体" w:eastAsia="宋体" w:cs="宋体"/>
          <w:b/>
          <w:bCs w:val="0"/>
          <w:color w:val="auto"/>
          <w:sz w:val="24"/>
          <w:szCs w:val="24"/>
          <w:highlight w:val="none"/>
          <w:lang w:eastAsia="zh-CN"/>
        </w:rPr>
      </w:pPr>
      <w:bookmarkStart w:id="95" w:name="_Toc16172921"/>
      <w:bookmarkStart w:id="96" w:name="_Toc22209"/>
      <w:r>
        <w:rPr>
          <w:rFonts w:hint="eastAsia" w:ascii="宋体" w:hAnsi="宋体" w:eastAsia="宋体" w:cs="宋体"/>
          <w:b/>
          <w:bCs w:val="0"/>
          <w:color w:val="auto"/>
          <w:kern w:val="2"/>
          <w:sz w:val="24"/>
          <w:szCs w:val="24"/>
          <w:lang w:val="en-US" w:eastAsia="zh-CN" w:bidi="ar-SA"/>
        </w:rPr>
        <w:t>一、</w:t>
      </w:r>
      <w:r>
        <w:rPr>
          <w:rFonts w:hint="eastAsia" w:ascii="宋体" w:hAnsi="宋体" w:eastAsia="宋体" w:cs="宋体"/>
          <w:b/>
          <w:bCs w:val="0"/>
          <w:color w:val="auto"/>
          <w:sz w:val="24"/>
          <w:szCs w:val="24"/>
          <w:highlight w:val="none"/>
          <w:lang w:val="en-US" w:eastAsia="zh-CN"/>
        </w:rPr>
        <w:t>项目简要说明</w:t>
      </w:r>
      <w:r>
        <w:rPr>
          <w:rFonts w:hint="eastAsia" w:ascii="宋体" w:hAnsi="宋体" w:eastAsia="宋体" w:cs="宋体"/>
          <w:b/>
          <w:bCs w:val="0"/>
          <w:color w:val="auto"/>
          <w:sz w:val="24"/>
          <w:szCs w:val="24"/>
          <w:highlight w:val="none"/>
          <w:lang w:eastAsia="zh-CN"/>
        </w:rPr>
        <w:t>：</w:t>
      </w:r>
    </w:p>
    <w:p w14:paraId="7EBE6944">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kern w:val="0"/>
          <w:sz w:val="24"/>
          <w:szCs w:val="24"/>
          <w:highlight w:val="none"/>
          <w:lang w:eastAsia="zh-CN"/>
        </w:rPr>
        <w:t>优越路院区水、电、木工维修及物资下送4项服务外包，所需维修更换零配件由院方供应，承包方免费更换；</w:t>
      </w:r>
    </w:p>
    <w:p w14:paraId="1DE4B3EA">
      <w:pPr>
        <w:keepNext w:val="0"/>
        <w:keepLines w:val="0"/>
        <w:pageBreakBefore w:val="0"/>
        <w:widowControl/>
        <w:kinsoku/>
        <w:wordWrap/>
        <w:overflowPunct/>
        <w:topLinePunct w:val="0"/>
        <w:autoSpaceDE/>
        <w:autoSpaceDN/>
        <w:bidi w:val="0"/>
        <w:adjustRightInd/>
        <w:snapToGrid/>
        <w:spacing w:after="0" w:line="440" w:lineRule="exact"/>
        <w:ind w:firstLine="482" w:firstLineChars="200"/>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bCs w:val="0"/>
          <w:color w:val="auto"/>
          <w:sz w:val="24"/>
          <w:szCs w:val="24"/>
          <w:highlight w:val="none"/>
          <w:lang w:eastAsia="zh-CN"/>
        </w:rPr>
        <w:t>二、</w:t>
      </w:r>
      <w:r>
        <w:rPr>
          <w:rFonts w:hint="eastAsia" w:ascii="宋体" w:hAnsi="宋体" w:eastAsia="宋体" w:cs="宋体"/>
          <w:b/>
          <w:bCs w:val="0"/>
          <w:color w:val="auto"/>
          <w:sz w:val="24"/>
          <w:szCs w:val="24"/>
          <w:highlight w:val="none"/>
        </w:rPr>
        <w:t>工作内容及要求</w:t>
      </w:r>
      <w:r>
        <w:rPr>
          <w:rFonts w:hint="eastAsia" w:ascii="宋体" w:hAnsi="宋体" w:eastAsia="宋体" w:cs="宋体"/>
          <w:b/>
          <w:bCs w:val="0"/>
          <w:color w:val="auto"/>
          <w:sz w:val="24"/>
          <w:szCs w:val="24"/>
          <w:highlight w:val="none"/>
          <w:lang w:val="en-US" w:eastAsia="zh-CN"/>
        </w:rPr>
        <w:t>：</w:t>
      </w:r>
    </w:p>
    <w:p w14:paraId="14AE9B07">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rPr>
        <w:t>全院门（含防盗门、木门、钢化玻璃门，不含消防防火门）、窗、柜子、床（不含医疗器械类）等办公家具维修，含限位器、把手、合页、锁具、滑道等维修项目；</w:t>
      </w:r>
    </w:p>
    <w:p w14:paraId="06EAD13A">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2、</w:t>
      </w:r>
      <w:r>
        <w:rPr>
          <w:rFonts w:hint="eastAsia" w:ascii="宋体" w:hAnsi="宋体" w:eastAsia="宋体" w:cs="宋体"/>
          <w:b w:val="0"/>
          <w:bCs w:val="0"/>
          <w:color w:val="000000" w:themeColor="text1"/>
          <w:kern w:val="0"/>
          <w:sz w:val="24"/>
          <w:szCs w:val="24"/>
          <w:highlight w:val="none"/>
          <w14:textFill>
            <w14:solidFill>
              <w14:schemeClr w14:val="tx1"/>
            </w14:solidFill>
          </w14:textFill>
        </w:rPr>
        <w:t>院内楼栋公共区域及病房15平方以内</w:t>
      </w:r>
      <w:r>
        <w:rPr>
          <w:rFonts w:hint="eastAsia" w:ascii="宋体" w:hAnsi="宋体" w:cs="宋体"/>
          <w:b w:val="0"/>
          <w:bCs w:val="0"/>
          <w:color w:val="000000" w:themeColor="text1"/>
          <w:kern w:val="0"/>
          <w:sz w:val="24"/>
          <w:szCs w:val="24"/>
          <w:highlight w:val="none"/>
          <w:lang w:eastAsia="zh-CN"/>
          <w14:textFill>
            <w14:solidFill>
              <w14:schemeClr w14:val="tx1"/>
            </w14:solidFill>
          </w14:textFill>
        </w:rPr>
        <w:t>墙面瓷砖及</w:t>
      </w:r>
      <w:r>
        <w:rPr>
          <w:rFonts w:hint="eastAsia" w:ascii="宋体" w:hAnsi="宋体" w:eastAsia="宋体" w:cs="宋体"/>
          <w:b w:val="0"/>
          <w:bCs w:val="0"/>
          <w:color w:val="000000" w:themeColor="text1"/>
          <w:kern w:val="0"/>
          <w:sz w:val="24"/>
          <w:szCs w:val="24"/>
          <w:highlight w:val="none"/>
          <w14:textFill>
            <w14:solidFill>
              <w14:schemeClr w14:val="tx1"/>
            </w14:solidFill>
          </w14:textFill>
        </w:rPr>
        <w:t>吊顶天花板恢复及维修；院内</w:t>
      </w:r>
      <w:r>
        <w:rPr>
          <w:rFonts w:hint="eastAsia" w:ascii="宋体" w:hAnsi="宋体" w:eastAsia="宋体" w:cs="宋体"/>
          <w:b w:val="0"/>
          <w:bCs w:val="0"/>
          <w:color w:val="auto"/>
          <w:kern w:val="0"/>
          <w:sz w:val="24"/>
          <w:szCs w:val="24"/>
          <w:highlight w:val="none"/>
        </w:rPr>
        <w:t>公共区域卫生间隔断卡口、合页维修；办公家具等物品的转移、回收、搬运；根据科室需求安装干手纸盒（干手纸盒由甲方提供）；</w:t>
      </w:r>
    </w:p>
    <w:p w14:paraId="0BBBD497">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院内供水管网及用水设施的日常维修及更换；零星上下水管的铺设，遇到紧急抢修，应15分钟内赶到现场进行抢修；院内窨井盖的维护、管理及编码的喷涂；</w:t>
      </w:r>
    </w:p>
    <w:p w14:paraId="50F248D3">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4、</w:t>
      </w:r>
      <w:r>
        <w:rPr>
          <w:rFonts w:hint="eastAsia" w:ascii="宋体" w:hAnsi="宋体" w:eastAsia="宋体" w:cs="宋体"/>
          <w:b w:val="0"/>
          <w:bCs w:val="0"/>
          <w:color w:val="auto"/>
          <w:kern w:val="0"/>
          <w:sz w:val="24"/>
          <w:szCs w:val="24"/>
          <w:highlight w:val="none"/>
        </w:rPr>
        <w:t>医院供电设备、线路、开关、用电器具的安装、检查、更换、维修及零星排线工作，维修人员必须有低压电工证，值班人员必须有高压电工证，高低压电工证均由河南省应急管理厅颁发，</w:t>
      </w:r>
      <w:r>
        <w:rPr>
          <w:rFonts w:hint="eastAsia" w:ascii="宋体" w:hAnsi="宋体" w:eastAsia="宋体" w:cs="宋体"/>
          <w:b w:val="0"/>
          <w:bCs w:val="0"/>
          <w:color w:val="auto"/>
          <w:kern w:val="0"/>
          <w:sz w:val="24"/>
          <w:szCs w:val="24"/>
          <w:highlight w:val="none"/>
          <w:lang w:eastAsia="zh-CN"/>
        </w:rPr>
        <w:t>新门诊楼、</w:t>
      </w:r>
      <w:r>
        <w:rPr>
          <w:rFonts w:hint="eastAsia" w:ascii="宋体" w:hAnsi="宋体" w:eastAsia="宋体" w:cs="宋体"/>
          <w:b w:val="0"/>
          <w:bCs w:val="0"/>
          <w:color w:val="auto"/>
          <w:kern w:val="0"/>
          <w:sz w:val="24"/>
          <w:szCs w:val="24"/>
          <w:highlight w:val="none"/>
        </w:rPr>
        <w:t>2号楼、3号楼高低压配电房须白天定时巡查，夜间有值班人员值班。</w:t>
      </w:r>
    </w:p>
    <w:p w14:paraId="1C305820">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rPr>
        <w:t>定期对配电设备保养，定期做高压配电柜的操作演练，在单回路停电时按《医院停电预案》力争在最短时间内操作完毕，发挥双回路作用。对院内所有高、低压配电房进行巡查，每天不少于6次，并做好巡查记录，发现问题及时处理并上报；</w:t>
      </w:r>
      <w:r>
        <w:rPr>
          <w:rFonts w:hint="eastAsia" w:ascii="宋体" w:hAnsi="宋体" w:eastAsia="宋体" w:cs="宋体"/>
          <w:b w:val="0"/>
          <w:bCs w:val="0"/>
          <w:color w:val="auto"/>
          <w:kern w:val="0"/>
          <w:sz w:val="24"/>
          <w:szCs w:val="24"/>
          <w:highlight w:val="none"/>
          <w:lang w:eastAsia="zh-CN"/>
        </w:rPr>
        <w:t>每月</w:t>
      </w:r>
      <w:r>
        <w:rPr>
          <w:rFonts w:hint="eastAsia" w:ascii="宋体" w:hAnsi="宋体" w:eastAsia="宋体" w:cs="宋体"/>
          <w:b w:val="0"/>
          <w:bCs w:val="0"/>
          <w:color w:val="auto"/>
          <w:kern w:val="0"/>
          <w:sz w:val="24"/>
          <w:szCs w:val="24"/>
          <w:highlight w:val="none"/>
          <w:lang w:val="en-US" w:eastAsia="zh-CN"/>
        </w:rPr>
        <w:t>10日前</w:t>
      </w:r>
      <w:r>
        <w:rPr>
          <w:rFonts w:hint="eastAsia" w:ascii="宋体" w:hAnsi="宋体" w:eastAsia="宋体" w:cs="宋体"/>
          <w:b w:val="0"/>
          <w:bCs w:val="0"/>
          <w:color w:val="auto"/>
          <w:kern w:val="0"/>
          <w:sz w:val="24"/>
          <w:szCs w:val="24"/>
          <w:highlight w:val="none"/>
          <w:lang w:eastAsia="zh-CN"/>
        </w:rPr>
        <w:t>对全院科室水、电计量装置用量统计上报；</w:t>
      </w:r>
    </w:p>
    <w:p w14:paraId="2AFD491C">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rPr>
        <w:t>每月定期对备用柴油发电机进行试运行，并做好记录、上报；</w:t>
      </w:r>
    </w:p>
    <w:p w14:paraId="2D8547B7">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7、</w:t>
      </w:r>
      <w:r>
        <w:rPr>
          <w:rFonts w:hint="eastAsia" w:ascii="宋体" w:hAnsi="宋体" w:eastAsia="宋体" w:cs="宋体"/>
          <w:b w:val="0"/>
          <w:bCs w:val="0"/>
          <w:color w:val="auto"/>
          <w:kern w:val="0"/>
          <w:sz w:val="24"/>
          <w:szCs w:val="24"/>
          <w:highlight w:val="none"/>
        </w:rPr>
        <w:t>完成下送工作，对各科所需物资认真登记，核对后及时送到所需科室，含病区加床的下送回收、管理工作；</w:t>
      </w:r>
    </w:p>
    <w:p w14:paraId="19253082">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8、</w:t>
      </w:r>
      <w:r>
        <w:rPr>
          <w:rFonts w:hint="eastAsia" w:ascii="宋体" w:hAnsi="宋体" w:eastAsia="宋体" w:cs="宋体"/>
          <w:b w:val="0"/>
          <w:bCs w:val="0"/>
          <w:color w:val="auto"/>
          <w:kern w:val="0"/>
          <w:sz w:val="24"/>
          <w:szCs w:val="24"/>
          <w:highlight w:val="none"/>
        </w:rPr>
        <w:t>维修过程中，所需维修更换零配件由甲方供应，乙方免费更换；维修时乙方自备各种维修工具及防护劳保用品；</w:t>
      </w:r>
      <w:r>
        <w:rPr>
          <w:rFonts w:hint="eastAsia" w:ascii="宋体" w:hAnsi="宋体" w:cs="宋体"/>
          <w:b w:val="0"/>
          <w:bCs w:val="0"/>
          <w:color w:val="auto"/>
          <w:kern w:val="0"/>
          <w:sz w:val="24"/>
          <w:szCs w:val="24"/>
          <w:highlight w:val="none"/>
          <w:lang w:val="en-US" w:eastAsia="zh-CN"/>
        </w:rPr>
        <w:t>自备对讲机等通讯设备；</w:t>
      </w:r>
    </w:p>
    <w:p w14:paraId="65A18470">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9、</w:t>
      </w:r>
      <w:r>
        <w:rPr>
          <w:rFonts w:hint="eastAsia" w:ascii="宋体" w:hAnsi="宋体" w:eastAsia="宋体" w:cs="宋体"/>
          <w:b w:val="0"/>
          <w:bCs w:val="0"/>
          <w:color w:val="auto"/>
          <w:kern w:val="0"/>
          <w:sz w:val="24"/>
          <w:szCs w:val="24"/>
          <w:highlight w:val="none"/>
        </w:rPr>
        <w:t>上述4项服务要求24小时值班，配备人员至少1</w:t>
      </w:r>
      <w:r>
        <w:rPr>
          <w:rFonts w:hint="eastAsia" w:ascii="宋体" w:hAnsi="宋体" w:eastAsia="宋体" w:cs="宋体"/>
          <w:b w:val="0"/>
          <w:bCs w:val="0"/>
          <w:color w:val="auto"/>
          <w:kern w:val="0"/>
          <w:sz w:val="24"/>
          <w:szCs w:val="24"/>
          <w:highlight w:val="none"/>
          <w:lang w:val="en-US" w:eastAsia="zh-CN"/>
        </w:rPr>
        <w:t>2</w:t>
      </w:r>
      <w:r>
        <w:rPr>
          <w:rFonts w:hint="eastAsia" w:ascii="宋体" w:hAnsi="宋体" w:eastAsia="宋体" w:cs="宋体"/>
          <w:b w:val="0"/>
          <w:bCs w:val="0"/>
          <w:color w:val="auto"/>
          <w:kern w:val="0"/>
          <w:sz w:val="24"/>
          <w:szCs w:val="24"/>
          <w:highlight w:val="none"/>
        </w:rPr>
        <w:t>人，其中</w:t>
      </w:r>
      <w:r>
        <w:rPr>
          <w:rFonts w:hint="eastAsia" w:ascii="宋体" w:hAnsi="宋体" w:eastAsia="宋体" w:cs="宋体"/>
          <w:b w:val="0"/>
          <w:bCs w:val="0"/>
          <w:color w:val="auto"/>
          <w:kern w:val="0"/>
          <w:sz w:val="24"/>
          <w:szCs w:val="24"/>
          <w:highlight w:val="none"/>
          <w:lang w:eastAsia="zh-CN"/>
        </w:rPr>
        <w:t>项目经理</w:t>
      </w:r>
      <w:r>
        <w:rPr>
          <w:rFonts w:hint="eastAsia" w:ascii="宋体" w:hAnsi="宋体" w:eastAsia="宋体" w:cs="宋体"/>
          <w:b w:val="0"/>
          <w:bCs w:val="0"/>
          <w:color w:val="auto"/>
          <w:kern w:val="0"/>
          <w:sz w:val="24"/>
          <w:szCs w:val="24"/>
          <w:highlight w:val="none"/>
          <w:lang w:val="en-US" w:eastAsia="zh-CN"/>
        </w:rPr>
        <w:t>1人、</w:t>
      </w:r>
      <w:r>
        <w:rPr>
          <w:rFonts w:hint="eastAsia" w:ascii="宋体" w:hAnsi="宋体" w:eastAsia="宋体" w:cs="宋体"/>
          <w:b w:val="0"/>
          <w:bCs w:val="0"/>
          <w:color w:val="auto"/>
          <w:kern w:val="0"/>
          <w:sz w:val="24"/>
          <w:szCs w:val="24"/>
          <w:highlight w:val="none"/>
        </w:rPr>
        <w:t>低压电工6人，高压电工2人，管工1人，木工1人，下送1人，乙方根据工作量增加维修人员按时完成维修任务。</w:t>
      </w:r>
    </w:p>
    <w:p w14:paraId="53D92B62">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10、</w:t>
      </w:r>
      <w:r>
        <w:rPr>
          <w:rFonts w:hint="eastAsia" w:ascii="宋体" w:hAnsi="宋体" w:eastAsia="宋体" w:cs="宋体"/>
          <w:b w:val="0"/>
          <w:bCs w:val="0"/>
          <w:color w:val="auto"/>
          <w:kern w:val="0"/>
          <w:sz w:val="24"/>
          <w:szCs w:val="24"/>
          <w:highlight w:val="none"/>
        </w:rPr>
        <w:t>乙方须对员工进行岗前培训并提前10天进场，参与甲方水、电、木维修运营，物资下送，窨井盖维护管理工作，确保乙方员工合同开始后能保质保量完成各项工作任务；</w:t>
      </w:r>
    </w:p>
    <w:p w14:paraId="540FE7CE">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11、</w:t>
      </w:r>
      <w:r>
        <w:rPr>
          <w:rFonts w:hint="eastAsia" w:ascii="宋体" w:hAnsi="宋体" w:eastAsia="宋体" w:cs="宋体"/>
          <w:b w:val="0"/>
          <w:bCs w:val="0"/>
          <w:color w:val="auto"/>
          <w:kern w:val="0"/>
          <w:sz w:val="24"/>
          <w:szCs w:val="24"/>
          <w:highlight w:val="none"/>
        </w:rPr>
        <w:t>制定后勤服务的各项规章制度、岗位职责、工作流程及</w:t>
      </w:r>
      <w:r>
        <w:rPr>
          <w:rFonts w:hint="eastAsia" w:ascii="宋体" w:hAnsi="宋体" w:cs="宋体"/>
          <w:b w:val="0"/>
          <w:bCs w:val="0"/>
          <w:color w:val="auto"/>
          <w:kern w:val="0"/>
          <w:sz w:val="24"/>
          <w:szCs w:val="24"/>
          <w:highlight w:val="none"/>
          <w:lang w:val="en-US" w:eastAsia="zh-CN"/>
        </w:rPr>
        <w:t>所含业务范围的</w:t>
      </w:r>
      <w:r>
        <w:rPr>
          <w:rFonts w:hint="eastAsia" w:ascii="宋体" w:hAnsi="宋体" w:eastAsia="宋体" w:cs="宋体"/>
          <w:b w:val="0"/>
          <w:bCs w:val="0"/>
          <w:color w:val="auto"/>
          <w:kern w:val="0"/>
          <w:sz w:val="24"/>
          <w:szCs w:val="24"/>
          <w:highlight w:val="none"/>
        </w:rPr>
        <w:t>应急预案。应急预案</w:t>
      </w:r>
      <w:r>
        <w:rPr>
          <w:rFonts w:hint="eastAsia" w:ascii="宋体" w:hAnsi="宋体" w:cs="宋体"/>
          <w:b w:val="0"/>
          <w:bCs w:val="0"/>
          <w:color w:val="auto"/>
          <w:kern w:val="0"/>
          <w:sz w:val="24"/>
          <w:szCs w:val="24"/>
          <w:highlight w:val="none"/>
          <w:lang w:val="en-US" w:eastAsia="zh-CN"/>
        </w:rPr>
        <w:t>至少每半年</w:t>
      </w:r>
      <w:r>
        <w:rPr>
          <w:rFonts w:hint="eastAsia" w:ascii="宋体" w:hAnsi="宋体" w:eastAsia="宋体" w:cs="宋体"/>
          <w:b w:val="0"/>
          <w:bCs w:val="0"/>
          <w:color w:val="auto"/>
          <w:kern w:val="0"/>
          <w:sz w:val="24"/>
          <w:szCs w:val="24"/>
          <w:highlight w:val="none"/>
        </w:rPr>
        <w:t>进行1次演练并做好资料存档</w:t>
      </w:r>
      <w:r>
        <w:rPr>
          <w:rFonts w:hint="eastAsia" w:ascii="宋体" w:hAnsi="宋体" w:eastAsia="宋体" w:cs="宋体"/>
          <w:b w:val="0"/>
          <w:bCs w:val="0"/>
          <w:color w:val="auto"/>
          <w:kern w:val="0"/>
          <w:sz w:val="24"/>
          <w:szCs w:val="24"/>
          <w:highlight w:val="none"/>
          <w:lang w:eastAsia="zh-CN"/>
        </w:rPr>
        <w:t>。并配合医院做好各种安全检查的文字资料的编辑、存档工作。</w:t>
      </w:r>
    </w:p>
    <w:p w14:paraId="2214E22D">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12、</w:t>
      </w:r>
      <w:r>
        <w:rPr>
          <w:rFonts w:hint="eastAsia" w:ascii="宋体" w:hAnsi="宋体" w:eastAsia="宋体" w:cs="宋体"/>
          <w:b w:val="0"/>
          <w:bCs w:val="0"/>
          <w:color w:val="auto"/>
          <w:kern w:val="0"/>
          <w:sz w:val="24"/>
          <w:szCs w:val="24"/>
          <w:highlight w:val="none"/>
        </w:rPr>
        <w:t>乙方人员进驻后，对甲方水电设施、线路进行排查并在一个月内向甲方提交安全隐患排查整改报告。</w:t>
      </w:r>
    </w:p>
    <w:p w14:paraId="7F9B0B4E">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13</w:t>
      </w:r>
      <w:r>
        <w:rPr>
          <w:rFonts w:hint="eastAsia" w:ascii="宋体" w:hAnsi="宋体" w:eastAsia="宋体" w:cs="宋体"/>
          <w:b w:val="0"/>
          <w:bCs w:val="0"/>
          <w:color w:val="auto"/>
          <w:kern w:val="0"/>
          <w:sz w:val="24"/>
          <w:szCs w:val="24"/>
          <w:highlight w:val="none"/>
        </w:rPr>
        <w:t>、杜绝各类安全事故发生，如因维修操作过程中造成消防事故、人身事故或设备事故，造成的损失由乙方承担全部法律责任；</w:t>
      </w:r>
    </w:p>
    <w:p w14:paraId="5E1405E3">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14、</w:t>
      </w:r>
      <w:r>
        <w:rPr>
          <w:rFonts w:hint="eastAsia" w:ascii="宋体" w:hAnsi="宋体" w:eastAsia="宋体" w:cs="宋体"/>
          <w:b w:val="0"/>
          <w:bCs w:val="0"/>
          <w:color w:val="auto"/>
          <w:kern w:val="0"/>
          <w:sz w:val="24"/>
          <w:szCs w:val="24"/>
          <w:highlight w:val="none"/>
        </w:rPr>
        <w:t>试用期1个月，试用期结束后，甲方对乙方服务进行满意度考核（抽取10个病区），基本满意度低于75%时，合同终止；</w:t>
      </w:r>
    </w:p>
    <w:p w14:paraId="24981E33">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15</w:t>
      </w:r>
      <w:r>
        <w:rPr>
          <w:rFonts w:hint="eastAsia" w:ascii="宋体" w:hAnsi="宋体" w:eastAsia="宋体" w:cs="宋体"/>
          <w:b w:val="0"/>
          <w:bCs w:val="0"/>
          <w:color w:val="auto"/>
          <w:kern w:val="0"/>
          <w:sz w:val="24"/>
          <w:szCs w:val="24"/>
          <w:highlight w:val="none"/>
        </w:rPr>
        <w:t>、每月甲方对乙方的各项服务内容进行考核，满分100分，每扣一分按20元进行罚款，从当月承包费中扣除；</w:t>
      </w:r>
    </w:p>
    <w:p w14:paraId="5CD59A21">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16</w:t>
      </w:r>
      <w:r>
        <w:rPr>
          <w:rFonts w:hint="eastAsia" w:ascii="宋体" w:hAnsi="宋体" w:eastAsia="宋体" w:cs="宋体"/>
          <w:b w:val="0"/>
          <w:bCs w:val="0"/>
          <w:color w:val="auto"/>
          <w:kern w:val="0"/>
          <w:sz w:val="24"/>
          <w:szCs w:val="24"/>
          <w:highlight w:val="none"/>
        </w:rPr>
        <w:t>、甲方每月进行服务满意度考核（抽取10个病区），基本满意度低于95%时，每下降1%按200元从服务费中扣除，基本满意度低于75%时，合同终止。甲方后勤调度9033接到服务投诉，经核实，责任在乙方，每次从服务费中扣除50元；如有院外投诉，经核实，责任在乙方，每次从服务费中扣除200元；</w:t>
      </w:r>
    </w:p>
    <w:p w14:paraId="2AB09617">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17</w:t>
      </w:r>
      <w:r>
        <w:rPr>
          <w:rFonts w:hint="eastAsia" w:ascii="宋体" w:hAnsi="宋体" w:eastAsia="宋体" w:cs="宋体"/>
          <w:b w:val="0"/>
          <w:bCs w:val="0"/>
          <w:color w:val="auto"/>
          <w:kern w:val="0"/>
          <w:sz w:val="24"/>
          <w:szCs w:val="24"/>
          <w:highlight w:val="none"/>
        </w:rPr>
        <w:t>、乙方接到普通维修任务后，20分钟内到达维修科室，如超过20分钟，每次从服务费中扣除50元；如遇高压配电柜需要转换时，转换时长在6分钟以内转换完毕，全院其他配电柜在15分钟内复位完毕，如超出每次从服务费中扣除200元。并承担相应责任。</w:t>
      </w:r>
    </w:p>
    <w:p w14:paraId="342BD62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br w:type="page"/>
      </w:r>
    </w:p>
    <w:p w14:paraId="3C6EB010">
      <w:pPr>
        <w:keepNext w:val="0"/>
        <w:keepLines w:val="0"/>
        <w:pageBreakBefore w:val="0"/>
        <w:widowControl w:val="0"/>
        <w:kinsoku/>
        <w:wordWrap/>
        <w:overflowPunct/>
        <w:topLinePunct w:val="0"/>
        <w:autoSpaceDE/>
        <w:autoSpaceDN/>
        <w:bidi w:val="0"/>
        <w:adjustRightInd/>
        <w:snapToGrid/>
        <w:spacing w:line="260" w:lineRule="auto"/>
        <w:jc w:val="center"/>
        <w:textAlignment w:val="auto"/>
        <w:outlineLvl w:val="0"/>
        <w:rPr>
          <w:rFonts w:asciiTheme="minorEastAsia" w:hAnsiTheme="minorEastAsia" w:eastAsiaTheme="minorEastAsia" w:cstheme="minorEastAsia"/>
          <w:color w:val="auto"/>
          <w:kern w:val="0"/>
          <w:szCs w:val="36"/>
          <w:highlight w:val="none"/>
        </w:rPr>
      </w:pPr>
      <w:bookmarkStart w:id="97" w:name="_Toc22673"/>
      <w:r>
        <w:rPr>
          <w:rFonts w:hint="eastAsia" w:asciiTheme="minorEastAsia" w:hAnsiTheme="minorEastAsia" w:eastAsiaTheme="minorEastAsia" w:cstheme="minorEastAsia"/>
          <w:b/>
          <w:bCs/>
          <w:color w:val="auto"/>
          <w:kern w:val="0"/>
          <w:sz w:val="40"/>
          <w:szCs w:val="40"/>
          <w:highlight w:val="none"/>
        </w:rPr>
        <w:t>第四章 合同条款及格式</w:t>
      </w:r>
      <w:bookmarkEnd w:id="95"/>
      <w:bookmarkEnd w:id="97"/>
    </w:p>
    <w:p w14:paraId="407B0A42">
      <w:pPr>
        <w:jc w:val="center"/>
        <w:rPr>
          <w:rFonts w:asciiTheme="minorEastAsia" w:hAnsiTheme="minorEastAsia" w:eastAsiaTheme="minorEastAsia" w:cstheme="minorEastAsia"/>
          <w:color w:val="auto"/>
          <w:sz w:val="24"/>
          <w:szCs w:val="32"/>
          <w:highlight w:val="none"/>
        </w:rPr>
      </w:pPr>
      <w:bookmarkStart w:id="98" w:name="_Toc32411"/>
      <w:bookmarkStart w:id="99" w:name="_Toc8110"/>
      <w:bookmarkStart w:id="100" w:name="_Toc422822141"/>
      <w:bookmarkStart w:id="101" w:name="_Toc3953"/>
      <w:bookmarkStart w:id="102" w:name="_Toc2890"/>
      <w:bookmarkStart w:id="103" w:name="_Toc371432927"/>
      <w:bookmarkStart w:id="104" w:name="_Toc427391759"/>
      <w:bookmarkStart w:id="105" w:name="_Toc309416858"/>
      <w:bookmarkStart w:id="106" w:name="_Toc16386"/>
      <w:bookmarkStart w:id="107" w:name="_Toc4986"/>
      <w:bookmarkStart w:id="108" w:name="_Toc311235834"/>
      <w:bookmarkStart w:id="109" w:name="_Toc343345464"/>
      <w:bookmarkStart w:id="110" w:name="_Toc9422"/>
      <w:bookmarkStart w:id="111" w:name="_Toc2334"/>
      <w:bookmarkStart w:id="112" w:name="_Toc322589406"/>
      <w:r>
        <w:rPr>
          <w:rFonts w:hint="eastAsia" w:asciiTheme="minorEastAsia" w:hAnsiTheme="minorEastAsia" w:eastAsiaTheme="minorEastAsia" w:cstheme="minorEastAsia"/>
          <w:color w:val="auto"/>
          <w:sz w:val="24"/>
          <w:szCs w:val="32"/>
          <w:highlight w:val="none"/>
        </w:rPr>
        <w:t>（按国家及地方有关要求，以实际签订合同为准）</w:t>
      </w:r>
      <w:bookmarkEnd w:id="98"/>
      <w:bookmarkEnd w:id="99"/>
      <w:bookmarkEnd w:id="100"/>
      <w:bookmarkEnd w:id="101"/>
      <w:bookmarkEnd w:id="102"/>
      <w:bookmarkEnd w:id="103"/>
      <w:bookmarkEnd w:id="104"/>
    </w:p>
    <w:bookmarkEnd w:id="105"/>
    <w:bookmarkEnd w:id="106"/>
    <w:bookmarkEnd w:id="107"/>
    <w:bookmarkEnd w:id="108"/>
    <w:bookmarkEnd w:id="109"/>
    <w:bookmarkEnd w:id="110"/>
    <w:bookmarkEnd w:id="111"/>
    <w:bookmarkEnd w:id="112"/>
    <w:p w14:paraId="132ACC97">
      <w:pPr>
        <w:keepNext w:val="0"/>
        <w:keepLines w:val="0"/>
        <w:pageBreakBefore w:val="0"/>
        <w:widowControl w:val="0"/>
        <w:kinsoku/>
        <w:wordWrap/>
        <w:overflowPunct/>
        <w:topLinePunct w:val="0"/>
        <w:autoSpaceDE/>
        <w:autoSpaceDN/>
        <w:bidi w:val="0"/>
        <w:spacing w:line="500" w:lineRule="exact"/>
        <w:jc w:val="both"/>
        <w:textAlignment w:val="auto"/>
        <w:rPr>
          <w:rFonts w:hint="eastAsia" w:ascii="宋体" w:hAnsi="宋体" w:eastAsia="宋体" w:cs="宋体"/>
          <w:b/>
          <w:bCs/>
          <w:color w:val="auto"/>
          <w:kern w:val="0"/>
          <w:sz w:val="32"/>
          <w:szCs w:val="32"/>
          <w:lang w:eastAsia="zh-CN"/>
        </w:rPr>
      </w:pPr>
    </w:p>
    <w:p w14:paraId="08D33160">
      <w:pPr>
        <w:spacing w:beforeAutospacing="0" w:afterAutospacing="0" w:line="540" w:lineRule="exact"/>
        <w:jc w:val="center"/>
        <w:rPr>
          <w:rFonts w:hint="eastAsia" w:ascii="宋体" w:hAnsi="宋体" w:eastAsia="宋体" w:cs="宋体"/>
          <w:b/>
          <w:bCs/>
          <w:color w:val="auto"/>
          <w:kern w:val="0"/>
          <w:sz w:val="32"/>
          <w:szCs w:val="32"/>
        </w:rPr>
      </w:pPr>
      <w:r>
        <w:rPr>
          <w:rFonts w:hint="eastAsia" w:ascii="宋体" w:hAnsi="宋体" w:eastAsia="宋体" w:cs="宋体"/>
          <w:b/>
          <w:bCs/>
          <w:color w:val="auto"/>
          <w:kern w:val="0"/>
          <w:sz w:val="36"/>
          <w:szCs w:val="36"/>
          <w:lang w:eastAsia="zh-CN"/>
        </w:rPr>
        <w:t>平顶山市第一人民医院优越路院区维修下送服务外包项目</w:t>
      </w:r>
      <w:r>
        <w:rPr>
          <w:rFonts w:hint="eastAsia" w:ascii="宋体" w:hAnsi="宋体" w:eastAsia="宋体" w:cs="宋体"/>
          <w:b/>
          <w:bCs/>
          <w:color w:val="auto"/>
          <w:kern w:val="0"/>
          <w:sz w:val="36"/>
          <w:szCs w:val="36"/>
        </w:rPr>
        <w:t>承包合同</w:t>
      </w:r>
    </w:p>
    <w:p w14:paraId="215C6B7A">
      <w:pPr>
        <w:spacing w:beforeAutospacing="0" w:afterAutospacing="0" w:line="540" w:lineRule="exact"/>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签约地点：平顶山市第一人民医院优越路院区</w:t>
      </w:r>
    </w:p>
    <w:p w14:paraId="1BB8DD16">
      <w:pPr>
        <w:spacing w:beforeAutospacing="0" w:afterAutospacing="0" w:line="540" w:lineRule="exact"/>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 xml:space="preserve">甲方: 平顶山市第一人民医院  </w:t>
      </w:r>
    </w:p>
    <w:p w14:paraId="0E97EC38">
      <w:pPr>
        <w:spacing w:beforeAutospacing="0" w:afterAutospacing="0" w:line="540" w:lineRule="exact"/>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 xml:space="preserve">乙方: </w:t>
      </w:r>
      <w:r>
        <w:rPr>
          <w:rFonts w:hint="eastAsia" w:ascii="宋体" w:hAnsi="宋体" w:eastAsia="宋体" w:cs="宋体"/>
          <w:b/>
          <w:color w:val="auto"/>
          <w:spacing w:val="-14"/>
          <w:sz w:val="24"/>
          <w:szCs w:val="24"/>
        </w:rPr>
        <w:t xml:space="preserve"> </w:t>
      </w:r>
    </w:p>
    <w:p w14:paraId="2E13D5E5">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color w:val="auto"/>
          <w:kern w:val="0"/>
          <w:sz w:val="24"/>
          <w:szCs w:val="24"/>
        </w:rPr>
      </w:pPr>
      <w:r>
        <w:rPr>
          <w:rFonts w:hint="eastAsia" w:ascii="宋体" w:hAnsi="宋体" w:eastAsia="宋体" w:cs="宋体"/>
          <w:color w:val="auto"/>
          <w:sz w:val="24"/>
          <w:szCs w:val="24"/>
        </w:rPr>
        <w:t xml:space="preserve">    依据《中华人民共和国民法典》等相关法律法规，甲、乙双方就甲方维修下送服务承包项目签订本合同。</w:t>
      </w:r>
    </w:p>
    <w:p w14:paraId="1365F3B0">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 xml:space="preserve">一、合同标的 </w:t>
      </w:r>
    </w:p>
    <w:p w14:paraId="08E273B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 xml:space="preserve"> 乙方受甲方委托，对第一人民医院优越路院区水、电、木维修运营管理，物资下送，窨井盖维护管理承包服务。</w:t>
      </w:r>
    </w:p>
    <w:p w14:paraId="1DD69902">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合同期限</w:t>
      </w:r>
    </w:p>
    <w:p w14:paraId="747E3D1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日 ，合同期为</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个月。</w:t>
      </w:r>
    </w:p>
    <w:p w14:paraId="06E66D9B">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color w:val="auto"/>
          <w:kern w:val="0"/>
          <w:sz w:val="24"/>
          <w:szCs w:val="24"/>
        </w:rPr>
      </w:pPr>
      <w:r>
        <w:rPr>
          <w:rFonts w:hint="eastAsia" w:ascii="宋体" w:hAnsi="宋体" w:eastAsia="宋体" w:cs="宋体"/>
          <w:b/>
          <w:color w:val="auto"/>
          <w:sz w:val="24"/>
          <w:szCs w:val="24"/>
        </w:rPr>
        <w:t>合同组成</w:t>
      </w:r>
    </w:p>
    <w:p w14:paraId="549835D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所有附件及本项目的招、投标文件、会议纪要、协议、澄清、答疑设备清单等均为本合同不可分割之一部分。</w:t>
      </w:r>
    </w:p>
    <w:p w14:paraId="7958AD65">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四、支付方式</w:t>
      </w:r>
    </w:p>
    <w:p w14:paraId="0CED77B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1.合同总价为</w:t>
      </w:r>
      <w:r>
        <w:rPr>
          <w:rFonts w:hint="eastAsia" w:ascii="宋体" w:hAnsi="宋体" w:eastAsia="宋体" w:cs="宋体"/>
          <w:bCs/>
          <w:color w:val="auto"/>
          <w:sz w:val="24"/>
          <w:szCs w:val="24"/>
          <w:lang w:val="en-US" w:eastAsia="zh-CN"/>
        </w:rPr>
        <w:t xml:space="preserve">          元</w:t>
      </w:r>
      <w:r>
        <w:rPr>
          <w:rFonts w:hint="eastAsia" w:ascii="宋体" w:hAnsi="宋体" w:eastAsia="宋体" w:cs="宋体"/>
          <w:bCs/>
          <w:color w:val="auto"/>
          <w:sz w:val="24"/>
          <w:szCs w:val="24"/>
        </w:rPr>
        <w:t>。每</w:t>
      </w:r>
      <w:r>
        <w:rPr>
          <w:rFonts w:hint="eastAsia" w:ascii="宋体" w:hAnsi="宋体" w:eastAsia="宋体" w:cs="宋体"/>
          <w:bCs/>
          <w:color w:val="auto"/>
          <w:sz w:val="24"/>
          <w:szCs w:val="24"/>
          <w:lang w:eastAsia="zh-CN"/>
        </w:rPr>
        <w:t>月</w:t>
      </w:r>
      <w:r>
        <w:rPr>
          <w:rFonts w:hint="eastAsia" w:ascii="宋体" w:hAnsi="宋体" w:eastAsia="宋体" w:cs="宋体"/>
          <w:bCs/>
          <w:color w:val="auto"/>
          <w:sz w:val="24"/>
          <w:szCs w:val="24"/>
        </w:rPr>
        <w:t>支付一次，于每</w:t>
      </w:r>
      <w:r>
        <w:rPr>
          <w:rFonts w:hint="eastAsia" w:ascii="宋体" w:hAnsi="宋体" w:eastAsia="宋体" w:cs="宋体"/>
          <w:bCs/>
          <w:color w:val="auto"/>
          <w:sz w:val="24"/>
          <w:szCs w:val="24"/>
          <w:lang w:eastAsia="zh-CN"/>
        </w:rPr>
        <w:t>月</w:t>
      </w:r>
      <w:r>
        <w:rPr>
          <w:rFonts w:hint="eastAsia" w:ascii="宋体" w:hAnsi="宋体" w:eastAsia="宋体" w:cs="宋体"/>
          <w:bCs/>
          <w:color w:val="auto"/>
          <w:sz w:val="24"/>
          <w:szCs w:val="24"/>
        </w:rPr>
        <w:t>末根据考核情况进行支付。</w:t>
      </w:r>
    </w:p>
    <w:p w14:paraId="3DC5995B">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spacing w:val="20"/>
          <w:sz w:val="24"/>
          <w:szCs w:val="24"/>
        </w:rPr>
      </w:pPr>
      <w:r>
        <w:rPr>
          <w:rFonts w:hint="eastAsia" w:ascii="宋体" w:hAnsi="宋体" w:eastAsia="宋体" w:cs="宋体"/>
          <w:b/>
          <w:bCs/>
          <w:color w:val="auto"/>
          <w:spacing w:val="20"/>
          <w:sz w:val="24"/>
          <w:szCs w:val="24"/>
        </w:rPr>
        <w:t>五、</w:t>
      </w:r>
      <w:r>
        <w:rPr>
          <w:rFonts w:hint="eastAsia" w:ascii="宋体" w:hAnsi="宋体" w:eastAsia="宋体" w:cs="宋体"/>
          <w:b/>
          <w:color w:val="auto"/>
          <w:kern w:val="0"/>
          <w:sz w:val="24"/>
          <w:szCs w:val="24"/>
        </w:rPr>
        <w:t>乙方运营承包内容</w:t>
      </w:r>
      <w:r>
        <w:rPr>
          <w:rFonts w:hint="eastAsia" w:ascii="宋体" w:hAnsi="宋体" w:eastAsia="宋体" w:cs="宋体"/>
          <w:b/>
          <w:color w:val="auto"/>
          <w:sz w:val="24"/>
          <w:szCs w:val="24"/>
        </w:rPr>
        <w:t>及要求</w:t>
      </w:r>
      <w:r>
        <w:rPr>
          <w:rFonts w:hint="eastAsia" w:ascii="宋体" w:hAnsi="宋体" w:eastAsia="宋体" w:cs="宋体"/>
          <w:color w:val="auto"/>
          <w:kern w:val="0"/>
          <w:sz w:val="24"/>
          <w:szCs w:val="24"/>
        </w:rPr>
        <w:t xml:space="preserve"> </w:t>
      </w:r>
    </w:p>
    <w:p w14:paraId="6CBA0810">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rPr>
        <w:t>全院门（含防盗门、木门、钢化玻璃门，不含消防防火门）、窗、柜子、床（不含医疗器械类）等办公家具维修，含限位器、把手、合页、锁具、滑道等维修项目；</w:t>
      </w:r>
    </w:p>
    <w:p w14:paraId="226F1E61">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2、</w:t>
      </w:r>
      <w:r>
        <w:rPr>
          <w:rFonts w:hint="eastAsia" w:ascii="宋体" w:hAnsi="宋体" w:eastAsia="宋体" w:cs="宋体"/>
          <w:b w:val="0"/>
          <w:bCs w:val="0"/>
          <w:color w:val="000000" w:themeColor="text1"/>
          <w:kern w:val="0"/>
          <w:sz w:val="24"/>
          <w:szCs w:val="24"/>
          <w:highlight w:val="none"/>
          <w14:textFill>
            <w14:solidFill>
              <w14:schemeClr w14:val="tx1"/>
            </w14:solidFill>
          </w14:textFill>
        </w:rPr>
        <w:t>院内楼栋公共区域及病房15平方以内</w:t>
      </w:r>
      <w:r>
        <w:rPr>
          <w:rFonts w:hint="eastAsia" w:ascii="宋体" w:hAnsi="宋体" w:cs="宋体"/>
          <w:b w:val="0"/>
          <w:bCs w:val="0"/>
          <w:color w:val="000000" w:themeColor="text1"/>
          <w:kern w:val="0"/>
          <w:sz w:val="24"/>
          <w:szCs w:val="24"/>
          <w:highlight w:val="none"/>
          <w:lang w:eastAsia="zh-CN"/>
          <w14:textFill>
            <w14:solidFill>
              <w14:schemeClr w14:val="tx1"/>
            </w14:solidFill>
          </w14:textFill>
        </w:rPr>
        <w:t>墙面瓷砖及</w:t>
      </w:r>
      <w:r>
        <w:rPr>
          <w:rFonts w:hint="eastAsia" w:ascii="宋体" w:hAnsi="宋体" w:eastAsia="宋体" w:cs="宋体"/>
          <w:b w:val="0"/>
          <w:bCs w:val="0"/>
          <w:color w:val="000000" w:themeColor="text1"/>
          <w:kern w:val="0"/>
          <w:sz w:val="24"/>
          <w:szCs w:val="24"/>
          <w:highlight w:val="none"/>
          <w14:textFill>
            <w14:solidFill>
              <w14:schemeClr w14:val="tx1"/>
            </w14:solidFill>
          </w14:textFill>
        </w:rPr>
        <w:t>吊顶天花板恢复及维修；院</w:t>
      </w:r>
      <w:r>
        <w:rPr>
          <w:rFonts w:hint="eastAsia" w:ascii="宋体" w:hAnsi="宋体" w:eastAsia="宋体" w:cs="宋体"/>
          <w:b w:val="0"/>
          <w:bCs w:val="0"/>
          <w:color w:val="auto"/>
          <w:kern w:val="0"/>
          <w:sz w:val="24"/>
          <w:szCs w:val="24"/>
          <w:highlight w:val="none"/>
        </w:rPr>
        <w:t>内公共区域卫生间隔断卡口、合页维修；办公家具等物品的转移、回收、搬运；根据科室需求安装干手纸盒（干手纸盒由甲方提供）；</w:t>
      </w:r>
    </w:p>
    <w:p w14:paraId="0450D47F">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院内供水管网及用水设施的日常维修及更换；零星上下水管的铺设，遇到紧急抢修，应15分钟内赶到现场进行抢修；院内窨井盖的维护、管理及编码的喷涂；</w:t>
      </w:r>
    </w:p>
    <w:p w14:paraId="0978AFAE">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4、</w:t>
      </w:r>
      <w:r>
        <w:rPr>
          <w:rFonts w:hint="eastAsia" w:ascii="宋体" w:hAnsi="宋体" w:eastAsia="宋体" w:cs="宋体"/>
          <w:b w:val="0"/>
          <w:bCs w:val="0"/>
          <w:color w:val="auto"/>
          <w:kern w:val="0"/>
          <w:sz w:val="24"/>
          <w:szCs w:val="24"/>
          <w:highlight w:val="none"/>
        </w:rPr>
        <w:t>医院供电设备、线路、开关、用电器具的安装、检查、更换、维修及零星排线工作，维修人员必须有低压电工证，值班人员必须有高压电工证，高低压电工证均由河南省应急管理厅颁发，</w:t>
      </w:r>
      <w:r>
        <w:rPr>
          <w:rFonts w:hint="eastAsia" w:ascii="宋体" w:hAnsi="宋体" w:eastAsia="宋体" w:cs="宋体"/>
          <w:b w:val="0"/>
          <w:bCs w:val="0"/>
          <w:color w:val="auto"/>
          <w:kern w:val="0"/>
          <w:sz w:val="24"/>
          <w:szCs w:val="24"/>
          <w:highlight w:val="none"/>
          <w:lang w:eastAsia="zh-CN"/>
        </w:rPr>
        <w:t>新门诊楼、</w:t>
      </w:r>
      <w:r>
        <w:rPr>
          <w:rFonts w:hint="eastAsia" w:ascii="宋体" w:hAnsi="宋体" w:eastAsia="宋体" w:cs="宋体"/>
          <w:b w:val="0"/>
          <w:bCs w:val="0"/>
          <w:color w:val="auto"/>
          <w:kern w:val="0"/>
          <w:sz w:val="24"/>
          <w:szCs w:val="24"/>
          <w:highlight w:val="none"/>
        </w:rPr>
        <w:t>2号楼、3号楼高低压配电房须白天定时巡查，夜间有值班人员值班。</w:t>
      </w:r>
    </w:p>
    <w:p w14:paraId="0D647ADA">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rPr>
        <w:t>定期对配电设备保养，定期做高压配电柜的操作演练，在单回路停电时按《医院停电预案》力争在最短时间内操作完毕，发挥双回路作用。对院内所有高、低压配电房进行巡查，每天不少于6次，并做好巡查记录，发现问题及时处理并上报；</w:t>
      </w:r>
      <w:r>
        <w:rPr>
          <w:rFonts w:hint="eastAsia" w:ascii="宋体" w:hAnsi="宋体" w:eastAsia="宋体" w:cs="宋体"/>
          <w:b w:val="0"/>
          <w:bCs w:val="0"/>
          <w:color w:val="auto"/>
          <w:kern w:val="0"/>
          <w:sz w:val="24"/>
          <w:szCs w:val="24"/>
          <w:highlight w:val="none"/>
          <w:lang w:eastAsia="zh-CN"/>
        </w:rPr>
        <w:t>每月</w:t>
      </w:r>
      <w:r>
        <w:rPr>
          <w:rFonts w:hint="eastAsia" w:ascii="宋体" w:hAnsi="宋体" w:eastAsia="宋体" w:cs="宋体"/>
          <w:b w:val="0"/>
          <w:bCs w:val="0"/>
          <w:color w:val="auto"/>
          <w:kern w:val="0"/>
          <w:sz w:val="24"/>
          <w:szCs w:val="24"/>
          <w:highlight w:val="none"/>
          <w:lang w:val="en-US" w:eastAsia="zh-CN"/>
        </w:rPr>
        <w:t>10日前</w:t>
      </w:r>
      <w:r>
        <w:rPr>
          <w:rFonts w:hint="eastAsia" w:ascii="宋体" w:hAnsi="宋体" w:eastAsia="宋体" w:cs="宋体"/>
          <w:b w:val="0"/>
          <w:bCs w:val="0"/>
          <w:color w:val="auto"/>
          <w:kern w:val="0"/>
          <w:sz w:val="24"/>
          <w:szCs w:val="24"/>
          <w:highlight w:val="none"/>
          <w:lang w:eastAsia="zh-CN"/>
        </w:rPr>
        <w:t>对全院科室水、电计量装置用量统计上报；</w:t>
      </w:r>
    </w:p>
    <w:p w14:paraId="62937517">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rPr>
        <w:t>每月定期对备用柴油发电机进行试运行，并做好记录、上报；</w:t>
      </w:r>
    </w:p>
    <w:p w14:paraId="5BA9A61D">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7、</w:t>
      </w:r>
      <w:r>
        <w:rPr>
          <w:rFonts w:hint="eastAsia" w:ascii="宋体" w:hAnsi="宋体" w:eastAsia="宋体" w:cs="宋体"/>
          <w:b w:val="0"/>
          <w:bCs w:val="0"/>
          <w:color w:val="auto"/>
          <w:kern w:val="0"/>
          <w:sz w:val="24"/>
          <w:szCs w:val="24"/>
          <w:highlight w:val="none"/>
        </w:rPr>
        <w:t>完成下送工作，对各科所需物资认真登记，核对后及时送到所需科室，含病区加床的下送回收、管理工作；</w:t>
      </w:r>
    </w:p>
    <w:p w14:paraId="4D5F6111">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8、</w:t>
      </w:r>
      <w:r>
        <w:rPr>
          <w:rFonts w:hint="eastAsia" w:ascii="宋体" w:hAnsi="宋体" w:eastAsia="宋体" w:cs="宋体"/>
          <w:b w:val="0"/>
          <w:bCs w:val="0"/>
          <w:color w:val="auto"/>
          <w:kern w:val="0"/>
          <w:sz w:val="24"/>
          <w:szCs w:val="24"/>
          <w:highlight w:val="none"/>
        </w:rPr>
        <w:t>维修过程中，所需维修更换零配件由甲方供应，乙方免费更换；维修时乙方自备各种维修工具及防护劳保用品；</w:t>
      </w:r>
      <w:r>
        <w:rPr>
          <w:rFonts w:hint="eastAsia" w:ascii="宋体" w:hAnsi="宋体" w:cs="宋体"/>
          <w:b w:val="0"/>
          <w:bCs w:val="0"/>
          <w:color w:val="auto"/>
          <w:kern w:val="0"/>
          <w:sz w:val="24"/>
          <w:szCs w:val="24"/>
          <w:highlight w:val="none"/>
          <w:lang w:val="en-US" w:eastAsia="zh-CN"/>
        </w:rPr>
        <w:t>自备对讲机等通讯设备；</w:t>
      </w:r>
    </w:p>
    <w:p w14:paraId="0973394C">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9、</w:t>
      </w:r>
      <w:r>
        <w:rPr>
          <w:rFonts w:hint="eastAsia" w:ascii="宋体" w:hAnsi="宋体" w:eastAsia="宋体" w:cs="宋体"/>
          <w:b w:val="0"/>
          <w:bCs w:val="0"/>
          <w:color w:val="auto"/>
          <w:kern w:val="0"/>
          <w:sz w:val="24"/>
          <w:szCs w:val="24"/>
          <w:highlight w:val="none"/>
        </w:rPr>
        <w:t>上述4项服务要求24小时值班，配备人员至少1</w:t>
      </w:r>
      <w:r>
        <w:rPr>
          <w:rFonts w:hint="eastAsia" w:ascii="宋体" w:hAnsi="宋体" w:eastAsia="宋体" w:cs="宋体"/>
          <w:b w:val="0"/>
          <w:bCs w:val="0"/>
          <w:color w:val="auto"/>
          <w:kern w:val="0"/>
          <w:sz w:val="24"/>
          <w:szCs w:val="24"/>
          <w:highlight w:val="none"/>
          <w:lang w:val="en-US" w:eastAsia="zh-CN"/>
        </w:rPr>
        <w:t>2</w:t>
      </w:r>
      <w:r>
        <w:rPr>
          <w:rFonts w:hint="eastAsia" w:ascii="宋体" w:hAnsi="宋体" w:eastAsia="宋体" w:cs="宋体"/>
          <w:b w:val="0"/>
          <w:bCs w:val="0"/>
          <w:color w:val="auto"/>
          <w:kern w:val="0"/>
          <w:sz w:val="24"/>
          <w:szCs w:val="24"/>
          <w:highlight w:val="none"/>
        </w:rPr>
        <w:t>人，其中</w:t>
      </w:r>
      <w:r>
        <w:rPr>
          <w:rFonts w:hint="eastAsia" w:ascii="宋体" w:hAnsi="宋体" w:eastAsia="宋体" w:cs="宋体"/>
          <w:b w:val="0"/>
          <w:bCs w:val="0"/>
          <w:color w:val="auto"/>
          <w:kern w:val="0"/>
          <w:sz w:val="24"/>
          <w:szCs w:val="24"/>
          <w:highlight w:val="none"/>
          <w:lang w:eastAsia="zh-CN"/>
        </w:rPr>
        <w:t>项目经理</w:t>
      </w:r>
      <w:r>
        <w:rPr>
          <w:rFonts w:hint="eastAsia" w:ascii="宋体" w:hAnsi="宋体" w:eastAsia="宋体" w:cs="宋体"/>
          <w:b w:val="0"/>
          <w:bCs w:val="0"/>
          <w:color w:val="auto"/>
          <w:kern w:val="0"/>
          <w:sz w:val="24"/>
          <w:szCs w:val="24"/>
          <w:highlight w:val="none"/>
          <w:lang w:val="en-US" w:eastAsia="zh-CN"/>
        </w:rPr>
        <w:t>1人、</w:t>
      </w:r>
      <w:r>
        <w:rPr>
          <w:rFonts w:hint="eastAsia" w:ascii="宋体" w:hAnsi="宋体" w:eastAsia="宋体" w:cs="宋体"/>
          <w:b w:val="0"/>
          <w:bCs w:val="0"/>
          <w:color w:val="auto"/>
          <w:kern w:val="0"/>
          <w:sz w:val="24"/>
          <w:szCs w:val="24"/>
          <w:highlight w:val="none"/>
        </w:rPr>
        <w:t>低压电工6人，高压电工2人，管工1人，木工1人，下送1人，乙方根据工作量增加维修人员按时完成维修任务。</w:t>
      </w:r>
    </w:p>
    <w:p w14:paraId="4D138DFB">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10、</w:t>
      </w:r>
      <w:r>
        <w:rPr>
          <w:rFonts w:hint="eastAsia" w:ascii="宋体" w:hAnsi="宋体" w:eastAsia="宋体" w:cs="宋体"/>
          <w:b w:val="0"/>
          <w:bCs w:val="0"/>
          <w:color w:val="auto"/>
          <w:kern w:val="0"/>
          <w:sz w:val="24"/>
          <w:szCs w:val="24"/>
          <w:highlight w:val="none"/>
        </w:rPr>
        <w:t>乙方须对员工进行岗前培训并提前10天进场，参与甲方水、电、木维修运营，物资下送，窨井盖维护管理工作，确保乙方员工合同开始后能保质保量完成各项工作任务；</w:t>
      </w:r>
    </w:p>
    <w:p w14:paraId="568A472C">
      <w:pPr>
        <w:keepNext w:val="0"/>
        <w:keepLines w:val="0"/>
        <w:pageBreakBefore w:val="0"/>
        <w:widowControl/>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11、</w:t>
      </w:r>
      <w:r>
        <w:rPr>
          <w:rFonts w:hint="eastAsia" w:ascii="宋体" w:hAnsi="宋体" w:eastAsia="宋体" w:cs="宋体"/>
          <w:b w:val="0"/>
          <w:bCs w:val="0"/>
          <w:color w:val="auto"/>
          <w:kern w:val="0"/>
          <w:sz w:val="24"/>
          <w:szCs w:val="24"/>
          <w:highlight w:val="none"/>
        </w:rPr>
        <w:t>制定后勤服务的各项规章制度、岗位职责、工作流程及</w:t>
      </w:r>
      <w:r>
        <w:rPr>
          <w:rFonts w:hint="eastAsia" w:ascii="宋体" w:hAnsi="宋体" w:cs="宋体"/>
          <w:b w:val="0"/>
          <w:bCs w:val="0"/>
          <w:color w:val="auto"/>
          <w:kern w:val="0"/>
          <w:sz w:val="24"/>
          <w:szCs w:val="24"/>
          <w:highlight w:val="none"/>
          <w:lang w:val="en-US" w:eastAsia="zh-CN"/>
        </w:rPr>
        <w:t>所含业务范围的</w:t>
      </w:r>
      <w:r>
        <w:rPr>
          <w:rFonts w:hint="eastAsia" w:ascii="宋体" w:hAnsi="宋体" w:eastAsia="宋体" w:cs="宋体"/>
          <w:b w:val="0"/>
          <w:bCs w:val="0"/>
          <w:color w:val="auto"/>
          <w:kern w:val="0"/>
          <w:sz w:val="24"/>
          <w:szCs w:val="24"/>
          <w:highlight w:val="none"/>
        </w:rPr>
        <w:t>应急预案。应急预案</w:t>
      </w:r>
      <w:r>
        <w:rPr>
          <w:rFonts w:hint="eastAsia" w:ascii="宋体" w:hAnsi="宋体" w:cs="宋体"/>
          <w:b w:val="0"/>
          <w:bCs w:val="0"/>
          <w:color w:val="auto"/>
          <w:kern w:val="0"/>
          <w:sz w:val="24"/>
          <w:szCs w:val="24"/>
          <w:highlight w:val="none"/>
          <w:lang w:val="en-US" w:eastAsia="zh-CN"/>
        </w:rPr>
        <w:t>至少每半年</w:t>
      </w:r>
      <w:r>
        <w:rPr>
          <w:rFonts w:hint="eastAsia" w:ascii="宋体" w:hAnsi="宋体" w:eastAsia="宋体" w:cs="宋体"/>
          <w:b w:val="0"/>
          <w:bCs w:val="0"/>
          <w:color w:val="auto"/>
          <w:kern w:val="0"/>
          <w:sz w:val="24"/>
          <w:szCs w:val="24"/>
          <w:highlight w:val="none"/>
        </w:rPr>
        <w:t>进行1次演练并做好资料存档</w:t>
      </w:r>
      <w:r>
        <w:rPr>
          <w:rFonts w:hint="eastAsia" w:ascii="宋体" w:hAnsi="宋体" w:eastAsia="宋体" w:cs="宋体"/>
          <w:b w:val="0"/>
          <w:bCs w:val="0"/>
          <w:color w:val="auto"/>
          <w:kern w:val="0"/>
          <w:sz w:val="24"/>
          <w:szCs w:val="24"/>
          <w:highlight w:val="none"/>
          <w:lang w:eastAsia="zh-CN"/>
        </w:rPr>
        <w:t>。并配合医院做好各种安全检查的文字资料的编辑、存档工作。</w:t>
      </w:r>
    </w:p>
    <w:p w14:paraId="585EF0F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12、</w:t>
      </w:r>
      <w:r>
        <w:rPr>
          <w:rFonts w:hint="eastAsia" w:ascii="宋体" w:hAnsi="宋体" w:eastAsia="宋体" w:cs="宋体"/>
          <w:color w:val="auto"/>
          <w:kern w:val="0"/>
          <w:sz w:val="24"/>
          <w:szCs w:val="24"/>
        </w:rPr>
        <w:t>乙方人员进驻后，对甲方水电设施、线路进行排查并在一个月内向甲方提交安全隐患排查整改报告。</w:t>
      </w:r>
    </w:p>
    <w:p w14:paraId="36709B8E">
      <w:pPr>
        <w:pStyle w:val="52"/>
        <w:keepNext w:val="0"/>
        <w:keepLines w:val="0"/>
        <w:pageBreakBefore w:val="0"/>
        <w:widowControl w:val="0"/>
        <w:kinsoku/>
        <w:wordWrap/>
        <w:overflowPunct/>
        <w:topLinePunct w:val="0"/>
        <w:autoSpaceDE/>
        <w:autoSpaceDN/>
        <w:bidi w:val="0"/>
        <w:adjustRightInd/>
        <w:snapToGrid/>
        <w:spacing w:beforeAutospacing="0" w:after="78" w:afterAutospacing="0" w:line="440" w:lineRule="exac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六、</w:t>
      </w:r>
      <w:r>
        <w:rPr>
          <w:rFonts w:hint="eastAsia" w:ascii="宋体" w:hAnsi="宋体" w:eastAsia="宋体" w:cs="宋体"/>
          <w:color w:val="auto"/>
          <w:sz w:val="24"/>
          <w:szCs w:val="24"/>
        </w:rPr>
        <w:t>甲方的权利和义务</w:t>
      </w:r>
    </w:p>
    <w:p w14:paraId="547DEBB1">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    1、依据考核</w:t>
      </w:r>
      <w:r>
        <w:rPr>
          <w:rFonts w:hint="eastAsia" w:ascii="宋体" w:hAnsi="宋体" w:eastAsia="宋体" w:cs="宋体"/>
          <w:color w:val="auto"/>
          <w:sz w:val="24"/>
          <w:szCs w:val="24"/>
        </w:rPr>
        <w:t>及时向乙方支付承包款，帮助乙方协调甲方内部工作关系；</w:t>
      </w:r>
    </w:p>
    <w:p w14:paraId="7494842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2、甲方每月对维修服务进行检查、考核和评分，如果对乙方所提供的维修服务质量不满意时，甲方有权及时指出并要求整改，同时乙方应采取有效措施按期给予纠正、预防，并改进；</w:t>
      </w:r>
    </w:p>
    <w:p w14:paraId="469E5FA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3、对乙方管理实施监督检查。有权要求乙方对违反服务承诺的事项进行限期整改；有权要求采纳甲方提出的合理要求；有权对乙方不称职的人员提出撤换的建议，有权要求乙方撤换违规人员；</w:t>
      </w:r>
    </w:p>
    <w:p w14:paraId="5531222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甲方在本合同期内为乙方无偿提供工作用水、用电，值班室2间；甲方不给乙方员工提供食宿场所，任何乙方员工不得在甲方区域内生火做饭或使用大功率电磁炉、热得快等电器，因此造成的不良后果，乙方承担全部责任。</w:t>
      </w:r>
    </w:p>
    <w:p w14:paraId="09940D1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七</w:t>
      </w:r>
      <w:r>
        <w:rPr>
          <w:rFonts w:hint="eastAsia" w:ascii="宋体" w:hAnsi="宋体" w:eastAsia="宋体" w:cs="宋体"/>
          <w:b/>
          <w:color w:val="auto"/>
          <w:kern w:val="0"/>
          <w:sz w:val="24"/>
          <w:szCs w:val="24"/>
        </w:rPr>
        <w:t>、乙方的权利和义务</w:t>
      </w:r>
    </w:p>
    <w:p w14:paraId="196D46B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乙方须本着高效、精干的原则在甲方设置项目经理1名（提供授权书），乙方须及时向甲方有关管理部门汇报工作中存在的问题，并及时解决。必须随叫随到，快速响应并服从甲方9033电话调度工作人员任务指派并在工作完成后及时回复工作完成情况；</w:t>
      </w:r>
    </w:p>
    <w:p w14:paraId="7CEB4452">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必须有专业维修技术人员全天（含法定节假日）24小时值班，值班人员数量须满足正常工作服务，配备人员至少1</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人，其中</w:t>
      </w:r>
      <w:r>
        <w:rPr>
          <w:rFonts w:hint="eastAsia" w:ascii="宋体" w:hAnsi="宋体" w:eastAsia="宋体" w:cs="宋体"/>
          <w:color w:val="auto"/>
          <w:sz w:val="24"/>
          <w:szCs w:val="24"/>
          <w:lang w:eastAsia="zh-CN"/>
        </w:rPr>
        <w:t>项目经理</w:t>
      </w:r>
      <w:r>
        <w:rPr>
          <w:rFonts w:hint="eastAsia" w:ascii="宋体" w:hAnsi="宋体" w:eastAsia="宋体" w:cs="宋体"/>
          <w:color w:val="auto"/>
          <w:sz w:val="24"/>
          <w:szCs w:val="24"/>
          <w:lang w:val="en-US" w:eastAsia="zh-CN"/>
        </w:rPr>
        <w:t>1人、</w:t>
      </w:r>
      <w:r>
        <w:rPr>
          <w:rFonts w:hint="eastAsia" w:ascii="宋体" w:hAnsi="宋体" w:eastAsia="宋体" w:cs="宋体"/>
          <w:color w:val="auto"/>
          <w:sz w:val="24"/>
          <w:szCs w:val="24"/>
        </w:rPr>
        <w:t>低压电工6人，高压电工2人，管工1人，木工1人，下送1人，乙方根据工作量增加维修人员按时完成维修任务。</w:t>
      </w:r>
    </w:p>
    <w:p w14:paraId="7B78D738">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乙方指派的人员由乙方自行安排，但须报甲方审查与备案并提供人员电工证、焊工证复印件，离职、调岗需征求甲方意见；</w:t>
      </w:r>
    </w:p>
    <w:p w14:paraId="1F4EE2A3">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乙方须提供下面4项资料复印件并加盖乙方公章：（1）提供本部及平顶山分公司营业执照及本项目负责人授权书：（2）至少1</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名上岗人员为乙方员工的相关证明；（3）上岗人员</w:t>
      </w:r>
      <w:r>
        <w:rPr>
          <w:rFonts w:hint="eastAsia" w:ascii="宋体" w:hAnsi="宋体" w:eastAsia="宋体" w:cs="宋体"/>
          <w:color w:val="auto"/>
          <w:sz w:val="24"/>
          <w:szCs w:val="24"/>
        </w:rPr>
        <w:t>各类资质证明如</w:t>
      </w:r>
      <w:r>
        <w:rPr>
          <w:rFonts w:hint="eastAsia" w:ascii="宋体" w:hAnsi="宋体" w:eastAsia="宋体" w:cs="宋体"/>
          <w:bCs/>
          <w:color w:val="auto"/>
          <w:sz w:val="24"/>
          <w:szCs w:val="24"/>
        </w:rPr>
        <w:t>高压电工证、低压电工证、焊工证，</w:t>
      </w:r>
      <w:r>
        <w:rPr>
          <w:rFonts w:hint="eastAsia" w:ascii="宋体" w:hAnsi="宋体" w:eastAsia="宋体" w:cs="宋体"/>
          <w:color w:val="auto"/>
          <w:sz w:val="24"/>
          <w:szCs w:val="24"/>
        </w:rPr>
        <w:t>各类资质证明必须真实有效，符合国家相关的要求；</w:t>
      </w:r>
      <w:r>
        <w:rPr>
          <w:rFonts w:hint="eastAsia" w:ascii="宋体" w:hAnsi="宋体" w:eastAsia="宋体" w:cs="宋体"/>
          <w:bCs/>
          <w:color w:val="auto"/>
          <w:sz w:val="24"/>
          <w:szCs w:val="24"/>
        </w:rPr>
        <w:t>（4）投标文件承诺的维修工具、设备清单；</w:t>
      </w:r>
    </w:p>
    <w:p w14:paraId="000F2BB2">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乙方自行负责乙方员工的薪资、福利及五险一金等与劳动关系有关的所有事宜，因上述法律关系发生的法律责任，由乙方承担；</w:t>
      </w:r>
    </w:p>
    <w:p w14:paraId="281D4AE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、杜绝各类安全事故发生，如因维修操作过程中造成消防事故、人身事故或设备事故，造成的损失由乙方承担全部法律责任；</w:t>
      </w:r>
    </w:p>
    <w:p w14:paraId="34D5526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、维修时要爱护甲方原有设施，如因维修操作不当损坏要负责赔偿，并追究乙方相关责任；</w:t>
      </w:r>
    </w:p>
    <w:p w14:paraId="0BA3D9A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、乙方须严格按照甲方要求进行维修工作，在维修工作中应严格遵守甲方制订的各项规章制度，保证工作的质量、时效和安全；</w:t>
      </w:r>
    </w:p>
    <w:p w14:paraId="00CBEAE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、乙方在维修完毕后须将维修过程中产生的垃圾立即清理，保持甲方场地整洁；</w:t>
      </w:r>
    </w:p>
    <w:p w14:paraId="552B448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、本合同终止时，乙方必须从合同终止日起十天内向甲方移交全部值班、办公用房及其各类运行日志等管理档案、甲方资产。</w:t>
      </w:r>
    </w:p>
    <w:p w14:paraId="4778EF03">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八、违约处罚与合同终止</w:t>
      </w:r>
    </w:p>
    <w:p w14:paraId="6AA1B35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1、试用期1个月，试用期结束后，甲方对乙方服务进行满意度考核（抽取10个病区），</w:t>
      </w:r>
      <w:r>
        <w:rPr>
          <w:rFonts w:hint="eastAsia" w:ascii="宋体" w:hAnsi="宋体" w:eastAsia="宋体" w:cs="宋体"/>
          <w:color w:val="auto"/>
          <w:sz w:val="24"/>
          <w:szCs w:val="24"/>
        </w:rPr>
        <w:t>基本满意度低于75%时</w:t>
      </w:r>
      <w:r>
        <w:rPr>
          <w:rFonts w:hint="eastAsia" w:ascii="宋体" w:hAnsi="宋体" w:eastAsia="宋体" w:cs="宋体"/>
          <w:color w:val="auto"/>
          <w:kern w:val="0"/>
          <w:sz w:val="24"/>
          <w:szCs w:val="24"/>
        </w:rPr>
        <w:t>，合同终止；</w:t>
      </w:r>
    </w:p>
    <w:p w14:paraId="375B2C9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bCs/>
          <w:color w:val="auto"/>
          <w:sz w:val="24"/>
          <w:szCs w:val="24"/>
        </w:rPr>
        <w:t>每月甲方对乙方的各项服务内容进行考核，满分100分，每扣一分按20元进行罚款，从当月承包费中扣除。</w:t>
      </w:r>
      <w:r>
        <w:rPr>
          <w:rFonts w:hint="eastAsia" w:ascii="宋体" w:hAnsi="宋体" w:eastAsia="宋体" w:cs="宋体"/>
          <w:color w:val="auto"/>
          <w:spacing w:val="20"/>
          <w:sz w:val="24"/>
          <w:szCs w:val="24"/>
        </w:rPr>
        <w:t>考核评定标准详见附件；</w:t>
      </w:r>
    </w:p>
    <w:p w14:paraId="3F9514A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3、甲方每月进行</w:t>
      </w:r>
      <w:r>
        <w:rPr>
          <w:rFonts w:hint="eastAsia" w:ascii="宋体" w:hAnsi="宋体" w:eastAsia="宋体" w:cs="宋体"/>
          <w:color w:val="auto"/>
          <w:kern w:val="0"/>
          <w:sz w:val="24"/>
          <w:szCs w:val="24"/>
        </w:rPr>
        <w:t>服务</w:t>
      </w:r>
      <w:r>
        <w:rPr>
          <w:rFonts w:hint="eastAsia" w:ascii="宋体" w:hAnsi="宋体" w:eastAsia="宋体" w:cs="宋体"/>
          <w:color w:val="auto"/>
          <w:sz w:val="24"/>
          <w:szCs w:val="24"/>
        </w:rPr>
        <w:t>满意度考核</w:t>
      </w:r>
      <w:r>
        <w:rPr>
          <w:rFonts w:hint="eastAsia" w:ascii="宋体" w:hAnsi="宋体" w:eastAsia="宋体" w:cs="宋体"/>
          <w:color w:val="auto"/>
          <w:kern w:val="0"/>
          <w:sz w:val="24"/>
          <w:szCs w:val="24"/>
        </w:rPr>
        <w:t>（抽取10个病区）</w:t>
      </w:r>
      <w:r>
        <w:rPr>
          <w:rFonts w:hint="eastAsia" w:ascii="宋体" w:hAnsi="宋体" w:eastAsia="宋体" w:cs="宋体"/>
          <w:color w:val="auto"/>
          <w:sz w:val="24"/>
          <w:szCs w:val="24"/>
        </w:rPr>
        <w:t>，基本满意度低于95%时，每下降1%按200元从服务费中扣除，基本满意度低于75%时</w:t>
      </w:r>
      <w:r>
        <w:rPr>
          <w:rFonts w:hint="eastAsia" w:ascii="宋体" w:hAnsi="宋体" w:eastAsia="宋体" w:cs="宋体"/>
          <w:color w:val="auto"/>
          <w:kern w:val="0"/>
          <w:sz w:val="24"/>
          <w:szCs w:val="24"/>
        </w:rPr>
        <w:t>，合同终止</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甲方后勤调度9033接到服务投诉，经核实，责任在乙方，每次</w:t>
      </w:r>
      <w:r>
        <w:rPr>
          <w:rFonts w:hint="eastAsia" w:ascii="宋体" w:hAnsi="宋体" w:eastAsia="宋体" w:cs="宋体"/>
          <w:color w:val="auto"/>
          <w:sz w:val="24"/>
          <w:szCs w:val="24"/>
        </w:rPr>
        <w:t>从服务费中扣除</w:t>
      </w:r>
      <w:r>
        <w:rPr>
          <w:rFonts w:hint="eastAsia" w:ascii="宋体" w:hAnsi="宋体" w:eastAsia="宋体" w:cs="宋体"/>
          <w:color w:val="auto"/>
          <w:kern w:val="0"/>
          <w:sz w:val="24"/>
          <w:szCs w:val="24"/>
        </w:rPr>
        <w:t>50元；如有院外投诉，经核实，责任在乙方，每次</w:t>
      </w:r>
      <w:r>
        <w:rPr>
          <w:rFonts w:hint="eastAsia" w:ascii="宋体" w:hAnsi="宋体" w:eastAsia="宋体" w:cs="宋体"/>
          <w:color w:val="auto"/>
          <w:sz w:val="24"/>
          <w:szCs w:val="24"/>
        </w:rPr>
        <w:t>从服务费中扣除</w:t>
      </w:r>
      <w:r>
        <w:rPr>
          <w:rFonts w:hint="eastAsia" w:ascii="宋体" w:hAnsi="宋体" w:eastAsia="宋体" w:cs="宋体"/>
          <w:color w:val="auto"/>
          <w:kern w:val="0"/>
          <w:sz w:val="24"/>
          <w:szCs w:val="24"/>
        </w:rPr>
        <w:t>200元；</w:t>
      </w:r>
    </w:p>
    <w:p w14:paraId="46B6283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eastAsia="宋体" w:cs="宋体"/>
          <w:color w:val="auto"/>
          <w:sz w:val="24"/>
          <w:szCs w:val="24"/>
        </w:rPr>
        <w:t>乙方接到普通维修任务后，20分钟内到达维修科室，如超过20分钟，每次从服务费中扣除50元；如遇高压配电柜需要转换时，转换时长在6分钟以内转换完毕，全院其他配电柜在15分钟内复位完毕，如超出每次从服务费中扣除200元。并承担相应责任。</w:t>
      </w:r>
    </w:p>
    <w:p w14:paraId="31C009F6">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九、其他</w:t>
      </w:r>
    </w:p>
    <w:p w14:paraId="6AA59C7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1、合同未尽事宜双方友好协商解决，合同执行过程中，若发生争议，由双方协商解决，协商不成时，提交甲方所在地法院解决；</w:t>
      </w:r>
    </w:p>
    <w:p w14:paraId="1194E12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2、所有附件及本项目的招投标文件、会议纪要、协议、澄清、答疑、等均具有同等法律效力，考核附件经双方同意，可实时更新完善，并作为本合同的一部分，与本合同具有同等的法律效力；</w:t>
      </w:r>
    </w:p>
    <w:p w14:paraId="59E3960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3、本合同一式捌份，甲方陆份，乙方贰份，合同自甲乙双方法定代表人或委托代理人签字并加盖甲乙双方公章（或合同专用章）之日起生效。</w:t>
      </w:r>
    </w:p>
    <w:p w14:paraId="786E85D2">
      <w:pPr>
        <w:spacing w:beforeAutospacing="0" w:afterAutospacing="0" w:line="540" w:lineRule="exact"/>
        <w:rPr>
          <w:rFonts w:hint="eastAsia" w:ascii="宋体" w:hAnsi="宋体" w:eastAsia="宋体" w:cs="宋体"/>
          <w:bCs/>
          <w:color w:val="auto"/>
          <w:sz w:val="24"/>
          <w:szCs w:val="24"/>
        </w:rPr>
      </w:pPr>
    </w:p>
    <w:p w14:paraId="4C78536A">
      <w:pPr>
        <w:spacing w:beforeAutospacing="0" w:afterAutospacing="0" w:line="440" w:lineRule="exact"/>
        <w:rPr>
          <w:rFonts w:hint="eastAsia" w:ascii="宋体" w:hAnsi="宋体" w:eastAsia="宋体" w:cs="宋体"/>
          <w:bCs/>
          <w:color w:val="auto"/>
          <w:sz w:val="24"/>
          <w:szCs w:val="24"/>
        </w:rPr>
      </w:pPr>
    </w:p>
    <w:p w14:paraId="0DFD6105">
      <w:pPr>
        <w:spacing w:beforeAutospacing="0" w:afterAutospacing="0" w:line="440" w:lineRule="exact"/>
        <w:ind w:right="-934" w:rightChars="-445"/>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甲方：平顶山市第一人民医院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 xml:space="preserve">     乙方：</w:t>
      </w:r>
    </w:p>
    <w:p w14:paraId="1061790A">
      <w:pPr>
        <w:spacing w:beforeAutospacing="0" w:afterAutospacing="0" w:line="440" w:lineRule="exact"/>
        <w:ind w:left="-423" w:leftChars="-202" w:right="-934" w:rightChars="-445" w:hanging="1"/>
        <w:jc w:val="left"/>
        <w:rPr>
          <w:rFonts w:hint="eastAsia" w:ascii="宋体" w:hAnsi="宋体" w:eastAsia="宋体" w:cs="宋体"/>
          <w:b w:val="0"/>
          <w:bCs w:val="0"/>
          <w:color w:val="auto"/>
          <w:sz w:val="24"/>
          <w:szCs w:val="24"/>
        </w:rPr>
      </w:pPr>
    </w:p>
    <w:p w14:paraId="00EBC206">
      <w:pPr>
        <w:spacing w:beforeAutospacing="0" w:afterAutospacing="0" w:line="440" w:lineRule="exact"/>
        <w:ind w:right="-934" w:rightChars="-445"/>
        <w:jc w:val="left"/>
        <w:rPr>
          <w:rFonts w:hint="eastAsia" w:ascii="宋体" w:hAnsi="宋体" w:eastAsia="宋体" w:cs="宋体"/>
          <w:b w:val="0"/>
          <w:bCs w:val="0"/>
          <w:color w:val="auto"/>
          <w:spacing w:val="20"/>
          <w:sz w:val="24"/>
          <w:szCs w:val="24"/>
        </w:rPr>
      </w:pPr>
      <w:r>
        <w:rPr>
          <w:rFonts w:hint="eastAsia" w:ascii="宋体" w:hAnsi="宋体" w:eastAsia="宋体" w:cs="宋体"/>
          <w:b w:val="0"/>
          <w:bCs w:val="0"/>
          <w:color w:val="auto"/>
          <w:spacing w:val="20"/>
          <w:sz w:val="24"/>
          <w:szCs w:val="24"/>
        </w:rPr>
        <w:t xml:space="preserve">法定代表人：         </w:t>
      </w:r>
      <w:r>
        <w:rPr>
          <w:rFonts w:hint="eastAsia" w:ascii="宋体" w:hAnsi="宋体" w:eastAsia="宋体" w:cs="宋体"/>
          <w:b w:val="0"/>
          <w:bCs w:val="0"/>
          <w:color w:val="auto"/>
          <w:spacing w:val="20"/>
          <w:sz w:val="24"/>
          <w:szCs w:val="24"/>
          <w:lang w:val="en-US" w:eastAsia="zh-CN"/>
        </w:rPr>
        <w:t xml:space="preserve">        </w:t>
      </w:r>
      <w:r>
        <w:rPr>
          <w:rFonts w:hint="eastAsia" w:ascii="宋体" w:hAnsi="宋体" w:eastAsia="宋体" w:cs="宋体"/>
          <w:b w:val="0"/>
          <w:bCs w:val="0"/>
          <w:color w:val="auto"/>
          <w:spacing w:val="20"/>
          <w:sz w:val="24"/>
          <w:szCs w:val="24"/>
        </w:rPr>
        <w:t xml:space="preserve">       法定代表人： </w:t>
      </w:r>
    </w:p>
    <w:p w14:paraId="6BDFE97F">
      <w:pPr>
        <w:spacing w:beforeAutospacing="0" w:afterAutospacing="0" w:line="440" w:lineRule="exact"/>
        <w:ind w:left="-423" w:leftChars="-202" w:right="-934" w:rightChars="-445" w:hanging="1"/>
        <w:jc w:val="left"/>
        <w:rPr>
          <w:rFonts w:hint="eastAsia" w:ascii="宋体" w:hAnsi="宋体" w:eastAsia="宋体" w:cs="宋体"/>
          <w:b w:val="0"/>
          <w:bCs w:val="0"/>
          <w:color w:val="auto"/>
          <w:spacing w:val="20"/>
          <w:sz w:val="24"/>
          <w:szCs w:val="24"/>
        </w:rPr>
      </w:pPr>
    </w:p>
    <w:p w14:paraId="68D2B1FC">
      <w:pPr>
        <w:spacing w:beforeAutospacing="0" w:afterAutospacing="0" w:line="440" w:lineRule="exact"/>
        <w:ind w:right="-934" w:rightChars="-445"/>
        <w:jc w:val="left"/>
        <w:rPr>
          <w:rFonts w:hint="eastAsia" w:ascii="宋体" w:hAnsi="宋体" w:eastAsia="宋体" w:cs="宋体"/>
          <w:b w:val="0"/>
          <w:bCs w:val="0"/>
          <w:color w:val="auto"/>
          <w:spacing w:val="20"/>
          <w:sz w:val="24"/>
          <w:szCs w:val="24"/>
        </w:rPr>
      </w:pPr>
      <w:r>
        <w:rPr>
          <w:rFonts w:hint="eastAsia" w:ascii="宋体" w:hAnsi="宋体" w:eastAsia="宋体" w:cs="宋体"/>
          <w:b w:val="0"/>
          <w:bCs w:val="0"/>
          <w:color w:val="auto"/>
          <w:spacing w:val="20"/>
          <w:sz w:val="24"/>
          <w:szCs w:val="24"/>
        </w:rPr>
        <w:t xml:space="preserve">委托代理人：             </w:t>
      </w:r>
      <w:r>
        <w:rPr>
          <w:rFonts w:hint="eastAsia" w:ascii="宋体" w:hAnsi="宋体" w:eastAsia="宋体" w:cs="宋体"/>
          <w:b w:val="0"/>
          <w:bCs w:val="0"/>
          <w:color w:val="auto"/>
          <w:spacing w:val="20"/>
          <w:sz w:val="24"/>
          <w:szCs w:val="24"/>
          <w:lang w:val="en-US" w:eastAsia="zh-CN"/>
        </w:rPr>
        <w:t xml:space="preserve">       </w:t>
      </w:r>
      <w:r>
        <w:rPr>
          <w:rFonts w:hint="eastAsia" w:ascii="宋体" w:hAnsi="宋体" w:eastAsia="宋体" w:cs="宋体"/>
          <w:b w:val="0"/>
          <w:bCs w:val="0"/>
          <w:color w:val="auto"/>
          <w:spacing w:val="20"/>
          <w:sz w:val="24"/>
          <w:szCs w:val="24"/>
        </w:rPr>
        <w:t xml:space="preserve">  </w:t>
      </w:r>
      <w:r>
        <w:rPr>
          <w:rFonts w:hint="eastAsia" w:ascii="宋体" w:hAnsi="宋体" w:eastAsia="宋体" w:cs="宋体"/>
          <w:b w:val="0"/>
          <w:bCs w:val="0"/>
          <w:color w:val="auto"/>
          <w:spacing w:val="20"/>
          <w:sz w:val="24"/>
          <w:szCs w:val="24"/>
          <w:lang w:val="en-US" w:eastAsia="zh-CN"/>
        </w:rPr>
        <w:t xml:space="preserve"> </w:t>
      </w:r>
      <w:r>
        <w:rPr>
          <w:rFonts w:hint="eastAsia" w:ascii="宋体" w:hAnsi="宋体" w:eastAsia="宋体" w:cs="宋体"/>
          <w:b w:val="0"/>
          <w:bCs w:val="0"/>
          <w:color w:val="auto"/>
          <w:spacing w:val="20"/>
          <w:sz w:val="24"/>
          <w:szCs w:val="24"/>
        </w:rPr>
        <w:t xml:space="preserve"> 委托代理人：</w:t>
      </w:r>
    </w:p>
    <w:p w14:paraId="66BB725C">
      <w:pPr>
        <w:spacing w:beforeAutospacing="0" w:afterAutospacing="0" w:line="440" w:lineRule="exact"/>
        <w:ind w:left="-567" w:leftChars="-270" w:right="-934" w:rightChars="-445" w:firstLine="162" w:firstLineChars="58"/>
        <w:jc w:val="left"/>
        <w:rPr>
          <w:rFonts w:hint="eastAsia" w:ascii="宋体" w:hAnsi="宋体" w:eastAsia="宋体" w:cs="宋体"/>
          <w:b w:val="0"/>
          <w:bCs w:val="0"/>
          <w:color w:val="auto"/>
          <w:spacing w:val="20"/>
          <w:sz w:val="24"/>
          <w:szCs w:val="24"/>
        </w:rPr>
      </w:pPr>
    </w:p>
    <w:p w14:paraId="506378B8">
      <w:pPr>
        <w:spacing w:beforeAutospacing="0" w:afterAutospacing="0" w:line="440" w:lineRule="exact"/>
        <w:ind w:right="-934" w:rightChars="-445"/>
        <w:jc w:val="left"/>
        <w:rPr>
          <w:rFonts w:hint="eastAsia" w:ascii="仿宋" w:hAnsi="仿宋" w:eastAsia="仿宋" w:cs="仿宋"/>
          <w:b/>
          <w:bCs/>
          <w:color w:val="auto"/>
          <w:spacing w:val="20"/>
          <w:sz w:val="24"/>
          <w:szCs w:val="24"/>
        </w:rPr>
      </w:pPr>
      <w:r>
        <w:rPr>
          <w:rFonts w:hint="eastAsia" w:ascii="宋体" w:hAnsi="宋体" w:eastAsia="宋体" w:cs="宋体"/>
          <w:b w:val="0"/>
          <w:bCs w:val="0"/>
          <w:color w:val="auto"/>
          <w:spacing w:val="20"/>
          <w:sz w:val="24"/>
          <w:szCs w:val="24"/>
        </w:rPr>
        <w:t xml:space="preserve">日期：   年   月   日   </w:t>
      </w:r>
      <w:r>
        <w:rPr>
          <w:rFonts w:hint="eastAsia" w:ascii="宋体" w:hAnsi="宋体" w:eastAsia="宋体" w:cs="宋体"/>
          <w:b w:val="0"/>
          <w:bCs w:val="0"/>
          <w:color w:val="auto"/>
          <w:spacing w:val="20"/>
          <w:sz w:val="24"/>
          <w:szCs w:val="24"/>
          <w:lang w:val="en-US" w:eastAsia="zh-CN"/>
        </w:rPr>
        <w:t xml:space="preserve">        </w:t>
      </w:r>
      <w:r>
        <w:rPr>
          <w:rFonts w:hint="eastAsia" w:ascii="宋体" w:hAnsi="宋体" w:eastAsia="宋体" w:cs="宋体"/>
          <w:b w:val="0"/>
          <w:bCs w:val="0"/>
          <w:color w:val="auto"/>
          <w:spacing w:val="20"/>
          <w:sz w:val="24"/>
          <w:szCs w:val="24"/>
        </w:rPr>
        <w:t xml:space="preserve">    日期：   </w:t>
      </w:r>
      <w:r>
        <w:rPr>
          <w:rFonts w:hint="eastAsia" w:ascii="宋体" w:hAnsi="宋体" w:eastAsia="宋体" w:cs="宋体"/>
          <w:color w:val="auto"/>
          <w:spacing w:val="20"/>
          <w:sz w:val="24"/>
          <w:szCs w:val="24"/>
        </w:rPr>
        <w:t>年   月   日</w:t>
      </w:r>
    </w:p>
    <w:p w14:paraId="4D410B6E">
      <w:pPr>
        <w:spacing w:beforeAutospacing="0" w:afterAutospacing="0" w:line="360" w:lineRule="exact"/>
        <w:rPr>
          <w:rFonts w:hint="eastAsia" w:ascii="仿宋" w:hAnsi="仿宋" w:eastAsia="仿宋" w:cs="仿宋"/>
          <w:color w:val="auto"/>
          <w:spacing w:val="20"/>
          <w:sz w:val="24"/>
          <w:szCs w:val="24"/>
        </w:rPr>
      </w:pPr>
    </w:p>
    <w:p w14:paraId="1D88A3B0">
      <w:pPr>
        <w:spacing w:beforeAutospacing="0" w:afterAutospacing="0" w:line="360" w:lineRule="exact"/>
        <w:rPr>
          <w:rFonts w:hint="eastAsia" w:ascii="仿宋" w:hAnsi="仿宋" w:eastAsia="仿宋" w:cs="仿宋"/>
          <w:color w:val="auto"/>
          <w:spacing w:val="20"/>
          <w:sz w:val="24"/>
          <w:szCs w:val="24"/>
        </w:rPr>
      </w:pPr>
    </w:p>
    <w:p w14:paraId="4DA9036A">
      <w:pPr>
        <w:spacing w:beforeAutospacing="0" w:afterAutospacing="0" w:line="360" w:lineRule="exact"/>
        <w:rPr>
          <w:rFonts w:hint="eastAsia" w:ascii="仿宋" w:hAnsi="仿宋" w:eastAsia="仿宋" w:cs="仿宋"/>
          <w:color w:val="auto"/>
          <w:spacing w:val="20"/>
          <w:sz w:val="24"/>
          <w:szCs w:val="24"/>
        </w:rPr>
      </w:pPr>
    </w:p>
    <w:p w14:paraId="248FE212">
      <w:pPr>
        <w:spacing w:beforeAutospacing="0" w:afterAutospacing="0" w:line="360" w:lineRule="exact"/>
        <w:rPr>
          <w:rFonts w:hint="eastAsia" w:ascii="仿宋" w:hAnsi="仿宋" w:eastAsia="仿宋" w:cs="仿宋"/>
          <w:color w:val="auto"/>
          <w:spacing w:val="20"/>
          <w:sz w:val="24"/>
          <w:szCs w:val="24"/>
        </w:rPr>
      </w:pPr>
    </w:p>
    <w:p w14:paraId="3B6F9348">
      <w:pPr>
        <w:spacing w:beforeAutospacing="0" w:afterAutospacing="0" w:line="360" w:lineRule="exact"/>
        <w:rPr>
          <w:rFonts w:hint="eastAsia" w:ascii="仿宋" w:hAnsi="仿宋" w:eastAsia="仿宋" w:cs="仿宋"/>
          <w:color w:val="auto"/>
          <w:spacing w:val="20"/>
          <w:sz w:val="24"/>
          <w:szCs w:val="24"/>
        </w:rPr>
      </w:pPr>
    </w:p>
    <w:p w14:paraId="7E2B4EE0">
      <w:pPr>
        <w:spacing w:beforeAutospacing="0" w:afterAutospacing="0" w:line="360" w:lineRule="exact"/>
        <w:rPr>
          <w:rFonts w:hint="eastAsia" w:ascii="仿宋" w:hAnsi="仿宋" w:eastAsia="仿宋" w:cs="仿宋"/>
          <w:color w:val="auto"/>
          <w:spacing w:val="20"/>
          <w:sz w:val="24"/>
          <w:szCs w:val="24"/>
        </w:rPr>
      </w:pPr>
    </w:p>
    <w:p w14:paraId="01131310">
      <w:pPr>
        <w:spacing w:beforeAutospacing="0" w:afterAutospacing="0" w:line="360" w:lineRule="exact"/>
        <w:rPr>
          <w:rFonts w:hint="eastAsia" w:ascii="仿宋" w:hAnsi="仿宋" w:eastAsia="仿宋" w:cs="仿宋"/>
          <w:color w:val="auto"/>
          <w:spacing w:val="20"/>
          <w:sz w:val="24"/>
          <w:szCs w:val="24"/>
        </w:rPr>
      </w:pPr>
    </w:p>
    <w:p w14:paraId="124DA13E">
      <w:pPr>
        <w:spacing w:beforeAutospacing="0" w:afterAutospacing="0" w:line="360" w:lineRule="exact"/>
        <w:rPr>
          <w:rFonts w:hint="eastAsia" w:ascii="仿宋" w:hAnsi="仿宋" w:eastAsia="仿宋" w:cs="仿宋"/>
          <w:color w:val="auto"/>
          <w:spacing w:val="20"/>
          <w:sz w:val="24"/>
          <w:szCs w:val="24"/>
        </w:rPr>
      </w:pPr>
    </w:p>
    <w:p w14:paraId="1A0660F9">
      <w:pPr>
        <w:spacing w:beforeAutospacing="0" w:afterAutospacing="0" w:line="360" w:lineRule="exact"/>
        <w:rPr>
          <w:rFonts w:hint="eastAsia" w:ascii="仿宋" w:hAnsi="仿宋" w:eastAsia="仿宋" w:cs="仿宋"/>
          <w:color w:val="auto"/>
          <w:spacing w:val="20"/>
          <w:sz w:val="32"/>
          <w:szCs w:val="32"/>
        </w:rPr>
      </w:pPr>
    </w:p>
    <w:p w14:paraId="6297AB74">
      <w:pPr>
        <w:spacing w:beforeAutospacing="0" w:afterAutospacing="0" w:line="360" w:lineRule="exact"/>
        <w:rPr>
          <w:rFonts w:hint="eastAsia" w:ascii="仿宋" w:hAnsi="仿宋" w:eastAsia="仿宋" w:cs="仿宋"/>
          <w:color w:val="auto"/>
          <w:spacing w:val="20"/>
          <w:sz w:val="32"/>
          <w:szCs w:val="32"/>
        </w:rPr>
      </w:pPr>
    </w:p>
    <w:p w14:paraId="6485EACA">
      <w:pPr>
        <w:spacing w:beforeAutospacing="0" w:afterAutospacing="0" w:line="360" w:lineRule="exact"/>
        <w:rPr>
          <w:rFonts w:hint="eastAsia" w:ascii="仿宋" w:hAnsi="仿宋" w:eastAsia="仿宋" w:cs="仿宋"/>
          <w:color w:val="auto"/>
          <w:spacing w:val="20"/>
          <w:sz w:val="32"/>
          <w:szCs w:val="32"/>
        </w:rPr>
      </w:pPr>
    </w:p>
    <w:p w14:paraId="207D4214">
      <w:pPr>
        <w:spacing w:beforeAutospacing="0" w:afterAutospacing="0" w:line="360" w:lineRule="exact"/>
        <w:rPr>
          <w:rFonts w:hint="eastAsia" w:ascii="仿宋" w:hAnsi="仿宋" w:eastAsia="仿宋" w:cs="仿宋"/>
          <w:color w:val="auto"/>
          <w:spacing w:val="20"/>
          <w:sz w:val="32"/>
          <w:szCs w:val="32"/>
        </w:rPr>
      </w:pPr>
    </w:p>
    <w:tbl>
      <w:tblPr>
        <w:tblStyle w:val="25"/>
        <w:tblpPr w:leftFromText="180" w:rightFromText="180" w:vertAnchor="text" w:horzAnchor="page" w:tblpXSpec="center"/>
        <w:tblOverlap w:val="never"/>
        <w:tblW w:w="9635" w:type="dxa"/>
        <w:tblInd w:w="1498" w:type="dxa"/>
        <w:tblLayout w:type="fixed"/>
        <w:tblCellMar>
          <w:top w:w="0" w:type="dxa"/>
          <w:left w:w="108" w:type="dxa"/>
          <w:bottom w:w="0" w:type="dxa"/>
          <w:right w:w="108" w:type="dxa"/>
        </w:tblCellMar>
      </w:tblPr>
      <w:tblGrid>
        <w:gridCol w:w="763"/>
        <w:gridCol w:w="4541"/>
        <w:gridCol w:w="832"/>
        <w:gridCol w:w="1868"/>
        <w:gridCol w:w="805"/>
        <w:gridCol w:w="826"/>
      </w:tblGrid>
      <w:tr w14:paraId="7CA7F04A">
        <w:tblPrEx>
          <w:tblCellMar>
            <w:top w:w="0" w:type="dxa"/>
            <w:left w:w="108" w:type="dxa"/>
            <w:bottom w:w="0" w:type="dxa"/>
            <w:right w:w="108" w:type="dxa"/>
          </w:tblCellMar>
        </w:tblPrEx>
        <w:trPr>
          <w:trHeight w:val="634" w:hRule="atLeast"/>
        </w:trPr>
        <w:tc>
          <w:tcPr>
            <w:tcW w:w="9635" w:type="dxa"/>
            <w:gridSpan w:val="6"/>
            <w:tcBorders>
              <w:top w:val="nil"/>
              <w:left w:val="nil"/>
              <w:bottom w:val="nil"/>
              <w:right w:val="nil"/>
            </w:tcBorders>
            <w:noWrap/>
            <w:vAlign w:val="center"/>
          </w:tcPr>
          <w:p w14:paraId="1FF9C409">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平顶山市第一人民医院后勤服务考核表</w:t>
            </w:r>
          </w:p>
        </w:tc>
      </w:tr>
      <w:tr w14:paraId="1E9EA81C">
        <w:tblPrEx>
          <w:tblCellMar>
            <w:top w:w="0" w:type="dxa"/>
            <w:left w:w="108" w:type="dxa"/>
            <w:bottom w:w="0" w:type="dxa"/>
            <w:right w:w="108" w:type="dxa"/>
          </w:tblCellMar>
        </w:tblPrEx>
        <w:trPr>
          <w:trHeight w:val="634" w:hRule="atLeast"/>
        </w:trPr>
        <w:tc>
          <w:tcPr>
            <w:tcW w:w="763" w:type="dxa"/>
            <w:tcBorders>
              <w:top w:val="nil"/>
              <w:left w:val="nil"/>
              <w:bottom w:val="single" w:color="000000" w:sz="4" w:space="0"/>
              <w:right w:val="nil"/>
            </w:tcBorders>
            <w:noWrap/>
            <w:vAlign w:val="center"/>
          </w:tcPr>
          <w:p w14:paraId="072521D9">
            <w:pPr>
              <w:jc w:val="center"/>
              <w:rPr>
                <w:rFonts w:hint="eastAsia" w:ascii="宋体" w:hAnsi="宋体" w:eastAsia="宋体" w:cs="宋体"/>
                <w:b/>
                <w:bCs/>
                <w:color w:val="auto"/>
                <w:sz w:val="21"/>
                <w:szCs w:val="21"/>
              </w:rPr>
            </w:pPr>
          </w:p>
        </w:tc>
        <w:tc>
          <w:tcPr>
            <w:tcW w:w="4541" w:type="dxa"/>
            <w:tcBorders>
              <w:top w:val="nil"/>
              <w:left w:val="nil"/>
              <w:bottom w:val="single" w:color="000000" w:sz="4" w:space="0"/>
              <w:right w:val="nil"/>
            </w:tcBorders>
            <w:noWrap/>
            <w:vAlign w:val="center"/>
          </w:tcPr>
          <w:p w14:paraId="458C542B">
            <w:pPr>
              <w:jc w:val="left"/>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日期：</w:t>
            </w:r>
          </w:p>
        </w:tc>
        <w:tc>
          <w:tcPr>
            <w:tcW w:w="832" w:type="dxa"/>
            <w:tcBorders>
              <w:top w:val="nil"/>
              <w:left w:val="nil"/>
              <w:bottom w:val="single" w:color="000000" w:sz="4" w:space="0"/>
              <w:right w:val="nil"/>
            </w:tcBorders>
            <w:noWrap/>
            <w:vAlign w:val="center"/>
          </w:tcPr>
          <w:p w14:paraId="637AB535">
            <w:pPr>
              <w:rPr>
                <w:rFonts w:hint="eastAsia" w:ascii="宋体" w:hAnsi="宋体" w:eastAsia="宋体" w:cs="宋体"/>
                <w:b/>
                <w:bCs/>
                <w:color w:val="auto"/>
                <w:kern w:val="0"/>
                <w:sz w:val="21"/>
                <w:szCs w:val="21"/>
                <w:lang w:bidi="ar"/>
              </w:rPr>
            </w:pPr>
          </w:p>
        </w:tc>
        <w:tc>
          <w:tcPr>
            <w:tcW w:w="1868" w:type="dxa"/>
            <w:tcBorders>
              <w:top w:val="nil"/>
              <w:left w:val="nil"/>
              <w:bottom w:val="single" w:color="000000" w:sz="4" w:space="0"/>
              <w:right w:val="nil"/>
            </w:tcBorders>
            <w:vAlign w:val="center"/>
          </w:tcPr>
          <w:p w14:paraId="5CD1A0D3">
            <w:pPr>
              <w:jc w:val="center"/>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分值：</w:t>
            </w:r>
          </w:p>
        </w:tc>
        <w:tc>
          <w:tcPr>
            <w:tcW w:w="805" w:type="dxa"/>
            <w:tcBorders>
              <w:top w:val="nil"/>
              <w:left w:val="nil"/>
              <w:bottom w:val="single" w:color="000000" w:sz="4" w:space="0"/>
              <w:right w:val="nil"/>
            </w:tcBorders>
            <w:noWrap/>
            <w:vAlign w:val="center"/>
          </w:tcPr>
          <w:p w14:paraId="52E30D52">
            <w:pPr>
              <w:jc w:val="left"/>
              <w:rPr>
                <w:rFonts w:hint="eastAsia" w:ascii="宋体" w:hAnsi="宋体" w:eastAsia="宋体" w:cs="宋体"/>
                <w:b/>
                <w:bCs/>
                <w:color w:val="auto"/>
                <w:kern w:val="0"/>
                <w:sz w:val="21"/>
                <w:szCs w:val="21"/>
                <w:lang w:eastAsia="zh-CN" w:bidi="ar"/>
              </w:rPr>
            </w:pPr>
          </w:p>
        </w:tc>
        <w:tc>
          <w:tcPr>
            <w:tcW w:w="826" w:type="dxa"/>
            <w:tcBorders>
              <w:top w:val="nil"/>
              <w:left w:val="nil"/>
              <w:bottom w:val="single" w:color="000000" w:sz="4" w:space="0"/>
              <w:right w:val="nil"/>
            </w:tcBorders>
            <w:noWrap/>
            <w:vAlign w:val="center"/>
          </w:tcPr>
          <w:p w14:paraId="4322E5AC">
            <w:pPr>
              <w:jc w:val="center"/>
              <w:rPr>
                <w:rFonts w:hint="eastAsia" w:ascii="宋体" w:hAnsi="宋体" w:eastAsia="宋体" w:cs="宋体"/>
                <w:b/>
                <w:bCs/>
                <w:color w:val="auto"/>
                <w:sz w:val="21"/>
                <w:szCs w:val="21"/>
              </w:rPr>
            </w:pPr>
          </w:p>
        </w:tc>
      </w:tr>
      <w:tr w14:paraId="4459BA06">
        <w:tblPrEx>
          <w:tblCellMar>
            <w:top w:w="0" w:type="dxa"/>
            <w:left w:w="108" w:type="dxa"/>
            <w:bottom w:w="0" w:type="dxa"/>
            <w:right w:w="108" w:type="dxa"/>
          </w:tblCellMar>
        </w:tblPrEx>
        <w:trPr>
          <w:trHeight w:val="90" w:hRule="atLeast"/>
        </w:trPr>
        <w:tc>
          <w:tcPr>
            <w:tcW w:w="763" w:type="dxa"/>
            <w:tcBorders>
              <w:top w:val="nil"/>
              <w:left w:val="single" w:color="000000" w:sz="4" w:space="0"/>
              <w:bottom w:val="single" w:color="000000" w:sz="4" w:space="0"/>
              <w:right w:val="single" w:color="000000" w:sz="4" w:space="0"/>
            </w:tcBorders>
            <w:noWrap/>
            <w:vAlign w:val="center"/>
          </w:tcPr>
          <w:p w14:paraId="5FC15958">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序号</w:t>
            </w:r>
          </w:p>
        </w:tc>
        <w:tc>
          <w:tcPr>
            <w:tcW w:w="4541" w:type="dxa"/>
            <w:tcBorders>
              <w:top w:val="nil"/>
              <w:left w:val="single" w:color="000000" w:sz="4" w:space="0"/>
              <w:bottom w:val="single" w:color="000000" w:sz="4" w:space="0"/>
              <w:right w:val="single" w:color="000000" w:sz="4" w:space="0"/>
            </w:tcBorders>
            <w:vAlign w:val="center"/>
          </w:tcPr>
          <w:p w14:paraId="65FDB018">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维修细则考评标准</w:t>
            </w:r>
          </w:p>
        </w:tc>
        <w:tc>
          <w:tcPr>
            <w:tcW w:w="832" w:type="dxa"/>
            <w:tcBorders>
              <w:top w:val="nil"/>
              <w:left w:val="single" w:color="000000" w:sz="4" w:space="0"/>
              <w:bottom w:val="single" w:color="000000" w:sz="4" w:space="0"/>
              <w:right w:val="single" w:color="000000" w:sz="4" w:space="0"/>
            </w:tcBorders>
            <w:noWrap/>
            <w:vAlign w:val="center"/>
          </w:tcPr>
          <w:p w14:paraId="26761C2A">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分值</w:t>
            </w:r>
          </w:p>
        </w:tc>
        <w:tc>
          <w:tcPr>
            <w:tcW w:w="1868" w:type="dxa"/>
            <w:tcBorders>
              <w:top w:val="nil"/>
              <w:left w:val="single" w:color="000000" w:sz="4" w:space="0"/>
              <w:bottom w:val="single" w:color="000000" w:sz="4" w:space="0"/>
              <w:right w:val="single" w:color="000000" w:sz="4" w:space="0"/>
            </w:tcBorders>
            <w:vAlign w:val="center"/>
          </w:tcPr>
          <w:p w14:paraId="295FD3C4">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评分方法</w:t>
            </w:r>
          </w:p>
        </w:tc>
        <w:tc>
          <w:tcPr>
            <w:tcW w:w="805" w:type="dxa"/>
            <w:tcBorders>
              <w:top w:val="nil"/>
              <w:left w:val="single" w:color="000000" w:sz="4" w:space="0"/>
              <w:bottom w:val="single" w:color="000000" w:sz="4" w:space="0"/>
              <w:right w:val="single" w:color="000000" w:sz="4" w:space="0"/>
            </w:tcBorders>
            <w:noWrap/>
            <w:vAlign w:val="center"/>
          </w:tcPr>
          <w:p w14:paraId="09F5E117">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扣分</w:t>
            </w:r>
          </w:p>
        </w:tc>
        <w:tc>
          <w:tcPr>
            <w:tcW w:w="826" w:type="dxa"/>
            <w:tcBorders>
              <w:top w:val="nil"/>
              <w:left w:val="single" w:color="000000" w:sz="4" w:space="0"/>
              <w:bottom w:val="single" w:color="000000" w:sz="4" w:space="0"/>
              <w:right w:val="single" w:color="000000" w:sz="4" w:space="0"/>
            </w:tcBorders>
            <w:noWrap/>
            <w:vAlign w:val="center"/>
          </w:tcPr>
          <w:p w14:paraId="3A4D0BA0">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得分</w:t>
            </w:r>
          </w:p>
        </w:tc>
      </w:tr>
      <w:tr w14:paraId="78D4B6DB">
        <w:tblPrEx>
          <w:tblCellMar>
            <w:top w:w="0" w:type="dxa"/>
            <w:left w:w="108" w:type="dxa"/>
            <w:bottom w:w="0" w:type="dxa"/>
            <w:right w:w="108" w:type="dxa"/>
          </w:tblCellMar>
        </w:tblPrEx>
        <w:trPr>
          <w:trHeight w:val="90"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22BBDC9C">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w:t>
            </w:r>
          </w:p>
        </w:tc>
        <w:tc>
          <w:tcPr>
            <w:tcW w:w="4541" w:type="dxa"/>
            <w:tcBorders>
              <w:top w:val="single" w:color="000000" w:sz="4" w:space="0"/>
              <w:left w:val="single" w:color="000000" w:sz="4" w:space="0"/>
              <w:bottom w:val="single" w:color="000000" w:sz="4" w:space="0"/>
              <w:right w:val="single" w:color="000000" w:sz="4" w:space="0"/>
            </w:tcBorders>
            <w:vAlign w:val="center"/>
          </w:tcPr>
          <w:p w14:paraId="76DB774F">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保持良好的仪容仪表，精神饱满、着装整齐、工号牌佩戴端正、言谈举止文明礼仪</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7B29F99D">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1868" w:type="dxa"/>
            <w:tcBorders>
              <w:top w:val="single" w:color="000000" w:sz="4" w:space="0"/>
              <w:left w:val="single" w:color="000000" w:sz="4" w:space="0"/>
              <w:bottom w:val="single" w:color="000000" w:sz="4" w:space="0"/>
              <w:right w:val="single" w:color="000000" w:sz="4" w:space="0"/>
            </w:tcBorders>
            <w:vAlign w:val="center"/>
          </w:tcPr>
          <w:p w14:paraId="61E47A35">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3109F87">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6CF107E2">
            <w:pPr>
              <w:jc w:val="center"/>
              <w:rPr>
                <w:rFonts w:hint="eastAsia" w:ascii="宋体" w:hAnsi="宋体" w:eastAsia="宋体" w:cs="宋体"/>
                <w:b/>
                <w:bCs/>
                <w:color w:val="auto"/>
                <w:sz w:val="21"/>
                <w:szCs w:val="21"/>
              </w:rPr>
            </w:pPr>
          </w:p>
        </w:tc>
      </w:tr>
      <w:tr w14:paraId="132AD488">
        <w:tblPrEx>
          <w:tblCellMar>
            <w:top w:w="0" w:type="dxa"/>
            <w:left w:w="108" w:type="dxa"/>
            <w:bottom w:w="0" w:type="dxa"/>
            <w:right w:w="108" w:type="dxa"/>
          </w:tblCellMar>
        </w:tblPrEx>
        <w:trPr>
          <w:trHeight w:val="509"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62B07B6C">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2</w:t>
            </w:r>
          </w:p>
        </w:tc>
        <w:tc>
          <w:tcPr>
            <w:tcW w:w="4541" w:type="dxa"/>
            <w:tcBorders>
              <w:top w:val="single" w:color="000000" w:sz="4" w:space="0"/>
              <w:left w:val="single" w:color="000000" w:sz="4" w:space="0"/>
              <w:bottom w:val="single" w:color="000000" w:sz="4" w:space="0"/>
              <w:right w:val="single" w:color="000000" w:sz="4" w:space="0"/>
            </w:tcBorders>
            <w:vAlign w:val="center"/>
          </w:tcPr>
          <w:p w14:paraId="4218C0FA">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遵守劳动纪律按时上下班，在岗时不得做与工作无关的事</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1C90EACF">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4</w:t>
            </w:r>
          </w:p>
        </w:tc>
        <w:tc>
          <w:tcPr>
            <w:tcW w:w="1868" w:type="dxa"/>
            <w:tcBorders>
              <w:top w:val="single" w:color="000000" w:sz="4" w:space="0"/>
              <w:left w:val="single" w:color="000000" w:sz="4" w:space="0"/>
              <w:bottom w:val="single" w:color="000000" w:sz="4" w:space="0"/>
              <w:right w:val="single" w:color="000000" w:sz="4" w:space="0"/>
            </w:tcBorders>
            <w:vAlign w:val="center"/>
          </w:tcPr>
          <w:p w14:paraId="0420716A">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7C6FDA3">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45EF2E31">
            <w:pPr>
              <w:jc w:val="center"/>
              <w:rPr>
                <w:rFonts w:hint="eastAsia" w:ascii="宋体" w:hAnsi="宋体" w:eastAsia="宋体" w:cs="宋体"/>
                <w:b/>
                <w:bCs/>
                <w:color w:val="auto"/>
                <w:sz w:val="21"/>
                <w:szCs w:val="21"/>
              </w:rPr>
            </w:pPr>
          </w:p>
        </w:tc>
      </w:tr>
      <w:tr w14:paraId="430A843C">
        <w:tblPrEx>
          <w:tblCellMar>
            <w:top w:w="0" w:type="dxa"/>
            <w:left w:w="108" w:type="dxa"/>
            <w:bottom w:w="0" w:type="dxa"/>
            <w:right w:w="108" w:type="dxa"/>
          </w:tblCellMar>
        </w:tblPrEx>
        <w:trPr>
          <w:trHeight w:val="90"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516B6C2A">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3</w:t>
            </w:r>
          </w:p>
        </w:tc>
        <w:tc>
          <w:tcPr>
            <w:tcW w:w="4541" w:type="dxa"/>
            <w:tcBorders>
              <w:top w:val="single" w:color="000000" w:sz="4" w:space="0"/>
              <w:left w:val="single" w:color="000000" w:sz="4" w:space="0"/>
              <w:bottom w:val="single" w:color="000000" w:sz="4" w:space="0"/>
              <w:right w:val="single" w:color="000000" w:sz="4" w:space="0"/>
            </w:tcBorders>
            <w:vAlign w:val="center"/>
          </w:tcPr>
          <w:p w14:paraId="70A9DCDF">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值班记录填写规范，无乱填写，无乱涂乱画，保存完好</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467A3EA8">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6</w:t>
            </w:r>
          </w:p>
        </w:tc>
        <w:tc>
          <w:tcPr>
            <w:tcW w:w="1868" w:type="dxa"/>
            <w:tcBorders>
              <w:top w:val="single" w:color="000000" w:sz="4" w:space="0"/>
              <w:left w:val="single" w:color="000000" w:sz="4" w:space="0"/>
              <w:bottom w:val="single" w:color="000000" w:sz="4" w:space="0"/>
              <w:right w:val="single" w:color="000000" w:sz="4" w:space="0"/>
            </w:tcBorders>
            <w:vAlign w:val="center"/>
          </w:tcPr>
          <w:p w14:paraId="157E052A">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082AD443">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2FED2F64">
            <w:pPr>
              <w:jc w:val="center"/>
              <w:rPr>
                <w:rFonts w:hint="eastAsia" w:ascii="宋体" w:hAnsi="宋体" w:eastAsia="宋体" w:cs="宋体"/>
                <w:b/>
                <w:bCs/>
                <w:color w:val="auto"/>
                <w:sz w:val="21"/>
                <w:szCs w:val="21"/>
              </w:rPr>
            </w:pPr>
          </w:p>
        </w:tc>
      </w:tr>
      <w:tr w14:paraId="3B707099">
        <w:tblPrEx>
          <w:tblCellMar>
            <w:top w:w="0" w:type="dxa"/>
            <w:left w:w="108" w:type="dxa"/>
            <w:bottom w:w="0" w:type="dxa"/>
            <w:right w:w="108" w:type="dxa"/>
          </w:tblCellMar>
        </w:tblPrEx>
        <w:trPr>
          <w:trHeight w:val="229"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4D113C48">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4</w:t>
            </w:r>
          </w:p>
        </w:tc>
        <w:tc>
          <w:tcPr>
            <w:tcW w:w="4541" w:type="dxa"/>
            <w:tcBorders>
              <w:top w:val="single" w:color="000000" w:sz="4" w:space="0"/>
              <w:left w:val="single" w:color="000000" w:sz="4" w:space="0"/>
              <w:bottom w:val="single" w:color="000000" w:sz="4" w:space="0"/>
              <w:right w:val="single" w:color="000000" w:sz="4" w:space="0"/>
            </w:tcBorders>
            <w:vAlign w:val="center"/>
          </w:tcPr>
          <w:p w14:paraId="487CE392">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工作不怕苦不怕累，后勤服务工作中事实求是，不谎报、不隐瞒、不弄虚作假</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07769A94">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1868" w:type="dxa"/>
            <w:tcBorders>
              <w:top w:val="single" w:color="000000" w:sz="4" w:space="0"/>
              <w:left w:val="single" w:color="000000" w:sz="4" w:space="0"/>
              <w:bottom w:val="single" w:color="000000" w:sz="4" w:space="0"/>
              <w:right w:val="single" w:color="000000" w:sz="4" w:space="0"/>
            </w:tcBorders>
            <w:vAlign w:val="center"/>
          </w:tcPr>
          <w:p w14:paraId="0680FCCF">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CABEBDB">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7BB4A017">
            <w:pPr>
              <w:jc w:val="center"/>
              <w:rPr>
                <w:rFonts w:hint="eastAsia" w:ascii="宋体" w:hAnsi="宋体" w:eastAsia="宋体" w:cs="宋体"/>
                <w:b/>
                <w:bCs/>
                <w:color w:val="auto"/>
                <w:sz w:val="21"/>
                <w:szCs w:val="21"/>
              </w:rPr>
            </w:pPr>
          </w:p>
        </w:tc>
      </w:tr>
      <w:tr w14:paraId="1B9F859E">
        <w:tblPrEx>
          <w:tblCellMar>
            <w:top w:w="0" w:type="dxa"/>
            <w:left w:w="108" w:type="dxa"/>
            <w:bottom w:w="0" w:type="dxa"/>
            <w:right w:w="108" w:type="dxa"/>
          </w:tblCellMar>
        </w:tblPrEx>
        <w:trPr>
          <w:trHeight w:val="90"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4D57DA7D">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4541" w:type="dxa"/>
            <w:tcBorders>
              <w:top w:val="single" w:color="000000" w:sz="4" w:space="0"/>
              <w:left w:val="single" w:color="000000" w:sz="4" w:space="0"/>
              <w:bottom w:val="single" w:color="000000" w:sz="4" w:space="0"/>
              <w:right w:val="single" w:color="000000" w:sz="4" w:space="0"/>
            </w:tcBorders>
            <w:vAlign w:val="center"/>
          </w:tcPr>
          <w:p w14:paraId="157CC1BE">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不得损坏私拿公物及他人财物及医疗废品</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0CEC1CFA">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6</w:t>
            </w:r>
          </w:p>
        </w:tc>
        <w:tc>
          <w:tcPr>
            <w:tcW w:w="1868" w:type="dxa"/>
            <w:tcBorders>
              <w:top w:val="single" w:color="000000" w:sz="4" w:space="0"/>
              <w:left w:val="single" w:color="000000" w:sz="4" w:space="0"/>
              <w:bottom w:val="single" w:color="000000" w:sz="4" w:space="0"/>
              <w:right w:val="single" w:color="000000" w:sz="4" w:space="0"/>
            </w:tcBorders>
            <w:vAlign w:val="center"/>
          </w:tcPr>
          <w:p w14:paraId="69A232F1">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发现一次扣3分，并视情节处罚</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AD46946">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584B65AA">
            <w:pPr>
              <w:jc w:val="center"/>
              <w:rPr>
                <w:rFonts w:hint="eastAsia" w:ascii="宋体" w:hAnsi="宋体" w:eastAsia="宋体" w:cs="宋体"/>
                <w:b/>
                <w:bCs/>
                <w:color w:val="auto"/>
                <w:sz w:val="21"/>
                <w:szCs w:val="21"/>
              </w:rPr>
            </w:pPr>
          </w:p>
        </w:tc>
      </w:tr>
      <w:tr w14:paraId="1E49856C">
        <w:tblPrEx>
          <w:tblCellMar>
            <w:top w:w="0" w:type="dxa"/>
            <w:left w:w="108" w:type="dxa"/>
            <w:bottom w:w="0" w:type="dxa"/>
            <w:right w:w="108" w:type="dxa"/>
          </w:tblCellMar>
        </w:tblPrEx>
        <w:trPr>
          <w:trHeight w:val="229"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2C6BF720">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6</w:t>
            </w:r>
          </w:p>
        </w:tc>
        <w:tc>
          <w:tcPr>
            <w:tcW w:w="4541" w:type="dxa"/>
            <w:tcBorders>
              <w:top w:val="single" w:color="000000" w:sz="4" w:space="0"/>
              <w:left w:val="single" w:color="000000" w:sz="4" w:space="0"/>
              <w:bottom w:val="single" w:color="000000" w:sz="4" w:space="0"/>
              <w:right w:val="single" w:color="000000" w:sz="4" w:space="0"/>
            </w:tcBorders>
            <w:vAlign w:val="center"/>
          </w:tcPr>
          <w:p w14:paraId="43AA3426">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规范使用对讲机，无乱呼叫、服从领导管理、认真完成上级领导交办的维修任务</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189FFFE2">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4</w:t>
            </w:r>
          </w:p>
        </w:tc>
        <w:tc>
          <w:tcPr>
            <w:tcW w:w="1868" w:type="dxa"/>
            <w:tcBorders>
              <w:top w:val="single" w:color="000000" w:sz="4" w:space="0"/>
              <w:left w:val="single" w:color="000000" w:sz="4" w:space="0"/>
              <w:bottom w:val="single" w:color="000000" w:sz="4" w:space="0"/>
              <w:right w:val="single" w:color="000000" w:sz="4" w:space="0"/>
            </w:tcBorders>
            <w:vAlign w:val="center"/>
          </w:tcPr>
          <w:p w14:paraId="2837783B">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60F01BEC">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7FE3FF40">
            <w:pPr>
              <w:jc w:val="center"/>
              <w:rPr>
                <w:rFonts w:hint="eastAsia" w:ascii="宋体" w:hAnsi="宋体" w:eastAsia="宋体" w:cs="宋体"/>
                <w:b/>
                <w:bCs/>
                <w:color w:val="auto"/>
                <w:sz w:val="21"/>
                <w:szCs w:val="21"/>
              </w:rPr>
            </w:pPr>
          </w:p>
        </w:tc>
      </w:tr>
      <w:tr w14:paraId="5B9F57E6">
        <w:tblPrEx>
          <w:tblCellMar>
            <w:top w:w="0" w:type="dxa"/>
            <w:left w:w="108" w:type="dxa"/>
            <w:bottom w:w="0" w:type="dxa"/>
            <w:right w:w="108" w:type="dxa"/>
          </w:tblCellMar>
        </w:tblPrEx>
        <w:trPr>
          <w:trHeight w:val="259"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78566D43">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7</w:t>
            </w:r>
          </w:p>
        </w:tc>
        <w:tc>
          <w:tcPr>
            <w:tcW w:w="4541" w:type="dxa"/>
            <w:tcBorders>
              <w:top w:val="single" w:color="000000" w:sz="4" w:space="0"/>
              <w:left w:val="single" w:color="000000" w:sz="4" w:space="0"/>
              <w:bottom w:val="single" w:color="000000" w:sz="4" w:space="0"/>
              <w:right w:val="single" w:color="000000" w:sz="4" w:space="0"/>
            </w:tcBorders>
            <w:vAlign w:val="center"/>
          </w:tcPr>
          <w:p w14:paraId="5DFC73B1">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值班时间不脱岗、不酗酒、不赌博，不做影响正常工作的其它事项</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7CFFCDEF">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1868" w:type="dxa"/>
            <w:tcBorders>
              <w:top w:val="single" w:color="000000" w:sz="4" w:space="0"/>
              <w:left w:val="single" w:color="000000" w:sz="4" w:space="0"/>
              <w:bottom w:val="single" w:color="000000" w:sz="4" w:space="0"/>
              <w:right w:val="single" w:color="000000" w:sz="4" w:space="0"/>
            </w:tcBorders>
            <w:vAlign w:val="center"/>
          </w:tcPr>
          <w:p w14:paraId="0FD70A0D">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780882D">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4113FB71">
            <w:pPr>
              <w:jc w:val="center"/>
              <w:rPr>
                <w:rFonts w:hint="eastAsia" w:ascii="宋体" w:hAnsi="宋体" w:eastAsia="宋体" w:cs="宋体"/>
                <w:b/>
                <w:bCs/>
                <w:color w:val="auto"/>
                <w:sz w:val="21"/>
                <w:szCs w:val="21"/>
              </w:rPr>
            </w:pPr>
          </w:p>
        </w:tc>
      </w:tr>
      <w:tr w14:paraId="0A248E11">
        <w:tblPrEx>
          <w:tblCellMar>
            <w:top w:w="0" w:type="dxa"/>
            <w:left w:w="108" w:type="dxa"/>
            <w:bottom w:w="0" w:type="dxa"/>
            <w:right w:w="108" w:type="dxa"/>
          </w:tblCellMar>
        </w:tblPrEx>
        <w:trPr>
          <w:trHeight w:val="911"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3351A32D">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8</w:t>
            </w:r>
          </w:p>
        </w:tc>
        <w:tc>
          <w:tcPr>
            <w:tcW w:w="4541" w:type="dxa"/>
            <w:tcBorders>
              <w:top w:val="single" w:color="000000" w:sz="4" w:space="0"/>
              <w:left w:val="single" w:color="000000" w:sz="4" w:space="0"/>
              <w:bottom w:val="single" w:color="000000" w:sz="4" w:space="0"/>
              <w:right w:val="single" w:color="000000" w:sz="4" w:space="0"/>
            </w:tcBorders>
            <w:vAlign w:val="center"/>
          </w:tcPr>
          <w:p w14:paraId="6DDBDC07">
            <w:pPr>
              <w:jc w:val="left"/>
              <w:rPr>
                <w:rStyle w:val="53"/>
                <w:rFonts w:hint="eastAsia" w:ascii="宋体" w:hAnsi="宋体" w:eastAsia="宋体" w:cs="宋体"/>
                <w:b/>
                <w:bCs/>
                <w:color w:val="auto"/>
                <w:sz w:val="21"/>
                <w:szCs w:val="21"/>
                <w:lang w:bidi="ar"/>
              </w:rPr>
            </w:pPr>
            <w:r>
              <w:rPr>
                <w:rStyle w:val="53"/>
                <w:rFonts w:hint="eastAsia" w:ascii="宋体" w:hAnsi="宋体" w:eastAsia="宋体" w:cs="宋体"/>
                <w:b/>
                <w:bCs/>
                <w:color w:val="auto"/>
                <w:sz w:val="21"/>
                <w:szCs w:val="21"/>
                <w:lang w:bidi="ar"/>
              </w:rPr>
              <w:t>遇突发紧急事件，能按紧急情况处置的规定程序进行操作，并能在15分钟内到达现场处理，查看情况，并立即向上级领导汇报，做好记录</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44C7948E">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1868" w:type="dxa"/>
            <w:tcBorders>
              <w:top w:val="single" w:color="000000" w:sz="4" w:space="0"/>
              <w:left w:val="single" w:color="000000" w:sz="4" w:space="0"/>
              <w:bottom w:val="single" w:color="000000" w:sz="4" w:space="0"/>
              <w:right w:val="single" w:color="000000" w:sz="4" w:space="0"/>
            </w:tcBorders>
            <w:vAlign w:val="center"/>
          </w:tcPr>
          <w:p w14:paraId="6292772F">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FA1F886">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73C6921D">
            <w:pPr>
              <w:jc w:val="center"/>
              <w:rPr>
                <w:rFonts w:hint="eastAsia" w:ascii="宋体" w:hAnsi="宋体" w:eastAsia="宋体" w:cs="宋体"/>
                <w:b/>
                <w:bCs/>
                <w:color w:val="auto"/>
                <w:sz w:val="21"/>
                <w:szCs w:val="21"/>
              </w:rPr>
            </w:pPr>
          </w:p>
        </w:tc>
      </w:tr>
      <w:tr w14:paraId="6655AF04">
        <w:tblPrEx>
          <w:tblCellMar>
            <w:top w:w="0" w:type="dxa"/>
            <w:left w:w="108" w:type="dxa"/>
            <w:bottom w:w="0" w:type="dxa"/>
            <w:right w:w="108" w:type="dxa"/>
          </w:tblCellMar>
        </w:tblPrEx>
        <w:trPr>
          <w:trHeight w:val="1265"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606B39AF">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9</w:t>
            </w:r>
          </w:p>
        </w:tc>
        <w:tc>
          <w:tcPr>
            <w:tcW w:w="4541" w:type="dxa"/>
            <w:tcBorders>
              <w:top w:val="single" w:color="000000" w:sz="4" w:space="0"/>
              <w:left w:val="single" w:color="000000" w:sz="4" w:space="0"/>
              <w:bottom w:val="single" w:color="000000" w:sz="4" w:space="0"/>
              <w:right w:val="single" w:color="000000" w:sz="4" w:space="0"/>
            </w:tcBorders>
            <w:vAlign w:val="center"/>
          </w:tcPr>
          <w:p w14:paraId="1A8D57FF">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按规定作好设施设备的各项巡视、保养、维修工作，并做好记录，能及时发现各类设备存在的安全隐患及各种异常情况，做好应急处理与记录，及时向上级汇报，</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056CA9D5">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8</w:t>
            </w:r>
          </w:p>
        </w:tc>
        <w:tc>
          <w:tcPr>
            <w:tcW w:w="1868" w:type="dxa"/>
            <w:tcBorders>
              <w:top w:val="single" w:color="000000" w:sz="4" w:space="0"/>
              <w:left w:val="single" w:color="000000" w:sz="4" w:space="0"/>
              <w:bottom w:val="single" w:color="000000" w:sz="4" w:space="0"/>
              <w:right w:val="single" w:color="000000" w:sz="4" w:space="0"/>
            </w:tcBorders>
            <w:vAlign w:val="center"/>
          </w:tcPr>
          <w:p w14:paraId="3D58E4DD">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249FF601">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06243AAD">
            <w:pPr>
              <w:jc w:val="center"/>
              <w:rPr>
                <w:rFonts w:hint="eastAsia" w:ascii="宋体" w:hAnsi="宋体" w:eastAsia="宋体" w:cs="宋体"/>
                <w:b/>
                <w:bCs/>
                <w:color w:val="auto"/>
                <w:sz w:val="21"/>
                <w:szCs w:val="21"/>
              </w:rPr>
            </w:pPr>
          </w:p>
        </w:tc>
      </w:tr>
      <w:tr w14:paraId="4E1A0021">
        <w:tblPrEx>
          <w:tblCellMar>
            <w:top w:w="0" w:type="dxa"/>
            <w:left w:w="108" w:type="dxa"/>
            <w:bottom w:w="0" w:type="dxa"/>
            <w:right w:w="108" w:type="dxa"/>
          </w:tblCellMar>
        </w:tblPrEx>
        <w:trPr>
          <w:trHeight w:val="1278"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2512060A">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10</w:t>
            </w:r>
          </w:p>
        </w:tc>
        <w:tc>
          <w:tcPr>
            <w:tcW w:w="4541" w:type="dxa"/>
            <w:tcBorders>
              <w:top w:val="single" w:color="000000" w:sz="4" w:space="0"/>
              <w:left w:val="single" w:color="000000" w:sz="4" w:space="0"/>
              <w:bottom w:val="single" w:color="000000" w:sz="4" w:space="0"/>
              <w:right w:val="single" w:color="000000" w:sz="4" w:space="0"/>
            </w:tcBorders>
            <w:vAlign w:val="center"/>
          </w:tcPr>
          <w:p w14:paraId="338AC54B">
            <w:pPr>
              <w:jc w:val="left"/>
              <w:rPr>
                <w:rStyle w:val="53"/>
                <w:rFonts w:hint="eastAsia" w:ascii="宋体" w:hAnsi="宋体" w:eastAsia="宋体" w:cs="宋体"/>
                <w:b/>
                <w:bCs/>
                <w:color w:val="auto"/>
                <w:sz w:val="21"/>
                <w:szCs w:val="21"/>
                <w:lang w:bidi="ar"/>
              </w:rPr>
            </w:pPr>
            <w:r>
              <w:rPr>
                <w:rStyle w:val="53"/>
                <w:rFonts w:hint="eastAsia" w:ascii="宋体" w:hAnsi="宋体" w:eastAsia="宋体" w:cs="宋体"/>
                <w:b/>
                <w:bCs/>
                <w:color w:val="auto"/>
                <w:sz w:val="21"/>
                <w:szCs w:val="21"/>
                <w:lang w:bidi="ar"/>
              </w:rPr>
              <w:t>接到后勤调度9033的报修时，能够立即作出判断，并马上回复初步处理意见。20分钟内赶到现场进行处理。并按照报修维修的作业标准进行规范操作</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5E59E7A3">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1868" w:type="dxa"/>
            <w:tcBorders>
              <w:top w:val="single" w:color="000000" w:sz="4" w:space="0"/>
              <w:left w:val="single" w:color="000000" w:sz="4" w:space="0"/>
              <w:bottom w:val="single" w:color="000000" w:sz="4" w:space="0"/>
              <w:right w:val="single" w:color="000000" w:sz="4" w:space="0"/>
            </w:tcBorders>
            <w:vAlign w:val="center"/>
          </w:tcPr>
          <w:p w14:paraId="356D01E7">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4C8EE3A">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071F0838">
            <w:pPr>
              <w:jc w:val="center"/>
              <w:rPr>
                <w:rFonts w:hint="eastAsia" w:ascii="宋体" w:hAnsi="宋体" w:eastAsia="宋体" w:cs="宋体"/>
                <w:b/>
                <w:bCs/>
                <w:color w:val="auto"/>
                <w:sz w:val="21"/>
                <w:szCs w:val="21"/>
              </w:rPr>
            </w:pPr>
          </w:p>
        </w:tc>
      </w:tr>
      <w:tr w14:paraId="63CFC853">
        <w:tblPrEx>
          <w:tblCellMar>
            <w:top w:w="0" w:type="dxa"/>
            <w:left w:w="108" w:type="dxa"/>
            <w:bottom w:w="0" w:type="dxa"/>
            <w:right w:w="108" w:type="dxa"/>
          </w:tblCellMar>
        </w:tblPrEx>
        <w:trPr>
          <w:trHeight w:val="534"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51FACEF0">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11</w:t>
            </w:r>
          </w:p>
        </w:tc>
        <w:tc>
          <w:tcPr>
            <w:tcW w:w="4541" w:type="dxa"/>
            <w:tcBorders>
              <w:top w:val="single" w:color="000000" w:sz="4" w:space="0"/>
              <w:left w:val="single" w:color="000000" w:sz="4" w:space="0"/>
              <w:bottom w:val="single" w:color="000000" w:sz="4" w:space="0"/>
              <w:right w:val="single" w:color="000000" w:sz="4" w:space="0"/>
            </w:tcBorders>
            <w:vAlign w:val="center"/>
          </w:tcPr>
          <w:p w14:paraId="0048535E">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接到后勤调度9033报修能够做到听清楚、问清楚、记清楚、及时反馈清楚，并作好有关记录，及时跟进处理解决，不能处理的及时向上级领导汇报</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4BF5F49A">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1868" w:type="dxa"/>
            <w:tcBorders>
              <w:top w:val="single" w:color="000000" w:sz="4" w:space="0"/>
              <w:left w:val="single" w:color="000000" w:sz="4" w:space="0"/>
              <w:bottom w:val="single" w:color="000000" w:sz="4" w:space="0"/>
              <w:right w:val="single" w:color="000000" w:sz="4" w:space="0"/>
            </w:tcBorders>
            <w:vAlign w:val="center"/>
          </w:tcPr>
          <w:p w14:paraId="5B8F18A3">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04AC7B9">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7DBE23F5">
            <w:pPr>
              <w:jc w:val="center"/>
              <w:rPr>
                <w:rFonts w:hint="eastAsia" w:ascii="宋体" w:hAnsi="宋体" w:eastAsia="宋体" w:cs="宋体"/>
                <w:b/>
                <w:bCs/>
                <w:color w:val="auto"/>
                <w:sz w:val="21"/>
                <w:szCs w:val="21"/>
              </w:rPr>
            </w:pPr>
          </w:p>
        </w:tc>
      </w:tr>
      <w:tr w14:paraId="27F6BB29">
        <w:tblPrEx>
          <w:tblCellMar>
            <w:top w:w="0" w:type="dxa"/>
            <w:left w:w="108" w:type="dxa"/>
            <w:bottom w:w="0" w:type="dxa"/>
            <w:right w:w="108" w:type="dxa"/>
          </w:tblCellMar>
        </w:tblPrEx>
        <w:trPr>
          <w:trHeight w:val="90"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15662AB3">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12</w:t>
            </w:r>
          </w:p>
        </w:tc>
        <w:tc>
          <w:tcPr>
            <w:tcW w:w="4541" w:type="dxa"/>
            <w:tcBorders>
              <w:top w:val="single" w:color="000000" w:sz="4" w:space="0"/>
              <w:left w:val="single" w:color="000000" w:sz="4" w:space="0"/>
              <w:bottom w:val="single" w:color="000000" w:sz="4" w:space="0"/>
              <w:right w:val="single" w:color="000000" w:sz="4" w:space="0"/>
            </w:tcBorders>
            <w:vAlign w:val="center"/>
          </w:tcPr>
          <w:p w14:paraId="352BF81E">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按照维修作业要求操作各种警示标识、安全提示牌</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5579973E">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1868" w:type="dxa"/>
            <w:tcBorders>
              <w:top w:val="single" w:color="000000" w:sz="4" w:space="0"/>
              <w:left w:val="single" w:color="000000" w:sz="4" w:space="0"/>
              <w:bottom w:val="single" w:color="000000" w:sz="4" w:space="0"/>
              <w:right w:val="single" w:color="000000" w:sz="4" w:space="0"/>
            </w:tcBorders>
            <w:vAlign w:val="center"/>
          </w:tcPr>
          <w:p w14:paraId="2B3ADE01">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C7DBF6D">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162CDE0D">
            <w:pPr>
              <w:jc w:val="center"/>
              <w:rPr>
                <w:rFonts w:hint="eastAsia" w:ascii="宋体" w:hAnsi="宋体" w:eastAsia="宋体" w:cs="宋体"/>
                <w:b/>
                <w:bCs/>
                <w:color w:val="auto"/>
                <w:sz w:val="21"/>
                <w:szCs w:val="21"/>
              </w:rPr>
            </w:pPr>
          </w:p>
        </w:tc>
      </w:tr>
      <w:tr w14:paraId="1213FB71">
        <w:tblPrEx>
          <w:tblCellMar>
            <w:top w:w="0" w:type="dxa"/>
            <w:left w:w="108" w:type="dxa"/>
            <w:bottom w:w="0" w:type="dxa"/>
            <w:right w:w="108" w:type="dxa"/>
          </w:tblCellMar>
        </w:tblPrEx>
        <w:trPr>
          <w:trHeight w:val="90"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78810F3A">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13</w:t>
            </w:r>
          </w:p>
        </w:tc>
        <w:tc>
          <w:tcPr>
            <w:tcW w:w="4541" w:type="dxa"/>
            <w:tcBorders>
              <w:top w:val="single" w:color="000000" w:sz="4" w:space="0"/>
              <w:left w:val="single" w:color="000000" w:sz="4" w:space="0"/>
              <w:bottom w:val="single" w:color="000000" w:sz="4" w:space="0"/>
              <w:right w:val="single" w:color="000000" w:sz="4" w:space="0"/>
            </w:tcBorders>
            <w:vAlign w:val="center"/>
          </w:tcPr>
          <w:p w14:paraId="1304D744">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随时注意节能降耗，及时关闭水、电，合理使用工具器材与办公物品，维修养护工作中不浪费、不造成二次损坏</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5AE2DA5D">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1868" w:type="dxa"/>
            <w:tcBorders>
              <w:top w:val="single" w:color="000000" w:sz="4" w:space="0"/>
              <w:left w:val="single" w:color="000000" w:sz="4" w:space="0"/>
              <w:bottom w:val="single" w:color="000000" w:sz="4" w:space="0"/>
              <w:right w:val="single" w:color="000000" w:sz="4" w:space="0"/>
            </w:tcBorders>
            <w:vAlign w:val="center"/>
          </w:tcPr>
          <w:p w14:paraId="7150F588">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499152C8">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58AE8BCF">
            <w:pPr>
              <w:jc w:val="center"/>
              <w:rPr>
                <w:rFonts w:hint="eastAsia" w:ascii="宋体" w:hAnsi="宋体" w:eastAsia="宋体" w:cs="宋体"/>
                <w:b/>
                <w:bCs/>
                <w:color w:val="auto"/>
                <w:sz w:val="21"/>
                <w:szCs w:val="21"/>
              </w:rPr>
            </w:pPr>
          </w:p>
        </w:tc>
      </w:tr>
      <w:tr w14:paraId="34BBC3FC">
        <w:tblPrEx>
          <w:tblCellMar>
            <w:top w:w="0" w:type="dxa"/>
            <w:left w:w="108" w:type="dxa"/>
            <w:bottom w:w="0" w:type="dxa"/>
            <w:right w:w="108" w:type="dxa"/>
          </w:tblCellMar>
        </w:tblPrEx>
        <w:trPr>
          <w:trHeight w:val="169"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2D13E2F6">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14</w:t>
            </w:r>
          </w:p>
        </w:tc>
        <w:tc>
          <w:tcPr>
            <w:tcW w:w="4541" w:type="dxa"/>
            <w:tcBorders>
              <w:top w:val="single" w:color="000000" w:sz="4" w:space="0"/>
              <w:left w:val="single" w:color="000000" w:sz="4" w:space="0"/>
              <w:bottom w:val="single" w:color="000000" w:sz="4" w:space="0"/>
              <w:right w:val="single" w:color="000000" w:sz="4" w:space="0"/>
            </w:tcBorders>
            <w:vAlign w:val="center"/>
          </w:tcPr>
          <w:p w14:paraId="729A7D3C">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检查后勤服务各种应急预案演练的资料存档情况</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50C677AB">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1868" w:type="dxa"/>
            <w:tcBorders>
              <w:top w:val="single" w:color="000000" w:sz="4" w:space="0"/>
              <w:left w:val="single" w:color="000000" w:sz="4" w:space="0"/>
              <w:bottom w:val="single" w:color="000000" w:sz="4" w:space="0"/>
              <w:right w:val="single" w:color="000000" w:sz="4" w:space="0"/>
            </w:tcBorders>
            <w:vAlign w:val="center"/>
          </w:tcPr>
          <w:p w14:paraId="34FA36E2">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检查一处做不到扣0.5分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7C08BEC8">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112D6FEC">
            <w:pPr>
              <w:jc w:val="center"/>
              <w:rPr>
                <w:rFonts w:hint="eastAsia" w:ascii="宋体" w:hAnsi="宋体" w:eastAsia="宋体" w:cs="宋体"/>
                <w:b/>
                <w:bCs/>
                <w:color w:val="auto"/>
                <w:sz w:val="21"/>
                <w:szCs w:val="21"/>
              </w:rPr>
            </w:pPr>
          </w:p>
        </w:tc>
      </w:tr>
      <w:tr w14:paraId="48A0A35E">
        <w:tblPrEx>
          <w:tblCellMar>
            <w:top w:w="0" w:type="dxa"/>
            <w:left w:w="108" w:type="dxa"/>
            <w:bottom w:w="0" w:type="dxa"/>
            <w:right w:w="108" w:type="dxa"/>
          </w:tblCellMar>
        </w:tblPrEx>
        <w:trPr>
          <w:trHeight w:val="176"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6216CD0D">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15</w:t>
            </w:r>
          </w:p>
        </w:tc>
        <w:tc>
          <w:tcPr>
            <w:tcW w:w="4541" w:type="dxa"/>
            <w:tcBorders>
              <w:top w:val="single" w:color="000000" w:sz="4" w:space="0"/>
              <w:left w:val="single" w:color="000000" w:sz="4" w:space="0"/>
              <w:bottom w:val="single" w:color="000000" w:sz="4" w:space="0"/>
              <w:right w:val="single" w:color="000000" w:sz="4" w:space="0"/>
            </w:tcBorders>
            <w:vAlign w:val="center"/>
          </w:tcPr>
          <w:p w14:paraId="4F601BD4">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维修工作操作应严格按照水、电、木工安全操作进行，遵守安全生产管理的各项规章制度，按检查养护的时间与质量标准，及时查验操作工具、绝缘物品是否处于安全状态</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118D8494">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6</w:t>
            </w:r>
          </w:p>
        </w:tc>
        <w:tc>
          <w:tcPr>
            <w:tcW w:w="1868" w:type="dxa"/>
            <w:tcBorders>
              <w:top w:val="single" w:color="000000" w:sz="4" w:space="0"/>
              <w:left w:val="single" w:color="000000" w:sz="4" w:space="0"/>
              <w:bottom w:val="single" w:color="000000" w:sz="4" w:space="0"/>
              <w:right w:val="single" w:color="000000" w:sz="4" w:space="0"/>
            </w:tcBorders>
            <w:vAlign w:val="center"/>
          </w:tcPr>
          <w:p w14:paraId="4DE0939B">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检查一处做不到扣0.5分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B36156F">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7C28CB7C">
            <w:pPr>
              <w:jc w:val="center"/>
              <w:rPr>
                <w:rFonts w:hint="eastAsia" w:ascii="宋体" w:hAnsi="宋体" w:eastAsia="宋体" w:cs="宋体"/>
                <w:b/>
                <w:bCs/>
                <w:color w:val="auto"/>
                <w:sz w:val="21"/>
                <w:szCs w:val="21"/>
              </w:rPr>
            </w:pPr>
          </w:p>
        </w:tc>
      </w:tr>
      <w:tr w14:paraId="5A7F7C2F">
        <w:tblPrEx>
          <w:tblCellMar>
            <w:top w:w="0" w:type="dxa"/>
            <w:left w:w="108" w:type="dxa"/>
            <w:bottom w:w="0" w:type="dxa"/>
            <w:right w:w="108" w:type="dxa"/>
          </w:tblCellMar>
        </w:tblPrEx>
        <w:trPr>
          <w:trHeight w:val="264"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67E361ED">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16</w:t>
            </w:r>
          </w:p>
        </w:tc>
        <w:tc>
          <w:tcPr>
            <w:tcW w:w="4541" w:type="dxa"/>
            <w:tcBorders>
              <w:top w:val="single" w:color="000000" w:sz="4" w:space="0"/>
              <w:left w:val="single" w:color="000000" w:sz="4" w:space="0"/>
              <w:bottom w:val="single" w:color="000000" w:sz="4" w:space="0"/>
              <w:right w:val="single" w:color="000000" w:sz="4" w:space="0"/>
            </w:tcBorders>
            <w:vAlign w:val="center"/>
          </w:tcPr>
          <w:p w14:paraId="53D872AA">
            <w:pPr>
              <w:jc w:val="left"/>
              <w:rPr>
                <w:rStyle w:val="53"/>
                <w:rFonts w:hint="eastAsia" w:ascii="宋体" w:hAnsi="宋体" w:eastAsia="宋体" w:cs="宋体"/>
                <w:b/>
                <w:bCs/>
                <w:color w:val="auto"/>
                <w:sz w:val="21"/>
                <w:szCs w:val="21"/>
                <w:lang w:bidi="ar"/>
              </w:rPr>
            </w:pPr>
            <w:r>
              <w:rPr>
                <w:rStyle w:val="53"/>
                <w:rFonts w:hint="eastAsia" w:ascii="宋体" w:hAnsi="宋体" w:eastAsia="宋体" w:cs="宋体"/>
                <w:b/>
                <w:bCs/>
                <w:color w:val="auto"/>
                <w:sz w:val="21"/>
                <w:szCs w:val="21"/>
                <w:lang w:bidi="ar"/>
              </w:rPr>
              <w:t>当值夜班应巡查夜间景观照明，记录不正常情况，并作相应处理，随时根据季节等原因进行路灯照明时间调整。接到异常情况时，能够立即行动，不拖拉、不推诿，</w:t>
            </w:r>
            <w:r>
              <w:rPr>
                <w:rStyle w:val="54"/>
                <w:rFonts w:hint="eastAsia" w:ascii="宋体" w:hAnsi="宋体" w:eastAsia="宋体" w:cs="宋体"/>
                <w:b/>
                <w:bCs/>
                <w:color w:val="auto"/>
                <w:sz w:val="21"/>
                <w:szCs w:val="21"/>
                <w:lang w:bidi="ar"/>
              </w:rPr>
              <w:t>5</w:t>
            </w:r>
            <w:r>
              <w:rPr>
                <w:rStyle w:val="53"/>
                <w:rFonts w:hint="eastAsia" w:ascii="宋体" w:hAnsi="宋体" w:eastAsia="宋体" w:cs="宋体"/>
                <w:b/>
                <w:bCs/>
                <w:color w:val="auto"/>
                <w:sz w:val="21"/>
                <w:szCs w:val="21"/>
                <w:lang w:bidi="ar"/>
              </w:rPr>
              <w:t>分钟内赶到现场处理</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25F38CC0">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1868" w:type="dxa"/>
            <w:tcBorders>
              <w:top w:val="single" w:color="000000" w:sz="4" w:space="0"/>
              <w:left w:val="single" w:color="000000" w:sz="4" w:space="0"/>
              <w:bottom w:val="single" w:color="000000" w:sz="4" w:space="0"/>
              <w:right w:val="single" w:color="000000" w:sz="4" w:space="0"/>
            </w:tcBorders>
            <w:vAlign w:val="center"/>
          </w:tcPr>
          <w:p w14:paraId="0CE594A5">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32B07B8D">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59981CC5">
            <w:pPr>
              <w:jc w:val="center"/>
              <w:rPr>
                <w:rFonts w:hint="eastAsia" w:ascii="宋体" w:hAnsi="宋体" w:eastAsia="宋体" w:cs="宋体"/>
                <w:b/>
                <w:bCs/>
                <w:color w:val="auto"/>
                <w:sz w:val="21"/>
                <w:szCs w:val="21"/>
              </w:rPr>
            </w:pPr>
          </w:p>
        </w:tc>
      </w:tr>
      <w:tr w14:paraId="0DDE94CC">
        <w:tblPrEx>
          <w:tblCellMar>
            <w:top w:w="0" w:type="dxa"/>
            <w:left w:w="108" w:type="dxa"/>
            <w:bottom w:w="0" w:type="dxa"/>
            <w:right w:w="108" w:type="dxa"/>
          </w:tblCellMar>
        </w:tblPrEx>
        <w:trPr>
          <w:trHeight w:val="90"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422BC591">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17</w:t>
            </w:r>
          </w:p>
        </w:tc>
        <w:tc>
          <w:tcPr>
            <w:tcW w:w="4541" w:type="dxa"/>
            <w:tcBorders>
              <w:top w:val="single" w:color="000000" w:sz="4" w:space="0"/>
              <w:left w:val="single" w:color="000000" w:sz="4" w:space="0"/>
              <w:bottom w:val="single" w:color="000000" w:sz="4" w:space="0"/>
              <w:right w:val="single" w:color="000000" w:sz="4" w:space="0"/>
            </w:tcBorders>
            <w:vAlign w:val="center"/>
          </w:tcPr>
          <w:p w14:paraId="36FA1753">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能积极参加各项培训、会议及后勤科布置的其它工作任务</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53637509">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6</w:t>
            </w:r>
          </w:p>
        </w:tc>
        <w:tc>
          <w:tcPr>
            <w:tcW w:w="1868" w:type="dxa"/>
            <w:tcBorders>
              <w:top w:val="single" w:color="000000" w:sz="4" w:space="0"/>
              <w:left w:val="single" w:color="000000" w:sz="4" w:space="0"/>
              <w:bottom w:val="single" w:color="000000" w:sz="4" w:space="0"/>
              <w:right w:val="single" w:color="000000" w:sz="4" w:space="0"/>
            </w:tcBorders>
            <w:vAlign w:val="center"/>
          </w:tcPr>
          <w:p w14:paraId="72B6A153">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检查一处做不到扣1分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5DB3E59A">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7A4A9239">
            <w:pPr>
              <w:jc w:val="center"/>
              <w:rPr>
                <w:rFonts w:hint="eastAsia" w:ascii="宋体" w:hAnsi="宋体" w:eastAsia="宋体" w:cs="宋体"/>
                <w:b/>
                <w:bCs/>
                <w:color w:val="auto"/>
                <w:sz w:val="21"/>
                <w:szCs w:val="21"/>
              </w:rPr>
            </w:pPr>
          </w:p>
        </w:tc>
      </w:tr>
      <w:tr w14:paraId="133EB9E1">
        <w:tblPrEx>
          <w:tblCellMar>
            <w:top w:w="0" w:type="dxa"/>
            <w:left w:w="108" w:type="dxa"/>
            <w:bottom w:w="0" w:type="dxa"/>
            <w:right w:w="108" w:type="dxa"/>
          </w:tblCellMar>
        </w:tblPrEx>
        <w:trPr>
          <w:trHeight w:val="90"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0289E50B">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18</w:t>
            </w:r>
          </w:p>
        </w:tc>
        <w:tc>
          <w:tcPr>
            <w:tcW w:w="4541" w:type="dxa"/>
            <w:tcBorders>
              <w:top w:val="single" w:color="000000" w:sz="4" w:space="0"/>
              <w:left w:val="single" w:color="000000" w:sz="4" w:space="0"/>
              <w:bottom w:val="single" w:color="000000" w:sz="4" w:space="0"/>
              <w:right w:val="single" w:color="000000" w:sz="4" w:space="0"/>
            </w:tcBorders>
            <w:vAlign w:val="center"/>
          </w:tcPr>
          <w:p w14:paraId="26682494">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能自觉爱护保持公共、办公室、工作间的良好卫生环境，主动在空余时间进行清洁整理</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702ACD98">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4</w:t>
            </w:r>
          </w:p>
        </w:tc>
        <w:tc>
          <w:tcPr>
            <w:tcW w:w="1868" w:type="dxa"/>
            <w:tcBorders>
              <w:top w:val="single" w:color="000000" w:sz="4" w:space="0"/>
              <w:left w:val="single" w:color="000000" w:sz="4" w:space="0"/>
              <w:bottom w:val="single" w:color="000000" w:sz="4" w:space="0"/>
              <w:right w:val="single" w:color="000000" w:sz="4" w:space="0"/>
            </w:tcBorders>
            <w:vAlign w:val="center"/>
          </w:tcPr>
          <w:p w14:paraId="7A9AB8CC">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42AECCA">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3E3C0441">
            <w:pPr>
              <w:jc w:val="center"/>
              <w:rPr>
                <w:rFonts w:hint="eastAsia" w:ascii="宋体" w:hAnsi="宋体" w:eastAsia="宋体" w:cs="宋体"/>
                <w:b/>
                <w:bCs/>
                <w:color w:val="auto"/>
                <w:sz w:val="21"/>
                <w:szCs w:val="21"/>
              </w:rPr>
            </w:pPr>
          </w:p>
        </w:tc>
      </w:tr>
      <w:tr w14:paraId="68536AFA">
        <w:tblPrEx>
          <w:tblCellMar>
            <w:top w:w="0" w:type="dxa"/>
            <w:left w:w="108" w:type="dxa"/>
            <w:bottom w:w="0" w:type="dxa"/>
            <w:right w:w="108" w:type="dxa"/>
          </w:tblCellMar>
        </w:tblPrEx>
        <w:trPr>
          <w:trHeight w:val="97" w:hRule="atLeast"/>
        </w:trPr>
        <w:tc>
          <w:tcPr>
            <w:tcW w:w="763" w:type="dxa"/>
            <w:tcBorders>
              <w:top w:val="single" w:color="000000" w:sz="4" w:space="0"/>
              <w:left w:val="single" w:color="000000" w:sz="4" w:space="0"/>
              <w:bottom w:val="single" w:color="000000" w:sz="4" w:space="0"/>
              <w:right w:val="single" w:color="000000" w:sz="4" w:space="0"/>
            </w:tcBorders>
            <w:noWrap/>
            <w:vAlign w:val="center"/>
          </w:tcPr>
          <w:p w14:paraId="7C796F44">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19</w:t>
            </w:r>
          </w:p>
        </w:tc>
        <w:tc>
          <w:tcPr>
            <w:tcW w:w="4541" w:type="dxa"/>
            <w:tcBorders>
              <w:top w:val="single" w:color="000000" w:sz="4" w:space="0"/>
              <w:left w:val="single" w:color="000000" w:sz="4" w:space="0"/>
              <w:bottom w:val="single" w:color="000000" w:sz="4" w:space="0"/>
              <w:right w:val="single" w:color="000000" w:sz="4" w:space="0"/>
            </w:tcBorders>
            <w:vAlign w:val="center"/>
          </w:tcPr>
          <w:p w14:paraId="57538AF1">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能主动快速向后勤调度9033通报停水、停电的原因及处理情况，以便后勤调度9033向科室作出合理解释，以及尽快张贴停电停水或故障维修通知</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3927AC67">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6</w:t>
            </w:r>
          </w:p>
        </w:tc>
        <w:tc>
          <w:tcPr>
            <w:tcW w:w="1868" w:type="dxa"/>
            <w:tcBorders>
              <w:top w:val="single" w:color="000000" w:sz="4" w:space="0"/>
              <w:left w:val="single" w:color="000000" w:sz="4" w:space="0"/>
              <w:bottom w:val="single" w:color="000000" w:sz="4" w:space="0"/>
              <w:right w:val="single" w:color="000000" w:sz="4" w:space="0"/>
            </w:tcBorders>
            <w:vAlign w:val="center"/>
          </w:tcPr>
          <w:p w14:paraId="21A137A7">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检查一处做不到扣0.2分</w:t>
            </w:r>
          </w:p>
        </w:tc>
        <w:tc>
          <w:tcPr>
            <w:tcW w:w="805" w:type="dxa"/>
            <w:tcBorders>
              <w:top w:val="single" w:color="000000" w:sz="4" w:space="0"/>
              <w:left w:val="single" w:color="000000" w:sz="4" w:space="0"/>
              <w:bottom w:val="single" w:color="000000" w:sz="4" w:space="0"/>
              <w:right w:val="single" w:color="000000" w:sz="4" w:space="0"/>
            </w:tcBorders>
            <w:noWrap/>
            <w:vAlign w:val="center"/>
          </w:tcPr>
          <w:p w14:paraId="1D697BC8">
            <w:pPr>
              <w:jc w:val="cente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noWrap/>
            <w:vAlign w:val="center"/>
          </w:tcPr>
          <w:p w14:paraId="6DB15AA5">
            <w:pPr>
              <w:jc w:val="center"/>
              <w:rPr>
                <w:rFonts w:hint="eastAsia" w:ascii="宋体" w:hAnsi="宋体" w:eastAsia="宋体" w:cs="宋体"/>
                <w:b/>
                <w:bCs/>
                <w:color w:val="auto"/>
                <w:sz w:val="21"/>
                <w:szCs w:val="21"/>
              </w:rPr>
            </w:pPr>
          </w:p>
        </w:tc>
      </w:tr>
      <w:tr w14:paraId="25E27E11">
        <w:tblPrEx>
          <w:tblCellMar>
            <w:top w:w="0" w:type="dxa"/>
            <w:left w:w="108" w:type="dxa"/>
            <w:bottom w:w="0" w:type="dxa"/>
            <w:right w:w="108" w:type="dxa"/>
          </w:tblCellMar>
        </w:tblPrEx>
        <w:trPr>
          <w:trHeight w:val="466" w:hRule="atLeast"/>
        </w:trPr>
        <w:tc>
          <w:tcPr>
            <w:tcW w:w="5304" w:type="dxa"/>
            <w:gridSpan w:val="2"/>
            <w:tcBorders>
              <w:top w:val="single" w:color="000000" w:sz="4" w:space="0"/>
              <w:left w:val="single" w:color="000000" w:sz="4" w:space="0"/>
              <w:bottom w:val="single" w:color="000000" w:sz="4" w:space="0"/>
              <w:right w:val="single" w:color="000000" w:sz="4" w:space="0"/>
            </w:tcBorders>
            <w:noWrap/>
            <w:vAlign w:val="center"/>
          </w:tcPr>
          <w:p w14:paraId="487BC27F">
            <w:pPr>
              <w:jc w:val="center"/>
              <w:rPr>
                <w:rStyle w:val="53"/>
                <w:rFonts w:hint="eastAsia" w:ascii="宋体" w:hAnsi="宋体" w:eastAsia="宋体" w:cs="宋体"/>
                <w:b/>
                <w:bCs/>
                <w:color w:val="auto"/>
                <w:sz w:val="21"/>
                <w:szCs w:val="21"/>
                <w:lang w:bidi="ar"/>
              </w:rPr>
            </w:pPr>
            <w:r>
              <w:rPr>
                <w:rStyle w:val="53"/>
                <w:rFonts w:hint="eastAsia" w:ascii="宋体" w:hAnsi="宋体" w:eastAsia="宋体" w:cs="宋体"/>
                <w:b/>
                <w:bCs/>
                <w:color w:val="auto"/>
                <w:sz w:val="21"/>
                <w:szCs w:val="21"/>
                <w:lang w:bidi="ar"/>
              </w:rPr>
              <w:t xml:space="preserve">合 </w:t>
            </w:r>
            <w:r>
              <w:rPr>
                <w:rStyle w:val="54"/>
                <w:rFonts w:hint="eastAsia" w:ascii="宋体" w:hAnsi="宋体" w:eastAsia="宋体" w:cs="宋体"/>
                <w:b/>
                <w:bCs/>
                <w:color w:val="auto"/>
                <w:sz w:val="21"/>
                <w:szCs w:val="21"/>
                <w:lang w:bidi="ar"/>
              </w:rPr>
              <w:t xml:space="preserve">      </w:t>
            </w:r>
            <w:r>
              <w:rPr>
                <w:rStyle w:val="53"/>
                <w:rFonts w:hint="eastAsia" w:ascii="宋体" w:hAnsi="宋体" w:eastAsia="宋体" w:cs="宋体"/>
                <w:b/>
                <w:bCs/>
                <w:color w:val="auto"/>
                <w:sz w:val="21"/>
                <w:szCs w:val="21"/>
                <w:lang w:bidi="ar"/>
              </w:rPr>
              <w:t>计</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72688494">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100</w:t>
            </w:r>
          </w:p>
        </w:tc>
        <w:tc>
          <w:tcPr>
            <w:tcW w:w="1868" w:type="dxa"/>
            <w:tcBorders>
              <w:top w:val="single" w:color="000000" w:sz="4" w:space="0"/>
              <w:left w:val="single" w:color="000000" w:sz="4" w:space="0"/>
              <w:bottom w:val="single" w:color="000000" w:sz="4" w:space="0"/>
              <w:right w:val="single" w:color="000000" w:sz="4" w:space="0"/>
            </w:tcBorders>
            <w:vAlign w:val="center"/>
          </w:tcPr>
          <w:p w14:paraId="1554E15D">
            <w:pPr>
              <w:rPr>
                <w:rFonts w:hint="eastAsia" w:ascii="宋体" w:hAnsi="宋体" w:eastAsia="宋体" w:cs="宋体"/>
                <w:b/>
                <w:bCs/>
                <w:color w:val="auto"/>
                <w:sz w:val="21"/>
                <w:szCs w:val="21"/>
              </w:rPr>
            </w:pPr>
          </w:p>
        </w:tc>
        <w:tc>
          <w:tcPr>
            <w:tcW w:w="805" w:type="dxa"/>
            <w:tcBorders>
              <w:top w:val="single" w:color="000000" w:sz="4" w:space="0"/>
              <w:left w:val="single" w:color="000000" w:sz="4" w:space="0"/>
              <w:bottom w:val="single" w:color="000000" w:sz="4" w:space="0"/>
              <w:right w:val="single" w:color="000000" w:sz="4" w:space="0"/>
            </w:tcBorders>
            <w:vAlign w:val="center"/>
          </w:tcPr>
          <w:p w14:paraId="12971917">
            <w:pPr>
              <w:rPr>
                <w:rFonts w:hint="eastAsia" w:ascii="宋体" w:hAnsi="宋体" w:eastAsia="宋体" w:cs="宋体"/>
                <w:b/>
                <w:bCs/>
                <w:color w:val="auto"/>
                <w:sz w:val="21"/>
                <w:szCs w:val="21"/>
              </w:rPr>
            </w:pPr>
          </w:p>
        </w:tc>
        <w:tc>
          <w:tcPr>
            <w:tcW w:w="826" w:type="dxa"/>
            <w:tcBorders>
              <w:top w:val="single" w:color="000000" w:sz="4" w:space="0"/>
              <w:left w:val="single" w:color="000000" w:sz="4" w:space="0"/>
              <w:bottom w:val="single" w:color="000000" w:sz="4" w:space="0"/>
              <w:right w:val="single" w:color="000000" w:sz="4" w:space="0"/>
            </w:tcBorders>
            <w:vAlign w:val="center"/>
          </w:tcPr>
          <w:p w14:paraId="4C7883CC">
            <w:pPr>
              <w:rPr>
                <w:rFonts w:hint="eastAsia" w:ascii="宋体" w:hAnsi="宋体" w:eastAsia="宋体" w:cs="宋体"/>
                <w:b/>
                <w:bCs/>
                <w:color w:val="auto"/>
                <w:sz w:val="21"/>
                <w:szCs w:val="21"/>
              </w:rPr>
            </w:pPr>
          </w:p>
        </w:tc>
      </w:tr>
    </w:tbl>
    <w:p w14:paraId="04E8C1C2">
      <w:pPr>
        <w:spacing w:beforeAutospacing="0" w:afterAutospacing="0" w:line="360" w:lineRule="exact"/>
        <w:rPr>
          <w:rFonts w:hint="eastAsia" w:ascii="仿宋" w:hAnsi="仿宋" w:eastAsia="仿宋" w:cs="仿宋"/>
          <w:color w:val="auto"/>
          <w:spacing w:val="20"/>
          <w:sz w:val="32"/>
          <w:szCs w:val="32"/>
        </w:rPr>
      </w:pPr>
    </w:p>
    <w:p w14:paraId="411353C3">
      <w:pPr>
        <w:rPr>
          <w:rFonts w:hint="eastAsia" w:ascii="仿宋" w:hAnsi="仿宋" w:eastAsia="仿宋" w:cs="仿宋"/>
          <w:color w:val="auto"/>
          <w:spacing w:val="20"/>
          <w:sz w:val="32"/>
          <w:szCs w:val="32"/>
        </w:rPr>
      </w:pPr>
      <w:r>
        <w:rPr>
          <w:rFonts w:hint="eastAsia" w:ascii="仿宋" w:hAnsi="仿宋" w:eastAsia="仿宋" w:cs="仿宋"/>
          <w:color w:val="auto"/>
          <w:spacing w:val="20"/>
          <w:sz w:val="32"/>
          <w:szCs w:val="32"/>
        </w:rPr>
        <w:br w:type="page"/>
      </w:r>
    </w:p>
    <w:tbl>
      <w:tblPr>
        <w:tblStyle w:val="25"/>
        <w:tblpPr w:leftFromText="180" w:rightFromText="180" w:vertAnchor="text" w:horzAnchor="page" w:tblpXSpec="center" w:tblpY="294"/>
        <w:tblOverlap w:val="never"/>
        <w:tblW w:w="9216" w:type="dxa"/>
        <w:tblInd w:w="254" w:type="dxa"/>
        <w:tblLayout w:type="fixed"/>
        <w:tblCellMar>
          <w:top w:w="0" w:type="dxa"/>
          <w:left w:w="108" w:type="dxa"/>
          <w:bottom w:w="0" w:type="dxa"/>
          <w:right w:w="108" w:type="dxa"/>
        </w:tblCellMar>
      </w:tblPr>
      <w:tblGrid>
        <w:gridCol w:w="931"/>
        <w:gridCol w:w="5043"/>
        <w:gridCol w:w="1198"/>
        <w:gridCol w:w="1065"/>
        <w:gridCol w:w="979"/>
      </w:tblGrid>
      <w:tr w14:paraId="6387EE0E">
        <w:tblPrEx>
          <w:tblCellMar>
            <w:top w:w="0" w:type="dxa"/>
            <w:left w:w="108" w:type="dxa"/>
            <w:bottom w:w="0" w:type="dxa"/>
            <w:right w:w="108" w:type="dxa"/>
          </w:tblCellMar>
        </w:tblPrEx>
        <w:trPr>
          <w:trHeight w:val="710" w:hRule="atLeast"/>
        </w:trPr>
        <w:tc>
          <w:tcPr>
            <w:tcW w:w="8237" w:type="dxa"/>
            <w:gridSpan w:val="4"/>
            <w:tcBorders>
              <w:top w:val="nil"/>
              <w:left w:val="nil"/>
              <w:bottom w:val="nil"/>
              <w:right w:val="nil"/>
            </w:tcBorders>
            <w:noWrap/>
            <w:vAlign w:val="center"/>
          </w:tcPr>
          <w:p w14:paraId="2B95879C">
            <w:pPr>
              <w:ind w:firstLine="964" w:firstLineChars="400"/>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4"/>
                <w:szCs w:val="24"/>
                <w:lang w:bidi="ar"/>
              </w:rPr>
              <w:t>第一人民医院后勤服务满意度调查表</w:t>
            </w:r>
          </w:p>
        </w:tc>
        <w:tc>
          <w:tcPr>
            <w:tcW w:w="979" w:type="dxa"/>
            <w:tcBorders>
              <w:top w:val="nil"/>
              <w:left w:val="nil"/>
              <w:bottom w:val="nil"/>
              <w:right w:val="nil"/>
            </w:tcBorders>
            <w:noWrap/>
            <w:vAlign w:val="center"/>
          </w:tcPr>
          <w:p w14:paraId="78276F96">
            <w:pPr>
              <w:rPr>
                <w:rFonts w:hint="eastAsia" w:ascii="宋体" w:hAnsi="宋体" w:eastAsia="宋体" w:cs="宋体"/>
                <w:b/>
                <w:bCs/>
                <w:color w:val="auto"/>
                <w:sz w:val="21"/>
                <w:szCs w:val="21"/>
              </w:rPr>
            </w:pPr>
          </w:p>
        </w:tc>
      </w:tr>
      <w:tr w14:paraId="0ADC19D7">
        <w:tblPrEx>
          <w:tblCellMar>
            <w:top w:w="0" w:type="dxa"/>
            <w:left w:w="108" w:type="dxa"/>
            <w:bottom w:w="0" w:type="dxa"/>
            <w:right w:w="108" w:type="dxa"/>
          </w:tblCellMar>
        </w:tblPrEx>
        <w:trPr>
          <w:trHeight w:val="710" w:hRule="atLeast"/>
        </w:trPr>
        <w:tc>
          <w:tcPr>
            <w:tcW w:w="9216" w:type="dxa"/>
            <w:gridSpan w:val="5"/>
            <w:tcBorders>
              <w:top w:val="nil"/>
              <w:left w:val="nil"/>
              <w:bottom w:val="nil"/>
              <w:right w:val="nil"/>
            </w:tcBorders>
            <w:vAlign w:val="center"/>
          </w:tcPr>
          <w:p w14:paraId="06FF61F7">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 xml:space="preserve">    您好！为进一步提高后勤服务质量，请您在下表填写对后勤服务的客观、真实评价，并留下您宝贵的意见和建议。感谢您的支持！</w:t>
            </w:r>
          </w:p>
        </w:tc>
      </w:tr>
      <w:tr w14:paraId="6B40A775">
        <w:tblPrEx>
          <w:tblCellMar>
            <w:top w:w="0" w:type="dxa"/>
            <w:left w:w="108" w:type="dxa"/>
            <w:bottom w:w="0" w:type="dxa"/>
            <w:right w:w="108" w:type="dxa"/>
          </w:tblCellMar>
        </w:tblPrEx>
        <w:trPr>
          <w:trHeight w:val="355" w:hRule="atLeast"/>
        </w:trPr>
        <w:tc>
          <w:tcPr>
            <w:tcW w:w="931" w:type="dxa"/>
            <w:tcBorders>
              <w:top w:val="nil"/>
              <w:left w:val="nil"/>
              <w:bottom w:val="nil"/>
              <w:right w:val="nil"/>
            </w:tcBorders>
            <w:noWrap/>
            <w:vAlign w:val="center"/>
          </w:tcPr>
          <w:p w14:paraId="27FB3993">
            <w:pPr>
              <w:jc w:val="center"/>
              <w:rPr>
                <w:rFonts w:hint="eastAsia" w:ascii="宋体" w:hAnsi="宋体" w:eastAsia="宋体" w:cs="宋体"/>
                <w:b/>
                <w:bCs/>
                <w:color w:val="auto"/>
                <w:sz w:val="21"/>
                <w:szCs w:val="21"/>
              </w:rPr>
            </w:pPr>
          </w:p>
        </w:tc>
        <w:tc>
          <w:tcPr>
            <w:tcW w:w="5043" w:type="dxa"/>
            <w:tcBorders>
              <w:top w:val="nil"/>
              <w:left w:val="nil"/>
              <w:bottom w:val="nil"/>
              <w:right w:val="nil"/>
            </w:tcBorders>
            <w:noWrap/>
            <w:vAlign w:val="center"/>
          </w:tcPr>
          <w:p w14:paraId="31E37252">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调查科室：</w:t>
            </w:r>
          </w:p>
        </w:tc>
        <w:tc>
          <w:tcPr>
            <w:tcW w:w="1198" w:type="dxa"/>
            <w:tcBorders>
              <w:top w:val="nil"/>
              <w:left w:val="nil"/>
              <w:bottom w:val="nil"/>
              <w:right w:val="nil"/>
            </w:tcBorders>
            <w:noWrap/>
            <w:vAlign w:val="center"/>
          </w:tcPr>
          <w:p w14:paraId="72C10219">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日期：</w:t>
            </w:r>
          </w:p>
        </w:tc>
        <w:tc>
          <w:tcPr>
            <w:tcW w:w="1065" w:type="dxa"/>
            <w:tcBorders>
              <w:top w:val="nil"/>
              <w:left w:val="nil"/>
              <w:bottom w:val="nil"/>
              <w:right w:val="nil"/>
            </w:tcBorders>
            <w:vAlign w:val="center"/>
          </w:tcPr>
          <w:p w14:paraId="46CD7E36">
            <w:pPr>
              <w:jc w:val="center"/>
              <w:rPr>
                <w:rFonts w:hint="eastAsia" w:ascii="宋体" w:hAnsi="宋体" w:eastAsia="宋体" w:cs="宋体"/>
                <w:b/>
                <w:bCs/>
                <w:color w:val="auto"/>
                <w:sz w:val="21"/>
                <w:szCs w:val="21"/>
              </w:rPr>
            </w:pPr>
          </w:p>
        </w:tc>
        <w:tc>
          <w:tcPr>
            <w:tcW w:w="979" w:type="dxa"/>
            <w:tcBorders>
              <w:top w:val="nil"/>
              <w:left w:val="nil"/>
              <w:bottom w:val="nil"/>
              <w:right w:val="nil"/>
            </w:tcBorders>
            <w:noWrap/>
            <w:vAlign w:val="center"/>
          </w:tcPr>
          <w:p w14:paraId="4B94FEBF">
            <w:pPr>
              <w:rPr>
                <w:rFonts w:hint="eastAsia" w:ascii="宋体" w:hAnsi="宋体" w:eastAsia="宋体" w:cs="宋体"/>
                <w:b/>
                <w:bCs/>
                <w:color w:val="auto"/>
                <w:sz w:val="21"/>
                <w:szCs w:val="21"/>
              </w:rPr>
            </w:pPr>
          </w:p>
        </w:tc>
      </w:tr>
      <w:tr w14:paraId="0946CF79">
        <w:tblPrEx>
          <w:tblCellMar>
            <w:top w:w="0" w:type="dxa"/>
            <w:left w:w="108" w:type="dxa"/>
            <w:bottom w:w="0" w:type="dxa"/>
            <w:right w:w="108" w:type="dxa"/>
          </w:tblCellMar>
        </w:tblPrEx>
        <w:trPr>
          <w:trHeight w:val="366" w:hRule="atLeast"/>
        </w:trPr>
        <w:tc>
          <w:tcPr>
            <w:tcW w:w="931" w:type="dxa"/>
            <w:vMerge w:val="restart"/>
            <w:tcBorders>
              <w:top w:val="single" w:color="000000" w:sz="4" w:space="0"/>
              <w:left w:val="single" w:color="000000" w:sz="4" w:space="0"/>
              <w:bottom w:val="single" w:color="000000" w:sz="4" w:space="0"/>
              <w:right w:val="single" w:color="000000" w:sz="4" w:space="0"/>
            </w:tcBorders>
            <w:noWrap/>
            <w:vAlign w:val="center"/>
          </w:tcPr>
          <w:p w14:paraId="4AB7DAE9">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序号</w:t>
            </w:r>
          </w:p>
        </w:tc>
        <w:tc>
          <w:tcPr>
            <w:tcW w:w="5043" w:type="dxa"/>
            <w:vMerge w:val="restart"/>
            <w:tcBorders>
              <w:top w:val="single" w:color="000000" w:sz="4" w:space="0"/>
              <w:left w:val="single" w:color="000000" w:sz="4" w:space="0"/>
              <w:bottom w:val="single" w:color="000000" w:sz="4" w:space="0"/>
              <w:right w:val="single" w:color="000000" w:sz="4" w:space="0"/>
            </w:tcBorders>
            <w:vAlign w:val="center"/>
          </w:tcPr>
          <w:p w14:paraId="470DC28A">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调查项目</w:t>
            </w:r>
          </w:p>
        </w:tc>
        <w:tc>
          <w:tcPr>
            <w:tcW w:w="3242" w:type="dxa"/>
            <w:gridSpan w:val="3"/>
            <w:tcBorders>
              <w:top w:val="single" w:color="000000" w:sz="4" w:space="0"/>
              <w:left w:val="single" w:color="000000" w:sz="4" w:space="0"/>
              <w:bottom w:val="single" w:color="000000" w:sz="4" w:space="0"/>
              <w:right w:val="single" w:color="000000" w:sz="4" w:space="0"/>
            </w:tcBorders>
            <w:vAlign w:val="center"/>
          </w:tcPr>
          <w:p w14:paraId="2778152F">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满意度</w:t>
            </w:r>
          </w:p>
        </w:tc>
      </w:tr>
      <w:tr w14:paraId="6AD23D4A">
        <w:tblPrEx>
          <w:tblCellMar>
            <w:top w:w="0" w:type="dxa"/>
            <w:left w:w="108" w:type="dxa"/>
            <w:bottom w:w="0" w:type="dxa"/>
            <w:right w:w="108" w:type="dxa"/>
          </w:tblCellMar>
        </w:tblPrEx>
        <w:trPr>
          <w:trHeight w:val="366" w:hRule="atLeast"/>
        </w:trPr>
        <w:tc>
          <w:tcPr>
            <w:tcW w:w="931" w:type="dxa"/>
            <w:vMerge w:val="continue"/>
            <w:tcBorders>
              <w:top w:val="single" w:color="000000" w:sz="4" w:space="0"/>
              <w:left w:val="single" w:color="000000" w:sz="4" w:space="0"/>
              <w:bottom w:val="single" w:color="000000" w:sz="4" w:space="0"/>
              <w:right w:val="single" w:color="000000" w:sz="4" w:space="0"/>
            </w:tcBorders>
            <w:noWrap/>
            <w:vAlign w:val="center"/>
          </w:tcPr>
          <w:p w14:paraId="0B6A10B8">
            <w:pPr>
              <w:jc w:val="center"/>
              <w:rPr>
                <w:rFonts w:hint="eastAsia" w:ascii="宋体" w:hAnsi="宋体" w:eastAsia="宋体" w:cs="宋体"/>
                <w:b/>
                <w:bCs/>
                <w:color w:val="auto"/>
                <w:sz w:val="21"/>
                <w:szCs w:val="21"/>
              </w:rPr>
            </w:pPr>
          </w:p>
        </w:tc>
        <w:tc>
          <w:tcPr>
            <w:tcW w:w="5043" w:type="dxa"/>
            <w:vMerge w:val="continue"/>
            <w:tcBorders>
              <w:top w:val="single" w:color="000000" w:sz="4" w:space="0"/>
              <w:left w:val="single" w:color="000000" w:sz="4" w:space="0"/>
              <w:bottom w:val="single" w:color="000000" w:sz="4" w:space="0"/>
              <w:right w:val="single" w:color="000000" w:sz="4" w:space="0"/>
            </w:tcBorders>
            <w:vAlign w:val="center"/>
          </w:tcPr>
          <w:p w14:paraId="194F51A2">
            <w:pPr>
              <w:jc w:val="center"/>
              <w:rPr>
                <w:rFonts w:hint="eastAsia" w:ascii="宋体" w:hAnsi="宋体" w:eastAsia="宋体" w:cs="宋体"/>
                <w:b/>
                <w:bCs/>
                <w:color w:val="auto"/>
                <w:sz w:val="21"/>
                <w:szCs w:val="21"/>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1B1E5AA4">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满意</w:t>
            </w:r>
          </w:p>
        </w:tc>
        <w:tc>
          <w:tcPr>
            <w:tcW w:w="1065" w:type="dxa"/>
            <w:tcBorders>
              <w:top w:val="single" w:color="000000" w:sz="4" w:space="0"/>
              <w:left w:val="single" w:color="000000" w:sz="4" w:space="0"/>
              <w:bottom w:val="single" w:color="000000" w:sz="4" w:space="0"/>
              <w:right w:val="single" w:color="000000" w:sz="4" w:space="0"/>
            </w:tcBorders>
            <w:vAlign w:val="center"/>
          </w:tcPr>
          <w:p w14:paraId="6E54FAE3">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一般</w:t>
            </w:r>
          </w:p>
        </w:tc>
        <w:tc>
          <w:tcPr>
            <w:tcW w:w="979" w:type="dxa"/>
            <w:tcBorders>
              <w:top w:val="single" w:color="000000" w:sz="4" w:space="0"/>
              <w:left w:val="single" w:color="000000" w:sz="4" w:space="0"/>
              <w:bottom w:val="single" w:color="000000" w:sz="4" w:space="0"/>
              <w:right w:val="single" w:color="000000" w:sz="4" w:space="0"/>
            </w:tcBorders>
            <w:noWrap/>
            <w:vAlign w:val="center"/>
          </w:tcPr>
          <w:p w14:paraId="200E05FC">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不满意</w:t>
            </w:r>
          </w:p>
        </w:tc>
      </w:tr>
      <w:tr w14:paraId="5E02FF97">
        <w:tblPrEx>
          <w:tblCellMar>
            <w:top w:w="0" w:type="dxa"/>
            <w:left w:w="108" w:type="dxa"/>
            <w:bottom w:w="0" w:type="dxa"/>
            <w:right w:w="108" w:type="dxa"/>
          </w:tblCellMar>
        </w:tblPrEx>
        <w:trPr>
          <w:trHeight w:val="721" w:hRule="atLeast"/>
        </w:trPr>
        <w:tc>
          <w:tcPr>
            <w:tcW w:w="931" w:type="dxa"/>
            <w:tcBorders>
              <w:top w:val="single" w:color="000000" w:sz="4" w:space="0"/>
              <w:left w:val="single" w:color="000000" w:sz="4" w:space="0"/>
              <w:bottom w:val="single" w:color="000000" w:sz="4" w:space="0"/>
              <w:right w:val="single" w:color="000000" w:sz="4" w:space="0"/>
            </w:tcBorders>
            <w:noWrap/>
            <w:vAlign w:val="center"/>
          </w:tcPr>
          <w:p w14:paraId="7441BEEA">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1</w:t>
            </w:r>
          </w:p>
        </w:tc>
        <w:tc>
          <w:tcPr>
            <w:tcW w:w="5043" w:type="dxa"/>
            <w:tcBorders>
              <w:top w:val="single" w:color="000000" w:sz="4" w:space="0"/>
              <w:left w:val="single" w:color="000000" w:sz="4" w:space="0"/>
              <w:bottom w:val="single" w:color="000000" w:sz="4" w:space="0"/>
              <w:right w:val="single" w:color="000000" w:sz="4" w:space="0"/>
            </w:tcBorders>
            <w:vAlign w:val="center"/>
          </w:tcPr>
          <w:p w14:paraId="22BB231C">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您对水电维修及时性进行评价（是否20分钟内到达）</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7840D2A7">
            <w:pPr>
              <w:jc w:val="center"/>
              <w:rPr>
                <w:rFonts w:hint="eastAsia" w:ascii="宋体" w:hAnsi="宋体" w:eastAsia="宋体" w:cs="宋体"/>
                <w:b/>
                <w:bCs/>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6EA9642B">
            <w:pPr>
              <w:jc w:val="center"/>
              <w:rPr>
                <w:rFonts w:hint="eastAsia" w:ascii="宋体" w:hAnsi="宋体" w:eastAsia="宋体" w:cs="宋体"/>
                <w:b/>
                <w:bCs/>
                <w:color w:val="auto"/>
                <w:sz w:val="21"/>
                <w:szCs w:val="21"/>
              </w:rPr>
            </w:pPr>
          </w:p>
        </w:tc>
        <w:tc>
          <w:tcPr>
            <w:tcW w:w="979" w:type="dxa"/>
            <w:tcBorders>
              <w:top w:val="single" w:color="000000" w:sz="4" w:space="0"/>
              <w:left w:val="single" w:color="000000" w:sz="4" w:space="0"/>
              <w:bottom w:val="single" w:color="000000" w:sz="4" w:space="0"/>
              <w:right w:val="single" w:color="000000" w:sz="4" w:space="0"/>
            </w:tcBorders>
            <w:noWrap/>
            <w:vAlign w:val="center"/>
          </w:tcPr>
          <w:p w14:paraId="0A61DE33">
            <w:pPr>
              <w:rPr>
                <w:rFonts w:hint="eastAsia" w:ascii="宋体" w:hAnsi="宋体" w:eastAsia="宋体" w:cs="宋体"/>
                <w:b/>
                <w:bCs/>
                <w:color w:val="auto"/>
                <w:sz w:val="21"/>
                <w:szCs w:val="21"/>
              </w:rPr>
            </w:pPr>
          </w:p>
        </w:tc>
      </w:tr>
      <w:tr w14:paraId="2068EA3E">
        <w:tblPrEx>
          <w:tblCellMar>
            <w:top w:w="0" w:type="dxa"/>
            <w:left w:w="108" w:type="dxa"/>
            <w:bottom w:w="0" w:type="dxa"/>
            <w:right w:w="108" w:type="dxa"/>
          </w:tblCellMar>
        </w:tblPrEx>
        <w:trPr>
          <w:trHeight w:val="721" w:hRule="atLeast"/>
        </w:trPr>
        <w:tc>
          <w:tcPr>
            <w:tcW w:w="931" w:type="dxa"/>
            <w:tcBorders>
              <w:top w:val="single" w:color="000000" w:sz="4" w:space="0"/>
              <w:left w:val="single" w:color="000000" w:sz="4" w:space="0"/>
              <w:bottom w:val="single" w:color="000000" w:sz="4" w:space="0"/>
              <w:right w:val="single" w:color="000000" w:sz="4" w:space="0"/>
            </w:tcBorders>
            <w:noWrap/>
            <w:vAlign w:val="center"/>
          </w:tcPr>
          <w:p w14:paraId="2E7A035B">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2</w:t>
            </w:r>
          </w:p>
        </w:tc>
        <w:tc>
          <w:tcPr>
            <w:tcW w:w="5043" w:type="dxa"/>
            <w:tcBorders>
              <w:top w:val="single" w:color="000000" w:sz="4" w:space="0"/>
              <w:left w:val="single" w:color="000000" w:sz="4" w:space="0"/>
              <w:bottom w:val="single" w:color="000000" w:sz="4" w:space="0"/>
              <w:right w:val="single" w:color="000000" w:sz="4" w:space="0"/>
            </w:tcBorders>
            <w:vAlign w:val="center"/>
          </w:tcPr>
          <w:p w14:paraId="4CBAFCF3">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您对木工维修及时性进行评价（是否20分钟内到达）</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0FCB3971">
            <w:pPr>
              <w:jc w:val="center"/>
              <w:rPr>
                <w:rFonts w:hint="eastAsia" w:ascii="宋体" w:hAnsi="宋体" w:eastAsia="宋体" w:cs="宋体"/>
                <w:b/>
                <w:bCs/>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6F2B2503">
            <w:pPr>
              <w:jc w:val="center"/>
              <w:rPr>
                <w:rFonts w:hint="eastAsia" w:ascii="宋体" w:hAnsi="宋体" w:eastAsia="宋体" w:cs="宋体"/>
                <w:b/>
                <w:bCs/>
                <w:color w:val="auto"/>
                <w:sz w:val="21"/>
                <w:szCs w:val="21"/>
              </w:rPr>
            </w:pPr>
          </w:p>
        </w:tc>
        <w:tc>
          <w:tcPr>
            <w:tcW w:w="979" w:type="dxa"/>
            <w:tcBorders>
              <w:top w:val="single" w:color="000000" w:sz="4" w:space="0"/>
              <w:left w:val="single" w:color="000000" w:sz="4" w:space="0"/>
              <w:bottom w:val="single" w:color="000000" w:sz="4" w:space="0"/>
              <w:right w:val="single" w:color="000000" w:sz="4" w:space="0"/>
            </w:tcBorders>
            <w:noWrap/>
            <w:vAlign w:val="center"/>
          </w:tcPr>
          <w:p w14:paraId="4E94DA75">
            <w:pPr>
              <w:rPr>
                <w:rFonts w:hint="eastAsia" w:ascii="宋体" w:hAnsi="宋体" w:eastAsia="宋体" w:cs="宋体"/>
                <w:b/>
                <w:bCs/>
                <w:color w:val="auto"/>
                <w:sz w:val="21"/>
                <w:szCs w:val="21"/>
              </w:rPr>
            </w:pPr>
          </w:p>
        </w:tc>
      </w:tr>
      <w:tr w14:paraId="04920333">
        <w:tblPrEx>
          <w:tblCellMar>
            <w:top w:w="0" w:type="dxa"/>
            <w:left w:w="108" w:type="dxa"/>
            <w:bottom w:w="0" w:type="dxa"/>
            <w:right w:w="108" w:type="dxa"/>
          </w:tblCellMar>
        </w:tblPrEx>
        <w:trPr>
          <w:trHeight w:val="721" w:hRule="atLeast"/>
        </w:trPr>
        <w:tc>
          <w:tcPr>
            <w:tcW w:w="931" w:type="dxa"/>
            <w:tcBorders>
              <w:top w:val="single" w:color="000000" w:sz="4" w:space="0"/>
              <w:left w:val="single" w:color="000000" w:sz="4" w:space="0"/>
              <w:bottom w:val="single" w:color="000000" w:sz="4" w:space="0"/>
              <w:right w:val="single" w:color="000000" w:sz="4" w:space="0"/>
            </w:tcBorders>
            <w:noWrap/>
            <w:vAlign w:val="center"/>
          </w:tcPr>
          <w:p w14:paraId="5C9FA740">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3</w:t>
            </w:r>
          </w:p>
        </w:tc>
        <w:tc>
          <w:tcPr>
            <w:tcW w:w="5043" w:type="dxa"/>
            <w:tcBorders>
              <w:top w:val="single" w:color="000000" w:sz="4" w:space="0"/>
              <w:left w:val="single" w:color="000000" w:sz="4" w:space="0"/>
              <w:bottom w:val="single" w:color="000000" w:sz="4" w:space="0"/>
              <w:right w:val="single" w:color="000000" w:sz="4" w:space="0"/>
            </w:tcBorders>
            <w:vAlign w:val="center"/>
          </w:tcPr>
          <w:p w14:paraId="0D4503DA">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您对物资下送及时性进行评价（是否20分钟内到达）</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3DBBFD6A">
            <w:pPr>
              <w:jc w:val="center"/>
              <w:rPr>
                <w:rFonts w:hint="eastAsia" w:ascii="宋体" w:hAnsi="宋体" w:eastAsia="宋体" w:cs="宋体"/>
                <w:b/>
                <w:bCs/>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150BD0B2">
            <w:pPr>
              <w:jc w:val="center"/>
              <w:rPr>
                <w:rFonts w:hint="eastAsia" w:ascii="宋体" w:hAnsi="宋体" w:eastAsia="宋体" w:cs="宋体"/>
                <w:b/>
                <w:bCs/>
                <w:color w:val="auto"/>
                <w:sz w:val="21"/>
                <w:szCs w:val="21"/>
              </w:rPr>
            </w:pPr>
          </w:p>
        </w:tc>
        <w:tc>
          <w:tcPr>
            <w:tcW w:w="979" w:type="dxa"/>
            <w:tcBorders>
              <w:top w:val="single" w:color="000000" w:sz="4" w:space="0"/>
              <w:left w:val="single" w:color="000000" w:sz="4" w:space="0"/>
              <w:bottom w:val="single" w:color="000000" w:sz="4" w:space="0"/>
              <w:right w:val="single" w:color="000000" w:sz="4" w:space="0"/>
            </w:tcBorders>
            <w:noWrap/>
            <w:vAlign w:val="center"/>
          </w:tcPr>
          <w:p w14:paraId="68B4D32C">
            <w:pPr>
              <w:rPr>
                <w:rFonts w:hint="eastAsia" w:ascii="宋体" w:hAnsi="宋体" w:eastAsia="宋体" w:cs="宋体"/>
                <w:b/>
                <w:bCs/>
                <w:color w:val="auto"/>
                <w:sz w:val="21"/>
                <w:szCs w:val="21"/>
              </w:rPr>
            </w:pPr>
          </w:p>
        </w:tc>
      </w:tr>
      <w:tr w14:paraId="11B0E41E">
        <w:tblPrEx>
          <w:tblCellMar>
            <w:top w:w="0" w:type="dxa"/>
            <w:left w:w="108" w:type="dxa"/>
            <w:bottom w:w="0" w:type="dxa"/>
            <w:right w:w="108" w:type="dxa"/>
          </w:tblCellMar>
        </w:tblPrEx>
        <w:trPr>
          <w:trHeight w:val="772" w:hRule="atLeast"/>
        </w:trPr>
        <w:tc>
          <w:tcPr>
            <w:tcW w:w="931" w:type="dxa"/>
            <w:tcBorders>
              <w:top w:val="single" w:color="000000" w:sz="4" w:space="0"/>
              <w:left w:val="single" w:color="000000" w:sz="4" w:space="0"/>
              <w:bottom w:val="single" w:color="000000" w:sz="4" w:space="0"/>
              <w:right w:val="single" w:color="000000" w:sz="4" w:space="0"/>
            </w:tcBorders>
            <w:noWrap/>
            <w:vAlign w:val="center"/>
          </w:tcPr>
          <w:p w14:paraId="6A613F78">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4</w:t>
            </w:r>
          </w:p>
        </w:tc>
        <w:tc>
          <w:tcPr>
            <w:tcW w:w="5043" w:type="dxa"/>
            <w:tcBorders>
              <w:top w:val="single" w:color="000000" w:sz="4" w:space="0"/>
              <w:left w:val="single" w:color="000000" w:sz="4" w:space="0"/>
              <w:bottom w:val="single" w:color="000000" w:sz="4" w:space="0"/>
              <w:right w:val="single" w:color="000000" w:sz="4" w:space="0"/>
            </w:tcBorders>
            <w:vAlign w:val="center"/>
          </w:tcPr>
          <w:p w14:paraId="22655EAB">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您对水电维修项目服务态度进行评价</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0E65FC34">
            <w:pPr>
              <w:jc w:val="center"/>
              <w:rPr>
                <w:rFonts w:hint="eastAsia" w:ascii="宋体" w:hAnsi="宋体" w:eastAsia="宋体" w:cs="宋体"/>
                <w:b/>
                <w:bCs/>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703BE0B2">
            <w:pPr>
              <w:jc w:val="center"/>
              <w:rPr>
                <w:rFonts w:hint="eastAsia" w:ascii="宋体" w:hAnsi="宋体" w:eastAsia="宋体" w:cs="宋体"/>
                <w:b/>
                <w:bCs/>
                <w:color w:val="auto"/>
                <w:sz w:val="21"/>
                <w:szCs w:val="21"/>
              </w:rPr>
            </w:pPr>
          </w:p>
        </w:tc>
        <w:tc>
          <w:tcPr>
            <w:tcW w:w="979" w:type="dxa"/>
            <w:tcBorders>
              <w:top w:val="single" w:color="000000" w:sz="4" w:space="0"/>
              <w:left w:val="single" w:color="000000" w:sz="4" w:space="0"/>
              <w:bottom w:val="single" w:color="000000" w:sz="4" w:space="0"/>
              <w:right w:val="single" w:color="000000" w:sz="4" w:space="0"/>
            </w:tcBorders>
            <w:noWrap/>
            <w:vAlign w:val="center"/>
          </w:tcPr>
          <w:p w14:paraId="620F317B">
            <w:pPr>
              <w:rPr>
                <w:rFonts w:hint="eastAsia" w:ascii="宋体" w:hAnsi="宋体" w:eastAsia="宋体" w:cs="宋体"/>
                <w:b/>
                <w:bCs/>
                <w:color w:val="auto"/>
                <w:sz w:val="21"/>
                <w:szCs w:val="21"/>
              </w:rPr>
            </w:pPr>
          </w:p>
        </w:tc>
      </w:tr>
      <w:tr w14:paraId="1C4EAC99">
        <w:tblPrEx>
          <w:tblCellMar>
            <w:top w:w="0" w:type="dxa"/>
            <w:left w:w="108" w:type="dxa"/>
            <w:bottom w:w="0" w:type="dxa"/>
            <w:right w:w="108" w:type="dxa"/>
          </w:tblCellMar>
        </w:tblPrEx>
        <w:trPr>
          <w:trHeight w:val="731" w:hRule="atLeast"/>
        </w:trPr>
        <w:tc>
          <w:tcPr>
            <w:tcW w:w="931" w:type="dxa"/>
            <w:tcBorders>
              <w:top w:val="single" w:color="000000" w:sz="4" w:space="0"/>
              <w:left w:val="single" w:color="000000" w:sz="4" w:space="0"/>
              <w:bottom w:val="single" w:color="000000" w:sz="4" w:space="0"/>
              <w:right w:val="single" w:color="000000" w:sz="4" w:space="0"/>
            </w:tcBorders>
            <w:noWrap/>
            <w:vAlign w:val="center"/>
          </w:tcPr>
          <w:p w14:paraId="1FA3F7D0">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5</w:t>
            </w:r>
          </w:p>
        </w:tc>
        <w:tc>
          <w:tcPr>
            <w:tcW w:w="5043" w:type="dxa"/>
            <w:tcBorders>
              <w:top w:val="single" w:color="000000" w:sz="4" w:space="0"/>
              <w:left w:val="single" w:color="000000" w:sz="4" w:space="0"/>
              <w:bottom w:val="single" w:color="000000" w:sz="4" w:space="0"/>
              <w:right w:val="single" w:color="000000" w:sz="4" w:space="0"/>
            </w:tcBorders>
            <w:vAlign w:val="center"/>
          </w:tcPr>
          <w:p w14:paraId="588E84EB">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您对木工维修项目服务态度进行评价</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0437ABB8">
            <w:pPr>
              <w:jc w:val="center"/>
              <w:rPr>
                <w:rFonts w:hint="eastAsia" w:ascii="宋体" w:hAnsi="宋体" w:eastAsia="宋体" w:cs="宋体"/>
                <w:b/>
                <w:bCs/>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7C72674B">
            <w:pPr>
              <w:jc w:val="center"/>
              <w:rPr>
                <w:rFonts w:hint="eastAsia" w:ascii="宋体" w:hAnsi="宋体" w:eastAsia="宋体" w:cs="宋体"/>
                <w:b/>
                <w:bCs/>
                <w:color w:val="auto"/>
                <w:sz w:val="21"/>
                <w:szCs w:val="21"/>
              </w:rPr>
            </w:pPr>
          </w:p>
        </w:tc>
        <w:tc>
          <w:tcPr>
            <w:tcW w:w="979" w:type="dxa"/>
            <w:tcBorders>
              <w:top w:val="single" w:color="000000" w:sz="4" w:space="0"/>
              <w:left w:val="single" w:color="000000" w:sz="4" w:space="0"/>
              <w:bottom w:val="single" w:color="000000" w:sz="4" w:space="0"/>
              <w:right w:val="single" w:color="000000" w:sz="4" w:space="0"/>
            </w:tcBorders>
            <w:noWrap/>
            <w:vAlign w:val="center"/>
          </w:tcPr>
          <w:p w14:paraId="47B16107">
            <w:pPr>
              <w:rPr>
                <w:rFonts w:hint="eastAsia" w:ascii="宋体" w:hAnsi="宋体" w:eastAsia="宋体" w:cs="宋体"/>
                <w:b/>
                <w:bCs/>
                <w:color w:val="auto"/>
                <w:sz w:val="21"/>
                <w:szCs w:val="21"/>
              </w:rPr>
            </w:pPr>
          </w:p>
        </w:tc>
      </w:tr>
      <w:tr w14:paraId="0228D80B">
        <w:tblPrEx>
          <w:tblCellMar>
            <w:top w:w="0" w:type="dxa"/>
            <w:left w:w="108" w:type="dxa"/>
            <w:bottom w:w="0" w:type="dxa"/>
            <w:right w:w="108" w:type="dxa"/>
          </w:tblCellMar>
        </w:tblPrEx>
        <w:trPr>
          <w:trHeight w:val="745" w:hRule="atLeast"/>
        </w:trPr>
        <w:tc>
          <w:tcPr>
            <w:tcW w:w="931" w:type="dxa"/>
            <w:tcBorders>
              <w:top w:val="single" w:color="000000" w:sz="4" w:space="0"/>
              <w:left w:val="single" w:color="000000" w:sz="4" w:space="0"/>
              <w:bottom w:val="single" w:color="000000" w:sz="4" w:space="0"/>
              <w:right w:val="single" w:color="000000" w:sz="4" w:space="0"/>
            </w:tcBorders>
            <w:noWrap/>
            <w:vAlign w:val="center"/>
          </w:tcPr>
          <w:p w14:paraId="47CEE8C6">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6</w:t>
            </w:r>
          </w:p>
        </w:tc>
        <w:tc>
          <w:tcPr>
            <w:tcW w:w="5043" w:type="dxa"/>
            <w:tcBorders>
              <w:top w:val="single" w:color="000000" w:sz="4" w:space="0"/>
              <w:left w:val="single" w:color="000000" w:sz="4" w:space="0"/>
              <w:bottom w:val="single" w:color="000000" w:sz="4" w:space="0"/>
              <w:right w:val="single" w:color="000000" w:sz="4" w:space="0"/>
            </w:tcBorders>
            <w:vAlign w:val="center"/>
          </w:tcPr>
          <w:p w14:paraId="56E48421">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您对物资下送人员服务态度进行评价</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0F7E6853">
            <w:pPr>
              <w:jc w:val="center"/>
              <w:rPr>
                <w:rFonts w:hint="eastAsia" w:ascii="宋体" w:hAnsi="宋体" w:eastAsia="宋体" w:cs="宋体"/>
                <w:b/>
                <w:bCs/>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35A3EAE2">
            <w:pPr>
              <w:jc w:val="center"/>
              <w:rPr>
                <w:rFonts w:hint="eastAsia" w:ascii="宋体" w:hAnsi="宋体" w:eastAsia="宋体" w:cs="宋体"/>
                <w:b/>
                <w:bCs/>
                <w:color w:val="auto"/>
                <w:sz w:val="21"/>
                <w:szCs w:val="21"/>
              </w:rPr>
            </w:pPr>
          </w:p>
        </w:tc>
        <w:tc>
          <w:tcPr>
            <w:tcW w:w="979" w:type="dxa"/>
            <w:tcBorders>
              <w:top w:val="single" w:color="000000" w:sz="4" w:space="0"/>
              <w:left w:val="single" w:color="000000" w:sz="4" w:space="0"/>
              <w:bottom w:val="single" w:color="000000" w:sz="4" w:space="0"/>
              <w:right w:val="single" w:color="000000" w:sz="4" w:space="0"/>
            </w:tcBorders>
            <w:noWrap/>
            <w:vAlign w:val="center"/>
          </w:tcPr>
          <w:p w14:paraId="163F89A4">
            <w:pPr>
              <w:rPr>
                <w:rFonts w:hint="eastAsia" w:ascii="宋体" w:hAnsi="宋体" w:eastAsia="宋体" w:cs="宋体"/>
                <w:b/>
                <w:bCs/>
                <w:color w:val="auto"/>
                <w:sz w:val="21"/>
                <w:szCs w:val="21"/>
              </w:rPr>
            </w:pPr>
          </w:p>
        </w:tc>
      </w:tr>
      <w:tr w14:paraId="2678E8CC">
        <w:tblPrEx>
          <w:tblCellMar>
            <w:top w:w="0" w:type="dxa"/>
            <w:left w:w="108" w:type="dxa"/>
            <w:bottom w:w="0" w:type="dxa"/>
            <w:right w:w="108" w:type="dxa"/>
          </w:tblCellMar>
        </w:tblPrEx>
        <w:trPr>
          <w:trHeight w:val="772" w:hRule="atLeast"/>
        </w:trPr>
        <w:tc>
          <w:tcPr>
            <w:tcW w:w="931" w:type="dxa"/>
            <w:tcBorders>
              <w:top w:val="single" w:color="000000" w:sz="4" w:space="0"/>
              <w:left w:val="single" w:color="000000" w:sz="4" w:space="0"/>
              <w:bottom w:val="single" w:color="000000" w:sz="4" w:space="0"/>
              <w:right w:val="single" w:color="000000" w:sz="4" w:space="0"/>
            </w:tcBorders>
            <w:noWrap/>
            <w:vAlign w:val="center"/>
          </w:tcPr>
          <w:p w14:paraId="220F0D00">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7</w:t>
            </w:r>
          </w:p>
        </w:tc>
        <w:tc>
          <w:tcPr>
            <w:tcW w:w="5043" w:type="dxa"/>
            <w:tcBorders>
              <w:top w:val="single" w:color="000000" w:sz="4" w:space="0"/>
              <w:left w:val="single" w:color="000000" w:sz="4" w:space="0"/>
              <w:bottom w:val="single" w:color="000000" w:sz="4" w:space="0"/>
              <w:right w:val="single" w:color="000000" w:sz="4" w:space="0"/>
            </w:tcBorders>
            <w:vAlign w:val="center"/>
          </w:tcPr>
          <w:p w14:paraId="6251B12D">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您对水电维修项目质量进行评价</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70048C84">
            <w:pPr>
              <w:jc w:val="center"/>
              <w:rPr>
                <w:rFonts w:hint="eastAsia" w:ascii="宋体" w:hAnsi="宋体" w:eastAsia="宋体" w:cs="宋体"/>
                <w:b/>
                <w:bCs/>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0CEABB56">
            <w:pPr>
              <w:jc w:val="center"/>
              <w:rPr>
                <w:rFonts w:hint="eastAsia" w:ascii="宋体" w:hAnsi="宋体" w:eastAsia="宋体" w:cs="宋体"/>
                <w:b/>
                <w:bCs/>
                <w:color w:val="auto"/>
                <w:sz w:val="21"/>
                <w:szCs w:val="21"/>
              </w:rPr>
            </w:pPr>
          </w:p>
        </w:tc>
        <w:tc>
          <w:tcPr>
            <w:tcW w:w="979" w:type="dxa"/>
            <w:tcBorders>
              <w:top w:val="single" w:color="000000" w:sz="4" w:space="0"/>
              <w:left w:val="single" w:color="000000" w:sz="4" w:space="0"/>
              <w:bottom w:val="single" w:color="000000" w:sz="4" w:space="0"/>
              <w:right w:val="single" w:color="000000" w:sz="4" w:space="0"/>
            </w:tcBorders>
            <w:noWrap/>
            <w:vAlign w:val="center"/>
          </w:tcPr>
          <w:p w14:paraId="4763EBF1">
            <w:pPr>
              <w:rPr>
                <w:rFonts w:hint="eastAsia" w:ascii="宋体" w:hAnsi="宋体" w:eastAsia="宋体" w:cs="宋体"/>
                <w:b/>
                <w:bCs/>
                <w:color w:val="auto"/>
                <w:sz w:val="21"/>
                <w:szCs w:val="21"/>
              </w:rPr>
            </w:pPr>
          </w:p>
        </w:tc>
      </w:tr>
      <w:tr w14:paraId="6C0E626B">
        <w:tblPrEx>
          <w:tblCellMar>
            <w:top w:w="0" w:type="dxa"/>
            <w:left w:w="108" w:type="dxa"/>
            <w:bottom w:w="0" w:type="dxa"/>
            <w:right w:w="108" w:type="dxa"/>
          </w:tblCellMar>
        </w:tblPrEx>
        <w:trPr>
          <w:trHeight w:val="773" w:hRule="atLeast"/>
        </w:trPr>
        <w:tc>
          <w:tcPr>
            <w:tcW w:w="931" w:type="dxa"/>
            <w:tcBorders>
              <w:top w:val="single" w:color="000000" w:sz="4" w:space="0"/>
              <w:left w:val="single" w:color="000000" w:sz="4" w:space="0"/>
              <w:bottom w:val="single" w:color="000000" w:sz="4" w:space="0"/>
              <w:right w:val="single" w:color="000000" w:sz="4" w:space="0"/>
            </w:tcBorders>
            <w:noWrap/>
            <w:vAlign w:val="center"/>
          </w:tcPr>
          <w:p w14:paraId="61E9DCA8">
            <w:pPr>
              <w:jc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8</w:t>
            </w:r>
          </w:p>
        </w:tc>
        <w:tc>
          <w:tcPr>
            <w:tcW w:w="5043" w:type="dxa"/>
            <w:tcBorders>
              <w:top w:val="single" w:color="000000" w:sz="4" w:space="0"/>
              <w:left w:val="single" w:color="000000" w:sz="4" w:space="0"/>
              <w:bottom w:val="single" w:color="000000" w:sz="4" w:space="0"/>
              <w:right w:val="single" w:color="000000" w:sz="4" w:space="0"/>
            </w:tcBorders>
            <w:vAlign w:val="center"/>
          </w:tcPr>
          <w:p w14:paraId="7607228C">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您对木工维修项目质量进行评价</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29D119E4">
            <w:pPr>
              <w:jc w:val="center"/>
              <w:rPr>
                <w:rFonts w:hint="eastAsia" w:ascii="宋体" w:hAnsi="宋体" w:eastAsia="宋体" w:cs="宋体"/>
                <w:b/>
                <w:bCs/>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14:paraId="25E74DC2">
            <w:pPr>
              <w:jc w:val="center"/>
              <w:rPr>
                <w:rFonts w:hint="eastAsia" w:ascii="宋体" w:hAnsi="宋体" w:eastAsia="宋体" w:cs="宋体"/>
                <w:b/>
                <w:bCs/>
                <w:color w:val="auto"/>
                <w:sz w:val="21"/>
                <w:szCs w:val="21"/>
              </w:rPr>
            </w:pPr>
          </w:p>
        </w:tc>
        <w:tc>
          <w:tcPr>
            <w:tcW w:w="979" w:type="dxa"/>
            <w:tcBorders>
              <w:top w:val="single" w:color="000000" w:sz="4" w:space="0"/>
              <w:left w:val="single" w:color="000000" w:sz="4" w:space="0"/>
              <w:bottom w:val="single" w:color="000000" w:sz="4" w:space="0"/>
              <w:right w:val="single" w:color="000000" w:sz="4" w:space="0"/>
            </w:tcBorders>
            <w:noWrap/>
            <w:vAlign w:val="center"/>
          </w:tcPr>
          <w:p w14:paraId="2D07E77F">
            <w:pPr>
              <w:rPr>
                <w:rFonts w:hint="eastAsia" w:ascii="宋体" w:hAnsi="宋体" w:eastAsia="宋体" w:cs="宋体"/>
                <w:b/>
                <w:bCs/>
                <w:color w:val="auto"/>
                <w:sz w:val="21"/>
                <w:szCs w:val="21"/>
              </w:rPr>
            </w:pPr>
          </w:p>
        </w:tc>
      </w:tr>
      <w:tr w14:paraId="6A79D9B7">
        <w:tblPrEx>
          <w:tblCellMar>
            <w:top w:w="0" w:type="dxa"/>
            <w:left w:w="108" w:type="dxa"/>
            <w:bottom w:w="0" w:type="dxa"/>
            <w:right w:w="108" w:type="dxa"/>
          </w:tblCellMar>
        </w:tblPrEx>
        <w:trPr>
          <w:trHeight w:val="1463" w:hRule="atLeast"/>
        </w:trPr>
        <w:tc>
          <w:tcPr>
            <w:tcW w:w="9216" w:type="dxa"/>
            <w:gridSpan w:val="5"/>
            <w:tcBorders>
              <w:top w:val="single" w:color="000000" w:sz="4" w:space="0"/>
              <w:left w:val="single" w:color="000000" w:sz="4" w:space="0"/>
              <w:bottom w:val="single" w:color="000000" w:sz="4" w:space="0"/>
              <w:right w:val="single" w:color="000000" w:sz="4" w:space="0"/>
            </w:tcBorders>
            <w:noWrap/>
            <w:vAlign w:val="top"/>
          </w:tcPr>
          <w:p w14:paraId="3A328489">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其他问题：</w:t>
            </w:r>
          </w:p>
        </w:tc>
      </w:tr>
      <w:tr w14:paraId="304C89A8">
        <w:tblPrEx>
          <w:tblCellMar>
            <w:top w:w="0" w:type="dxa"/>
            <w:left w:w="108" w:type="dxa"/>
            <w:bottom w:w="0" w:type="dxa"/>
            <w:right w:w="108" w:type="dxa"/>
          </w:tblCellMar>
        </w:tblPrEx>
        <w:trPr>
          <w:trHeight w:val="1483" w:hRule="atLeast"/>
        </w:trPr>
        <w:tc>
          <w:tcPr>
            <w:tcW w:w="9216" w:type="dxa"/>
            <w:gridSpan w:val="5"/>
            <w:tcBorders>
              <w:top w:val="single" w:color="000000" w:sz="4" w:space="0"/>
              <w:left w:val="single" w:color="000000" w:sz="4" w:space="0"/>
              <w:bottom w:val="single" w:color="000000" w:sz="4" w:space="0"/>
              <w:right w:val="single" w:color="000000" w:sz="4" w:space="0"/>
            </w:tcBorders>
            <w:noWrap/>
            <w:vAlign w:val="top"/>
          </w:tcPr>
          <w:p w14:paraId="3D9B6386">
            <w:pPr>
              <w:jc w:val="left"/>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对后勤工作的意见或建议：</w:t>
            </w:r>
          </w:p>
        </w:tc>
      </w:tr>
    </w:tbl>
    <w:p w14:paraId="5EAFD18C">
      <w:pPr>
        <w:rPr>
          <w:rFonts w:hint="eastAsia" w:ascii="宋体" w:hAnsi="宋体" w:eastAsia="宋体" w:cs="宋体"/>
          <w:color w:val="auto"/>
          <w:sz w:val="21"/>
          <w:szCs w:val="21"/>
        </w:rPr>
      </w:pPr>
    </w:p>
    <w:p w14:paraId="69DDDB97">
      <w:pPr>
        <w:rPr>
          <w:rFonts w:asciiTheme="minorEastAsia" w:hAnsiTheme="minorEastAsia" w:eastAsiaTheme="minorEastAsia" w:cstheme="minorEastAsia"/>
          <w:color w:val="auto"/>
          <w:highlight w:val="none"/>
        </w:rPr>
      </w:pPr>
    </w:p>
    <w:p w14:paraId="7F4540C1">
      <w:pPr>
        <w:rPr>
          <w:rFonts w:asciiTheme="minorEastAsia" w:hAnsiTheme="minorEastAsia" w:eastAsiaTheme="minorEastAsia" w:cstheme="minorEastAsia"/>
          <w:color w:val="auto"/>
          <w:highlight w:val="none"/>
        </w:rPr>
      </w:pPr>
    </w:p>
    <w:p w14:paraId="17685B28">
      <w:pPr>
        <w:pStyle w:val="3"/>
        <w:spacing w:before="120" w:after="120" w:line="360" w:lineRule="auto"/>
        <w:jc w:val="center"/>
        <w:rPr>
          <w:rFonts w:asciiTheme="minorEastAsia" w:hAnsiTheme="minorEastAsia" w:eastAsiaTheme="minorEastAsia" w:cstheme="minorEastAsia"/>
          <w:color w:val="auto"/>
          <w:kern w:val="0"/>
          <w:sz w:val="52"/>
          <w:szCs w:val="52"/>
          <w:highlight w:val="none"/>
        </w:rPr>
      </w:pPr>
      <w:r>
        <w:rPr>
          <w:rFonts w:hint="eastAsia" w:asciiTheme="minorEastAsia" w:hAnsiTheme="minorEastAsia" w:eastAsiaTheme="minorEastAsia" w:cstheme="minorEastAsia"/>
          <w:color w:val="auto"/>
          <w:kern w:val="0"/>
          <w:sz w:val="36"/>
          <w:szCs w:val="36"/>
          <w:highlight w:val="none"/>
        </w:rPr>
        <w:br w:type="page"/>
      </w:r>
      <w:bookmarkStart w:id="113" w:name="_Toc16172922"/>
      <w:bookmarkStart w:id="114" w:name="_Toc22617"/>
      <w:r>
        <w:rPr>
          <w:rFonts w:hint="eastAsia" w:asciiTheme="minorEastAsia" w:hAnsiTheme="minorEastAsia" w:eastAsiaTheme="minorEastAsia" w:cstheme="minorEastAsia"/>
          <w:color w:val="auto"/>
          <w:kern w:val="0"/>
          <w:sz w:val="40"/>
          <w:szCs w:val="40"/>
          <w:highlight w:val="none"/>
        </w:rPr>
        <w:t>第五章 响应文件格式</w:t>
      </w:r>
      <w:bookmarkEnd w:id="92"/>
      <w:bookmarkEnd w:id="96"/>
      <w:bookmarkEnd w:id="113"/>
      <w:bookmarkEnd w:id="114"/>
    </w:p>
    <w:p w14:paraId="460E0FF7">
      <w:pPr>
        <w:rPr>
          <w:rFonts w:hint="eastAsia" w:asciiTheme="minorEastAsia" w:hAnsiTheme="minorEastAsia" w:eastAsiaTheme="minorEastAsia" w:cstheme="minorEastAsia"/>
          <w:b/>
          <w:color w:val="auto"/>
          <w:sz w:val="36"/>
          <w:szCs w:val="36"/>
          <w:highlight w:val="none"/>
          <w:lang w:eastAsia="zh-CN"/>
        </w:rPr>
      </w:pPr>
      <w:r>
        <w:rPr>
          <w:rFonts w:hint="eastAsia" w:asciiTheme="minorEastAsia" w:hAnsiTheme="minorEastAsia" w:eastAsiaTheme="minorEastAsia" w:cstheme="minorEastAsia"/>
          <w:color w:val="auto"/>
          <w:kern w:val="0"/>
          <w:sz w:val="24"/>
          <w:highlight w:val="none"/>
        </w:rPr>
        <w:t xml:space="preserve">      </w:t>
      </w:r>
    </w:p>
    <w:p w14:paraId="2D4F31AD">
      <w:pPr>
        <w:spacing w:line="420" w:lineRule="exact"/>
        <w:jc w:val="center"/>
        <w:rPr>
          <w:rFonts w:hint="eastAsia" w:asciiTheme="minorEastAsia" w:hAnsiTheme="minorEastAsia" w:eastAsiaTheme="minorEastAsia" w:cstheme="minorEastAsia"/>
          <w:b/>
          <w:color w:val="auto"/>
          <w:sz w:val="36"/>
          <w:szCs w:val="36"/>
          <w:highlight w:val="none"/>
          <w:lang w:eastAsia="zh-CN"/>
        </w:rPr>
      </w:pPr>
      <w:r>
        <w:rPr>
          <w:rFonts w:hint="eastAsia" w:asciiTheme="minorEastAsia" w:hAnsiTheme="minorEastAsia" w:eastAsiaTheme="minorEastAsia" w:cstheme="minorEastAsia"/>
          <w:b/>
          <w:color w:val="auto"/>
          <w:sz w:val="36"/>
          <w:szCs w:val="36"/>
          <w:highlight w:val="none"/>
          <w:lang w:eastAsia="zh-CN"/>
        </w:rPr>
        <w:t>平顶山市第一人民医院优越路院区维修下送服务外包项目</w:t>
      </w:r>
    </w:p>
    <w:p w14:paraId="1F0008BD">
      <w:pPr>
        <w:autoSpaceDE w:val="0"/>
        <w:autoSpaceDN w:val="0"/>
        <w:adjustRightInd w:val="0"/>
        <w:rPr>
          <w:rFonts w:asciiTheme="minorEastAsia" w:hAnsiTheme="minorEastAsia" w:eastAsiaTheme="minorEastAsia" w:cstheme="minorEastAsia"/>
          <w:color w:val="auto"/>
          <w:kern w:val="0"/>
          <w:sz w:val="44"/>
          <w:szCs w:val="44"/>
          <w:highlight w:val="none"/>
        </w:rPr>
      </w:pPr>
    </w:p>
    <w:p w14:paraId="3742B78E">
      <w:pPr>
        <w:autoSpaceDE w:val="0"/>
        <w:autoSpaceDN w:val="0"/>
        <w:adjustRightInd w:val="0"/>
        <w:rPr>
          <w:rFonts w:asciiTheme="minorEastAsia" w:hAnsiTheme="minorEastAsia" w:eastAsiaTheme="minorEastAsia" w:cstheme="minorEastAsia"/>
          <w:color w:val="auto"/>
          <w:kern w:val="0"/>
          <w:sz w:val="44"/>
          <w:szCs w:val="44"/>
          <w:highlight w:val="none"/>
        </w:rPr>
      </w:pPr>
    </w:p>
    <w:p w14:paraId="0516E216">
      <w:pPr>
        <w:jc w:val="center"/>
        <w:rPr>
          <w:rFonts w:asciiTheme="minorEastAsia" w:hAnsiTheme="minorEastAsia" w:eastAsiaTheme="minorEastAsia" w:cstheme="minorEastAsia"/>
          <w:b/>
          <w:color w:val="auto"/>
          <w:kern w:val="0"/>
          <w:sz w:val="52"/>
          <w:szCs w:val="52"/>
          <w:highlight w:val="none"/>
        </w:rPr>
      </w:pPr>
      <w:r>
        <w:rPr>
          <w:rFonts w:hint="eastAsia" w:asciiTheme="minorEastAsia" w:hAnsiTheme="minorEastAsia" w:eastAsiaTheme="minorEastAsia" w:cstheme="minorEastAsia"/>
          <w:b/>
          <w:color w:val="auto"/>
          <w:kern w:val="0"/>
          <w:sz w:val="52"/>
          <w:szCs w:val="52"/>
          <w:highlight w:val="none"/>
        </w:rPr>
        <w:t>响 应 文 件</w:t>
      </w:r>
    </w:p>
    <w:p w14:paraId="7B51BEB1">
      <w:pPr>
        <w:spacing w:line="420" w:lineRule="exact"/>
        <w:jc w:val="center"/>
        <w:rPr>
          <w:rFonts w:asciiTheme="minorEastAsia" w:hAnsiTheme="minorEastAsia" w:eastAsiaTheme="minorEastAsia" w:cstheme="minorEastAsia"/>
          <w:b/>
          <w:bCs/>
          <w:color w:val="auto"/>
          <w:kern w:val="0"/>
          <w:sz w:val="24"/>
          <w:highlight w:val="none"/>
        </w:rPr>
      </w:pPr>
    </w:p>
    <w:p w14:paraId="6958AE28">
      <w:pPr>
        <w:autoSpaceDE w:val="0"/>
        <w:autoSpaceDN w:val="0"/>
        <w:adjustRightInd w:val="0"/>
        <w:jc w:val="center"/>
        <w:rPr>
          <w:rFonts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bCs/>
          <w:color w:val="auto"/>
          <w:kern w:val="0"/>
          <w:sz w:val="24"/>
          <w:highlight w:val="none"/>
        </w:rPr>
        <w:t xml:space="preserve">项目编号： </w:t>
      </w:r>
    </w:p>
    <w:p w14:paraId="431A3B23">
      <w:pPr>
        <w:spacing w:line="42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shd w:val="clear" w:color="auto" w:fill="FFFFFF"/>
        </w:rPr>
        <w:t xml:space="preserve"> </w:t>
      </w:r>
    </w:p>
    <w:p w14:paraId="3AF06C42">
      <w:pPr>
        <w:pStyle w:val="13"/>
        <w:ind w:left="0" w:leftChars="0" w:firstLine="0" w:firstLineChars="0"/>
        <w:rPr>
          <w:rFonts w:hint="eastAsia" w:asciiTheme="minorEastAsia" w:hAnsiTheme="minorEastAsia" w:eastAsiaTheme="minorEastAsia" w:cstheme="minorEastAsia"/>
          <w:color w:val="auto"/>
          <w:kern w:val="0"/>
          <w:sz w:val="52"/>
          <w:szCs w:val="52"/>
          <w:highlight w:val="none"/>
          <w:lang w:eastAsia="zh-CN"/>
        </w:rPr>
      </w:pPr>
    </w:p>
    <w:p w14:paraId="72E91332">
      <w:pPr>
        <w:rPr>
          <w:rFonts w:hint="eastAsia"/>
          <w:color w:val="auto"/>
          <w:lang w:eastAsia="zh-CN"/>
        </w:rPr>
      </w:pPr>
    </w:p>
    <w:p w14:paraId="46DED43C">
      <w:pPr>
        <w:rPr>
          <w:rFonts w:hint="eastAsia"/>
          <w:color w:val="auto"/>
          <w:lang w:eastAsia="zh-CN"/>
        </w:rPr>
      </w:pPr>
    </w:p>
    <w:p w14:paraId="44021D3C">
      <w:pPr>
        <w:rPr>
          <w:rFonts w:hint="eastAsia"/>
          <w:color w:val="auto"/>
          <w:lang w:eastAsia="zh-CN"/>
        </w:rPr>
      </w:pPr>
    </w:p>
    <w:p w14:paraId="55AB7C59">
      <w:pPr>
        <w:pStyle w:val="13"/>
        <w:rPr>
          <w:rFonts w:asciiTheme="minorEastAsia" w:hAnsiTheme="minorEastAsia" w:eastAsiaTheme="minorEastAsia" w:cstheme="minorEastAsia"/>
          <w:color w:val="auto"/>
          <w:kern w:val="0"/>
          <w:sz w:val="52"/>
          <w:szCs w:val="52"/>
          <w:highlight w:val="none"/>
        </w:rPr>
      </w:pPr>
    </w:p>
    <w:p w14:paraId="578613DF">
      <w:pPr>
        <w:spacing w:line="360" w:lineRule="auto"/>
        <w:jc w:val="center"/>
        <w:rPr>
          <w:rFonts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竞谈商：</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（电子印章）</w:t>
      </w:r>
    </w:p>
    <w:p w14:paraId="3B9F2A15">
      <w:pPr>
        <w:spacing w:line="360" w:lineRule="auto"/>
        <w:jc w:val="center"/>
        <w:rPr>
          <w:rFonts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（电子签章）</w:t>
      </w:r>
    </w:p>
    <w:p w14:paraId="3C5718DF">
      <w:pPr>
        <w:spacing w:line="360" w:lineRule="auto"/>
        <w:jc w:val="center"/>
        <w:rPr>
          <w:rFonts w:asciiTheme="minorEastAsia" w:hAnsiTheme="minorEastAsia" w:eastAsiaTheme="minorEastAsia" w:cstheme="minorEastAsia"/>
          <w:b/>
          <w:color w:val="auto"/>
          <w:sz w:val="36"/>
          <w:szCs w:val="36"/>
          <w:highlight w:val="none"/>
        </w:rPr>
      </w:pP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日</w:t>
      </w:r>
    </w:p>
    <w:p w14:paraId="0D5AB3DD">
      <w:pPr>
        <w:rPr>
          <w:rFonts w:hint="eastAsia" w:asciiTheme="minorEastAsia" w:hAnsiTheme="minorEastAsia" w:eastAsiaTheme="minorEastAsia" w:cstheme="minorEastAsia"/>
          <w:b/>
          <w:color w:val="auto"/>
          <w:sz w:val="36"/>
          <w:szCs w:val="36"/>
          <w:highlight w:val="none"/>
        </w:rPr>
      </w:pPr>
      <w:r>
        <w:rPr>
          <w:rFonts w:hint="eastAsia" w:asciiTheme="minorEastAsia" w:hAnsiTheme="minorEastAsia" w:eastAsiaTheme="minorEastAsia" w:cstheme="minorEastAsia"/>
          <w:b/>
          <w:color w:val="auto"/>
          <w:sz w:val="36"/>
          <w:szCs w:val="36"/>
          <w:highlight w:val="none"/>
        </w:rPr>
        <w:br w:type="page"/>
      </w:r>
    </w:p>
    <w:p w14:paraId="2512823B">
      <w:pPr>
        <w:jc w:val="center"/>
        <w:rPr>
          <w:rFonts w:asciiTheme="minorEastAsia" w:hAnsiTheme="minorEastAsia" w:eastAsiaTheme="minorEastAsia" w:cstheme="minorEastAsia"/>
          <w:b/>
          <w:color w:val="auto"/>
          <w:sz w:val="36"/>
          <w:szCs w:val="36"/>
          <w:highlight w:val="none"/>
        </w:rPr>
      </w:pPr>
      <w:r>
        <w:rPr>
          <w:rFonts w:hint="eastAsia" w:asciiTheme="minorEastAsia" w:hAnsiTheme="minorEastAsia" w:eastAsiaTheme="minorEastAsia" w:cstheme="minorEastAsia"/>
          <w:b/>
          <w:color w:val="auto"/>
          <w:sz w:val="36"/>
          <w:szCs w:val="36"/>
          <w:highlight w:val="none"/>
        </w:rPr>
        <w:t>目     录</w:t>
      </w:r>
    </w:p>
    <w:p w14:paraId="78E0F37F">
      <w:pPr>
        <w:jc w:val="center"/>
        <w:rPr>
          <w:rFonts w:asciiTheme="minorEastAsia" w:hAnsiTheme="minorEastAsia" w:eastAsiaTheme="minorEastAsia" w:cstheme="minorEastAsia"/>
          <w:b/>
          <w:color w:val="auto"/>
          <w:sz w:val="36"/>
          <w:szCs w:val="36"/>
          <w:highlight w:val="none"/>
        </w:rPr>
      </w:pPr>
    </w:p>
    <w:p w14:paraId="086BA4AC">
      <w:pPr>
        <w:autoSpaceDE w:val="0"/>
        <w:autoSpaceDN w:val="0"/>
        <w:adjustRightInd w:val="0"/>
        <w:spacing w:line="360" w:lineRule="auto"/>
        <w:ind w:firstLine="480"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一、报价函</w:t>
      </w:r>
    </w:p>
    <w:p w14:paraId="5B2A16CE">
      <w:pPr>
        <w:autoSpaceDE w:val="0"/>
        <w:autoSpaceDN w:val="0"/>
        <w:adjustRightInd w:val="0"/>
        <w:spacing w:line="360" w:lineRule="auto"/>
        <w:ind w:firstLine="480"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二、报价函附录</w:t>
      </w:r>
    </w:p>
    <w:p w14:paraId="347254C7">
      <w:pPr>
        <w:autoSpaceDE w:val="0"/>
        <w:autoSpaceDN w:val="0"/>
        <w:adjustRightInd w:val="0"/>
        <w:spacing w:line="360" w:lineRule="auto"/>
        <w:ind w:firstLine="480"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eastAsia="zh-CN"/>
        </w:rPr>
        <w:t>三</w:t>
      </w:r>
      <w:r>
        <w:rPr>
          <w:rFonts w:hint="eastAsia" w:asciiTheme="minorEastAsia" w:hAnsiTheme="minorEastAsia" w:eastAsiaTheme="minorEastAsia" w:cstheme="minorEastAsia"/>
          <w:color w:val="auto"/>
          <w:kern w:val="0"/>
          <w:sz w:val="24"/>
          <w:highlight w:val="none"/>
        </w:rPr>
        <w:t>、法定代表人身份证明</w:t>
      </w:r>
    </w:p>
    <w:p w14:paraId="07C2EB0E">
      <w:pPr>
        <w:autoSpaceDE w:val="0"/>
        <w:autoSpaceDN w:val="0"/>
        <w:adjustRightInd w:val="0"/>
        <w:spacing w:line="360" w:lineRule="auto"/>
        <w:ind w:firstLine="480"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eastAsia="zh-CN"/>
        </w:rPr>
        <w:t>四</w:t>
      </w:r>
      <w:r>
        <w:rPr>
          <w:rFonts w:hint="eastAsia" w:asciiTheme="minorEastAsia" w:hAnsiTheme="minorEastAsia" w:eastAsiaTheme="minorEastAsia" w:cstheme="minorEastAsia"/>
          <w:color w:val="auto"/>
          <w:kern w:val="0"/>
          <w:sz w:val="24"/>
          <w:highlight w:val="none"/>
        </w:rPr>
        <w:t>、授权委托书</w:t>
      </w:r>
    </w:p>
    <w:p w14:paraId="6B581EED">
      <w:pPr>
        <w:autoSpaceDE w:val="0"/>
        <w:autoSpaceDN w:val="0"/>
        <w:adjustRightInd w:val="0"/>
        <w:spacing w:line="360" w:lineRule="auto"/>
        <w:ind w:firstLine="480" w:firstLineChars="200"/>
        <w:jc w:val="left"/>
        <w:rPr>
          <w:rFonts w:hint="eastAsia" w:asciiTheme="minorEastAsia" w:hAnsiTheme="minorEastAsia" w:eastAsiaTheme="minorEastAsia" w:cstheme="minorEastAsia"/>
          <w:color w:val="auto"/>
          <w:kern w:val="0"/>
          <w:sz w:val="24"/>
          <w:highlight w:val="none"/>
          <w:lang w:eastAsia="zh-CN"/>
        </w:rPr>
      </w:pPr>
      <w:r>
        <w:rPr>
          <w:rFonts w:hint="eastAsia" w:asciiTheme="minorEastAsia" w:hAnsiTheme="minorEastAsia" w:eastAsiaTheme="minorEastAsia" w:cstheme="minorEastAsia"/>
          <w:color w:val="auto"/>
          <w:kern w:val="0"/>
          <w:sz w:val="24"/>
          <w:highlight w:val="none"/>
          <w:lang w:eastAsia="zh-CN"/>
        </w:rPr>
        <w:t>五</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kern w:val="0"/>
          <w:sz w:val="24"/>
          <w:highlight w:val="none"/>
          <w:lang w:eastAsia="zh-CN"/>
        </w:rPr>
        <w:t>针对本项目的服务方案</w:t>
      </w:r>
    </w:p>
    <w:p w14:paraId="43637C91">
      <w:pPr>
        <w:autoSpaceDE w:val="0"/>
        <w:autoSpaceDN w:val="0"/>
        <w:adjustRightInd w:val="0"/>
        <w:spacing w:line="360" w:lineRule="auto"/>
        <w:ind w:firstLine="480"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eastAsia="zh-CN"/>
        </w:rPr>
        <w:t>六</w:t>
      </w:r>
      <w:r>
        <w:rPr>
          <w:rFonts w:hint="eastAsia" w:asciiTheme="minorEastAsia" w:hAnsiTheme="minorEastAsia" w:eastAsiaTheme="minorEastAsia" w:cstheme="minorEastAsia"/>
          <w:color w:val="auto"/>
          <w:kern w:val="0"/>
          <w:sz w:val="24"/>
          <w:highlight w:val="none"/>
        </w:rPr>
        <w:t>、资格审查资料</w:t>
      </w:r>
    </w:p>
    <w:p w14:paraId="7EA36821">
      <w:pPr>
        <w:autoSpaceDE w:val="0"/>
        <w:autoSpaceDN w:val="0"/>
        <w:adjustRightInd w:val="0"/>
        <w:spacing w:line="360" w:lineRule="auto"/>
        <w:ind w:firstLine="480" w:firstLineChars="200"/>
        <w:jc w:val="left"/>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eastAsia="zh-CN"/>
        </w:rPr>
        <w:t>七</w:t>
      </w:r>
      <w:r>
        <w:rPr>
          <w:rFonts w:hint="eastAsia" w:asciiTheme="minorEastAsia" w:hAnsiTheme="minorEastAsia" w:eastAsiaTheme="minorEastAsia" w:cstheme="minorEastAsia"/>
          <w:color w:val="auto"/>
          <w:kern w:val="0"/>
          <w:sz w:val="24"/>
          <w:highlight w:val="none"/>
        </w:rPr>
        <w:t>、谈判文件要求的其它全部资料</w:t>
      </w:r>
    </w:p>
    <w:p w14:paraId="020D1F0B">
      <w:pPr>
        <w:spacing w:line="540" w:lineRule="exact"/>
        <w:ind w:firstLine="482" w:firstLineChars="200"/>
        <w:rPr>
          <w:rFonts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sz w:val="24"/>
          <w:highlight w:val="none"/>
        </w:rPr>
        <w:t>注：响应文件格式供竞谈商参考，投标应最大可能的根据竞争性谈判文件给定的格式填写，竞谈商可根据自身情况，对所提供的样表进行扩展，也可增加资料，但报价函和报价函附录的内容不得删减。</w:t>
      </w:r>
    </w:p>
    <w:p w14:paraId="40CCAC21">
      <w:pPr>
        <w:autoSpaceDE w:val="0"/>
        <w:autoSpaceDN w:val="0"/>
        <w:adjustRightInd w:val="0"/>
        <w:jc w:val="left"/>
        <w:rPr>
          <w:rFonts w:asciiTheme="minorEastAsia" w:hAnsiTheme="minorEastAsia" w:eastAsiaTheme="minorEastAsia" w:cstheme="minorEastAsia"/>
          <w:color w:val="auto"/>
          <w:kern w:val="0"/>
          <w:sz w:val="24"/>
          <w:highlight w:val="none"/>
        </w:rPr>
      </w:pPr>
    </w:p>
    <w:p w14:paraId="2D65D72E">
      <w:pPr>
        <w:autoSpaceDE w:val="0"/>
        <w:autoSpaceDN w:val="0"/>
        <w:adjustRightInd w:val="0"/>
        <w:jc w:val="left"/>
        <w:rPr>
          <w:rFonts w:asciiTheme="minorEastAsia" w:hAnsiTheme="minorEastAsia" w:eastAsiaTheme="minorEastAsia" w:cstheme="minorEastAsia"/>
          <w:color w:val="auto"/>
          <w:kern w:val="0"/>
          <w:sz w:val="24"/>
          <w:highlight w:val="none"/>
        </w:rPr>
      </w:pPr>
    </w:p>
    <w:p w14:paraId="4919C783">
      <w:pPr>
        <w:autoSpaceDE w:val="0"/>
        <w:autoSpaceDN w:val="0"/>
        <w:adjustRightInd w:val="0"/>
        <w:jc w:val="left"/>
        <w:rPr>
          <w:rFonts w:asciiTheme="minorEastAsia" w:hAnsiTheme="minorEastAsia" w:eastAsiaTheme="minorEastAsia" w:cstheme="minorEastAsia"/>
          <w:color w:val="auto"/>
          <w:kern w:val="0"/>
          <w:sz w:val="24"/>
          <w:highlight w:val="none"/>
        </w:rPr>
      </w:pPr>
    </w:p>
    <w:p w14:paraId="34B73837">
      <w:pPr>
        <w:autoSpaceDE w:val="0"/>
        <w:autoSpaceDN w:val="0"/>
        <w:adjustRightInd w:val="0"/>
        <w:jc w:val="left"/>
        <w:rPr>
          <w:rFonts w:asciiTheme="minorEastAsia" w:hAnsiTheme="minorEastAsia" w:eastAsiaTheme="minorEastAsia" w:cstheme="minorEastAsia"/>
          <w:color w:val="auto"/>
          <w:kern w:val="0"/>
          <w:sz w:val="24"/>
          <w:highlight w:val="none"/>
        </w:rPr>
      </w:pPr>
    </w:p>
    <w:p w14:paraId="643660B0">
      <w:pPr>
        <w:autoSpaceDE w:val="0"/>
        <w:autoSpaceDN w:val="0"/>
        <w:adjustRightInd w:val="0"/>
        <w:jc w:val="left"/>
        <w:rPr>
          <w:rFonts w:asciiTheme="minorEastAsia" w:hAnsiTheme="minorEastAsia" w:eastAsiaTheme="minorEastAsia" w:cstheme="minorEastAsia"/>
          <w:color w:val="auto"/>
          <w:kern w:val="0"/>
          <w:sz w:val="24"/>
          <w:highlight w:val="none"/>
        </w:rPr>
      </w:pPr>
    </w:p>
    <w:p w14:paraId="074E2736">
      <w:pPr>
        <w:autoSpaceDE w:val="0"/>
        <w:autoSpaceDN w:val="0"/>
        <w:adjustRightInd w:val="0"/>
        <w:jc w:val="left"/>
        <w:rPr>
          <w:rFonts w:asciiTheme="minorEastAsia" w:hAnsiTheme="minorEastAsia" w:eastAsiaTheme="minorEastAsia" w:cstheme="minorEastAsia"/>
          <w:color w:val="auto"/>
          <w:kern w:val="0"/>
          <w:sz w:val="24"/>
          <w:highlight w:val="none"/>
        </w:rPr>
      </w:pPr>
    </w:p>
    <w:p w14:paraId="2759921F">
      <w:pPr>
        <w:autoSpaceDE w:val="0"/>
        <w:autoSpaceDN w:val="0"/>
        <w:adjustRightInd w:val="0"/>
        <w:jc w:val="left"/>
        <w:rPr>
          <w:rFonts w:asciiTheme="minorEastAsia" w:hAnsiTheme="minorEastAsia" w:eastAsiaTheme="minorEastAsia" w:cstheme="minorEastAsia"/>
          <w:color w:val="auto"/>
          <w:kern w:val="0"/>
          <w:sz w:val="24"/>
          <w:highlight w:val="none"/>
        </w:rPr>
      </w:pPr>
    </w:p>
    <w:p w14:paraId="41DA8B21">
      <w:pPr>
        <w:autoSpaceDE w:val="0"/>
        <w:autoSpaceDN w:val="0"/>
        <w:adjustRightInd w:val="0"/>
        <w:jc w:val="left"/>
        <w:rPr>
          <w:rFonts w:asciiTheme="minorEastAsia" w:hAnsiTheme="minorEastAsia" w:eastAsiaTheme="minorEastAsia" w:cstheme="minorEastAsia"/>
          <w:color w:val="auto"/>
          <w:kern w:val="0"/>
          <w:sz w:val="24"/>
          <w:highlight w:val="none"/>
        </w:rPr>
      </w:pPr>
    </w:p>
    <w:p w14:paraId="65827BD8">
      <w:pPr>
        <w:autoSpaceDE w:val="0"/>
        <w:autoSpaceDN w:val="0"/>
        <w:adjustRightInd w:val="0"/>
        <w:jc w:val="left"/>
        <w:rPr>
          <w:rFonts w:asciiTheme="minorEastAsia" w:hAnsiTheme="minorEastAsia" w:eastAsiaTheme="minorEastAsia" w:cstheme="minorEastAsia"/>
          <w:color w:val="auto"/>
          <w:kern w:val="0"/>
          <w:sz w:val="24"/>
          <w:highlight w:val="none"/>
        </w:rPr>
      </w:pPr>
    </w:p>
    <w:p w14:paraId="40CB7C3B">
      <w:pPr>
        <w:autoSpaceDE w:val="0"/>
        <w:autoSpaceDN w:val="0"/>
        <w:adjustRightInd w:val="0"/>
        <w:jc w:val="left"/>
        <w:rPr>
          <w:rFonts w:asciiTheme="minorEastAsia" w:hAnsiTheme="minorEastAsia" w:eastAsiaTheme="minorEastAsia" w:cstheme="minorEastAsia"/>
          <w:color w:val="auto"/>
          <w:kern w:val="0"/>
          <w:sz w:val="24"/>
          <w:highlight w:val="none"/>
        </w:rPr>
      </w:pPr>
    </w:p>
    <w:p w14:paraId="61FBF6E8">
      <w:pPr>
        <w:autoSpaceDE w:val="0"/>
        <w:autoSpaceDN w:val="0"/>
        <w:adjustRightInd w:val="0"/>
        <w:jc w:val="left"/>
        <w:rPr>
          <w:rFonts w:asciiTheme="minorEastAsia" w:hAnsiTheme="minorEastAsia" w:eastAsiaTheme="minorEastAsia" w:cstheme="minorEastAsia"/>
          <w:color w:val="auto"/>
          <w:kern w:val="0"/>
          <w:sz w:val="24"/>
          <w:highlight w:val="none"/>
        </w:rPr>
      </w:pPr>
    </w:p>
    <w:p w14:paraId="0BD15E8C">
      <w:pPr>
        <w:jc w:val="center"/>
        <w:outlineLvl w:val="1"/>
        <w:rPr>
          <w:rFonts w:asciiTheme="minorEastAsia" w:hAnsiTheme="minorEastAsia" w:eastAsiaTheme="minorEastAsia" w:cstheme="minorEastAsia"/>
          <w:b/>
          <w:bCs/>
          <w:color w:val="auto"/>
          <w:sz w:val="36"/>
          <w:highlight w:val="none"/>
        </w:rPr>
      </w:pPr>
      <w:bookmarkStart w:id="115" w:name="_Toc335435274"/>
      <w:r>
        <w:rPr>
          <w:rFonts w:hint="eastAsia" w:asciiTheme="minorEastAsia" w:hAnsiTheme="minorEastAsia" w:eastAsiaTheme="minorEastAsia" w:cstheme="minorEastAsia"/>
          <w:b/>
          <w:bCs/>
          <w:color w:val="auto"/>
          <w:sz w:val="36"/>
          <w:highlight w:val="none"/>
        </w:rPr>
        <w:t>一、报价函</w:t>
      </w:r>
    </w:p>
    <w:p w14:paraId="4D25DB4B">
      <w:pPr>
        <w:spacing w:line="360" w:lineRule="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 xml:space="preserve">   平顶山市第一人民医院    </w:t>
      </w:r>
    </w:p>
    <w:p w14:paraId="2EA2366F">
      <w:pPr>
        <w:numPr>
          <w:ilvl w:val="0"/>
          <w:numId w:val="3"/>
        </w:num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我方已仔细研究了</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（项目名称）竞争性谈判文件的全部内容，我方愿意以大写</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，小写</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lang w:val="en-US" w:eastAsia="zh-CN"/>
        </w:rPr>
        <w:t>元</w:t>
      </w:r>
      <w:r>
        <w:rPr>
          <w:rFonts w:hint="eastAsia" w:asciiTheme="minorEastAsia" w:hAnsiTheme="minorEastAsia" w:eastAsiaTheme="minorEastAsia" w:cstheme="minorEastAsia"/>
          <w:color w:val="auto"/>
          <w:sz w:val="24"/>
          <w:highlight w:val="none"/>
        </w:rPr>
        <w:t>的谈判报价，作为第一轮报价参加谈判，最终以谈判小组与我方代表确定的成交价，实施和完成本项目的全部内容。</w:t>
      </w:r>
    </w:p>
    <w:p w14:paraId="34D8AEB9">
      <w:p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2．我方承诺在谈判有效期内不修改、撤销响应文件。</w:t>
      </w:r>
    </w:p>
    <w:p w14:paraId="3653B5C6">
      <w:p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3．如我方中标：</w:t>
      </w:r>
    </w:p>
    <w:p w14:paraId="4B97441E">
      <w:p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(l)我方承诺在收到中标通知书后，在中标通知书规定的期限内与你方签订合同。</w:t>
      </w:r>
    </w:p>
    <w:p w14:paraId="255BDD43">
      <w:p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(2)随同本报价函递交的报价函附录属于合同文件的组成部分。</w:t>
      </w:r>
    </w:p>
    <w:p w14:paraId="3A1BBF64">
      <w:p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(3)我方承诺所提交的响应文件在竞争性谈判文件的竞谈商须知规定的谈判有效期内有效并在此期间接受约束。</w:t>
      </w:r>
    </w:p>
    <w:p w14:paraId="523FE506">
      <w:p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(4)我方承诺在合同约定的期限内完成并移交本项目。</w:t>
      </w:r>
    </w:p>
    <w:p w14:paraId="5AE928AA">
      <w:p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4．我方在此声明，所递交的响应文件及有关资料内容完整、真实和准确。</w:t>
      </w:r>
    </w:p>
    <w:p w14:paraId="1BC33D4A">
      <w:pPr>
        <w:spacing w:line="360" w:lineRule="auto"/>
        <w:ind w:firstLine="645"/>
        <w:rPr>
          <w:rFonts w:hint="eastAsia" w:ascii="宋体" w:hAnsi="宋体"/>
          <w:color w:val="auto"/>
          <w:sz w:val="24"/>
          <w:highlight w:val="none"/>
        </w:rPr>
      </w:pPr>
    </w:p>
    <w:p w14:paraId="72F4FC29">
      <w:pPr>
        <w:spacing w:line="360" w:lineRule="auto"/>
        <w:ind w:firstLine="645"/>
        <w:rPr>
          <w:rFonts w:hint="eastAsia" w:ascii="宋体" w:hAnsi="宋体"/>
          <w:color w:val="auto"/>
          <w:sz w:val="24"/>
          <w:highlight w:val="none"/>
        </w:rPr>
      </w:pPr>
    </w:p>
    <w:p w14:paraId="69CCF4D4">
      <w:pPr>
        <w:spacing w:line="360" w:lineRule="auto"/>
        <w:ind w:firstLine="645"/>
        <w:rPr>
          <w:rFonts w:hint="eastAsia" w:ascii="宋体" w:hAnsi="宋体"/>
          <w:color w:val="auto"/>
          <w:sz w:val="24"/>
          <w:highlight w:val="none"/>
        </w:rPr>
      </w:pPr>
    </w:p>
    <w:p w14:paraId="04BD8884">
      <w:pPr>
        <w:spacing w:line="360" w:lineRule="auto"/>
        <w:ind w:firstLine="645"/>
        <w:rPr>
          <w:rFonts w:hint="eastAsia" w:ascii="宋体" w:hAnsi="宋体"/>
          <w:color w:val="auto"/>
          <w:sz w:val="24"/>
          <w:highlight w:val="none"/>
        </w:rPr>
      </w:pPr>
    </w:p>
    <w:p w14:paraId="2F0F9ECB">
      <w:pPr>
        <w:spacing w:line="360" w:lineRule="auto"/>
        <w:ind w:firstLine="645"/>
        <w:rPr>
          <w:rFonts w:hint="eastAsia" w:ascii="宋体" w:hAnsi="宋体"/>
          <w:color w:val="auto"/>
          <w:sz w:val="24"/>
          <w:highlight w:val="non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 </w:t>
      </w:r>
    </w:p>
    <w:p w14:paraId="4E2868A5">
      <w:pPr>
        <w:spacing w:line="360" w:lineRule="auto"/>
        <w:ind w:firstLine="420" w:firstLineChars="200"/>
        <w:rPr>
          <w:rFonts w:asciiTheme="minorEastAsia" w:hAnsiTheme="minorEastAsia" w:eastAsiaTheme="minorEastAsia" w:cstheme="minorEastAsia"/>
          <w:color w:val="auto"/>
          <w:szCs w:val="21"/>
          <w:highlight w:val="none"/>
        </w:rPr>
      </w:pPr>
    </w:p>
    <w:p w14:paraId="7B729C60">
      <w:pPr>
        <w:spacing w:line="360" w:lineRule="auto"/>
        <w:ind w:firstLine="420" w:firstLineChars="200"/>
        <w:rPr>
          <w:rFonts w:asciiTheme="minorEastAsia" w:hAnsiTheme="minorEastAsia" w:eastAsiaTheme="minorEastAsia" w:cstheme="minorEastAsia"/>
          <w:color w:val="auto"/>
          <w:szCs w:val="21"/>
          <w:highlight w:val="none"/>
        </w:rPr>
      </w:pPr>
    </w:p>
    <w:p w14:paraId="42EE8DA7">
      <w:pPr>
        <w:spacing w:line="480" w:lineRule="auto"/>
        <w:ind w:right="277" w:rightChars="132" w:firstLine="1680" w:firstLineChars="700"/>
        <w:rPr>
          <w:rFonts w:asciiTheme="minorEastAsia" w:hAnsiTheme="minorEastAsia" w:eastAsiaTheme="minorEastAsia" w:cstheme="minorEastAsia"/>
          <w:color w:val="auto"/>
          <w:sz w:val="24"/>
          <w:highlight w:val="none"/>
        </w:rPr>
      </w:pPr>
    </w:p>
    <w:p w14:paraId="6C7DA8AC">
      <w:pPr>
        <w:pStyle w:val="13"/>
        <w:rPr>
          <w:color w:val="auto"/>
        </w:rPr>
      </w:pPr>
    </w:p>
    <w:bookmarkEnd w:id="115"/>
    <w:p w14:paraId="4E86023D">
      <w:pPr>
        <w:jc w:val="center"/>
        <w:outlineLvl w:val="1"/>
        <w:rPr>
          <w:rFonts w:asciiTheme="minorEastAsia" w:hAnsiTheme="minorEastAsia" w:eastAsiaTheme="minorEastAsia" w:cstheme="minorEastAsia"/>
          <w:b/>
          <w:bCs/>
          <w:color w:val="auto"/>
          <w:sz w:val="36"/>
          <w:highlight w:val="none"/>
        </w:rPr>
      </w:pPr>
      <w:bookmarkStart w:id="116" w:name="_Hlk16172184"/>
      <w:bookmarkStart w:id="117" w:name="_Hlk16172154"/>
      <w:r>
        <w:rPr>
          <w:rFonts w:hint="eastAsia" w:asciiTheme="minorEastAsia" w:hAnsiTheme="minorEastAsia" w:eastAsiaTheme="minorEastAsia" w:cstheme="minorEastAsia"/>
          <w:b/>
          <w:bCs/>
          <w:color w:val="auto"/>
          <w:sz w:val="36"/>
          <w:highlight w:val="none"/>
        </w:rPr>
        <w:t>二、报价函附录</w:t>
      </w:r>
    </w:p>
    <w:bookmarkEnd w:id="116"/>
    <w:tbl>
      <w:tblPr>
        <w:tblStyle w:val="25"/>
        <w:tblW w:w="902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2547"/>
        <w:gridCol w:w="6473"/>
      </w:tblGrid>
      <w:tr w14:paraId="501AE1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76" w:hRule="atLeast"/>
          <w:jc w:val="center"/>
        </w:trPr>
        <w:tc>
          <w:tcPr>
            <w:tcW w:w="2547" w:type="dxa"/>
            <w:vAlign w:val="center"/>
          </w:tcPr>
          <w:p w14:paraId="0643B691">
            <w:pPr>
              <w:jc w:val="center"/>
              <w:rPr>
                <w:rFonts w:asciiTheme="minorEastAsia" w:hAnsiTheme="minorEastAsia" w:eastAsiaTheme="minorEastAsia" w:cstheme="minorEastAsia"/>
                <w:color w:val="auto"/>
                <w:szCs w:val="21"/>
                <w:highlight w:val="none"/>
              </w:rPr>
            </w:pPr>
            <w:bookmarkStart w:id="118" w:name="_Hlk16172189"/>
            <w:r>
              <w:rPr>
                <w:rFonts w:hint="eastAsia" w:asciiTheme="minorEastAsia" w:hAnsiTheme="minorEastAsia" w:eastAsiaTheme="minorEastAsia" w:cstheme="minorEastAsia"/>
                <w:color w:val="auto"/>
                <w:szCs w:val="21"/>
                <w:highlight w:val="none"/>
              </w:rPr>
              <w:t>竞谈商名称</w:t>
            </w:r>
          </w:p>
        </w:tc>
        <w:tc>
          <w:tcPr>
            <w:tcW w:w="6473" w:type="dxa"/>
            <w:vAlign w:val="center"/>
          </w:tcPr>
          <w:p w14:paraId="4B04BAEE">
            <w:pPr>
              <w:jc w:val="center"/>
              <w:rPr>
                <w:rFonts w:asciiTheme="minorEastAsia" w:hAnsiTheme="minorEastAsia" w:eastAsiaTheme="minorEastAsia" w:cstheme="minorEastAsia"/>
                <w:color w:val="auto"/>
                <w:szCs w:val="21"/>
                <w:highlight w:val="none"/>
              </w:rPr>
            </w:pPr>
          </w:p>
        </w:tc>
      </w:tr>
      <w:tr w14:paraId="33685C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2547" w:type="dxa"/>
            <w:vAlign w:val="center"/>
          </w:tcPr>
          <w:p w14:paraId="153BA9A8">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项目名称</w:t>
            </w:r>
          </w:p>
        </w:tc>
        <w:tc>
          <w:tcPr>
            <w:tcW w:w="6473" w:type="dxa"/>
            <w:vAlign w:val="center"/>
          </w:tcPr>
          <w:p w14:paraId="55B93FF8">
            <w:pPr>
              <w:jc w:val="center"/>
              <w:rPr>
                <w:rFonts w:asciiTheme="minorEastAsia" w:hAnsiTheme="minorEastAsia" w:eastAsiaTheme="minorEastAsia" w:cstheme="minorEastAsia"/>
                <w:color w:val="auto"/>
                <w:szCs w:val="21"/>
                <w:highlight w:val="none"/>
              </w:rPr>
            </w:pPr>
          </w:p>
        </w:tc>
      </w:tr>
      <w:tr w14:paraId="3A5A40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547" w:hRule="atLeast"/>
          <w:jc w:val="center"/>
        </w:trPr>
        <w:tc>
          <w:tcPr>
            <w:tcW w:w="2547" w:type="dxa"/>
            <w:vAlign w:val="center"/>
          </w:tcPr>
          <w:p w14:paraId="5254F861">
            <w:pPr>
              <w:jc w:val="center"/>
              <w:rPr>
                <w:rFonts w:hint="eastAsia" w:eastAsia="宋体" w:asciiTheme="minorEastAsia" w:hAnsiTheme="minorEastAsia" w:cstheme="minorEastAsia"/>
                <w:color w:val="auto"/>
                <w:szCs w:val="21"/>
                <w:highlight w:val="none"/>
                <w:lang w:eastAsia="zh-CN"/>
              </w:rPr>
            </w:pPr>
            <w:r>
              <w:rPr>
                <w:rFonts w:hint="eastAsia" w:ascii="宋体" w:hAnsi="宋体" w:cs="宋体"/>
                <w:color w:val="auto"/>
                <w:szCs w:val="21"/>
                <w:highlight w:val="none"/>
              </w:rPr>
              <w:t>谈判报价</w:t>
            </w:r>
          </w:p>
        </w:tc>
        <w:tc>
          <w:tcPr>
            <w:tcW w:w="6473" w:type="dxa"/>
            <w:vAlign w:val="center"/>
          </w:tcPr>
          <w:p w14:paraId="64F58A66">
            <w:pPr>
              <w:ind w:left="1260" w:leftChars="600" w:firstLine="0" w:firstLineChars="0"/>
              <w:jc w:val="both"/>
              <w:rPr>
                <w:rFonts w:ascii="宋体" w:hAnsi="宋体" w:cs="宋体"/>
                <w:color w:val="auto"/>
                <w:szCs w:val="21"/>
                <w:highlight w:val="none"/>
              </w:rPr>
            </w:pPr>
            <w:r>
              <w:rPr>
                <w:rFonts w:hint="eastAsia" w:ascii="宋体" w:hAnsi="宋体" w:cs="宋体"/>
                <w:color w:val="auto"/>
                <w:szCs w:val="21"/>
                <w:highlight w:val="none"/>
              </w:rPr>
              <w:t>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79A95CA">
            <w:pPr>
              <w:ind w:left="1260" w:leftChars="600" w:firstLine="0" w:firstLineChars="0"/>
              <w:jc w:val="both"/>
              <w:rPr>
                <w:rFonts w:hint="eastAsia" w:eastAsia="宋体" w:asciiTheme="minorEastAsia" w:hAnsiTheme="minorEastAsia" w:cstheme="minorEastAsia"/>
                <w:color w:val="auto"/>
                <w:szCs w:val="21"/>
                <w:highlight w:val="none"/>
                <w:lang w:eastAsia="zh-CN"/>
              </w:rPr>
            </w:pPr>
            <w:r>
              <w:rPr>
                <w:rFonts w:hint="eastAsia" w:ascii="宋体" w:hAnsi="宋体" w:cs="宋体"/>
                <w:color w:val="auto"/>
                <w:szCs w:val="21"/>
                <w:highlight w:val="none"/>
              </w:rPr>
              <w:t>小写：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lang w:eastAsia="zh-CN"/>
              </w:rPr>
              <w:t>；</w:t>
            </w:r>
          </w:p>
        </w:tc>
      </w:tr>
      <w:tr w14:paraId="3531C7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2547" w:type="dxa"/>
            <w:vAlign w:val="center"/>
          </w:tcPr>
          <w:p w14:paraId="75BA9CFE">
            <w:pPr>
              <w:jc w:val="center"/>
              <w:rPr>
                <w:rFonts w:hint="eastAsia" w:asciiTheme="minorEastAsia" w:hAnsiTheme="minorEastAsia" w:eastAsiaTheme="minorEastAsia" w:cstheme="minorEastAsia"/>
                <w:color w:val="auto"/>
                <w:szCs w:val="21"/>
                <w:highlight w:val="none"/>
                <w:lang w:eastAsia="zh-CN"/>
              </w:rPr>
            </w:pPr>
            <w:r>
              <w:rPr>
                <w:rFonts w:hint="eastAsia" w:ascii="宋体" w:hAnsi="宋体" w:cs="宋体" w:eastAsiaTheme="minorEastAsia"/>
                <w:color w:val="auto"/>
                <w:szCs w:val="21"/>
                <w:highlight w:val="none"/>
                <w:lang w:eastAsia="zh-CN"/>
              </w:rPr>
              <w:t>服务期限</w:t>
            </w:r>
          </w:p>
        </w:tc>
        <w:tc>
          <w:tcPr>
            <w:tcW w:w="6473" w:type="dxa"/>
            <w:vAlign w:val="center"/>
          </w:tcPr>
          <w:p w14:paraId="49FBB657">
            <w:pPr>
              <w:jc w:val="center"/>
              <w:rPr>
                <w:rFonts w:asciiTheme="minorEastAsia" w:hAnsiTheme="minorEastAsia" w:eastAsiaTheme="minorEastAsia" w:cstheme="minorEastAsia"/>
                <w:color w:val="auto"/>
                <w:szCs w:val="21"/>
                <w:highlight w:val="none"/>
              </w:rPr>
            </w:pPr>
          </w:p>
        </w:tc>
      </w:tr>
      <w:tr w14:paraId="7594A7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2547" w:type="dxa"/>
            <w:vAlign w:val="center"/>
          </w:tcPr>
          <w:p w14:paraId="0333D351">
            <w:pPr>
              <w:jc w:val="center"/>
              <w:rPr>
                <w:rFonts w:hint="eastAsia" w:eastAsia="宋体" w:asciiTheme="minorEastAsia" w:hAnsiTheme="minorEastAsia" w:cstheme="minorEastAsia"/>
                <w:color w:val="auto"/>
                <w:szCs w:val="21"/>
                <w:highlight w:val="none"/>
                <w:lang w:eastAsia="zh-CN"/>
              </w:rPr>
            </w:pPr>
            <w:r>
              <w:rPr>
                <w:rFonts w:hint="eastAsia" w:ascii="宋体" w:hAnsi="宋体" w:cs="宋体"/>
                <w:color w:val="auto"/>
                <w:szCs w:val="21"/>
                <w:highlight w:val="none"/>
              </w:rPr>
              <w:t>质量</w:t>
            </w:r>
            <w:r>
              <w:rPr>
                <w:rFonts w:hint="eastAsia" w:ascii="宋体" w:hAnsi="宋体" w:cs="宋体"/>
                <w:color w:val="auto"/>
                <w:szCs w:val="21"/>
                <w:highlight w:val="none"/>
                <w:lang w:eastAsia="zh-CN"/>
              </w:rPr>
              <w:t>要求</w:t>
            </w:r>
          </w:p>
        </w:tc>
        <w:tc>
          <w:tcPr>
            <w:tcW w:w="6473" w:type="dxa"/>
            <w:vAlign w:val="center"/>
          </w:tcPr>
          <w:p w14:paraId="1E30B723">
            <w:pPr>
              <w:jc w:val="center"/>
              <w:rPr>
                <w:rFonts w:asciiTheme="minorEastAsia" w:hAnsiTheme="minorEastAsia" w:eastAsiaTheme="minorEastAsia" w:cstheme="minorEastAsia"/>
                <w:color w:val="auto"/>
                <w:szCs w:val="21"/>
                <w:highlight w:val="none"/>
              </w:rPr>
            </w:pPr>
          </w:p>
        </w:tc>
      </w:tr>
      <w:tr w14:paraId="7F9A85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2547" w:type="dxa"/>
            <w:vAlign w:val="center"/>
          </w:tcPr>
          <w:p w14:paraId="20C79E9A">
            <w:pPr>
              <w:jc w:val="center"/>
              <w:rPr>
                <w:rFonts w:asciiTheme="minorEastAsia" w:hAnsiTheme="minorEastAsia" w:eastAsiaTheme="minorEastAsia" w:cstheme="minorEastAsia"/>
                <w:color w:val="auto"/>
                <w:szCs w:val="21"/>
                <w:highlight w:val="none"/>
              </w:rPr>
            </w:pPr>
            <w:r>
              <w:rPr>
                <w:rFonts w:hint="eastAsia" w:ascii="宋体" w:hAnsi="宋体"/>
                <w:color w:val="auto"/>
                <w:szCs w:val="21"/>
                <w:highlight w:val="none"/>
              </w:rPr>
              <w:t>谈判有效期</w:t>
            </w:r>
          </w:p>
        </w:tc>
        <w:tc>
          <w:tcPr>
            <w:tcW w:w="6473" w:type="dxa"/>
            <w:vAlign w:val="center"/>
          </w:tcPr>
          <w:p w14:paraId="4C0A8DEA">
            <w:pPr>
              <w:jc w:val="center"/>
              <w:rPr>
                <w:rFonts w:asciiTheme="minorEastAsia" w:hAnsiTheme="minorEastAsia" w:eastAsiaTheme="minorEastAsia" w:cstheme="minorEastAsia"/>
                <w:color w:val="auto"/>
                <w:szCs w:val="21"/>
                <w:highlight w:val="none"/>
              </w:rPr>
            </w:pPr>
          </w:p>
        </w:tc>
      </w:tr>
      <w:tr w14:paraId="051E51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2" w:hRule="atLeast"/>
          <w:jc w:val="center"/>
        </w:trPr>
        <w:tc>
          <w:tcPr>
            <w:tcW w:w="2547" w:type="dxa"/>
            <w:vAlign w:val="center"/>
          </w:tcPr>
          <w:p w14:paraId="0EFCF145">
            <w:pPr>
              <w:jc w:val="center"/>
              <w:rPr>
                <w:rFonts w:asciiTheme="minorEastAsia" w:hAnsiTheme="minorEastAsia" w:eastAsiaTheme="minorEastAsia" w:cstheme="minorEastAsia"/>
                <w:color w:val="auto"/>
                <w:szCs w:val="21"/>
                <w:highlight w:val="none"/>
              </w:rPr>
            </w:pPr>
            <w:r>
              <w:rPr>
                <w:rFonts w:hint="eastAsia" w:ascii="宋体" w:hAnsi="宋体"/>
                <w:color w:val="auto"/>
                <w:szCs w:val="21"/>
                <w:highlight w:val="none"/>
              </w:rPr>
              <w:t>其它说明</w:t>
            </w:r>
          </w:p>
        </w:tc>
        <w:tc>
          <w:tcPr>
            <w:tcW w:w="6473" w:type="dxa"/>
            <w:vAlign w:val="center"/>
          </w:tcPr>
          <w:p w14:paraId="1B1E6795">
            <w:pPr>
              <w:jc w:val="center"/>
              <w:rPr>
                <w:rFonts w:asciiTheme="minorEastAsia" w:hAnsiTheme="minorEastAsia" w:eastAsiaTheme="minorEastAsia" w:cstheme="minorEastAsia"/>
                <w:color w:val="auto"/>
                <w:szCs w:val="21"/>
                <w:highlight w:val="none"/>
              </w:rPr>
            </w:pPr>
          </w:p>
        </w:tc>
      </w:tr>
      <w:bookmarkEnd w:id="118"/>
    </w:tbl>
    <w:p w14:paraId="06CD448C">
      <w:pPr>
        <w:spacing w:line="360" w:lineRule="auto"/>
        <w:rPr>
          <w:rFonts w:asciiTheme="minorEastAsia" w:hAnsiTheme="minorEastAsia" w:eastAsiaTheme="minorEastAsia" w:cstheme="minorEastAsia"/>
          <w:color w:val="auto"/>
          <w:sz w:val="24"/>
          <w:highlight w:val="none"/>
        </w:rPr>
      </w:pPr>
    </w:p>
    <w:p w14:paraId="42391E43">
      <w:pPr>
        <w:spacing w:line="480" w:lineRule="auto"/>
        <w:ind w:right="277" w:rightChars="132" w:firstLine="1680" w:firstLineChars="700"/>
        <w:jc w:val="right"/>
        <w:rPr>
          <w:rFonts w:asciiTheme="minorEastAsia" w:hAnsiTheme="minorEastAsia" w:eastAsiaTheme="minorEastAsia" w:cstheme="minorEastAsia"/>
          <w:color w:val="auto"/>
          <w:sz w:val="24"/>
          <w:highlight w:val="none"/>
        </w:rPr>
      </w:pPr>
      <w:bookmarkStart w:id="119" w:name="_Hlk16172209"/>
      <w:r>
        <w:rPr>
          <w:rFonts w:hint="eastAsia" w:asciiTheme="minorEastAsia" w:hAnsiTheme="minorEastAsia" w:eastAsiaTheme="minorEastAsia" w:cstheme="minorEastAsia"/>
          <w:color w:val="auto"/>
          <w:sz w:val="24"/>
          <w:highlight w:val="none"/>
        </w:rPr>
        <w:t xml:space="preserve">竞谈商：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（电子印章）</w:t>
      </w:r>
    </w:p>
    <w:p w14:paraId="4AA09ADF">
      <w:pPr>
        <w:spacing w:line="480" w:lineRule="auto"/>
        <w:ind w:right="277" w:rightChars="132" w:firstLine="1680" w:firstLineChars="700"/>
        <w:jc w:val="righ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（电子签章）</w:t>
      </w:r>
    </w:p>
    <w:p w14:paraId="5228F85E">
      <w:pPr>
        <w:spacing w:line="44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日  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日 </w:t>
      </w:r>
    </w:p>
    <w:bookmarkEnd w:id="117"/>
    <w:bookmarkEnd w:id="119"/>
    <w:p w14:paraId="66049DCB">
      <w:pPr>
        <w:spacing w:line="360" w:lineRule="auto"/>
        <w:jc w:val="right"/>
        <w:rPr>
          <w:rFonts w:hint="eastAsia" w:asciiTheme="minorEastAsia" w:hAnsiTheme="minorEastAsia" w:eastAsiaTheme="minorEastAsia" w:cstheme="minorEastAsia"/>
          <w:color w:val="auto"/>
          <w:kern w:val="0"/>
          <w:sz w:val="24"/>
          <w:highlight w:val="none"/>
        </w:rPr>
      </w:pPr>
    </w:p>
    <w:p w14:paraId="097E04AB">
      <w:pPr>
        <w:rPr>
          <w:rFonts w:hint="eastAsia"/>
          <w:color w:val="auto"/>
          <w:highlight w:val="none"/>
        </w:rPr>
      </w:pPr>
    </w:p>
    <w:p w14:paraId="7FF21A5D">
      <w:pPr>
        <w:rPr>
          <w:rFonts w:hint="eastAsia"/>
          <w:color w:val="auto"/>
          <w:highlight w:val="none"/>
        </w:rPr>
      </w:pPr>
    </w:p>
    <w:p w14:paraId="798BF144">
      <w:pPr>
        <w:rPr>
          <w:rFonts w:hint="eastAsia" w:asciiTheme="minorEastAsia" w:hAnsiTheme="minorEastAsia" w:eastAsiaTheme="minorEastAsia" w:cstheme="minorEastAsia"/>
          <w:b/>
          <w:bCs/>
          <w:color w:val="auto"/>
          <w:sz w:val="36"/>
          <w:highlight w:val="none"/>
          <w:lang w:eastAsia="zh-CN"/>
        </w:rPr>
      </w:pPr>
      <w:bookmarkStart w:id="120" w:name="_Toc335435275"/>
      <w:bookmarkStart w:id="121" w:name="_Hlk16172399"/>
      <w:bookmarkStart w:id="122" w:name="_Toc281744733"/>
      <w:r>
        <w:rPr>
          <w:rFonts w:hint="eastAsia" w:asciiTheme="minorEastAsia" w:hAnsiTheme="minorEastAsia" w:eastAsiaTheme="minorEastAsia" w:cstheme="minorEastAsia"/>
          <w:b/>
          <w:bCs/>
          <w:color w:val="auto"/>
          <w:sz w:val="36"/>
          <w:highlight w:val="none"/>
          <w:lang w:eastAsia="zh-CN"/>
        </w:rPr>
        <w:br w:type="page"/>
      </w:r>
    </w:p>
    <w:p w14:paraId="7E8B7264">
      <w:pPr>
        <w:jc w:val="center"/>
        <w:outlineLvl w:val="1"/>
        <w:rPr>
          <w:rFonts w:asciiTheme="minorEastAsia" w:hAnsiTheme="minorEastAsia" w:eastAsiaTheme="minorEastAsia" w:cstheme="minorEastAsia"/>
          <w:b/>
          <w:bCs/>
          <w:color w:val="auto"/>
          <w:sz w:val="36"/>
          <w:highlight w:val="none"/>
        </w:rPr>
      </w:pPr>
      <w:r>
        <w:rPr>
          <w:rFonts w:hint="eastAsia" w:asciiTheme="minorEastAsia" w:hAnsiTheme="minorEastAsia" w:eastAsiaTheme="minorEastAsia" w:cstheme="minorEastAsia"/>
          <w:b/>
          <w:bCs/>
          <w:color w:val="auto"/>
          <w:sz w:val="36"/>
          <w:highlight w:val="none"/>
          <w:lang w:eastAsia="zh-CN"/>
        </w:rPr>
        <w:t>三</w:t>
      </w:r>
      <w:r>
        <w:rPr>
          <w:rFonts w:hint="eastAsia" w:asciiTheme="minorEastAsia" w:hAnsiTheme="minorEastAsia" w:eastAsiaTheme="minorEastAsia" w:cstheme="minorEastAsia"/>
          <w:b/>
          <w:bCs/>
          <w:color w:val="auto"/>
          <w:sz w:val="36"/>
          <w:highlight w:val="none"/>
        </w:rPr>
        <w:t>、法定代表人身份证明</w:t>
      </w:r>
      <w:bookmarkEnd w:id="120"/>
    </w:p>
    <w:p w14:paraId="43855B7C">
      <w:pPr>
        <w:spacing w:line="360" w:lineRule="auto"/>
        <w:rPr>
          <w:rFonts w:asciiTheme="minorEastAsia" w:hAnsiTheme="minorEastAsia" w:eastAsiaTheme="minorEastAsia" w:cstheme="minorEastAsia"/>
          <w:b/>
          <w:color w:val="auto"/>
          <w:sz w:val="32"/>
          <w:szCs w:val="32"/>
          <w:highlight w:val="none"/>
        </w:rPr>
      </w:pPr>
    </w:p>
    <w:p w14:paraId="4BC237BE">
      <w:pPr>
        <w:spacing w:line="360" w:lineRule="auto"/>
        <w:ind w:firstLine="720" w:firstLineChars="300"/>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企业名称：</w:t>
      </w:r>
      <w:r>
        <w:rPr>
          <w:rFonts w:hint="eastAsia" w:asciiTheme="minorEastAsia" w:hAnsiTheme="minorEastAsia" w:eastAsiaTheme="minorEastAsia" w:cstheme="minorEastAsia"/>
          <w:color w:val="auto"/>
          <w:sz w:val="24"/>
          <w:highlight w:val="none"/>
          <w:u w:val="single"/>
        </w:rPr>
        <w:t xml:space="preserve">                                           </w:t>
      </w:r>
    </w:p>
    <w:p w14:paraId="1261A83D">
      <w:pPr>
        <w:spacing w:line="360" w:lineRule="auto"/>
        <w:ind w:firstLine="720" w:firstLineChars="300"/>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 xml:space="preserve">                                           </w:t>
      </w:r>
    </w:p>
    <w:p w14:paraId="44416DC4">
      <w:pPr>
        <w:spacing w:line="360" w:lineRule="auto"/>
        <w:ind w:firstLine="720" w:firstLineChars="300"/>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姓    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性别：</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 职务：</w:t>
      </w:r>
      <w:r>
        <w:rPr>
          <w:rFonts w:hint="eastAsia" w:asciiTheme="minorEastAsia" w:hAnsiTheme="minorEastAsia" w:eastAsiaTheme="minorEastAsia" w:cstheme="minorEastAsia"/>
          <w:color w:val="auto"/>
          <w:sz w:val="24"/>
          <w:highlight w:val="none"/>
          <w:u w:val="single"/>
        </w:rPr>
        <w:t xml:space="preserve">         </w:t>
      </w:r>
    </w:p>
    <w:p w14:paraId="2DA89E28">
      <w:pPr>
        <w:spacing w:line="360" w:lineRule="auto"/>
        <w:ind w:left="242" w:leftChars="-342" w:hanging="960" w:hangingChars="4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系</w:t>
      </w:r>
      <w:r>
        <w:rPr>
          <w:rFonts w:hint="eastAsia" w:asciiTheme="minorEastAsia" w:hAnsiTheme="minorEastAsia" w:eastAsiaTheme="minorEastAsia" w:cstheme="minorEastAsia"/>
          <w:color w:val="auto"/>
          <w:sz w:val="24"/>
          <w:highlight w:val="none"/>
          <w:u w:val="single"/>
        </w:rPr>
        <w:t xml:space="preserve">     （竞谈商名称）     </w:t>
      </w:r>
      <w:r>
        <w:rPr>
          <w:rFonts w:hint="eastAsia" w:asciiTheme="minorEastAsia" w:hAnsiTheme="minorEastAsia" w:eastAsiaTheme="minorEastAsia" w:cstheme="minorEastAsia"/>
          <w:color w:val="auto"/>
          <w:sz w:val="24"/>
          <w:highlight w:val="none"/>
        </w:rPr>
        <w:t>的法定代表人。能够为</w:t>
      </w:r>
      <w:r>
        <w:rPr>
          <w:rFonts w:hint="eastAsia" w:asciiTheme="minorEastAsia" w:hAnsiTheme="minorEastAsia" w:eastAsiaTheme="minorEastAsia" w:cstheme="minorEastAsia"/>
          <w:color w:val="auto"/>
          <w:sz w:val="24"/>
          <w:highlight w:val="none"/>
          <w:u w:val="single"/>
        </w:rPr>
        <w:t xml:space="preserve"> （项目名称）   </w:t>
      </w:r>
      <w:r>
        <w:rPr>
          <w:rFonts w:hint="eastAsia" w:asciiTheme="minorEastAsia" w:hAnsiTheme="minorEastAsia" w:eastAsiaTheme="minorEastAsia" w:cstheme="minorEastAsia"/>
          <w:color w:val="auto"/>
          <w:sz w:val="24"/>
          <w:highlight w:val="none"/>
        </w:rPr>
        <w:t>签署谈判响应文件，进行合同谈判、签署合同及处理与之有关的一切事务。</w:t>
      </w:r>
    </w:p>
    <w:p w14:paraId="770ED230">
      <w:pPr>
        <w:spacing w:line="360" w:lineRule="auto"/>
        <w:ind w:left="242" w:leftChars="-342" w:hanging="960" w:hangingChars="4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36F43998">
      <w:pPr>
        <w:spacing w:line="360" w:lineRule="auto"/>
        <w:ind w:left="242" w:leftChars="-342" w:hanging="960" w:hangingChars="400"/>
        <w:rPr>
          <w:rFonts w:asciiTheme="minorEastAsia" w:hAnsiTheme="minorEastAsia" w:eastAsiaTheme="minorEastAsia" w:cstheme="minorEastAsia"/>
          <w:color w:val="auto"/>
          <w:sz w:val="24"/>
          <w:highlight w:val="none"/>
        </w:rPr>
      </w:pPr>
    </w:p>
    <w:p w14:paraId="59F8EA4F">
      <w:pPr>
        <w:spacing w:line="360" w:lineRule="auto"/>
        <w:ind w:left="242" w:leftChars="-342" w:hanging="960" w:hangingChars="400"/>
        <w:rPr>
          <w:rFonts w:asciiTheme="minorEastAsia" w:hAnsiTheme="minorEastAsia" w:eastAsiaTheme="minorEastAsia" w:cstheme="minorEastAsia"/>
          <w:color w:val="auto"/>
          <w:sz w:val="24"/>
          <w:highlight w:val="none"/>
        </w:rPr>
      </w:pPr>
    </w:p>
    <w:p w14:paraId="7CF6E813">
      <w:pPr>
        <w:spacing w:line="360" w:lineRule="auto"/>
        <w:ind w:left="239" w:leftChars="99" w:hanging="31" w:hangingChars="13"/>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特此证明。</w:t>
      </w:r>
    </w:p>
    <w:p w14:paraId="0095AFAA">
      <w:pPr>
        <w:spacing w:line="360" w:lineRule="auto"/>
        <w:ind w:left="239" w:leftChars="99" w:hanging="31" w:hangingChars="13"/>
        <w:rPr>
          <w:rFonts w:asciiTheme="minorEastAsia" w:hAnsiTheme="minorEastAsia" w:eastAsiaTheme="minorEastAsia" w:cstheme="minorEastAsia"/>
          <w:color w:val="auto"/>
          <w:sz w:val="24"/>
          <w:highlight w:val="none"/>
        </w:rPr>
      </w:pPr>
    </w:p>
    <w:p w14:paraId="172A7461">
      <w:pPr>
        <w:spacing w:line="440" w:lineRule="exact"/>
        <w:ind w:left="239" w:leftChars="99" w:hanging="31" w:hangingChars="13"/>
        <w:rPr>
          <w:rFonts w:asciiTheme="minorEastAsia" w:hAnsiTheme="minorEastAsia" w:eastAsiaTheme="minorEastAsia" w:cstheme="minorEastAsia"/>
          <w:color w:val="auto"/>
          <w:sz w:val="24"/>
          <w:highlight w:val="none"/>
        </w:rPr>
      </w:pPr>
    </w:p>
    <w:p w14:paraId="7BE6F229">
      <w:pPr>
        <w:spacing w:line="440" w:lineRule="exact"/>
        <w:ind w:left="239" w:leftChars="99" w:hanging="31" w:hangingChars="13"/>
        <w:rPr>
          <w:rFonts w:asciiTheme="minorEastAsia" w:hAnsiTheme="minorEastAsia" w:eastAsiaTheme="minorEastAsia" w:cstheme="minorEastAsia"/>
          <w:color w:val="auto"/>
          <w:sz w:val="24"/>
          <w:highlight w:val="none"/>
        </w:rPr>
      </w:pPr>
    </w:p>
    <w:p w14:paraId="2EC44409">
      <w:pPr>
        <w:spacing w:line="440" w:lineRule="exact"/>
        <w:ind w:left="239" w:leftChars="99" w:hanging="31" w:hangingChars="13"/>
        <w:rPr>
          <w:rFonts w:asciiTheme="minorEastAsia" w:hAnsiTheme="minorEastAsia" w:eastAsiaTheme="minorEastAsia" w:cstheme="minorEastAsia"/>
          <w:color w:val="auto"/>
          <w:sz w:val="24"/>
          <w:highlight w:val="none"/>
        </w:rPr>
      </w:pPr>
    </w:p>
    <w:bookmarkEnd w:id="121"/>
    <w:p w14:paraId="43365948">
      <w:pPr>
        <w:spacing w:line="480" w:lineRule="auto"/>
        <w:ind w:right="277" w:rightChars="132" w:firstLine="1680" w:firstLineChars="700"/>
        <w:jc w:val="righ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竞谈商：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（电子印章）</w:t>
      </w:r>
    </w:p>
    <w:p w14:paraId="6FA7D744">
      <w:pPr>
        <w:spacing w:line="480" w:lineRule="auto"/>
        <w:ind w:right="277" w:rightChars="132" w:firstLine="1680" w:firstLineChars="700"/>
        <w:jc w:val="righ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（电子签章）</w:t>
      </w:r>
    </w:p>
    <w:p w14:paraId="67352408">
      <w:pPr>
        <w:spacing w:line="44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日  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日 </w:t>
      </w:r>
    </w:p>
    <w:p w14:paraId="3215E67D">
      <w:pPr>
        <w:spacing w:line="44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785C9A6D">
      <w:pPr>
        <w:spacing w:line="440" w:lineRule="exact"/>
        <w:jc w:val="center"/>
        <w:rPr>
          <w:rFonts w:asciiTheme="minorEastAsia" w:hAnsiTheme="minorEastAsia" w:eastAsiaTheme="minorEastAsia" w:cstheme="minorEastAsia"/>
          <w:b/>
          <w:color w:val="auto"/>
          <w:sz w:val="24"/>
          <w:highlight w:val="none"/>
        </w:rPr>
      </w:pPr>
    </w:p>
    <w:p w14:paraId="2069E904">
      <w:pPr>
        <w:spacing w:line="440" w:lineRule="exact"/>
        <w:jc w:val="center"/>
        <w:rPr>
          <w:rFonts w:asciiTheme="minorEastAsia" w:hAnsiTheme="minorEastAsia" w:eastAsiaTheme="minorEastAsia" w:cstheme="minorEastAsia"/>
          <w:b/>
          <w:color w:val="auto"/>
          <w:sz w:val="24"/>
          <w:highlight w:val="none"/>
        </w:rPr>
      </w:pPr>
    </w:p>
    <w:bookmarkEnd w:id="122"/>
    <w:p w14:paraId="23548574">
      <w:pPr>
        <w:jc w:val="center"/>
        <w:outlineLvl w:val="1"/>
        <w:rPr>
          <w:rFonts w:asciiTheme="minorEastAsia" w:hAnsiTheme="minorEastAsia" w:eastAsiaTheme="minorEastAsia" w:cstheme="minorEastAsia"/>
          <w:b/>
          <w:bCs/>
          <w:color w:val="auto"/>
          <w:sz w:val="36"/>
          <w:highlight w:val="none"/>
        </w:rPr>
      </w:pPr>
      <w:bookmarkStart w:id="123" w:name="_Toc335435276"/>
      <w:bookmarkStart w:id="124" w:name="_Hlk16172497"/>
      <w:bookmarkStart w:id="125" w:name="_Toc281744736"/>
      <w:bookmarkStart w:id="126" w:name="_Toc335435279"/>
      <w:bookmarkStart w:id="127" w:name="_Hlk16172577"/>
      <w:r>
        <w:rPr>
          <w:rFonts w:hint="eastAsia" w:asciiTheme="minorEastAsia" w:hAnsiTheme="minorEastAsia" w:eastAsiaTheme="minorEastAsia" w:cstheme="minorEastAsia"/>
          <w:b/>
          <w:bCs/>
          <w:color w:val="auto"/>
          <w:sz w:val="36"/>
          <w:highlight w:val="none"/>
          <w:lang w:eastAsia="zh-CN"/>
        </w:rPr>
        <w:t>四</w:t>
      </w:r>
      <w:r>
        <w:rPr>
          <w:rFonts w:hint="eastAsia" w:asciiTheme="minorEastAsia" w:hAnsiTheme="minorEastAsia" w:eastAsiaTheme="minorEastAsia" w:cstheme="minorEastAsia"/>
          <w:b/>
          <w:bCs/>
          <w:color w:val="auto"/>
          <w:sz w:val="36"/>
          <w:highlight w:val="none"/>
        </w:rPr>
        <w:t>、</w:t>
      </w:r>
      <w:bookmarkStart w:id="128" w:name="_Hlk10209807"/>
      <w:r>
        <w:rPr>
          <w:rFonts w:hint="eastAsia" w:asciiTheme="minorEastAsia" w:hAnsiTheme="minorEastAsia" w:eastAsiaTheme="minorEastAsia" w:cstheme="minorEastAsia"/>
          <w:b/>
          <w:bCs/>
          <w:color w:val="auto"/>
          <w:sz w:val="36"/>
          <w:highlight w:val="none"/>
        </w:rPr>
        <w:t>授权委托书</w:t>
      </w:r>
      <w:bookmarkEnd w:id="123"/>
    </w:p>
    <w:p w14:paraId="56F0F363">
      <w:pPr>
        <w:spacing w:line="360" w:lineRule="auto"/>
        <w:ind w:firstLine="480" w:firstLineChars="200"/>
        <w:rPr>
          <w:rFonts w:asciiTheme="minorEastAsia" w:hAnsiTheme="minorEastAsia" w:eastAsiaTheme="minorEastAsia" w:cstheme="minorEastAsia"/>
          <w:color w:val="auto"/>
          <w:sz w:val="24"/>
          <w:highlight w:val="none"/>
        </w:rPr>
      </w:pPr>
    </w:p>
    <w:p w14:paraId="435FA944">
      <w:p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本人</w:t>
      </w:r>
      <w:r>
        <w:rPr>
          <w:rFonts w:hint="eastAsia" w:asciiTheme="minorEastAsia" w:hAnsiTheme="minorEastAsia" w:eastAsiaTheme="minorEastAsia" w:cstheme="minorEastAsia"/>
          <w:color w:val="auto"/>
          <w:sz w:val="24"/>
          <w:highlight w:val="none"/>
          <w:u w:val="single"/>
        </w:rPr>
        <w:t>（姓名）</w:t>
      </w: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（竞谈商名称）</w:t>
      </w:r>
      <w:r>
        <w:rPr>
          <w:rFonts w:hint="eastAsia" w:asciiTheme="minorEastAsia" w:hAnsiTheme="minorEastAsia" w:eastAsiaTheme="minorEastAsia" w:cstheme="minorEastAsia"/>
          <w:color w:val="auto"/>
          <w:sz w:val="24"/>
          <w:highlight w:val="none"/>
        </w:rPr>
        <w:t>的法定代表人，现委托</w:t>
      </w:r>
      <w:r>
        <w:rPr>
          <w:rFonts w:hint="eastAsia" w:asciiTheme="minorEastAsia" w:hAnsiTheme="minorEastAsia" w:eastAsiaTheme="minorEastAsia" w:cstheme="minorEastAsia"/>
          <w:color w:val="auto"/>
          <w:sz w:val="24"/>
          <w:highlight w:val="none"/>
          <w:u w:val="single"/>
        </w:rPr>
        <w:t>（姓名）</w:t>
      </w:r>
      <w:r>
        <w:rPr>
          <w:rFonts w:hint="eastAsia" w:asciiTheme="minorEastAsia" w:hAnsiTheme="minorEastAsia" w:eastAsiaTheme="minorEastAsia" w:cstheme="minorEastAsia"/>
          <w:color w:val="auto"/>
          <w:sz w:val="24"/>
          <w:highlight w:val="none"/>
        </w:rPr>
        <w:t>为我方代理人</w:t>
      </w:r>
      <w:r>
        <w:rPr>
          <w:rFonts w:hint="eastAsia" w:ascii="宋体" w:hAnsi="宋体" w:cs="宋体"/>
          <w:color w:val="auto"/>
          <w:sz w:val="24"/>
          <w:szCs w:val="24"/>
        </w:rPr>
        <w:t>，联系方式</w:t>
      </w:r>
      <w:r>
        <w:rPr>
          <w:rFonts w:hint="eastAsia" w:ascii="宋体" w:hAnsi="宋体" w:cs="宋体"/>
          <w:color w:val="auto"/>
          <w:sz w:val="24"/>
          <w:szCs w:val="24"/>
          <w:u w:val="single"/>
        </w:rPr>
        <w:t xml:space="preserve">             </w:t>
      </w:r>
      <w:r>
        <w:rPr>
          <w:rFonts w:hint="eastAsia" w:asciiTheme="minorEastAsia" w:hAnsiTheme="minorEastAsia" w:eastAsiaTheme="minorEastAsia" w:cstheme="minorEastAsia"/>
          <w:color w:val="auto"/>
          <w:sz w:val="24"/>
          <w:highlight w:val="none"/>
        </w:rPr>
        <w:t>。代理人根据授权，以我方名义签署、澄清、说明、补正、递交、撤回、修改</w:t>
      </w:r>
      <w:r>
        <w:rPr>
          <w:rFonts w:hint="eastAsia" w:asciiTheme="minorEastAsia" w:hAnsiTheme="minorEastAsia" w:eastAsiaTheme="minorEastAsia" w:cstheme="minorEastAsia"/>
          <w:color w:val="auto"/>
          <w:sz w:val="24"/>
          <w:highlight w:val="none"/>
          <w:u w:val="single"/>
        </w:rPr>
        <w:t>（项目名称）</w:t>
      </w:r>
      <w:r>
        <w:rPr>
          <w:rFonts w:hint="eastAsia" w:asciiTheme="minorEastAsia" w:hAnsiTheme="minorEastAsia" w:eastAsiaTheme="minorEastAsia" w:cstheme="minorEastAsia"/>
          <w:color w:val="auto"/>
          <w:sz w:val="24"/>
          <w:highlight w:val="none"/>
        </w:rPr>
        <w:t>响应文件、签订合同和处理有关事宜，其法律后果由我方承担。</w:t>
      </w:r>
    </w:p>
    <w:p w14:paraId="2DA2EF11">
      <w:p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委托期限：</w:t>
      </w:r>
      <w:r>
        <w:rPr>
          <w:rFonts w:hint="eastAsia" w:asciiTheme="minorEastAsia" w:hAnsiTheme="minorEastAsia" w:eastAsiaTheme="minorEastAsia" w:cstheme="minorEastAsia"/>
          <w:color w:val="auto"/>
          <w:sz w:val="24"/>
          <w:highlight w:val="none"/>
          <w:u w:val="single"/>
        </w:rPr>
        <w:t xml:space="preserve">自本授权委托书签署之日起至谈判有效期结束为止 </w:t>
      </w:r>
      <w:r>
        <w:rPr>
          <w:rFonts w:hint="eastAsia" w:asciiTheme="minorEastAsia" w:hAnsiTheme="minorEastAsia" w:eastAsiaTheme="minorEastAsia" w:cstheme="minorEastAsia"/>
          <w:color w:val="auto"/>
          <w:sz w:val="24"/>
          <w:highlight w:val="none"/>
        </w:rPr>
        <w:t>。</w:t>
      </w:r>
    </w:p>
    <w:p w14:paraId="43771E0C">
      <w:p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代理人无转委托权，特此证明。</w:t>
      </w:r>
    </w:p>
    <w:p w14:paraId="1FB3DAFD">
      <w:pPr>
        <w:spacing w:line="440" w:lineRule="exact"/>
        <w:ind w:firstLine="48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附：法定代表人及委托代理人身份证扫描件</w:t>
      </w:r>
    </w:p>
    <w:tbl>
      <w:tblPr>
        <w:tblStyle w:val="25"/>
        <w:tblW w:w="962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10"/>
        <w:gridCol w:w="4810"/>
      </w:tblGrid>
      <w:tr w14:paraId="360623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9" w:hRule="atLeast"/>
        </w:trPr>
        <w:tc>
          <w:tcPr>
            <w:tcW w:w="4810" w:type="dxa"/>
            <w:vAlign w:val="center"/>
          </w:tcPr>
          <w:p w14:paraId="6831E350">
            <w:pPr>
              <w:spacing w:line="440" w:lineRule="exac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法定代表人身份证复印件</w:t>
            </w:r>
          </w:p>
        </w:tc>
        <w:tc>
          <w:tcPr>
            <w:tcW w:w="4810" w:type="dxa"/>
            <w:vAlign w:val="center"/>
          </w:tcPr>
          <w:p w14:paraId="24FE9116">
            <w:pPr>
              <w:spacing w:line="440" w:lineRule="exact"/>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委托代理人身份证复印件</w:t>
            </w:r>
          </w:p>
        </w:tc>
      </w:tr>
    </w:tbl>
    <w:p w14:paraId="217B14EB">
      <w:pPr>
        <w:pStyle w:val="13"/>
        <w:rPr>
          <w:rFonts w:asciiTheme="minorEastAsia" w:hAnsiTheme="minorEastAsia" w:eastAsiaTheme="minorEastAsia" w:cstheme="minorEastAsia"/>
          <w:color w:val="auto"/>
          <w:sz w:val="24"/>
          <w:highlight w:val="none"/>
        </w:rPr>
      </w:pPr>
    </w:p>
    <w:p w14:paraId="6BF1A476">
      <w:pPr>
        <w:rPr>
          <w:rFonts w:asciiTheme="minorEastAsia" w:hAnsiTheme="minorEastAsia" w:eastAsiaTheme="minorEastAsia" w:cstheme="minorEastAsia"/>
          <w:color w:val="auto"/>
          <w:sz w:val="24"/>
          <w:highlight w:val="none"/>
        </w:rPr>
      </w:pPr>
    </w:p>
    <w:p w14:paraId="54D45B83">
      <w:pPr>
        <w:pStyle w:val="13"/>
        <w:rPr>
          <w:rFonts w:asciiTheme="minorEastAsia" w:hAnsiTheme="minorEastAsia" w:eastAsiaTheme="minorEastAsia" w:cstheme="minorEastAsia"/>
          <w:color w:val="auto"/>
          <w:sz w:val="24"/>
          <w:highlight w:val="none"/>
        </w:rPr>
      </w:pPr>
    </w:p>
    <w:p w14:paraId="1F4EC44A">
      <w:pPr>
        <w:rPr>
          <w:color w:val="auto"/>
        </w:rPr>
      </w:pPr>
    </w:p>
    <w:p w14:paraId="5036F1DB">
      <w:pPr>
        <w:spacing w:line="480" w:lineRule="auto"/>
        <w:ind w:right="277" w:rightChars="132" w:firstLine="1680" w:firstLineChars="700"/>
        <w:jc w:val="righ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竞谈商：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（电子印章）</w:t>
      </w:r>
    </w:p>
    <w:p w14:paraId="23B8CC78">
      <w:pPr>
        <w:spacing w:line="480" w:lineRule="auto"/>
        <w:ind w:right="277" w:rightChars="132" w:firstLine="1680" w:firstLineChars="700"/>
        <w:jc w:val="righ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（电子签章）</w:t>
      </w:r>
    </w:p>
    <w:p w14:paraId="58315803">
      <w:pPr>
        <w:spacing w:line="440" w:lineRule="exact"/>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日  期：</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 xml:space="preserve">日 </w:t>
      </w:r>
    </w:p>
    <w:p w14:paraId="20A706F6">
      <w:pPr>
        <w:spacing w:line="440" w:lineRule="exact"/>
        <w:ind w:firstLine="4200" w:firstLineChars="1750"/>
        <w:rPr>
          <w:rFonts w:asciiTheme="minorEastAsia" w:hAnsiTheme="minorEastAsia" w:eastAsiaTheme="minorEastAsia" w:cstheme="minorEastAsia"/>
          <w:color w:val="auto"/>
          <w:sz w:val="24"/>
          <w:highlight w:val="none"/>
        </w:rPr>
      </w:pPr>
    </w:p>
    <w:bookmarkEnd w:id="124"/>
    <w:bookmarkEnd w:id="128"/>
    <w:p w14:paraId="172D020A">
      <w:pPr>
        <w:jc w:val="both"/>
        <w:rPr>
          <w:rFonts w:asciiTheme="minorEastAsia" w:hAnsiTheme="minorEastAsia" w:eastAsiaTheme="minorEastAsia" w:cstheme="minorEastAsia"/>
          <w:b/>
          <w:bCs/>
          <w:color w:val="auto"/>
          <w:sz w:val="36"/>
          <w:highlight w:val="none"/>
        </w:rPr>
      </w:pPr>
    </w:p>
    <w:p w14:paraId="09FD45DD">
      <w:pPr>
        <w:jc w:val="center"/>
        <w:outlineLvl w:val="1"/>
        <w:rPr>
          <w:rFonts w:asciiTheme="minorEastAsia" w:hAnsiTheme="minorEastAsia" w:eastAsiaTheme="minorEastAsia" w:cstheme="minorEastAsia"/>
          <w:b/>
          <w:bCs/>
          <w:color w:val="auto"/>
          <w:sz w:val="36"/>
          <w:highlight w:val="none"/>
        </w:rPr>
      </w:pPr>
      <w:r>
        <w:rPr>
          <w:rFonts w:hint="eastAsia" w:asciiTheme="minorEastAsia" w:hAnsiTheme="minorEastAsia" w:eastAsiaTheme="minorEastAsia" w:cstheme="minorEastAsia"/>
          <w:b/>
          <w:bCs/>
          <w:color w:val="auto"/>
          <w:sz w:val="36"/>
          <w:highlight w:val="none"/>
          <w:lang w:eastAsia="zh-CN"/>
        </w:rPr>
        <w:t>五</w:t>
      </w:r>
      <w:r>
        <w:rPr>
          <w:rFonts w:hint="eastAsia" w:asciiTheme="minorEastAsia" w:hAnsiTheme="minorEastAsia" w:eastAsiaTheme="minorEastAsia" w:cstheme="minorEastAsia"/>
          <w:b/>
          <w:bCs/>
          <w:color w:val="auto"/>
          <w:sz w:val="36"/>
          <w:highlight w:val="none"/>
        </w:rPr>
        <w:t>、</w:t>
      </w:r>
      <w:bookmarkEnd w:id="125"/>
      <w:bookmarkEnd w:id="126"/>
      <w:bookmarkStart w:id="129" w:name="_Hlk10209854"/>
      <w:r>
        <w:rPr>
          <w:rFonts w:hint="eastAsia" w:asciiTheme="minorEastAsia" w:hAnsiTheme="minorEastAsia" w:eastAsiaTheme="minorEastAsia" w:cstheme="minorEastAsia"/>
          <w:b/>
          <w:bCs/>
          <w:color w:val="auto"/>
          <w:sz w:val="36"/>
          <w:highlight w:val="none"/>
        </w:rPr>
        <w:t>针对本项目的</w:t>
      </w:r>
      <w:r>
        <w:rPr>
          <w:rFonts w:hint="eastAsia" w:asciiTheme="minorEastAsia" w:hAnsiTheme="minorEastAsia" w:eastAsiaTheme="minorEastAsia" w:cstheme="minorEastAsia"/>
          <w:b/>
          <w:bCs/>
          <w:color w:val="auto"/>
          <w:sz w:val="36"/>
          <w:lang w:eastAsia="zh-CN"/>
        </w:rPr>
        <w:t>服务方案</w:t>
      </w:r>
    </w:p>
    <w:p w14:paraId="2C0C9BF6">
      <w:pPr>
        <w:pStyle w:val="13"/>
        <w:ind w:left="0" w:leftChars="0" w:firstLine="0" w:firstLineChars="0"/>
        <w:rPr>
          <w:rFonts w:asciiTheme="minorEastAsia" w:hAnsiTheme="minorEastAsia" w:eastAsiaTheme="minorEastAsia" w:cstheme="minorEastAsia"/>
          <w:color w:val="auto"/>
          <w:highlight w:val="none"/>
        </w:rPr>
      </w:pPr>
    </w:p>
    <w:p w14:paraId="3C638448">
      <w:pPr>
        <w:pStyle w:val="13"/>
        <w:ind w:left="0" w:leftChars="0" w:firstLine="0" w:firstLineChars="0"/>
        <w:rPr>
          <w:rFonts w:asciiTheme="minorEastAsia" w:hAnsiTheme="minorEastAsia" w:eastAsiaTheme="minorEastAsia" w:cstheme="minorEastAsia"/>
          <w:color w:val="auto"/>
          <w:highlight w:val="none"/>
        </w:rPr>
      </w:pPr>
    </w:p>
    <w:p w14:paraId="07774EBB">
      <w:pPr>
        <w:pStyle w:val="13"/>
        <w:ind w:left="0" w:leftChars="0" w:firstLine="0" w:firstLineChars="0"/>
        <w:rPr>
          <w:rFonts w:asciiTheme="minorEastAsia" w:hAnsiTheme="minorEastAsia" w:eastAsiaTheme="minorEastAsia" w:cstheme="minorEastAsia"/>
          <w:color w:val="auto"/>
          <w:highlight w:val="none"/>
        </w:rPr>
      </w:pPr>
    </w:p>
    <w:p w14:paraId="594D666C">
      <w:pPr>
        <w:pStyle w:val="13"/>
        <w:ind w:left="0" w:leftChars="0" w:firstLine="0" w:firstLineChars="0"/>
        <w:rPr>
          <w:rFonts w:asciiTheme="minorEastAsia" w:hAnsiTheme="minorEastAsia" w:eastAsiaTheme="minorEastAsia" w:cstheme="minorEastAsia"/>
          <w:color w:val="auto"/>
          <w:highlight w:val="none"/>
        </w:rPr>
      </w:pPr>
    </w:p>
    <w:p w14:paraId="36B9FA72">
      <w:pPr>
        <w:pStyle w:val="13"/>
        <w:ind w:left="0" w:leftChars="0" w:firstLine="0" w:firstLineChars="0"/>
        <w:rPr>
          <w:rFonts w:asciiTheme="minorEastAsia" w:hAnsiTheme="minorEastAsia" w:eastAsiaTheme="minorEastAsia" w:cstheme="minorEastAsia"/>
          <w:color w:val="auto"/>
          <w:highlight w:val="none"/>
        </w:rPr>
      </w:pPr>
    </w:p>
    <w:p w14:paraId="72A63F26">
      <w:pPr>
        <w:pStyle w:val="13"/>
        <w:ind w:left="0" w:leftChars="0" w:firstLine="0" w:firstLineChars="0"/>
        <w:rPr>
          <w:rFonts w:asciiTheme="minorEastAsia" w:hAnsiTheme="minorEastAsia" w:eastAsiaTheme="minorEastAsia" w:cstheme="minorEastAsia"/>
          <w:color w:val="auto"/>
          <w:highlight w:val="none"/>
        </w:rPr>
      </w:pPr>
    </w:p>
    <w:p w14:paraId="36FC50A6">
      <w:pPr>
        <w:pStyle w:val="13"/>
        <w:ind w:left="0" w:leftChars="0" w:firstLine="0" w:firstLineChars="0"/>
        <w:rPr>
          <w:rFonts w:asciiTheme="minorEastAsia" w:hAnsiTheme="minorEastAsia" w:eastAsiaTheme="minorEastAsia" w:cstheme="minorEastAsia"/>
          <w:color w:val="auto"/>
          <w:highlight w:val="none"/>
        </w:rPr>
      </w:pPr>
    </w:p>
    <w:p w14:paraId="69B9B5AF">
      <w:pPr>
        <w:pStyle w:val="13"/>
        <w:ind w:left="0" w:leftChars="0" w:firstLine="0" w:firstLineChars="0"/>
        <w:rPr>
          <w:rFonts w:asciiTheme="minorEastAsia" w:hAnsiTheme="minorEastAsia" w:eastAsiaTheme="minorEastAsia" w:cstheme="minorEastAsia"/>
          <w:color w:val="auto"/>
          <w:highlight w:val="none"/>
        </w:rPr>
      </w:pPr>
    </w:p>
    <w:p w14:paraId="09CFFBF7">
      <w:pPr>
        <w:pStyle w:val="13"/>
        <w:ind w:left="0" w:leftChars="0" w:firstLine="0" w:firstLineChars="0"/>
        <w:rPr>
          <w:rFonts w:asciiTheme="minorEastAsia" w:hAnsiTheme="minorEastAsia" w:eastAsiaTheme="minorEastAsia" w:cstheme="minorEastAsia"/>
          <w:color w:val="auto"/>
          <w:highlight w:val="none"/>
        </w:rPr>
      </w:pPr>
    </w:p>
    <w:p w14:paraId="41C9114B">
      <w:pPr>
        <w:pStyle w:val="13"/>
        <w:ind w:left="0" w:leftChars="0" w:firstLine="0" w:firstLineChars="0"/>
        <w:rPr>
          <w:rFonts w:asciiTheme="minorEastAsia" w:hAnsiTheme="minorEastAsia" w:eastAsiaTheme="minorEastAsia" w:cstheme="minorEastAsia"/>
          <w:color w:val="auto"/>
          <w:highlight w:val="none"/>
        </w:rPr>
      </w:pPr>
    </w:p>
    <w:bookmarkEnd w:id="127"/>
    <w:bookmarkEnd w:id="129"/>
    <w:p w14:paraId="1C7D61F0">
      <w:pPr>
        <w:spacing w:line="360" w:lineRule="auto"/>
        <w:rPr>
          <w:rFonts w:asciiTheme="minorEastAsia" w:hAnsiTheme="minorEastAsia" w:eastAsiaTheme="minorEastAsia" w:cstheme="minorEastAsia"/>
          <w:color w:val="auto"/>
          <w:kern w:val="0"/>
          <w:szCs w:val="21"/>
          <w:highlight w:val="none"/>
        </w:rPr>
      </w:pPr>
    </w:p>
    <w:p w14:paraId="2BB9AAB7">
      <w:pPr>
        <w:spacing w:line="360" w:lineRule="auto"/>
        <w:rPr>
          <w:rFonts w:asciiTheme="minorEastAsia" w:hAnsiTheme="minorEastAsia" w:eastAsiaTheme="minorEastAsia" w:cstheme="minorEastAsia"/>
          <w:color w:val="auto"/>
          <w:kern w:val="0"/>
          <w:szCs w:val="21"/>
          <w:highlight w:val="none"/>
        </w:rPr>
      </w:pPr>
    </w:p>
    <w:p w14:paraId="12A7B758">
      <w:pPr>
        <w:jc w:val="center"/>
        <w:rPr>
          <w:rFonts w:asciiTheme="minorEastAsia" w:hAnsiTheme="minorEastAsia" w:eastAsiaTheme="minorEastAsia" w:cstheme="minorEastAsia"/>
          <w:color w:val="auto"/>
          <w:sz w:val="24"/>
          <w:highlight w:val="none"/>
        </w:rPr>
      </w:pPr>
    </w:p>
    <w:p w14:paraId="09760405">
      <w:pPr>
        <w:rPr>
          <w:rFonts w:asciiTheme="minorEastAsia" w:hAnsiTheme="minorEastAsia" w:eastAsiaTheme="minorEastAsia" w:cstheme="minorEastAsia"/>
          <w:color w:val="auto"/>
          <w:highlight w:val="none"/>
        </w:rPr>
      </w:pPr>
    </w:p>
    <w:p w14:paraId="74451147">
      <w:pPr>
        <w:spacing w:line="360" w:lineRule="auto"/>
        <w:rPr>
          <w:rFonts w:asciiTheme="minorEastAsia" w:hAnsiTheme="minorEastAsia" w:eastAsiaTheme="minorEastAsia" w:cstheme="minorEastAsia"/>
          <w:color w:val="auto"/>
          <w:kern w:val="0"/>
          <w:szCs w:val="21"/>
          <w:highlight w:val="none"/>
        </w:rPr>
      </w:pPr>
    </w:p>
    <w:p w14:paraId="0F098B3D">
      <w:pPr>
        <w:spacing w:line="360" w:lineRule="auto"/>
        <w:rPr>
          <w:rFonts w:asciiTheme="minorEastAsia" w:hAnsiTheme="minorEastAsia" w:eastAsiaTheme="minorEastAsia" w:cstheme="minorEastAsia"/>
          <w:color w:val="auto"/>
          <w:kern w:val="0"/>
          <w:szCs w:val="21"/>
          <w:highlight w:val="none"/>
        </w:rPr>
      </w:pPr>
    </w:p>
    <w:p w14:paraId="5E65D2C9">
      <w:pPr>
        <w:spacing w:line="360" w:lineRule="auto"/>
        <w:rPr>
          <w:rFonts w:asciiTheme="minorEastAsia" w:hAnsiTheme="minorEastAsia" w:eastAsiaTheme="minorEastAsia" w:cstheme="minorEastAsia"/>
          <w:color w:val="auto"/>
          <w:kern w:val="0"/>
          <w:szCs w:val="21"/>
          <w:highlight w:val="none"/>
        </w:rPr>
      </w:pPr>
    </w:p>
    <w:p w14:paraId="0DE99AC7">
      <w:pPr>
        <w:spacing w:line="360" w:lineRule="auto"/>
        <w:rPr>
          <w:rFonts w:asciiTheme="minorEastAsia" w:hAnsiTheme="minorEastAsia" w:eastAsiaTheme="minorEastAsia" w:cstheme="minorEastAsia"/>
          <w:color w:val="auto"/>
          <w:kern w:val="0"/>
          <w:szCs w:val="21"/>
          <w:highlight w:val="none"/>
        </w:rPr>
      </w:pPr>
    </w:p>
    <w:p w14:paraId="4555F710">
      <w:pPr>
        <w:jc w:val="center"/>
        <w:outlineLvl w:val="1"/>
        <w:rPr>
          <w:rFonts w:asciiTheme="minorEastAsia" w:hAnsiTheme="minorEastAsia" w:eastAsiaTheme="minorEastAsia" w:cstheme="minorEastAsia"/>
          <w:b/>
          <w:bCs/>
          <w:color w:val="auto"/>
          <w:sz w:val="36"/>
          <w:highlight w:val="none"/>
        </w:rPr>
      </w:pPr>
      <w:bookmarkStart w:id="130" w:name="_Toc335435280"/>
      <w:bookmarkStart w:id="131" w:name="_Hlk16172665"/>
      <w:r>
        <w:rPr>
          <w:rFonts w:hint="eastAsia" w:asciiTheme="minorEastAsia" w:hAnsiTheme="minorEastAsia" w:eastAsiaTheme="minorEastAsia" w:cstheme="minorEastAsia"/>
          <w:b/>
          <w:bCs/>
          <w:color w:val="auto"/>
          <w:sz w:val="36"/>
          <w:highlight w:val="none"/>
          <w:lang w:eastAsia="zh-CN"/>
        </w:rPr>
        <w:t>六</w:t>
      </w:r>
      <w:r>
        <w:rPr>
          <w:rFonts w:hint="eastAsia" w:asciiTheme="minorEastAsia" w:hAnsiTheme="minorEastAsia" w:eastAsiaTheme="minorEastAsia" w:cstheme="minorEastAsia"/>
          <w:b/>
          <w:bCs/>
          <w:color w:val="auto"/>
          <w:sz w:val="36"/>
          <w:highlight w:val="none"/>
        </w:rPr>
        <w:t>、</w:t>
      </w:r>
      <w:bookmarkEnd w:id="130"/>
      <w:bookmarkStart w:id="132" w:name="_Hlk10209892"/>
      <w:r>
        <w:rPr>
          <w:rFonts w:hint="eastAsia" w:asciiTheme="minorEastAsia" w:hAnsiTheme="minorEastAsia" w:eastAsiaTheme="minorEastAsia" w:cstheme="minorEastAsia"/>
          <w:b/>
          <w:bCs/>
          <w:color w:val="auto"/>
          <w:sz w:val="36"/>
          <w:highlight w:val="none"/>
        </w:rPr>
        <w:t>资格审查资料</w:t>
      </w:r>
      <w:bookmarkEnd w:id="131"/>
      <w:bookmarkEnd w:id="132"/>
    </w:p>
    <w:p w14:paraId="5076F33F">
      <w:pPr>
        <w:spacing w:line="360" w:lineRule="auto"/>
        <w:rPr>
          <w:rFonts w:asciiTheme="minorEastAsia" w:hAnsiTheme="minorEastAsia" w:eastAsiaTheme="minorEastAsia" w:cstheme="minorEastAsia"/>
          <w:color w:val="auto"/>
          <w:kern w:val="0"/>
          <w:szCs w:val="21"/>
          <w:highlight w:val="none"/>
        </w:rPr>
      </w:pPr>
    </w:p>
    <w:p w14:paraId="7199CD9F">
      <w:pPr>
        <w:spacing w:line="360" w:lineRule="auto"/>
        <w:rPr>
          <w:rFonts w:asciiTheme="minorEastAsia" w:hAnsiTheme="minorEastAsia" w:eastAsiaTheme="minorEastAsia" w:cstheme="minorEastAsia"/>
          <w:color w:val="auto"/>
          <w:kern w:val="0"/>
          <w:szCs w:val="21"/>
          <w:highlight w:val="none"/>
        </w:rPr>
      </w:pPr>
    </w:p>
    <w:p w14:paraId="753A83E8">
      <w:pPr>
        <w:spacing w:line="360" w:lineRule="auto"/>
        <w:rPr>
          <w:rFonts w:asciiTheme="minorEastAsia" w:hAnsiTheme="minorEastAsia" w:eastAsiaTheme="minorEastAsia" w:cstheme="minorEastAsia"/>
          <w:color w:val="auto"/>
          <w:kern w:val="0"/>
          <w:szCs w:val="21"/>
          <w:highlight w:val="none"/>
        </w:rPr>
      </w:pPr>
    </w:p>
    <w:p w14:paraId="2B9AFF16">
      <w:pPr>
        <w:spacing w:line="360" w:lineRule="auto"/>
        <w:rPr>
          <w:rFonts w:asciiTheme="minorEastAsia" w:hAnsiTheme="minorEastAsia" w:eastAsiaTheme="minorEastAsia" w:cstheme="minorEastAsia"/>
          <w:color w:val="auto"/>
          <w:kern w:val="0"/>
          <w:szCs w:val="21"/>
          <w:highlight w:val="none"/>
        </w:rPr>
      </w:pPr>
    </w:p>
    <w:p w14:paraId="5EEABCF1">
      <w:pPr>
        <w:spacing w:line="360" w:lineRule="auto"/>
        <w:rPr>
          <w:rFonts w:asciiTheme="minorEastAsia" w:hAnsiTheme="minorEastAsia" w:eastAsiaTheme="minorEastAsia" w:cstheme="minorEastAsia"/>
          <w:color w:val="auto"/>
          <w:kern w:val="0"/>
          <w:szCs w:val="21"/>
          <w:highlight w:val="none"/>
        </w:rPr>
      </w:pPr>
    </w:p>
    <w:p w14:paraId="48D80E05">
      <w:pPr>
        <w:spacing w:line="360" w:lineRule="auto"/>
        <w:rPr>
          <w:rFonts w:asciiTheme="minorEastAsia" w:hAnsiTheme="minorEastAsia" w:eastAsiaTheme="minorEastAsia" w:cstheme="minorEastAsia"/>
          <w:color w:val="auto"/>
          <w:kern w:val="0"/>
          <w:szCs w:val="21"/>
          <w:highlight w:val="none"/>
        </w:rPr>
      </w:pPr>
    </w:p>
    <w:p w14:paraId="5EC1463C">
      <w:pPr>
        <w:spacing w:line="360" w:lineRule="auto"/>
        <w:rPr>
          <w:rFonts w:asciiTheme="minorEastAsia" w:hAnsiTheme="minorEastAsia" w:eastAsiaTheme="minorEastAsia" w:cstheme="minorEastAsia"/>
          <w:color w:val="auto"/>
          <w:kern w:val="0"/>
          <w:szCs w:val="21"/>
          <w:highlight w:val="none"/>
        </w:rPr>
      </w:pPr>
    </w:p>
    <w:p w14:paraId="12D15B99">
      <w:pPr>
        <w:spacing w:line="360" w:lineRule="auto"/>
        <w:rPr>
          <w:rFonts w:asciiTheme="minorEastAsia" w:hAnsiTheme="minorEastAsia" w:eastAsiaTheme="minorEastAsia" w:cstheme="minorEastAsia"/>
          <w:color w:val="auto"/>
          <w:kern w:val="0"/>
          <w:szCs w:val="21"/>
          <w:highlight w:val="none"/>
        </w:rPr>
      </w:pPr>
    </w:p>
    <w:p w14:paraId="1366EB7B">
      <w:pPr>
        <w:rPr>
          <w:rFonts w:asciiTheme="minorEastAsia" w:hAnsiTheme="minorEastAsia" w:eastAsiaTheme="minorEastAsia" w:cstheme="minorEastAsia"/>
          <w:b/>
          <w:bCs/>
          <w:color w:val="auto"/>
          <w:sz w:val="36"/>
          <w:highlight w:val="none"/>
        </w:rPr>
      </w:pPr>
      <w:bookmarkStart w:id="133" w:name="_Toc335435281"/>
    </w:p>
    <w:p w14:paraId="5F7A4D02">
      <w:pPr>
        <w:pStyle w:val="13"/>
        <w:rPr>
          <w:rFonts w:asciiTheme="minorEastAsia" w:hAnsiTheme="minorEastAsia" w:eastAsiaTheme="minorEastAsia" w:cstheme="minorEastAsia"/>
          <w:b/>
          <w:bCs/>
          <w:color w:val="auto"/>
          <w:sz w:val="36"/>
          <w:highlight w:val="none"/>
        </w:rPr>
      </w:pPr>
    </w:p>
    <w:p w14:paraId="491FEB28">
      <w:pPr>
        <w:pStyle w:val="13"/>
        <w:rPr>
          <w:rFonts w:asciiTheme="minorEastAsia" w:hAnsiTheme="minorEastAsia" w:eastAsiaTheme="minorEastAsia" w:cstheme="minorEastAsia"/>
          <w:b/>
          <w:bCs/>
          <w:color w:val="auto"/>
          <w:sz w:val="36"/>
          <w:highlight w:val="none"/>
        </w:rPr>
      </w:pPr>
    </w:p>
    <w:p w14:paraId="22923889">
      <w:pPr>
        <w:pStyle w:val="13"/>
        <w:rPr>
          <w:rFonts w:asciiTheme="minorEastAsia" w:hAnsiTheme="minorEastAsia" w:eastAsiaTheme="minorEastAsia" w:cstheme="minorEastAsia"/>
          <w:b/>
          <w:bCs/>
          <w:color w:val="auto"/>
          <w:sz w:val="36"/>
          <w:highlight w:val="none"/>
        </w:rPr>
      </w:pPr>
    </w:p>
    <w:p w14:paraId="51E316AB">
      <w:pPr>
        <w:pStyle w:val="13"/>
        <w:rPr>
          <w:rFonts w:asciiTheme="minorEastAsia" w:hAnsiTheme="minorEastAsia" w:eastAsiaTheme="minorEastAsia" w:cstheme="minorEastAsia"/>
          <w:b/>
          <w:bCs/>
          <w:color w:val="auto"/>
          <w:sz w:val="36"/>
          <w:highlight w:val="none"/>
        </w:rPr>
      </w:pPr>
    </w:p>
    <w:p w14:paraId="2E5AC51C">
      <w:pPr>
        <w:pStyle w:val="13"/>
        <w:rPr>
          <w:rFonts w:asciiTheme="minorEastAsia" w:hAnsiTheme="minorEastAsia" w:eastAsiaTheme="minorEastAsia" w:cstheme="minorEastAsia"/>
          <w:b/>
          <w:bCs/>
          <w:color w:val="auto"/>
          <w:sz w:val="36"/>
          <w:highlight w:val="none"/>
        </w:rPr>
      </w:pPr>
    </w:p>
    <w:p w14:paraId="096B3860">
      <w:pPr>
        <w:pStyle w:val="13"/>
        <w:rPr>
          <w:rFonts w:asciiTheme="minorEastAsia" w:hAnsiTheme="minorEastAsia" w:eastAsiaTheme="minorEastAsia" w:cstheme="minorEastAsia"/>
          <w:b/>
          <w:bCs/>
          <w:color w:val="auto"/>
          <w:sz w:val="36"/>
          <w:highlight w:val="none"/>
        </w:rPr>
      </w:pPr>
    </w:p>
    <w:p w14:paraId="2B4AB63F">
      <w:pPr>
        <w:pStyle w:val="13"/>
        <w:rPr>
          <w:rFonts w:asciiTheme="minorEastAsia" w:hAnsiTheme="minorEastAsia" w:eastAsiaTheme="minorEastAsia" w:cstheme="minorEastAsia"/>
          <w:b/>
          <w:bCs/>
          <w:color w:val="auto"/>
          <w:sz w:val="36"/>
          <w:highlight w:val="none"/>
        </w:rPr>
      </w:pPr>
    </w:p>
    <w:p w14:paraId="6203EF69">
      <w:pPr>
        <w:pStyle w:val="13"/>
        <w:rPr>
          <w:rFonts w:asciiTheme="minorEastAsia" w:hAnsiTheme="minorEastAsia" w:eastAsiaTheme="minorEastAsia" w:cstheme="minorEastAsia"/>
          <w:b/>
          <w:bCs/>
          <w:color w:val="auto"/>
          <w:sz w:val="36"/>
          <w:highlight w:val="none"/>
        </w:rPr>
      </w:pPr>
    </w:p>
    <w:p w14:paraId="35FE170E">
      <w:pPr>
        <w:pStyle w:val="13"/>
        <w:rPr>
          <w:rFonts w:asciiTheme="minorEastAsia" w:hAnsiTheme="minorEastAsia" w:eastAsiaTheme="minorEastAsia" w:cstheme="minorEastAsia"/>
          <w:b/>
          <w:bCs/>
          <w:color w:val="auto"/>
          <w:sz w:val="36"/>
          <w:highlight w:val="none"/>
        </w:rPr>
      </w:pPr>
    </w:p>
    <w:p w14:paraId="303E9DA5">
      <w:pPr>
        <w:jc w:val="center"/>
        <w:outlineLvl w:val="1"/>
        <w:rPr>
          <w:rFonts w:asciiTheme="minorEastAsia" w:hAnsiTheme="minorEastAsia" w:eastAsiaTheme="minorEastAsia" w:cstheme="minorEastAsia"/>
          <w:b/>
          <w:bCs/>
          <w:color w:val="auto"/>
          <w:sz w:val="36"/>
          <w:highlight w:val="none"/>
        </w:rPr>
      </w:pPr>
      <w:bookmarkStart w:id="134" w:name="_Hlk16172740"/>
      <w:r>
        <w:rPr>
          <w:rFonts w:hint="eastAsia" w:asciiTheme="minorEastAsia" w:hAnsiTheme="minorEastAsia" w:eastAsiaTheme="minorEastAsia" w:cstheme="minorEastAsia"/>
          <w:b/>
          <w:bCs/>
          <w:color w:val="auto"/>
          <w:sz w:val="36"/>
          <w:highlight w:val="none"/>
          <w:lang w:eastAsia="zh-CN"/>
        </w:rPr>
        <w:t>七</w:t>
      </w:r>
      <w:r>
        <w:rPr>
          <w:rFonts w:hint="eastAsia" w:asciiTheme="minorEastAsia" w:hAnsiTheme="minorEastAsia" w:eastAsiaTheme="minorEastAsia" w:cstheme="minorEastAsia"/>
          <w:b/>
          <w:bCs/>
          <w:color w:val="auto"/>
          <w:sz w:val="36"/>
          <w:highlight w:val="none"/>
        </w:rPr>
        <w:t>、</w:t>
      </w:r>
      <w:bookmarkEnd w:id="133"/>
      <w:bookmarkStart w:id="135" w:name="_Hlk10209930"/>
      <w:r>
        <w:rPr>
          <w:rFonts w:hint="eastAsia" w:asciiTheme="minorEastAsia" w:hAnsiTheme="minorEastAsia" w:eastAsiaTheme="minorEastAsia" w:cstheme="minorEastAsia"/>
          <w:b/>
          <w:bCs/>
          <w:color w:val="auto"/>
          <w:sz w:val="36"/>
          <w:highlight w:val="none"/>
        </w:rPr>
        <w:t>谈判文件要求的其它全部资料</w:t>
      </w:r>
      <w:bookmarkEnd w:id="135"/>
    </w:p>
    <w:bookmarkEnd w:id="134"/>
    <w:p w14:paraId="4DF619AC">
      <w:pPr>
        <w:rPr>
          <w:rFonts w:asciiTheme="minorEastAsia" w:hAnsiTheme="minorEastAsia" w:eastAsiaTheme="minorEastAsia" w:cstheme="minorEastAsia"/>
          <w:color w:val="auto"/>
          <w:highlight w:val="none"/>
        </w:rPr>
      </w:pPr>
    </w:p>
    <w:p w14:paraId="35EC5D09">
      <w:pPr>
        <w:rPr>
          <w:rFonts w:asciiTheme="minorEastAsia" w:hAnsiTheme="minorEastAsia" w:eastAsiaTheme="minorEastAsia" w:cstheme="minorEastAsia"/>
          <w:color w:val="auto"/>
          <w:highlight w:val="none"/>
        </w:rPr>
      </w:pPr>
    </w:p>
    <w:p w14:paraId="50621867">
      <w:pPr>
        <w:rPr>
          <w:rFonts w:asciiTheme="minorEastAsia" w:hAnsiTheme="minorEastAsia" w:eastAsiaTheme="minorEastAsia" w:cstheme="minorEastAsia"/>
          <w:color w:val="auto"/>
          <w:highlight w:val="none"/>
        </w:rPr>
      </w:pPr>
    </w:p>
    <w:p w14:paraId="217B90CB">
      <w:pPr>
        <w:rPr>
          <w:rFonts w:asciiTheme="minorEastAsia" w:hAnsiTheme="minorEastAsia" w:eastAsiaTheme="minorEastAsia" w:cstheme="minorEastAsia"/>
          <w:color w:val="auto"/>
          <w:highlight w:val="none"/>
        </w:rPr>
      </w:pPr>
    </w:p>
    <w:p w14:paraId="6C8D1E26">
      <w:pPr>
        <w:rPr>
          <w:rFonts w:asciiTheme="minorEastAsia" w:hAnsiTheme="minorEastAsia" w:eastAsiaTheme="minorEastAsia" w:cstheme="minorEastAsia"/>
          <w:color w:val="auto"/>
          <w:highlight w:val="none"/>
        </w:rPr>
      </w:pPr>
    </w:p>
    <w:p w14:paraId="68D47058">
      <w:pPr>
        <w:rPr>
          <w:rFonts w:asciiTheme="minorEastAsia" w:hAnsiTheme="minorEastAsia" w:eastAsiaTheme="minorEastAsia" w:cstheme="minorEastAsia"/>
          <w:color w:val="auto"/>
          <w:highlight w:val="none"/>
        </w:rPr>
      </w:pPr>
    </w:p>
    <w:p w14:paraId="559CAB68">
      <w:pPr>
        <w:rPr>
          <w:rFonts w:asciiTheme="minorEastAsia" w:hAnsiTheme="minorEastAsia" w:eastAsiaTheme="minorEastAsia" w:cstheme="minorEastAsia"/>
          <w:color w:val="auto"/>
          <w:highlight w:val="none"/>
        </w:rPr>
      </w:pPr>
    </w:p>
    <w:p w14:paraId="43978500">
      <w:pPr>
        <w:rPr>
          <w:rFonts w:asciiTheme="minorEastAsia" w:hAnsiTheme="minorEastAsia" w:eastAsiaTheme="minorEastAsia" w:cstheme="minorEastAsia"/>
          <w:color w:val="auto"/>
          <w:highlight w:val="none"/>
        </w:rPr>
      </w:pPr>
    </w:p>
    <w:p w14:paraId="4B81E273">
      <w:pPr>
        <w:rPr>
          <w:rFonts w:asciiTheme="minorEastAsia" w:hAnsiTheme="minorEastAsia" w:eastAsiaTheme="minorEastAsia" w:cstheme="minorEastAsia"/>
          <w:color w:val="auto"/>
          <w:highlight w:val="none"/>
        </w:rPr>
      </w:pPr>
    </w:p>
    <w:p w14:paraId="44194A96">
      <w:pPr>
        <w:rPr>
          <w:rFonts w:asciiTheme="minorEastAsia" w:hAnsiTheme="minorEastAsia" w:eastAsiaTheme="minorEastAsia" w:cstheme="minorEastAsia"/>
          <w:color w:val="auto"/>
          <w:highlight w:val="none"/>
        </w:rPr>
      </w:pPr>
    </w:p>
    <w:p w14:paraId="3F339DBD">
      <w:pPr>
        <w:rPr>
          <w:rFonts w:asciiTheme="minorEastAsia" w:hAnsiTheme="minorEastAsia" w:eastAsiaTheme="minorEastAsia" w:cstheme="minorEastAsia"/>
          <w:color w:val="auto"/>
          <w:highlight w:val="none"/>
        </w:rPr>
      </w:pPr>
    </w:p>
    <w:p w14:paraId="5162296A">
      <w:pPr>
        <w:rPr>
          <w:rFonts w:asciiTheme="minorEastAsia" w:hAnsiTheme="minorEastAsia" w:eastAsiaTheme="minorEastAsia" w:cstheme="minorEastAsia"/>
          <w:color w:val="auto"/>
          <w:highlight w:val="none"/>
        </w:rPr>
      </w:pPr>
    </w:p>
    <w:p w14:paraId="390EF8CC">
      <w:pPr>
        <w:rPr>
          <w:rFonts w:asciiTheme="minorEastAsia" w:hAnsiTheme="minorEastAsia" w:eastAsiaTheme="minorEastAsia" w:cstheme="minorEastAsia"/>
          <w:color w:val="auto"/>
          <w:highlight w:val="none"/>
        </w:rPr>
      </w:pPr>
    </w:p>
    <w:p w14:paraId="01D4BEE3">
      <w:pPr>
        <w:rPr>
          <w:rFonts w:asciiTheme="minorEastAsia" w:hAnsiTheme="minorEastAsia" w:eastAsiaTheme="minorEastAsia" w:cstheme="minorEastAsia"/>
          <w:color w:val="auto"/>
          <w:highlight w:val="none"/>
        </w:rPr>
      </w:pPr>
    </w:p>
    <w:p w14:paraId="4485FE09">
      <w:pPr>
        <w:rPr>
          <w:rFonts w:asciiTheme="minorEastAsia" w:hAnsiTheme="minorEastAsia" w:eastAsiaTheme="minorEastAsia" w:cstheme="minorEastAsia"/>
          <w:color w:val="auto"/>
          <w:highlight w:val="none"/>
        </w:rPr>
      </w:pPr>
    </w:p>
    <w:p w14:paraId="62A83195">
      <w:pPr>
        <w:rPr>
          <w:rFonts w:asciiTheme="minorEastAsia" w:hAnsiTheme="minorEastAsia" w:eastAsiaTheme="minorEastAsia" w:cstheme="minorEastAsia"/>
          <w:color w:val="auto"/>
          <w:highlight w:val="none"/>
        </w:rPr>
      </w:pPr>
    </w:p>
    <w:p w14:paraId="0EC3E10E">
      <w:pPr>
        <w:rPr>
          <w:rFonts w:asciiTheme="minorEastAsia" w:hAnsiTheme="minorEastAsia" w:eastAsiaTheme="minorEastAsia" w:cstheme="minorEastAsia"/>
          <w:color w:val="auto"/>
          <w:highlight w:val="none"/>
        </w:rPr>
      </w:pPr>
    </w:p>
    <w:p w14:paraId="2F4B165D">
      <w:pPr>
        <w:rPr>
          <w:rFonts w:asciiTheme="minorEastAsia" w:hAnsiTheme="minorEastAsia" w:eastAsiaTheme="minorEastAsia" w:cstheme="minorEastAsia"/>
          <w:color w:val="auto"/>
          <w:highlight w:val="none"/>
        </w:rPr>
      </w:pPr>
    </w:p>
    <w:p w14:paraId="2152455B">
      <w:pPr>
        <w:rPr>
          <w:rFonts w:asciiTheme="minorEastAsia" w:hAnsiTheme="minorEastAsia" w:eastAsiaTheme="minorEastAsia" w:cstheme="minorEastAsia"/>
          <w:color w:val="auto"/>
          <w:highlight w:val="none"/>
        </w:rPr>
      </w:pPr>
    </w:p>
    <w:p w14:paraId="1C3357FD">
      <w:pPr>
        <w:rPr>
          <w:rFonts w:asciiTheme="minorEastAsia" w:hAnsiTheme="minorEastAsia" w:eastAsiaTheme="minorEastAsia" w:cstheme="minorEastAsia"/>
          <w:color w:val="auto"/>
          <w:highlight w:val="none"/>
        </w:rPr>
      </w:pPr>
    </w:p>
    <w:p w14:paraId="07CB329B">
      <w:pPr>
        <w:rPr>
          <w:rFonts w:asciiTheme="minorEastAsia" w:hAnsiTheme="minorEastAsia" w:eastAsiaTheme="minorEastAsia" w:cstheme="minorEastAsia"/>
          <w:color w:val="auto"/>
          <w:highlight w:val="none"/>
        </w:rPr>
      </w:pPr>
    </w:p>
    <w:p w14:paraId="076D6007">
      <w:pPr>
        <w:pStyle w:val="13"/>
        <w:rPr>
          <w:rFonts w:asciiTheme="minorEastAsia" w:hAnsiTheme="minorEastAsia" w:eastAsiaTheme="minorEastAsia" w:cstheme="minorEastAsia"/>
          <w:color w:val="auto"/>
          <w:highlight w:val="none"/>
        </w:rPr>
      </w:pPr>
    </w:p>
    <w:p w14:paraId="73A6C57A">
      <w:pPr>
        <w:pStyle w:val="13"/>
        <w:rPr>
          <w:rFonts w:asciiTheme="minorEastAsia" w:hAnsiTheme="minorEastAsia" w:eastAsiaTheme="minorEastAsia" w:cstheme="minorEastAsia"/>
          <w:color w:val="auto"/>
          <w:highlight w:val="none"/>
        </w:rPr>
      </w:pPr>
    </w:p>
    <w:bookmarkEnd w:id="0"/>
    <w:p w14:paraId="361A0AE3">
      <w:pPr>
        <w:pStyle w:val="13"/>
        <w:ind w:left="0" w:leftChars="0" w:firstLine="0" w:firstLineChars="0"/>
        <w:rPr>
          <w:rFonts w:asciiTheme="minorEastAsia" w:hAnsiTheme="minorEastAsia" w:eastAsiaTheme="minorEastAsia" w:cstheme="minorEastAsia"/>
          <w:color w:val="auto"/>
          <w:highlight w:val="none"/>
        </w:rPr>
      </w:pPr>
    </w:p>
    <w:p w14:paraId="5B84FEDA">
      <w:pPr>
        <w:rPr>
          <w:rFonts w:hint="eastAsia" w:ascii="宋体" w:hAnsi="宋体" w:cs="宋体"/>
          <w:b/>
          <w:bCs/>
          <w:color w:val="auto"/>
          <w:sz w:val="28"/>
          <w:szCs w:val="28"/>
        </w:rPr>
      </w:pPr>
      <w:r>
        <w:rPr>
          <w:rFonts w:hint="eastAsia" w:ascii="宋体" w:hAnsi="宋体" w:cs="宋体"/>
          <w:b/>
          <w:bCs/>
          <w:color w:val="auto"/>
          <w:sz w:val="28"/>
          <w:szCs w:val="28"/>
        </w:rPr>
        <w:br w:type="page"/>
      </w:r>
    </w:p>
    <w:p w14:paraId="35BB0850">
      <w:pPr>
        <w:spacing w:line="276" w:lineRule="auto"/>
        <w:jc w:val="left"/>
        <w:rPr>
          <w:rFonts w:ascii="宋体" w:hAnsi="宋体" w:cs="宋体"/>
          <w:color w:val="auto"/>
          <w:sz w:val="30"/>
          <w:szCs w:val="30"/>
          <w:highlight w:val="none"/>
        </w:rPr>
      </w:pPr>
      <w:r>
        <w:rPr>
          <w:rFonts w:hint="eastAsia" w:ascii="宋体" w:hAnsi="宋体" w:cs="宋体"/>
          <w:color w:val="auto"/>
          <w:sz w:val="30"/>
          <w:szCs w:val="30"/>
          <w:highlight w:val="none"/>
        </w:rPr>
        <w:t>附件1：河南省政府采购合同融资告知函</w:t>
      </w:r>
    </w:p>
    <w:p w14:paraId="64713932">
      <w:pPr>
        <w:spacing w:line="480" w:lineRule="exact"/>
        <w:ind w:firstLine="480" w:firstLineChars="200"/>
        <w:rPr>
          <w:rFonts w:ascii="宋体" w:hAnsi="宋体" w:cs="宋体"/>
          <w:color w:val="auto"/>
          <w:sz w:val="24"/>
          <w:highlight w:val="none"/>
        </w:rPr>
      </w:pPr>
    </w:p>
    <w:p w14:paraId="55EF0594">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各供应商：</w:t>
      </w:r>
    </w:p>
    <w:p w14:paraId="623BA13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欢迎贵公司参与河南省政府采购活动！</w:t>
      </w:r>
    </w:p>
    <w:p w14:paraId="53BFD74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3FEE853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贷款渠道和提供贷款的金融机构，可在河南省政府采购网“河南省政府采购合同融资平台”查询联系。</w:t>
      </w:r>
    </w:p>
    <w:p w14:paraId="59DED591">
      <w:pPr>
        <w:widowControl w:val="0"/>
        <w:spacing w:after="120"/>
        <w:ind w:firstLine="300" w:firstLineChars="100"/>
        <w:rPr>
          <w:rFonts w:ascii="宋体" w:hAnsi="宋体" w:cs="宋体"/>
          <w:color w:val="auto"/>
          <w:kern w:val="0"/>
          <w:sz w:val="30"/>
          <w:szCs w:val="30"/>
          <w:highlight w:val="none"/>
        </w:rPr>
      </w:pPr>
    </w:p>
    <w:p w14:paraId="0C71D5B3">
      <w:pPr>
        <w:widowControl w:val="0"/>
        <w:spacing w:line="360" w:lineRule="auto"/>
        <w:ind w:firstLine="600" w:firstLineChars="200"/>
        <w:outlineLvl w:val="0"/>
        <w:rPr>
          <w:rFonts w:ascii="宋体" w:hAnsi="宋体" w:cs="宋体"/>
          <w:color w:val="auto"/>
          <w:sz w:val="30"/>
          <w:szCs w:val="30"/>
          <w:highlight w:val="none"/>
        </w:rPr>
      </w:pPr>
    </w:p>
    <w:p w14:paraId="3264920F">
      <w:pPr>
        <w:widowControl w:val="0"/>
        <w:ind w:firstLine="420"/>
        <w:rPr>
          <w:rFonts w:ascii="宋体" w:hAnsi="宋体" w:cs="宋体"/>
          <w:color w:val="auto"/>
          <w:sz w:val="30"/>
          <w:szCs w:val="30"/>
          <w:highlight w:val="none"/>
        </w:rPr>
      </w:pPr>
    </w:p>
    <w:p w14:paraId="514DA120">
      <w:pPr>
        <w:spacing w:before="100" w:beforeAutospacing="1" w:after="100" w:afterAutospacing="1"/>
        <w:jc w:val="left"/>
        <w:rPr>
          <w:rFonts w:ascii="宋体" w:hAnsi="宋体" w:cs="宋体"/>
          <w:color w:val="auto"/>
          <w:kern w:val="0"/>
          <w:sz w:val="30"/>
          <w:szCs w:val="30"/>
          <w:highlight w:val="none"/>
        </w:rPr>
      </w:pPr>
    </w:p>
    <w:p w14:paraId="442FFD0F">
      <w:pPr>
        <w:spacing w:before="100" w:beforeAutospacing="1" w:after="100" w:afterAutospacing="1"/>
        <w:jc w:val="left"/>
        <w:rPr>
          <w:rFonts w:ascii="宋体" w:hAnsi="宋体" w:cs="宋体"/>
          <w:color w:val="auto"/>
          <w:kern w:val="0"/>
          <w:sz w:val="30"/>
          <w:szCs w:val="30"/>
          <w:highlight w:val="none"/>
        </w:rPr>
      </w:pPr>
    </w:p>
    <w:p w14:paraId="45CC664B">
      <w:pPr>
        <w:spacing w:before="100" w:beforeAutospacing="1" w:after="100" w:afterAutospacing="1"/>
        <w:jc w:val="left"/>
        <w:rPr>
          <w:rFonts w:ascii="宋体" w:hAnsi="宋体" w:cs="宋体"/>
          <w:color w:val="auto"/>
          <w:kern w:val="0"/>
          <w:sz w:val="30"/>
          <w:szCs w:val="30"/>
          <w:highlight w:val="none"/>
        </w:rPr>
      </w:pPr>
    </w:p>
    <w:p w14:paraId="18DFADC4">
      <w:pPr>
        <w:spacing w:before="100" w:beforeAutospacing="1" w:after="100" w:afterAutospacing="1"/>
        <w:jc w:val="left"/>
        <w:rPr>
          <w:rFonts w:ascii="宋体" w:hAnsi="宋体" w:cs="宋体"/>
          <w:color w:val="auto"/>
          <w:kern w:val="0"/>
          <w:sz w:val="30"/>
          <w:szCs w:val="30"/>
          <w:highlight w:val="none"/>
        </w:rPr>
      </w:pPr>
    </w:p>
    <w:p w14:paraId="41E05B39">
      <w:pPr>
        <w:spacing w:before="100" w:beforeAutospacing="1" w:after="100" w:afterAutospacing="1"/>
        <w:jc w:val="left"/>
        <w:rPr>
          <w:rFonts w:ascii="宋体" w:hAnsi="宋体" w:cs="宋体"/>
          <w:color w:val="auto"/>
          <w:kern w:val="0"/>
          <w:sz w:val="30"/>
          <w:szCs w:val="30"/>
          <w:highlight w:val="none"/>
        </w:rPr>
      </w:pPr>
    </w:p>
    <w:p w14:paraId="6874D036">
      <w:pPr>
        <w:spacing w:line="276" w:lineRule="auto"/>
        <w:jc w:val="left"/>
        <w:rPr>
          <w:rFonts w:ascii="宋体" w:hAnsi="宋体" w:cs="宋体"/>
          <w:color w:val="auto"/>
          <w:sz w:val="30"/>
          <w:szCs w:val="30"/>
          <w:highlight w:val="none"/>
        </w:rPr>
      </w:pPr>
      <w:r>
        <w:rPr>
          <w:rFonts w:hint="eastAsia" w:ascii="宋体" w:hAnsi="宋体" w:cs="宋体"/>
          <w:color w:val="auto"/>
          <w:sz w:val="30"/>
          <w:szCs w:val="30"/>
          <w:highlight w:val="none"/>
        </w:rPr>
        <w:t>附件2：小微企业需提供声明函</w:t>
      </w:r>
    </w:p>
    <w:p w14:paraId="4FAB7F1D">
      <w:pPr>
        <w:spacing w:line="276"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中小企业声明函（工程、服务）</w:t>
      </w:r>
    </w:p>
    <w:p w14:paraId="52103FE2">
      <w:pPr>
        <w:spacing w:line="5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 号）的规定，本公司（联合体）参加</w:t>
      </w:r>
      <w:r>
        <w:rPr>
          <w:rFonts w:hint="eastAsia" w:ascii="宋体" w:hAnsi="宋体" w:cs="宋体"/>
          <w:iCs/>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iCs/>
          <w:color w:val="auto"/>
          <w:sz w:val="24"/>
          <w:highlight w:val="none"/>
          <w:u w:val="single"/>
        </w:rPr>
        <w:t>（项目名称）</w:t>
      </w:r>
      <w:r>
        <w:rPr>
          <w:rFonts w:hint="eastAsia" w:ascii="宋体" w:hAnsi="宋体" w:cs="宋体"/>
          <w:color w:val="auto"/>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FEF2C67">
      <w:pPr>
        <w:spacing w:line="5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 </w:t>
      </w:r>
      <w:r>
        <w:rPr>
          <w:rFonts w:hint="eastAsia" w:ascii="宋体" w:hAnsi="宋体" w:cs="宋体"/>
          <w:iCs/>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iCs/>
          <w:color w:val="auto"/>
          <w:sz w:val="24"/>
          <w:highlight w:val="none"/>
          <w:u w:val="single"/>
        </w:rPr>
        <w:t>（采购文件中明确的所属行业）</w:t>
      </w:r>
      <w:r>
        <w:rPr>
          <w:rFonts w:hint="eastAsia" w:ascii="宋体" w:hAnsi="宋体" w:cs="宋体"/>
          <w:color w:val="auto"/>
          <w:sz w:val="24"/>
          <w:highlight w:val="none"/>
        </w:rPr>
        <w:t>； 承建（承接）企业为</w:t>
      </w:r>
      <w:r>
        <w:rPr>
          <w:rFonts w:hint="eastAsia" w:ascii="宋体" w:hAnsi="宋体" w:cs="宋体"/>
          <w:iCs/>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w:t>
      </w:r>
      <w:r>
        <w:rPr>
          <w:color w:val="auto"/>
          <w:highlight w:val="none"/>
        </w:rPr>
        <w:fldChar w:fldCharType="begin"/>
      </w:r>
      <w:r>
        <w:rPr>
          <w:color w:val="auto"/>
          <w:highlight w:val="none"/>
        </w:rPr>
        <w:instrText xml:space="preserve"> HYPERLINK \l "bookmark1" </w:instrText>
      </w:r>
      <w:r>
        <w:rPr>
          <w:color w:val="auto"/>
          <w:highlight w:val="none"/>
        </w:rPr>
        <w:fldChar w:fldCharType="separate"/>
      </w:r>
      <w:r>
        <w:rPr>
          <w:rFonts w:hint="eastAsia" w:ascii="宋体" w:hAnsi="宋体" w:cs="宋体"/>
          <w:color w:val="auto"/>
          <w:sz w:val="24"/>
          <w:highlight w:val="none"/>
        </w:rPr>
        <w:t>1</w:t>
      </w:r>
      <w:r>
        <w:rPr>
          <w:rFonts w:hint="eastAsia" w:ascii="宋体" w:hAnsi="宋体" w:cs="宋体"/>
          <w:color w:val="auto"/>
          <w:sz w:val="24"/>
          <w:highlight w:val="none"/>
        </w:rPr>
        <w:fldChar w:fldCharType="end"/>
      </w:r>
      <w:r>
        <w:rPr>
          <w:rFonts w:hint="eastAsia" w:ascii="宋体" w:hAnsi="宋体" w:cs="宋体"/>
          <w:color w:val="auto"/>
          <w:sz w:val="24"/>
          <w:highlight w:val="none"/>
        </w:rPr>
        <w:t>，属于</w:t>
      </w:r>
      <w:r>
        <w:rPr>
          <w:rFonts w:hint="eastAsia" w:ascii="宋体" w:hAnsi="宋体" w:cs="宋体"/>
          <w:iCs/>
          <w:color w:val="auto"/>
          <w:sz w:val="24"/>
          <w:highlight w:val="none"/>
          <w:u w:val="single"/>
        </w:rPr>
        <w:t>（中型企业、</w:t>
      </w:r>
      <w:r>
        <w:rPr>
          <w:rFonts w:hint="eastAsia" w:ascii="宋体" w:hAnsi="宋体" w:cs="宋体"/>
          <w:iCs/>
          <w:color w:val="auto"/>
          <w:sz w:val="24"/>
          <w:highlight w:val="none"/>
        </w:rPr>
        <w:t xml:space="preserve"> </w:t>
      </w:r>
      <w:r>
        <w:rPr>
          <w:rFonts w:hint="eastAsia" w:ascii="宋体" w:hAnsi="宋体" w:cs="宋体"/>
          <w:iCs/>
          <w:color w:val="auto"/>
          <w:sz w:val="24"/>
          <w:highlight w:val="none"/>
          <w:u w:val="single"/>
        </w:rPr>
        <w:t>小型企业、微型企业）</w:t>
      </w:r>
      <w:r>
        <w:rPr>
          <w:rFonts w:hint="eastAsia" w:ascii="宋体" w:hAnsi="宋体" w:cs="宋体"/>
          <w:color w:val="auto"/>
          <w:sz w:val="24"/>
          <w:highlight w:val="none"/>
        </w:rPr>
        <w:t>；</w:t>
      </w:r>
    </w:p>
    <w:p w14:paraId="564A8F93">
      <w:pPr>
        <w:spacing w:line="5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 </w:t>
      </w:r>
      <w:r>
        <w:rPr>
          <w:rFonts w:hint="eastAsia" w:ascii="宋体" w:hAnsi="宋体" w:cs="宋体"/>
          <w:iCs/>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iCs/>
          <w:color w:val="auto"/>
          <w:sz w:val="24"/>
          <w:highlight w:val="none"/>
          <w:u w:val="single"/>
        </w:rPr>
        <w:t>（采购文件中明确的所属行业）</w:t>
      </w:r>
      <w:r>
        <w:rPr>
          <w:rFonts w:hint="eastAsia" w:ascii="宋体" w:hAnsi="宋体" w:cs="宋体"/>
          <w:color w:val="auto"/>
          <w:sz w:val="24"/>
          <w:highlight w:val="none"/>
        </w:rPr>
        <w:t>； 承建（承接）企业为</w:t>
      </w:r>
      <w:r>
        <w:rPr>
          <w:rFonts w:hint="eastAsia" w:ascii="宋体" w:hAnsi="宋体" w:cs="宋体"/>
          <w:iCs/>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iCs/>
          <w:color w:val="auto"/>
          <w:sz w:val="24"/>
          <w:highlight w:val="none"/>
          <w:u w:val="single"/>
        </w:rPr>
        <w:t>（中型企业、 小型企业、微型企业）</w:t>
      </w:r>
      <w:r>
        <w:rPr>
          <w:rFonts w:hint="eastAsia" w:ascii="宋体" w:hAnsi="宋体" w:cs="宋体"/>
          <w:color w:val="auto"/>
          <w:sz w:val="24"/>
          <w:highlight w:val="none"/>
        </w:rPr>
        <w:t>；</w:t>
      </w:r>
    </w:p>
    <w:p w14:paraId="12D63EDB">
      <w:pPr>
        <w:spacing w:line="5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6DF450BE">
      <w:pPr>
        <w:spacing w:line="5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1E6818D7">
      <w:pPr>
        <w:spacing w:line="5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1C134B8A">
      <w:pPr>
        <w:spacing w:line="580" w:lineRule="exact"/>
        <w:ind w:firstLine="3360" w:firstLineChars="1400"/>
        <w:rPr>
          <w:rFonts w:ascii="宋体" w:hAnsi="宋体" w:cs="宋体"/>
          <w:color w:val="auto"/>
          <w:sz w:val="24"/>
          <w:highlight w:val="none"/>
        </w:rPr>
      </w:pPr>
      <w:r>
        <w:rPr>
          <w:rFonts w:hint="eastAsia" w:ascii="宋体" w:hAnsi="宋体" w:cs="宋体"/>
          <w:color w:val="auto"/>
          <w:sz w:val="24"/>
          <w:highlight w:val="none"/>
        </w:rPr>
        <w:t xml:space="preserve">企业名称（盖章）： </w:t>
      </w:r>
    </w:p>
    <w:p w14:paraId="0A5E46E8">
      <w:pPr>
        <w:spacing w:line="580" w:lineRule="exact"/>
        <w:ind w:firstLine="3360" w:firstLineChars="1400"/>
        <w:rPr>
          <w:rFonts w:ascii="宋体" w:hAnsi="宋体" w:cs="宋体"/>
          <w:color w:val="auto"/>
          <w:sz w:val="24"/>
          <w:highlight w:val="none"/>
        </w:rPr>
      </w:pPr>
      <w:r>
        <w:rPr>
          <w:rFonts w:hint="eastAsia" w:ascii="宋体" w:hAnsi="宋体" w:cs="宋体"/>
          <w:color w:val="auto"/>
          <w:sz w:val="24"/>
          <w:highlight w:val="none"/>
        </w:rPr>
        <w:t>日 期：</w:t>
      </w:r>
    </w:p>
    <w:p w14:paraId="4702B960">
      <w:pPr>
        <w:widowControl w:val="0"/>
        <w:spacing w:line="360" w:lineRule="auto"/>
        <w:ind w:firstLine="480" w:firstLineChars="200"/>
        <w:outlineLvl w:val="0"/>
        <w:rPr>
          <w:rFonts w:ascii="宋体" w:hAnsi="宋体" w:cs="宋体"/>
          <w:color w:val="auto"/>
          <w:sz w:val="24"/>
          <w:highlight w:val="none"/>
        </w:rPr>
      </w:pPr>
    </w:p>
    <w:p w14:paraId="76CEBA04">
      <w:pPr>
        <w:widowControl w:val="0"/>
        <w:ind w:firstLine="420"/>
        <w:rPr>
          <w:rFonts w:ascii="宋体" w:hAnsi="宋体" w:cs="宋体"/>
          <w:color w:val="auto"/>
          <w:sz w:val="24"/>
          <w:highlight w:val="none"/>
        </w:rPr>
      </w:pPr>
    </w:p>
    <w:p w14:paraId="1AF70E24">
      <w:pPr>
        <w:spacing w:before="100" w:beforeAutospacing="1" w:after="100" w:afterAutospacing="1"/>
        <w:jc w:val="left"/>
        <w:rPr>
          <w:rFonts w:ascii="宋体" w:hAnsi="宋体" w:cs="宋体"/>
          <w:color w:val="auto"/>
          <w:kern w:val="0"/>
          <w:sz w:val="24"/>
          <w:highlight w:val="none"/>
        </w:rPr>
      </w:pPr>
    </w:p>
    <w:p w14:paraId="23C857BE">
      <w:pPr>
        <w:spacing w:line="580" w:lineRule="exact"/>
        <w:rPr>
          <w:rFonts w:ascii="宋体" w:hAnsi="宋体" w:cs="宋体"/>
          <w:color w:val="auto"/>
          <w:sz w:val="24"/>
          <w:highlight w:val="none"/>
        </w:rPr>
      </w:pPr>
      <w:r>
        <w:rPr>
          <w:rFonts w:hint="eastAsia" w:ascii="宋体" w:hAnsi="宋体" w:cs="宋体"/>
          <w:color w:val="auto"/>
          <w:sz w:val="24"/>
          <w:highlight w:val="none"/>
        </w:rPr>
        <w:t xml:space="preserve">1 </w:t>
      </w:r>
      <w:bookmarkStart w:id="136" w:name="bookmark1"/>
      <w:bookmarkEnd w:id="136"/>
      <w:r>
        <w:rPr>
          <w:rFonts w:hint="eastAsia" w:ascii="宋体" w:hAnsi="宋体" w:cs="宋体"/>
          <w:color w:val="auto"/>
          <w:sz w:val="24"/>
          <w:highlight w:val="none"/>
        </w:rPr>
        <w:t>从业人员、营业收入、资产总额填报上一年度数据，无上一年度数据的新成立企业可不填报。</w:t>
      </w:r>
    </w:p>
    <w:p w14:paraId="1E1D1B4C">
      <w:pPr>
        <w:spacing w:line="276"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关于监狱企业（如有）</w:t>
      </w:r>
    </w:p>
    <w:p w14:paraId="1C146C79">
      <w:pPr>
        <w:spacing w:line="480" w:lineRule="auto"/>
        <w:jc w:val="left"/>
        <w:rPr>
          <w:rFonts w:ascii="宋体" w:hAnsi="宋体" w:cs="宋体"/>
          <w:bCs/>
          <w:color w:val="auto"/>
          <w:sz w:val="24"/>
          <w:highlight w:val="none"/>
        </w:rPr>
      </w:pPr>
      <w:r>
        <w:rPr>
          <w:rFonts w:hint="eastAsia" w:ascii="宋体" w:hAnsi="宋体" w:cs="宋体"/>
          <w:bCs/>
          <w:color w:val="auto"/>
          <w:sz w:val="24"/>
          <w:highlight w:val="none"/>
        </w:rPr>
        <w:t>1、政府采购政策</w:t>
      </w:r>
    </w:p>
    <w:p w14:paraId="367487AC">
      <w:pPr>
        <w:spacing w:line="48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财政部、司法部关于政府采购支持监狱企业发展有关问题的通知（财库【2014】68号）</w:t>
      </w:r>
    </w:p>
    <w:p w14:paraId="573F98C2">
      <w:pPr>
        <w:spacing w:line="480" w:lineRule="auto"/>
        <w:jc w:val="left"/>
        <w:rPr>
          <w:rFonts w:ascii="宋体" w:hAnsi="宋体" w:cs="宋体"/>
          <w:bCs/>
          <w:color w:val="auto"/>
          <w:sz w:val="24"/>
          <w:highlight w:val="none"/>
        </w:rPr>
      </w:pPr>
      <w:r>
        <w:rPr>
          <w:rFonts w:hint="eastAsia" w:ascii="宋体" w:hAnsi="宋体" w:cs="宋体"/>
          <w:bCs/>
          <w:color w:val="auto"/>
          <w:sz w:val="24"/>
          <w:highlight w:val="none"/>
        </w:rPr>
        <w:t>2、附证明材料</w:t>
      </w:r>
    </w:p>
    <w:p w14:paraId="72131985">
      <w:pPr>
        <w:spacing w:line="48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提供由省级以上监狱管理局、戒毒管理局（含新疆生产建设兵团）出具的属于监狱企业的证明文件，否则投标报价评审时不予价格扣除优惠。</w:t>
      </w:r>
    </w:p>
    <w:p w14:paraId="099CE401">
      <w:pPr>
        <w:spacing w:line="276" w:lineRule="auto"/>
        <w:jc w:val="center"/>
        <w:rPr>
          <w:rFonts w:ascii="宋体" w:hAnsi="宋体" w:cs="宋体"/>
          <w:color w:val="auto"/>
          <w:szCs w:val="21"/>
          <w:highlight w:val="none"/>
        </w:rPr>
      </w:pPr>
      <w:bookmarkStart w:id="137" w:name="_Toc6120"/>
      <w:bookmarkEnd w:id="137"/>
      <w:bookmarkStart w:id="138" w:name="_Toc22643"/>
      <w:bookmarkEnd w:id="138"/>
      <w:bookmarkStart w:id="139" w:name="_Toc18268"/>
      <w:bookmarkEnd w:id="139"/>
      <w:bookmarkStart w:id="140" w:name="_Toc11061"/>
      <w:bookmarkEnd w:id="140"/>
      <w:bookmarkStart w:id="141" w:name="_Toc797"/>
      <w:bookmarkEnd w:id="141"/>
      <w:bookmarkStart w:id="142" w:name="_Toc4163"/>
      <w:bookmarkEnd w:id="142"/>
      <w:bookmarkStart w:id="143" w:name="_Toc25936"/>
      <w:bookmarkEnd w:id="143"/>
      <w:bookmarkStart w:id="144" w:name="_Toc8829"/>
      <w:bookmarkEnd w:id="144"/>
      <w:bookmarkStart w:id="145" w:name="_Toc23431"/>
      <w:bookmarkEnd w:id="145"/>
      <w:bookmarkStart w:id="146" w:name="_Toc23541"/>
      <w:bookmarkEnd w:id="146"/>
      <w:bookmarkStart w:id="147" w:name="_Toc29136"/>
      <w:bookmarkEnd w:id="147"/>
      <w:bookmarkStart w:id="148" w:name="_Toc27314"/>
      <w:bookmarkEnd w:id="148"/>
      <w:bookmarkStart w:id="149" w:name="_Toc31222"/>
      <w:bookmarkEnd w:id="149"/>
      <w:bookmarkStart w:id="150" w:name="_Toc4710"/>
      <w:bookmarkEnd w:id="150"/>
      <w:bookmarkStart w:id="151" w:name="_Toc17427"/>
      <w:bookmarkEnd w:id="151"/>
      <w:bookmarkStart w:id="152" w:name="_Toc27643"/>
      <w:bookmarkEnd w:id="152"/>
      <w:bookmarkStart w:id="153" w:name="_Toc16088"/>
      <w:bookmarkEnd w:id="153"/>
      <w:bookmarkStart w:id="154" w:name="_Toc23611"/>
      <w:bookmarkEnd w:id="154"/>
      <w:bookmarkStart w:id="155" w:name="_Toc18807"/>
      <w:bookmarkEnd w:id="155"/>
      <w:bookmarkStart w:id="156" w:name="_Toc16430"/>
      <w:bookmarkEnd w:id="156"/>
      <w:bookmarkStart w:id="157" w:name="_Toc16786"/>
      <w:r>
        <w:rPr>
          <w:rFonts w:hint="eastAsia" w:ascii="宋体" w:hAnsi="宋体" w:cs="宋体"/>
          <w:color w:val="auto"/>
          <w:szCs w:val="21"/>
          <w:highlight w:val="none"/>
        </w:rPr>
        <w:br w:type="page"/>
      </w:r>
      <w:r>
        <w:rPr>
          <w:rFonts w:hint="eastAsia" w:ascii="宋体" w:hAnsi="宋体" w:cs="宋体"/>
          <w:color w:val="auto"/>
          <w:sz w:val="30"/>
          <w:szCs w:val="30"/>
          <w:highlight w:val="none"/>
        </w:rPr>
        <w:t>关于促进残疾人就业的政府采购政策（如有）</w:t>
      </w:r>
      <w:bookmarkEnd w:id="157"/>
    </w:p>
    <w:p w14:paraId="551EB882">
      <w:pPr>
        <w:spacing w:line="480" w:lineRule="auto"/>
        <w:jc w:val="center"/>
        <w:rPr>
          <w:rFonts w:hAnsi="宋体" w:cs="宋体"/>
          <w:color w:val="auto"/>
          <w:highlight w:val="none"/>
        </w:rPr>
      </w:pPr>
      <w:bookmarkStart w:id="158" w:name="sendNo"/>
      <w:bookmarkEnd w:id="158"/>
      <w:r>
        <w:rPr>
          <w:rFonts w:hint="eastAsia" w:hAnsi="宋体" w:cs="宋体"/>
          <w:color w:val="auto"/>
          <w:highlight w:val="none"/>
        </w:rPr>
        <w:t xml:space="preserve"> </w:t>
      </w:r>
    </w:p>
    <w:p w14:paraId="7B6519B8">
      <w:pPr>
        <w:spacing w:line="480" w:lineRule="auto"/>
        <w:jc w:val="left"/>
        <w:rPr>
          <w:rFonts w:ascii="宋体" w:hAnsi="宋体" w:cs="宋体"/>
          <w:bCs/>
          <w:color w:val="auto"/>
          <w:sz w:val="24"/>
          <w:highlight w:val="none"/>
        </w:rPr>
      </w:pPr>
      <w:r>
        <w:rPr>
          <w:rFonts w:hint="eastAsia" w:ascii="宋体" w:hAnsi="宋体" w:cs="宋体"/>
          <w:bCs/>
          <w:color w:val="auto"/>
          <w:sz w:val="24"/>
          <w:highlight w:val="none"/>
        </w:rPr>
        <w:t>1、政府采购政策</w:t>
      </w:r>
    </w:p>
    <w:p w14:paraId="19DF20C0">
      <w:pPr>
        <w:spacing w:line="480" w:lineRule="auto"/>
        <w:ind w:left="360"/>
        <w:jc w:val="left"/>
        <w:rPr>
          <w:rFonts w:ascii="宋体" w:hAnsi="宋体" w:cs="宋体"/>
          <w:bCs/>
          <w:color w:val="auto"/>
          <w:kern w:val="0"/>
          <w:sz w:val="24"/>
          <w:highlight w:val="none"/>
        </w:rPr>
      </w:pPr>
      <w:r>
        <w:rPr>
          <w:rFonts w:hint="eastAsia" w:ascii="宋体" w:hAnsi="宋体" w:cs="宋体"/>
          <w:color w:val="auto"/>
          <w:spacing w:val="6"/>
          <w:sz w:val="24"/>
          <w:highlight w:val="none"/>
        </w:rPr>
        <w:t>关于促进残疾人就业政府采购政策的通知（财库〔2017〕141号）</w:t>
      </w:r>
      <w:r>
        <w:rPr>
          <w:rFonts w:hint="eastAsia" w:ascii="宋体" w:hAnsi="宋体" w:cs="宋体"/>
          <w:bCs/>
          <w:color w:val="auto"/>
          <w:kern w:val="0"/>
          <w:sz w:val="24"/>
          <w:highlight w:val="none"/>
        </w:rPr>
        <w:t xml:space="preserve"> </w:t>
      </w:r>
      <w:r>
        <w:rPr>
          <w:rFonts w:hint="eastAsia" w:ascii="宋体" w:hAnsi="宋体" w:cs="宋体"/>
          <w:color w:val="auto"/>
          <w:kern w:val="0"/>
          <w:sz w:val="24"/>
          <w:highlight w:val="none"/>
        </w:rPr>
        <w:t xml:space="preserve"> </w:t>
      </w:r>
    </w:p>
    <w:p w14:paraId="4A379CF2">
      <w:pPr>
        <w:spacing w:line="480" w:lineRule="auto"/>
        <w:jc w:val="left"/>
        <w:rPr>
          <w:rFonts w:ascii="宋体" w:hAnsi="宋体" w:cs="宋体"/>
          <w:bCs/>
          <w:color w:val="auto"/>
          <w:kern w:val="0"/>
          <w:sz w:val="24"/>
          <w:highlight w:val="none"/>
        </w:rPr>
      </w:pPr>
      <w:bookmarkStart w:id="159" w:name="toDeptId"/>
      <w:bookmarkEnd w:id="159"/>
      <w:r>
        <w:rPr>
          <w:rFonts w:hint="eastAsia" w:ascii="宋体" w:hAnsi="宋体" w:cs="宋体"/>
          <w:bCs/>
          <w:color w:val="auto"/>
          <w:kern w:val="0"/>
          <w:sz w:val="24"/>
          <w:highlight w:val="none"/>
        </w:rPr>
        <w:t>2、附声明函（</w:t>
      </w:r>
      <w:r>
        <w:rPr>
          <w:rFonts w:hint="eastAsia" w:ascii="宋体" w:hAnsi="宋体" w:cs="宋体"/>
          <w:color w:val="auto"/>
          <w:sz w:val="24"/>
          <w:highlight w:val="none"/>
        </w:rPr>
        <w:t>无声明函投标报价评审时不予价格扣除优惠</w:t>
      </w:r>
      <w:r>
        <w:rPr>
          <w:rFonts w:hint="eastAsia" w:ascii="宋体" w:hAnsi="宋体" w:cs="宋体"/>
          <w:bCs/>
          <w:color w:val="auto"/>
          <w:kern w:val="0"/>
          <w:sz w:val="24"/>
          <w:highlight w:val="none"/>
        </w:rPr>
        <w:t>）</w:t>
      </w:r>
    </w:p>
    <w:p w14:paraId="72C2FC00">
      <w:pPr>
        <w:spacing w:line="360" w:lineRule="auto"/>
        <w:jc w:val="left"/>
        <w:rPr>
          <w:rFonts w:hAnsi="宋体" w:cs="宋体"/>
          <w:color w:val="auto"/>
          <w:kern w:val="0"/>
          <w:highlight w:val="none"/>
        </w:rPr>
      </w:pPr>
      <w:r>
        <w:rPr>
          <w:rFonts w:hint="eastAsia" w:hAnsi="宋体" w:cs="宋体"/>
          <w:color w:val="auto"/>
          <w:kern w:val="0"/>
          <w:highlight w:val="none"/>
        </w:rPr>
        <w:t xml:space="preserve"> </w:t>
      </w:r>
    </w:p>
    <w:p w14:paraId="28338580">
      <w:pPr>
        <w:spacing w:line="360" w:lineRule="auto"/>
        <w:jc w:val="left"/>
        <w:rPr>
          <w:rFonts w:hAnsi="宋体" w:cs="宋体"/>
          <w:color w:val="auto"/>
          <w:kern w:val="0"/>
          <w:highlight w:val="none"/>
        </w:rPr>
      </w:pPr>
      <w:r>
        <w:rPr>
          <w:rFonts w:hint="eastAsia" w:hAnsi="宋体" w:cs="宋体"/>
          <w:color w:val="auto"/>
          <w:kern w:val="0"/>
          <w:highlight w:val="none"/>
        </w:rPr>
        <w:t xml:space="preserve"> </w:t>
      </w:r>
    </w:p>
    <w:p w14:paraId="5712A656">
      <w:pPr>
        <w:widowControl w:val="0"/>
        <w:ind w:firstLine="570"/>
        <w:rPr>
          <w:rFonts w:ascii="Calibri" w:hAnsi="宋体" w:cs="宋体"/>
          <w:color w:val="auto"/>
          <w:kern w:val="0"/>
          <w:szCs w:val="21"/>
          <w:highlight w:val="none"/>
        </w:rPr>
      </w:pPr>
    </w:p>
    <w:p w14:paraId="76CBB835">
      <w:pPr>
        <w:widowControl w:val="0"/>
        <w:ind w:firstLine="570"/>
        <w:rPr>
          <w:rFonts w:ascii="Calibri" w:hAnsi="宋体" w:cs="宋体"/>
          <w:color w:val="auto"/>
          <w:kern w:val="0"/>
          <w:szCs w:val="21"/>
          <w:highlight w:val="none"/>
        </w:rPr>
      </w:pPr>
    </w:p>
    <w:p w14:paraId="2CD20E77">
      <w:pPr>
        <w:widowControl w:val="0"/>
        <w:ind w:firstLine="570"/>
        <w:rPr>
          <w:rFonts w:ascii="Calibri" w:hAnsi="宋体" w:cs="宋体"/>
          <w:color w:val="auto"/>
          <w:kern w:val="0"/>
          <w:szCs w:val="21"/>
          <w:highlight w:val="none"/>
        </w:rPr>
      </w:pPr>
    </w:p>
    <w:p w14:paraId="3E0804B3">
      <w:pPr>
        <w:widowControl w:val="0"/>
        <w:ind w:firstLine="570"/>
        <w:rPr>
          <w:rFonts w:ascii="Calibri" w:hAnsi="宋体" w:cs="宋体"/>
          <w:color w:val="auto"/>
          <w:kern w:val="0"/>
          <w:szCs w:val="21"/>
          <w:highlight w:val="none"/>
        </w:rPr>
      </w:pPr>
    </w:p>
    <w:p w14:paraId="4FC51D43">
      <w:pPr>
        <w:spacing w:line="360" w:lineRule="auto"/>
        <w:jc w:val="left"/>
        <w:rPr>
          <w:rFonts w:hAnsi="宋体" w:cs="宋体"/>
          <w:color w:val="auto"/>
          <w:kern w:val="0"/>
          <w:highlight w:val="none"/>
        </w:rPr>
      </w:pPr>
      <w:r>
        <w:rPr>
          <w:rFonts w:hint="eastAsia" w:hAnsi="宋体" w:cs="宋体"/>
          <w:color w:val="auto"/>
          <w:kern w:val="0"/>
          <w:highlight w:val="none"/>
        </w:rPr>
        <w:t xml:space="preserve"> </w:t>
      </w:r>
    </w:p>
    <w:p w14:paraId="7A1C3384">
      <w:pPr>
        <w:spacing w:line="360" w:lineRule="auto"/>
        <w:jc w:val="center"/>
        <w:rPr>
          <w:rFonts w:hAnsi="宋体" w:cs="宋体"/>
          <w:b/>
          <w:bCs/>
          <w:color w:val="auto"/>
          <w:spacing w:val="6"/>
          <w:highlight w:val="none"/>
        </w:rPr>
      </w:pPr>
      <w:bookmarkStart w:id="160" w:name="OLE_LINK13"/>
      <w:bookmarkEnd w:id="160"/>
      <w:bookmarkStart w:id="161" w:name="OLE_LINK14"/>
    </w:p>
    <w:p w14:paraId="2629E82B">
      <w:pPr>
        <w:spacing w:line="276" w:lineRule="auto"/>
        <w:jc w:val="center"/>
        <w:rPr>
          <w:rFonts w:hAnsi="宋体" w:cs="宋体"/>
          <w:b/>
          <w:bCs/>
          <w:color w:val="auto"/>
          <w:spacing w:val="6"/>
          <w:highlight w:val="none"/>
        </w:rPr>
      </w:pPr>
      <w:r>
        <w:rPr>
          <w:rFonts w:hint="eastAsia" w:hAnsi="宋体" w:cs="宋体"/>
          <w:b/>
          <w:bCs/>
          <w:color w:val="auto"/>
          <w:spacing w:val="6"/>
          <w:highlight w:val="none"/>
        </w:rPr>
        <w:br w:type="page"/>
      </w:r>
      <w:r>
        <w:rPr>
          <w:rFonts w:hint="eastAsia" w:ascii="宋体" w:hAnsi="宋体" w:cs="宋体"/>
          <w:color w:val="auto"/>
          <w:sz w:val="30"/>
          <w:szCs w:val="30"/>
          <w:highlight w:val="none"/>
        </w:rPr>
        <w:t>残疾人福利性单位声明函</w:t>
      </w:r>
      <w:bookmarkEnd w:id="161"/>
    </w:p>
    <w:p w14:paraId="7252ED8C">
      <w:pPr>
        <w:spacing w:line="360" w:lineRule="auto"/>
        <w:rPr>
          <w:rFonts w:hAnsi="宋体" w:cs="宋体"/>
          <w:b/>
          <w:bCs/>
          <w:color w:val="auto"/>
          <w:spacing w:val="6"/>
          <w:highlight w:val="none"/>
        </w:rPr>
      </w:pPr>
      <w:r>
        <w:rPr>
          <w:rFonts w:hint="eastAsia" w:hAnsi="宋体" w:cs="宋体"/>
          <w:b/>
          <w:bCs/>
          <w:color w:val="auto"/>
          <w:spacing w:val="6"/>
          <w:highlight w:val="none"/>
        </w:rPr>
        <w:t xml:space="preserve"> </w:t>
      </w:r>
    </w:p>
    <w:p w14:paraId="6D3D625C">
      <w:pPr>
        <w:spacing w:line="360" w:lineRule="auto"/>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rPr>
        <w:t>〔2017〕141</w:t>
      </w:r>
      <w:r>
        <w:rPr>
          <w:rFonts w:hint="eastAsia" w:ascii="宋体" w:hAnsi="宋体" w:cs="宋体"/>
          <w:color w:val="auto"/>
          <w:spacing w:val="6"/>
          <w:sz w:val="24"/>
          <w:highlight w:val="none"/>
        </w:rPr>
        <w:t>号）的规定，本单位为符合条件的残疾人福利性单位，且本单位参加</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单位的</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项目采购活动提供本单位制造的货物（由本单位承担工程/提供服务），或者提供其他残疾人福利性单位制造的货物（不包括使用非残疾人福利性单位注册商标的货物）。</w:t>
      </w:r>
    </w:p>
    <w:p w14:paraId="3638FE95">
      <w:pPr>
        <w:spacing w:line="360" w:lineRule="auto"/>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14:paraId="7F0B5394">
      <w:pPr>
        <w:spacing w:line="360" w:lineRule="auto"/>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 xml:space="preserve"> </w:t>
      </w:r>
    </w:p>
    <w:p w14:paraId="2A48B72D">
      <w:pPr>
        <w:autoSpaceDE w:val="0"/>
        <w:autoSpaceDN w:val="0"/>
        <w:adjustRightInd w:val="0"/>
        <w:spacing w:line="360" w:lineRule="auto"/>
        <w:ind w:left="2601" w:right="-20"/>
        <w:jc w:val="left"/>
        <w:rPr>
          <w:rFonts w:ascii="宋体" w:hAnsi="宋体" w:cs="宋体"/>
          <w:color w:val="auto"/>
          <w:kern w:val="0"/>
          <w:position w:val="-2"/>
          <w:sz w:val="24"/>
          <w:highlight w:val="none"/>
        </w:rPr>
      </w:pPr>
      <w:r>
        <w:rPr>
          <w:rFonts w:hint="eastAsia" w:ascii="宋体" w:hAnsi="宋体" w:cs="宋体"/>
          <w:color w:val="auto"/>
          <w:kern w:val="0"/>
          <w:position w:val="-2"/>
          <w:sz w:val="24"/>
          <w:highlight w:val="none"/>
        </w:rPr>
        <w:t xml:space="preserve"> </w:t>
      </w:r>
    </w:p>
    <w:p w14:paraId="678A4EA2">
      <w:pPr>
        <w:autoSpaceDE w:val="0"/>
        <w:autoSpaceDN w:val="0"/>
        <w:adjustRightInd w:val="0"/>
        <w:spacing w:line="360" w:lineRule="auto"/>
        <w:ind w:left="2601" w:right="-20"/>
        <w:jc w:val="left"/>
        <w:rPr>
          <w:rFonts w:ascii="宋体" w:hAnsi="宋体" w:cs="宋体"/>
          <w:color w:val="auto"/>
          <w:kern w:val="0"/>
          <w:position w:val="-2"/>
          <w:sz w:val="24"/>
          <w:highlight w:val="none"/>
        </w:rPr>
      </w:pPr>
      <w:r>
        <w:rPr>
          <w:rFonts w:hint="eastAsia" w:ascii="宋体" w:hAnsi="宋体" w:cs="宋体"/>
          <w:color w:val="auto"/>
          <w:kern w:val="0"/>
          <w:position w:val="-2"/>
          <w:sz w:val="24"/>
          <w:highlight w:val="none"/>
        </w:rPr>
        <w:t xml:space="preserve"> </w:t>
      </w:r>
    </w:p>
    <w:p w14:paraId="6CEAD0E2">
      <w:pPr>
        <w:autoSpaceDE w:val="0"/>
        <w:autoSpaceDN w:val="0"/>
        <w:adjustRightInd w:val="0"/>
        <w:spacing w:line="360" w:lineRule="auto"/>
        <w:ind w:left="2601" w:right="-20"/>
        <w:jc w:val="right"/>
        <w:rPr>
          <w:rFonts w:ascii="宋体" w:hAnsi="宋体" w:cs="宋体"/>
          <w:color w:val="auto"/>
          <w:kern w:val="0"/>
          <w:sz w:val="24"/>
          <w:highlight w:val="none"/>
        </w:rPr>
      </w:pPr>
      <w:r>
        <w:rPr>
          <w:rFonts w:hint="eastAsia" w:ascii="宋体" w:hAnsi="宋体" w:cs="宋体"/>
          <w:color w:val="auto"/>
          <w:kern w:val="0"/>
          <w:position w:val="-2"/>
          <w:sz w:val="24"/>
          <w:highlight w:val="none"/>
        </w:rPr>
        <w:t>投标人</w:t>
      </w:r>
      <w:r>
        <w:rPr>
          <w:rFonts w:hint="eastAsia" w:ascii="宋体" w:hAnsi="宋体" w:cs="宋体"/>
          <w:color w:val="auto"/>
          <w:spacing w:val="-2"/>
          <w:kern w:val="0"/>
          <w:position w:val="-2"/>
          <w:sz w:val="24"/>
          <w:highlight w:val="none"/>
        </w:rPr>
        <w:t>：</w:t>
      </w:r>
      <w:r>
        <w:rPr>
          <w:rFonts w:hint="eastAsia" w:ascii="宋体" w:hAnsi="宋体" w:cs="宋体"/>
          <w:color w:val="auto"/>
          <w:spacing w:val="43"/>
          <w:kern w:val="0"/>
          <w:position w:val="-2"/>
          <w:sz w:val="24"/>
          <w:highlight w:val="none"/>
          <w:u w:val="single"/>
        </w:rPr>
        <w:t xml:space="preserve">         </w:t>
      </w:r>
      <w:r>
        <w:rPr>
          <w:rFonts w:hint="eastAsia" w:ascii="宋体" w:hAnsi="宋体" w:cs="宋体"/>
          <w:color w:val="auto"/>
          <w:kern w:val="0"/>
          <w:position w:val="-2"/>
          <w:sz w:val="24"/>
          <w:highlight w:val="none"/>
        </w:rPr>
        <w:t>（盖单位公章）</w:t>
      </w:r>
    </w:p>
    <w:p w14:paraId="630BF9B0">
      <w:pPr>
        <w:autoSpaceDE w:val="0"/>
        <w:autoSpaceDN w:val="0"/>
        <w:adjustRightInd w:val="0"/>
        <w:spacing w:line="360" w:lineRule="auto"/>
        <w:jc w:val="right"/>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1856B767">
      <w:pPr>
        <w:autoSpaceDE w:val="0"/>
        <w:autoSpaceDN w:val="0"/>
        <w:adjustRightInd w:val="0"/>
        <w:spacing w:line="360" w:lineRule="auto"/>
        <w:ind w:left="2601" w:right="-20" w:firstLine="2160" w:firstLineChars="900"/>
        <w:jc w:val="right"/>
        <w:rPr>
          <w:rFonts w:ascii="宋体" w:hAnsi="宋体" w:cs="宋体"/>
          <w:color w:val="auto"/>
          <w:kern w:val="0"/>
          <w:position w:val="-2"/>
          <w:sz w:val="24"/>
          <w:highlight w:val="none"/>
        </w:rPr>
      </w:pPr>
      <w:r>
        <w:rPr>
          <w:rFonts w:hint="eastAsia" w:ascii="宋体" w:hAnsi="宋体" w:cs="宋体"/>
          <w:color w:val="auto"/>
          <w:kern w:val="0"/>
          <w:position w:val="-2"/>
          <w:sz w:val="24"/>
          <w:highlight w:val="none"/>
          <w:u w:val="single"/>
        </w:rPr>
        <w:t xml:space="preserve">      </w:t>
      </w:r>
      <w:r>
        <w:rPr>
          <w:rFonts w:hint="eastAsia" w:ascii="宋体" w:hAnsi="宋体" w:cs="宋体"/>
          <w:color w:val="auto"/>
          <w:kern w:val="0"/>
          <w:position w:val="-2"/>
          <w:sz w:val="24"/>
          <w:highlight w:val="none"/>
        </w:rPr>
        <w:t>年</w:t>
      </w:r>
      <w:r>
        <w:rPr>
          <w:rFonts w:hint="eastAsia" w:ascii="宋体" w:hAnsi="宋体" w:cs="宋体"/>
          <w:color w:val="auto"/>
          <w:kern w:val="0"/>
          <w:position w:val="-2"/>
          <w:sz w:val="24"/>
          <w:highlight w:val="none"/>
          <w:u w:val="single"/>
        </w:rPr>
        <w:t xml:space="preserve">     </w:t>
      </w:r>
      <w:r>
        <w:rPr>
          <w:rFonts w:hint="eastAsia" w:ascii="宋体" w:hAnsi="宋体" w:cs="宋体"/>
          <w:color w:val="auto"/>
          <w:kern w:val="0"/>
          <w:position w:val="-2"/>
          <w:sz w:val="24"/>
          <w:highlight w:val="none"/>
        </w:rPr>
        <w:t>月</w:t>
      </w:r>
      <w:r>
        <w:rPr>
          <w:rFonts w:hint="eastAsia" w:ascii="宋体" w:hAnsi="宋体" w:cs="宋体"/>
          <w:color w:val="auto"/>
          <w:kern w:val="0"/>
          <w:position w:val="-2"/>
          <w:sz w:val="24"/>
          <w:highlight w:val="none"/>
          <w:u w:val="single"/>
        </w:rPr>
        <w:t xml:space="preserve">    </w:t>
      </w:r>
      <w:r>
        <w:rPr>
          <w:rFonts w:hint="eastAsia" w:ascii="宋体" w:hAnsi="宋体" w:cs="宋体"/>
          <w:color w:val="auto"/>
          <w:kern w:val="0"/>
          <w:position w:val="-2"/>
          <w:sz w:val="24"/>
          <w:highlight w:val="none"/>
        </w:rPr>
        <w:t>日</w:t>
      </w:r>
    </w:p>
    <w:p w14:paraId="7E4EA14B">
      <w:pPr>
        <w:widowControl w:val="0"/>
        <w:ind w:firstLine="420"/>
        <w:rPr>
          <w:rFonts w:ascii="宋体" w:hAnsi="宋体"/>
          <w:color w:val="auto"/>
          <w:szCs w:val="21"/>
          <w:highlight w:val="none"/>
        </w:rPr>
      </w:pPr>
    </w:p>
    <w:p w14:paraId="1BF84420">
      <w:pPr>
        <w:spacing w:before="100" w:beforeAutospacing="1" w:after="100" w:afterAutospacing="1"/>
        <w:jc w:val="left"/>
        <w:rPr>
          <w:rFonts w:ascii="宋体" w:hAnsi="宋体" w:eastAsia="等线"/>
          <w:color w:val="auto"/>
          <w:kern w:val="0"/>
          <w:sz w:val="24"/>
          <w:highlight w:val="none"/>
        </w:rPr>
      </w:pPr>
    </w:p>
    <w:p w14:paraId="1FF35EC6">
      <w:pPr>
        <w:spacing w:before="100" w:beforeAutospacing="1" w:after="100" w:afterAutospacing="1"/>
        <w:jc w:val="left"/>
        <w:rPr>
          <w:rFonts w:ascii="宋体" w:hAnsi="宋体" w:eastAsia="等线"/>
          <w:color w:val="auto"/>
          <w:kern w:val="0"/>
          <w:sz w:val="24"/>
          <w:highlight w:val="none"/>
        </w:rPr>
      </w:pPr>
    </w:p>
    <w:p w14:paraId="42A117BA">
      <w:pPr>
        <w:spacing w:before="100" w:beforeAutospacing="1" w:after="100" w:afterAutospacing="1"/>
        <w:jc w:val="left"/>
        <w:rPr>
          <w:rFonts w:ascii="宋体" w:hAnsi="宋体" w:eastAsia="等线"/>
          <w:color w:val="auto"/>
          <w:kern w:val="0"/>
          <w:sz w:val="24"/>
          <w:highlight w:val="none"/>
        </w:rPr>
      </w:pPr>
    </w:p>
    <w:p w14:paraId="66AB1347">
      <w:pPr>
        <w:spacing w:before="100" w:beforeAutospacing="1" w:after="100" w:afterAutospacing="1"/>
        <w:jc w:val="left"/>
        <w:rPr>
          <w:rFonts w:ascii="宋体" w:hAnsi="宋体" w:eastAsia="等线"/>
          <w:color w:val="auto"/>
          <w:kern w:val="0"/>
          <w:sz w:val="24"/>
          <w:highlight w:val="none"/>
        </w:rPr>
      </w:pPr>
    </w:p>
    <w:p w14:paraId="26C4D2B1">
      <w:pPr>
        <w:spacing w:before="100" w:beforeAutospacing="1" w:after="100" w:afterAutospacing="1"/>
        <w:jc w:val="left"/>
        <w:rPr>
          <w:rFonts w:ascii="宋体" w:hAnsi="宋体" w:eastAsia="等线"/>
          <w:color w:val="auto"/>
          <w:kern w:val="0"/>
          <w:sz w:val="24"/>
          <w:highlight w:val="none"/>
        </w:rPr>
      </w:pPr>
    </w:p>
    <w:p w14:paraId="0D55A579">
      <w:pPr>
        <w:spacing w:before="100" w:beforeAutospacing="1" w:after="100" w:afterAutospacing="1"/>
        <w:jc w:val="left"/>
        <w:rPr>
          <w:rFonts w:ascii="宋体" w:hAnsi="宋体" w:eastAsia="等线"/>
          <w:color w:val="auto"/>
          <w:kern w:val="0"/>
          <w:sz w:val="24"/>
          <w:highlight w:val="none"/>
        </w:rPr>
      </w:pPr>
    </w:p>
    <w:p w14:paraId="4B44A00F">
      <w:pPr>
        <w:spacing w:before="100" w:beforeAutospacing="1" w:after="100" w:afterAutospacing="1"/>
        <w:jc w:val="left"/>
        <w:rPr>
          <w:rFonts w:ascii="宋体" w:hAnsi="宋体" w:eastAsia="等线"/>
          <w:color w:val="auto"/>
          <w:kern w:val="0"/>
          <w:sz w:val="24"/>
          <w:highlight w:val="none"/>
        </w:rPr>
      </w:pPr>
    </w:p>
    <w:p w14:paraId="03FC669F">
      <w:pPr>
        <w:spacing w:before="100" w:beforeAutospacing="1" w:after="100" w:afterAutospacing="1"/>
        <w:jc w:val="left"/>
        <w:rPr>
          <w:rFonts w:ascii="宋体" w:hAnsi="宋体" w:eastAsia="等线"/>
          <w:color w:val="auto"/>
          <w:kern w:val="0"/>
          <w:sz w:val="24"/>
          <w:highlight w:val="none"/>
        </w:rPr>
      </w:pPr>
    </w:p>
    <w:p w14:paraId="42AE5174">
      <w:pPr>
        <w:spacing w:before="100" w:beforeAutospacing="1" w:after="100" w:afterAutospacing="1"/>
        <w:ind w:left="150" w:hanging="150" w:hangingChars="50"/>
        <w:jc w:val="left"/>
        <w:rPr>
          <w:rFonts w:ascii="宋体" w:hAnsi="宋体" w:cs="宋体"/>
          <w:color w:val="auto"/>
          <w:kern w:val="0"/>
          <w:sz w:val="30"/>
          <w:szCs w:val="30"/>
          <w:highlight w:val="none"/>
        </w:rPr>
      </w:pPr>
      <w:r>
        <w:rPr>
          <w:rFonts w:hint="eastAsia" w:ascii="宋体" w:hAnsi="宋体" w:cs="宋体"/>
          <w:color w:val="auto"/>
          <w:kern w:val="0"/>
          <w:sz w:val="30"/>
          <w:szCs w:val="30"/>
          <w:highlight w:val="none"/>
        </w:rPr>
        <w:t>附件3：工信部联企业[2011]300号</w:t>
      </w:r>
      <w:r>
        <w:rPr>
          <w:rFonts w:ascii="宋体" w:hAnsi="宋体" w:cs="宋体"/>
          <w:color w:val="auto"/>
          <w:kern w:val="0"/>
          <w:sz w:val="30"/>
          <w:szCs w:val="30"/>
          <w:highlight w:val="none"/>
        </w:rPr>
        <w:drawing>
          <wp:inline distT="0" distB="0" distL="114300" distR="114300">
            <wp:extent cx="5414010" cy="7660640"/>
            <wp:effectExtent l="0" t="0" r="15240" b="16510"/>
            <wp:docPr id="6" name="图片 1" descr="中小微企业划分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中小微企业划分_00"/>
                    <pic:cNvPicPr>
                      <a:picLocks noChangeAspect="1"/>
                    </pic:cNvPicPr>
                  </pic:nvPicPr>
                  <pic:blipFill>
                    <a:blip r:embed="rId13"/>
                    <a:stretch>
                      <a:fillRect/>
                    </a:stretch>
                  </pic:blipFill>
                  <pic:spPr>
                    <a:xfrm>
                      <a:off x="0" y="0"/>
                      <a:ext cx="5414010" cy="7660640"/>
                    </a:xfrm>
                    <a:prstGeom prst="rect">
                      <a:avLst/>
                    </a:prstGeom>
                    <a:noFill/>
                    <a:ln>
                      <a:noFill/>
                    </a:ln>
                  </pic:spPr>
                </pic:pic>
              </a:graphicData>
            </a:graphic>
          </wp:inline>
        </w:drawing>
      </w:r>
    </w:p>
    <w:p w14:paraId="4479689D">
      <w:pPr>
        <w:rPr>
          <w:rFonts w:ascii="宋体" w:hAnsi="宋体" w:cs="宋体"/>
          <w:color w:val="auto"/>
          <w:sz w:val="30"/>
          <w:szCs w:val="30"/>
          <w:highlight w:val="none"/>
        </w:rPr>
      </w:pPr>
      <w:r>
        <w:rPr>
          <w:rFonts w:ascii="宋体" w:hAnsi="宋体" w:cs="宋体"/>
          <w:color w:val="auto"/>
          <w:sz w:val="30"/>
          <w:szCs w:val="30"/>
          <w:highlight w:val="none"/>
        </w:rPr>
        <w:drawing>
          <wp:inline distT="0" distB="0" distL="114300" distR="114300">
            <wp:extent cx="5932805" cy="8394700"/>
            <wp:effectExtent l="0" t="0" r="10795" b="6350"/>
            <wp:docPr id="5" name="图片 2" descr="中小微企业划分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中小微企业划分_01"/>
                    <pic:cNvPicPr>
                      <a:picLocks noChangeAspect="1"/>
                    </pic:cNvPicPr>
                  </pic:nvPicPr>
                  <pic:blipFill>
                    <a:blip r:embed="rId14"/>
                    <a:stretch>
                      <a:fillRect/>
                    </a:stretch>
                  </pic:blipFill>
                  <pic:spPr>
                    <a:xfrm>
                      <a:off x="0" y="0"/>
                      <a:ext cx="5932805" cy="8394700"/>
                    </a:xfrm>
                    <a:prstGeom prst="rect">
                      <a:avLst/>
                    </a:prstGeom>
                    <a:noFill/>
                    <a:ln>
                      <a:noFill/>
                    </a:ln>
                  </pic:spPr>
                </pic:pic>
              </a:graphicData>
            </a:graphic>
          </wp:inline>
        </w:drawing>
      </w:r>
    </w:p>
    <w:p w14:paraId="4D5ECAF0">
      <w:pPr>
        <w:widowControl w:val="0"/>
        <w:autoSpaceDE w:val="0"/>
        <w:autoSpaceDN w:val="0"/>
        <w:adjustRightInd w:val="0"/>
        <w:rPr>
          <w:rFonts w:hint="eastAsia" w:ascii="宋体" w:eastAsia="等线" w:cs="宋体"/>
          <w:color w:val="auto"/>
          <w:sz w:val="24"/>
          <w:highlight w:val="none"/>
        </w:rPr>
      </w:pPr>
      <w:r>
        <w:rPr>
          <w:rFonts w:ascii="宋体" w:eastAsia="等线" w:cs="宋体"/>
          <w:color w:val="auto"/>
          <w:sz w:val="24"/>
          <w:highlight w:val="none"/>
        </w:rPr>
        <w:drawing>
          <wp:inline distT="0" distB="0" distL="114300" distR="114300">
            <wp:extent cx="5932805" cy="8394700"/>
            <wp:effectExtent l="0" t="0" r="10795" b="6350"/>
            <wp:docPr id="4" name="图片 3" descr="中小微企业划分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中小微企业划分_02"/>
                    <pic:cNvPicPr>
                      <a:picLocks noChangeAspect="1"/>
                    </pic:cNvPicPr>
                  </pic:nvPicPr>
                  <pic:blipFill>
                    <a:blip r:embed="rId15"/>
                    <a:stretch>
                      <a:fillRect/>
                    </a:stretch>
                  </pic:blipFill>
                  <pic:spPr>
                    <a:xfrm>
                      <a:off x="0" y="0"/>
                      <a:ext cx="5932805" cy="8394700"/>
                    </a:xfrm>
                    <a:prstGeom prst="rect">
                      <a:avLst/>
                    </a:prstGeom>
                    <a:noFill/>
                    <a:ln>
                      <a:noFill/>
                    </a:ln>
                  </pic:spPr>
                </pic:pic>
              </a:graphicData>
            </a:graphic>
          </wp:inline>
        </w:drawing>
      </w:r>
    </w:p>
    <w:p w14:paraId="40D02015">
      <w:pPr>
        <w:rPr>
          <w:rFonts w:hint="eastAsia" w:ascii="宋体" w:hAnsi="宋体" w:cs="宋体"/>
          <w:b/>
          <w:bCs/>
          <w:color w:val="auto"/>
          <w:sz w:val="28"/>
          <w:szCs w:val="28"/>
        </w:rPr>
      </w:pPr>
      <w:r>
        <w:rPr>
          <w:color w:val="auto"/>
          <w:highlight w:val="none"/>
        </w:rPr>
        <w:drawing>
          <wp:inline distT="0" distB="0" distL="114300" distR="114300">
            <wp:extent cx="5932805" cy="8394700"/>
            <wp:effectExtent l="0" t="0" r="10795" b="6350"/>
            <wp:docPr id="3" name="图片 4" descr="中小微企业划分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中小微企业划分_03"/>
                    <pic:cNvPicPr>
                      <a:picLocks noChangeAspect="1"/>
                    </pic:cNvPicPr>
                  </pic:nvPicPr>
                  <pic:blipFill>
                    <a:blip r:embed="rId16"/>
                    <a:stretch>
                      <a:fillRect/>
                    </a:stretch>
                  </pic:blipFill>
                  <pic:spPr>
                    <a:xfrm>
                      <a:off x="0" y="0"/>
                      <a:ext cx="5932805" cy="8394700"/>
                    </a:xfrm>
                    <a:prstGeom prst="rect">
                      <a:avLst/>
                    </a:prstGeom>
                    <a:noFill/>
                    <a:ln>
                      <a:noFill/>
                    </a:ln>
                  </pic:spPr>
                </pic:pic>
              </a:graphicData>
            </a:graphic>
          </wp:inline>
        </w:drawing>
      </w:r>
      <w:r>
        <w:rPr>
          <w:rFonts w:hint="eastAsia" w:ascii="宋体" w:hAnsi="宋体" w:cs="宋体"/>
          <w:b/>
          <w:bCs/>
          <w:color w:val="auto"/>
          <w:sz w:val="28"/>
          <w:szCs w:val="28"/>
        </w:rPr>
        <w:br w:type="page"/>
      </w:r>
    </w:p>
    <w:p w14:paraId="4DEF1300">
      <w:pPr>
        <w:spacing w:line="440" w:lineRule="exact"/>
        <w:ind w:firstLine="562" w:firstLineChars="200"/>
        <w:jc w:val="center"/>
        <w:rPr>
          <w:rFonts w:hint="eastAsia" w:ascii="宋体" w:hAnsi="宋体"/>
          <w:b/>
          <w:bCs/>
          <w:color w:val="auto"/>
          <w:sz w:val="28"/>
          <w:szCs w:val="28"/>
          <w:highlight w:val="none"/>
        </w:rPr>
      </w:pPr>
      <w:r>
        <w:rPr>
          <w:rFonts w:hint="eastAsia" w:ascii="宋体" w:hAnsi="宋体"/>
          <w:b/>
          <w:bCs/>
          <w:color w:val="auto"/>
          <w:sz w:val="28"/>
          <w:szCs w:val="28"/>
          <w:highlight w:val="none"/>
        </w:rPr>
        <w:t>全流程电子化交易注意事项</w:t>
      </w:r>
    </w:p>
    <w:p w14:paraId="53A6056D">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电子化交易项目投标文件是投标人、供应商（以下简称“投标人”）通过中心投标文件制作系统制作，并经过签章和加密后生成的电子版投标文件。（电子化投标文件具体制作教材请投标人通过CA证书登录公共资源电子化交易系统在右上角“组件下载”中查看）制作电子化投标文件，需仔细阅读以下条款。</w:t>
      </w:r>
    </w:p>
    <w:p w14:paraId="4439405B">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一、电子化投标</w:t>
      </w:r>
    </w:p>
    <w:p w14:paraId="054E1D29">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（一）网上投标保证金的缴纳</w:t>
      </w:r>
    </w:p>
    <w:p w14:paraId="0328CCFE">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1、递交形式: 投标人的投标保证金必须通过投标人基本账户以转账或电汇的形式缴纳（账户必须是已加入平顶山市公共资源交易投标人或供应商诚信库中的账户）。</w:t>
      </w:r>
    </w:p>
    <w:p w14:paraId="50228CBA">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投标人缴纳投标保证金后，应在规定的缴纳截止时间前通过平顶山市公共资源电子化交易系统将保证金成功绑定至所投标项目和标段。保证金绑定操作手册，请登录平顶山市公共资源交易中心网站在办事指南中网上投标栏目查看。</w:t>
      </w:r>
    </w:p>
    <w:p w14:paraId="657A8741">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3、投标人在成功绑定后，可以将系统生成的回执单图片制作在投标文件中，作为缴纳保证金的依据。</w:t>
      </w:r>
    </w:p>
    <w:p w14:paraId="0993B9A1">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4、投标人应仔细阅读操作手册并充分考虑异地跨行转账到账时间等因素，因投标人操作不当或银行到账时间等问题造成保证金无法正常绑定影响投标的，由投标人自行承担后果。</w:t>
      </w:r>
    </w:p>
    <w:p w14:paraId="6DCA8FE3">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5、未中标投标人的投标保证金在项目结束后，由中介服务机构向中心项目负责人提出退款申请，项目负责人同意并经财务部门核对后，通过中心交易平台退还给投标人。</w:t>
      </w:r>
    </w:p>
    <w:p w14:paraId="71D07578">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（二）电子化投标文件的签章</w:t>
      </w:r>
    </w:p>
    <w:p w14:paraId="3D82C916">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1、投标人在生成电子化投标文件后，应对电子化投标文件进行签章，未进行签章的视为无效投标。</w:t>
      </w:r>
    </w:p>
    <w:p w14:paraId="712DE2F2">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招标文件中要求法定代表人或授权委托人签字或盖章的，投标人在进行电子化投标文件签章时，以签盖法定代表人签章为准。电子化投标文件具体制作教材请投标人通过CA证书登录平顶山市公共资源电子化交易系统在右上角“组建下载”中查看。</w:t>
      </w:r>
    </w:p>
    <w:p w14:paraId="57C71C54">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（三）电子化投标文件的格式及上传投标</w:t>
      </w:r>
    </w:p>
    <w:p w14:paraId="441B1BFB">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1、投标人所上传的电子化投标文件，应是通过中心投标文件制作系统制作的，经过签章和加密后生成的电子版投标文件。生成的电子版投标文件包含用于投标文件上传的主文件（项目文件格式为：xxx公司_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项目名称.bin），备份文件主要用于电子化开标出现技术问题后的补救，请投标人随身携带。</w:t>
      </w:r>
    </w:p>
    <w:p w14:paraId="32D82007">
      <w:pPr>
        <w:spacing w:line="420" w:lineRule="exact"/>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注：（1）投标人投报多个标段的，根据标段制作各个标段的投标文件后上传</w:t>
      </w:r>
    </w:p>
    <w:p w14:paraId="1DAA34D8">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2、电子化投标文件应在投标截止时间前成功上传至平顶山市公共资源电子化交易系统。至投标截止时间止，仍未上传成功的电子化投标文件将不予接收。</w:t>
      </w:r>
    </w:p>
    <w:p w14:paraId="755CDB7A">
      <w:pPr>
        <w:spacing w:line="420" w:lineRule="exact"/>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5B42B32B">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（四）电子化项目开标、解密、唱标、评标</w:t>
      </w:r>
    </w:p>
    <w:p w14:paraId="2902F278">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1、电子化投标文件采用双重加密方式。开标时，首先由投标人使用CA证书，在规定时间内对其电子化投标文件进行首次解密，投标人解密完成后，再由中介服务机构使用CA证书对投标文件进行再次解密。</w:t>
      </w:r>
    </w:p>
    <w:p w14:paraId="15AF86A4">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2、电子化投标文件解密异常的处理</w:t>
      </w:r>
    </w:p>
    <w:p w14:paraId="471A1DC0">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如出现投标人的电子投标文件无法解密的情况，投标人应及时联系中介服务机构说明。投标文件解密异常，按以下步骤进行处理：</w:t>
      </w:r>
    </w:p>
    <w:p w14:paraId="6038A7B5">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（1）首先由技术人员进行问题排查。</w:t>
      </w:r>
    </w:p>
    <w:p w14:paraId="3CACA1E4">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（2）经技术人员排查后，是投标人文件自身问题导致投标文件无法解密的，该投标文件将不予接收、解密和唱标，开标会议继续进行。</w:t>
      </w:r>
    </w:p>
    <w:p w14:paraId="6FEA023D">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22F2F0A5">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3、待所有投标人投标文件解密完成后，由中介服务机构操作，对所有已解密投标文件进行唱标。</w:t>
      </w:r>
    </w:p>
    <w:p w14:paraId="3B4E4E67">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评标时，评标委员会对电子化投标文件有质疑的，将通过电子化交易系统对投标人发起质疑。质疑回复内容确认后，投标人的回复文件必须以经过投标人和其法定代表人签章的PDF格式文件为准，并通过电子化交易系统提交至评标委员会。</w:t>
      </w:r>
    </w:p>
    <w:p w14:paraId="4D506ACC">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5、如评标委员会对需要回复的投标人回复内容有异议的，经过几次回复仍不清楚的，需在监督下进行免提电话进行质疑。</w:t>
      </w:r>
    </w:p>
    <w:p w14:paraId="555D432D">
      <w:pPr>
        <w:spacing w:line="42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6、评标时如因系统异常、停电、电脑病毒、网络堵塞等原因无法正常进行的，由技术人员排查解决，短时间无法解决的，经监督部门同意后，暂停评标活动，待问题解决后继续评标。</w:t>
      </w:r>
    </w:p>
    <w:p w14:paraId="41494559">
      <w:pPr>
        <w:spacing w:line="420" w:lineRule="exact"/>
        <w:ind w:firstLine="480" w:firstLineChars="200"/>
        <w:rPr>
          <w:rFonts w:hint="eastAsia" w:ascii="宋体" w:hAnsi="宋体" w:cs="宋体"/>
          <w:color w:val="auto"/>
          <w:sz w:val="24"/>
          <w:szCs w:val="24"/>
        </w:rPr>
      </w:pPr>
    </w:p>
    <w:p w14:paraId="1C35D8F8">
      <w:pPr>
        <w:pStyle w:val="13"/>
        <w:spacing w:line="440" w:lineRule="exact"/>
        <w:ind w:firstLine="480" w:firstLineChars="200"/>
        <w:rPr>
          <w:rFonts w:hint="eastAsia" w:ascii="宋体" w:hAnsi="宋体" w:cs="宋体"/>
          <w:color w:val="auto"/>
          <w:sz w:val="24"/>
          <w:szCs w:val="24"/>
        </w:rPr>
      </w:pPr>
    </w:p>
    <w:p w14:paraId="16B0B3D2">
      <w:pPr>
        <w:pStyle w:val="13"/>
        <w:spacing w:line="440" w:lineRule="exact"/>
        <w:ind w:firstLine="480" w:firstLineChars="200"/>
        <w:rPr>
          <w:rFonts w:hint="eastAsia" w:ascii="宋体" w:hAnsi="宋体" w:cs="宋体"/>
          <w:color w:val="auto"/>
          <w:sz w:val="24"/>
          <w:szCs w:val="24"/>
        </w:rPr>
      </w:pPr>
    </w:p>
    <w:p w14:paraId="5F4300E1">
      <w:pPr>
        <w:rPr>
          <w:color w:val="auto"/>
        </w:rPr>
      </w:pPr>
    </w:p>
    <w:sectPr>
      <w:headerReference r:id="rId8" w:type="default"/>
      <w:footerReference r:id="rId9" w:type="default"/>
      <w:pgSz w:w="11906" w:h="16838"/>
      <w:pgMar w:top="1417" w:right="1417" w:bottom="1417" w:left="1134" w:header="851" w:footer="726"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华文宋体">
    <w:panose1 w:val="02010600040101010101"/>
    <w:charset w:val="86"/>
    <w:family w:val="auto"/>
    <w:pitch w:val="default"/>
    <w:sig w:usb0="00000287" w:usb1="080F0000" w:usb2="00000000" w:usb3="00000000" w:csb0="0004009F" w:csb1="DFD70000"/>
  </w:font>
  <w:font w:name="Wingdings 2">
    <w:panose1 w:val="05020102010507070707"/>
    <w:charset w:val="02"/>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86A23">
    <w:pPr>
      <w:pStyle w:val="15"/>
      <w:pBdr>
        <w:top w:val="thinThickSmallGap" w:color="622423" w:sz="24" w:space="1"/>
      </w:pBdr>
      <w:tabs>
        <w:tab w:val="right" w:pos="8787"/>
        <w:tab w:val="clear" w:pos="4153"/>
        <w:tab w:val="clear" w:pos="8306"/>
      </w:tabs>
      <w:rPr>
        <w:rFonts w:ascii="Cambria" w:hAnsi="Cambria"/>
        <w:sz w:val="21"/>
        <w:szCs w:val="21"/>
      </w:rPr>
    </w:pPr>
    <w:r>
      <mc:AlternateContent>
        <mc:Choice Requires="wps">
          <w:drawing>
            <wp:anchor distT="0" distB="0" distL="114300" distR="114300" simplePos="0" relativeHeight="251661312" behindDoc="0" locked="0" layoutInCell="1" allowOverlap="1">
              <wp:simplePos x="0" y="0"/>
              <wp:positionH relativeFrom="margin">
                <wp:posOffset>5652770</wp:posOffset>
              </wp:positionH>
              <wp:positionV relativeFrom="paragraph">
                <wp:posOffset>52070</wp:posOffset>
              </wp:positionV>
              <wp:extent cx="76200" cy="177165"/>
              <wp:effectExtent l="0" t="0" r="0" b="0"/>
              <wp:wrapNone/>
              <wp:docPr id="12" name="文本框6"/>
              <wp:cNvGraphicFramePr/>
              <a:graphic xmlns:a="http://schemas.openxmlformats.org/drawingml/2006/main">
                <a:graphicData uri="http://schemas.microsoft.com/office/word/2010/wordprocessingShape">
                  <wps:wsp>
                    <wps:cNvSpPr txBox="1"/>
                    <wps:spPr>
                      <a:xfrm>
                        <a:off x="0" y="0"/>
                        <a:ext cx="76200" cy="177165"/>
                      </a:xfrm>
                      <a:prstGeom prst="rect">
                        <a:avLst/>
                      </a:prstGeom>
                      <a:noFill/>
                      <a:ln w="9525">
                        <a:noFill/>
                      </a:ln>
                      <a:effectLst/>
                    </wps:spPr>
                    <wps:txbx>
                      <w:txbxContent>
                        <w:p w14:paraId="76AC0DF1">
                          <w:pPr>
                            <w:snapToGrid w:val="0"/>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w:t>
                          </w:r>
                          <w:r>
                            <w:rPr>
                              <w:rFonts w:hint="eastAsia"/>
                              <w:sz w:val="18"/>
                              <w:szCs w:val="18"/>
                            </w:rPr>
                            <w:fldChar w:fldCharType="end"/>
                          </w:r>
                        </w:p>
                      </w:txbxContent>
                    </wps:txbx>
                    <wps:bodyPr lIns="0" tIns="0" rIns="0" bIns="0"/>
                  </wps:wsp>
                </a:graphicData>
              </a:graphic>
            </wp:anchor>
          </w:drawing>
        </mc:Choice>
        <mc:Fallback>
          <w:pict>
            <v:shape id="文本框6" o:spid="_x0000_s1026" o:spt="202" type="#_x0000_t202" style="position:absolute;left:0pt;margin-left:445.1pt;margin-top:4.1pt;height:13.95pt;width:6pt;mso-position-horizontal-relative:margin;z-index:251661312;mso-width-relative:page;mso-height-relative:page;" filled="f" stroked="f" coordsize="21600,21600" o:gfxdata="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4IB/TUAAAACAEAAA8AAAAAAAAAAQAgAAAAIgAAAGRycy9kb3ducmV2LnhtbFBLAQIU&#10;ABQAAAAIAIdO4kARdM0PvgEAAHsDAAAOAAAAAAAAAAEAIAAAACMBAABkcnMvZTJvRG9jLnhtbFBL&#10;BQYAAAAABgAGAFkBAABTBQAAAAA=&#10;">
              <v:fill on="f" focussize="0,0"/>
              <v:stroke on="f"/>
              <v:imagedata o:title=""/>
              <o:lock v:ext="edit" aspectratio="f"/>
              <v:textbox inset="0mm,0mm,0mm,0mm">
                <w:txbxContent>
                  <w:p w14:paraId="76AC0DF1">
                    <w:pPr>
                      <w:snapToGrid w:val="0"/>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w:t>
                    </w:r>
                    <w:r>
                      <w:rPr>
                        <w:rFonts w:hint="eastAsia"/>
                        <w:sz w:val="18"/>
                        <w:szCs w:val="18"/>
                      </w:rPr>
                      <w:fldChar w:fldCharType="end"/>
                    </w:r>
                  </w:p>
                </w:txbxContent>
              </v:textbox>
            </v:shape>
          </w:pict>
        </mc:Fallback>
      </mc:AlternateContent>
    </w:r>
    <w:r>
      <w:rPr>
        <w:rFonts w:hint="eastAsia" w:ascii="Cambria" w:hAnsi="Cambria"/>
        <w:sz w:val="21"/>
        <w:szCs w:val="21"/>
      </w:rPr>
      <w:t xml:space="preserve"> 河南荣之鑫工程管理有限公司</w:t>
    </w:r>
    <w:r>
      <w:rPr>
        <w:rFonts w:ascii="Cambria" w:hAnsi="Cambria"/>
        <w:sz w:val="21"/>
        <w:szCs w:val="21"/>
        <w:lang w:val="zh-CN"/>
      </w:rPr>
      <w:tab/>
    </w:r>
    <w:r>
      <w:rPr>
        <w:rFonts w:ascii="Cambria" w:hAnsi="Cambria"/>
        <w:sz w:val="21"/>
        <w:szCs w:val="21"/>
        <w:lang w:val="zh-CN"/>
      </w:rPr>
      <w:t xml:space="preserve"> </w:t>
    </w:r>
    <w:r>
      <w:rPr>
        <w:rFonts w:hint="eastAsia"/>
        <w:sz w:val="21"/>
        <w:szCs w:val="21"/>
      </w:rPr>
      <w:t xml:space="preserve"> </w:t>
    </w:r>
  </w:p>
  <w:p w14:paraId="75295EBE">
    <w:pPr>
      <w:pStyle w:val="15"/>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ECAEC">
    <w:pPr>
      <w:pStyle w:val="15"/>
      <w:framePr w:wrap="around" w:vAnchor="text" w:hAnchor="margin" w:xAlign="center" w:y="1"/>
      <w:rPr>
        <w:rStyle w:val="27"/>
      </w:rPr>
    </w:pPr>
    <w:r>
      <w:fldChar w:fldCharType="begin"/>
    </w:r>
    <w:r>
      <w:rPr>
        <w:rStyle w:val="27"/>
      </w:rPr>
      <w:instrText xml:space="preserve">PAGE  </w:instrText>
    </w:r>
    <w:r>
      <w:fldChar w:fldCharType="separate"/>
    </w:r>
    <w:r>
      <w:rPr>
        <w:rStyle w:val="27"/>
      </w:rPr>
      <w:t>1</w:t>
    </w:r>
    <w:r>
      <w:fldChar w:fldCharType="end"/>
    </w:r>
  </w:p>
  <w:p w14:paraId="6EF1CE1B">
    <w:pPr>
      <w:pStyle w:val="1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274F1">
    <w:pPr>
      <w:pStyle w:val="15"/>
      <w:pBdr>
        <w:top w:val="thinThickSmallGap" w:color="622423" w:sz="24" w:space="1"/>
      </w:pBdr>
      <w:tabs>
        <w:tab w:val="right" w:pos="8787"/>
        <w:tab w:val="clear" w:pos="4153"/>
        <w:tab w:val="clear" w:pos="8306"/>
      </w:tabs>
      <w:rPr>
        <w:rFonts w:ascii="Cambria" w:hAnsi="Cambria"/>
        <w:sz w:val="21"/>
        <w:szCs w:val="21"/>
      </w:rPr>
    </w:pPr>
    <w:r>
      <mc:AlternateContent>
        <mc:Choice Requires="wps">
          <w:drawing>
            <wp:anchor distT="0" distB="0" distL="114300" distR="114300" simplePos="0" relativeHeight="251659264" behindDoc="0" locked="0" layoutInCell="1" allowOverlap="1">
              <wp:simplePos x="0" y="0"/>
              <wp:positionH relativeFrom="margin">
                <wp:posOffset>5538470</wp:posOffset>
              </wp:positionH>
              <wp:positionV relativeFrom="paragraph">
                <wp:posOffset>45720</wp:posOffset>
              </wp:positionV>
              <wp:extent cx="297180" cy="217805"/>
              <wp:effectExtent l="0" t="0" r="0" b="0"/>
              <wp:wrapNone/>
              <wp:docPr id="17" name="文本框 4"/>
              <wp:cNvGraphicFramePr/>
              <a:graphic xmlns:a="http://schemas.openxmlformats.org/drawingml/2006/main">
                <a:graphicData uri="http://schemas.microsoft.com/office/word/2010/wordprocessingShape">
                  <wps:wsp>
                    <wps:cNvSpPr txBox="1"/>
                    <wps:spPr>
                      <a:xfrm>
                        <a:off x="0" y="0"/>
                        <a:ext cx="297392" cy="217805"/>
                      </a:xfrm>
                      <a:prstGeom prst="rect">
                        <a:avLst/>
                      </a:prstGeom>
                      <a:noFill/>
                      <a:ln w="9525">
                        <a:noFill/>
                      </a:ln>
                      <a:effectLst/>
                    </wps:spPr>
                    <wps:txbx>
                      <w:txbxContent>
                        <w:p w14:paraId="24CD0C37">
                          <w:pPr>
                            <w:snapToGrid w:val="0"/>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41</w:t>
                          </w:r>
                          <w:r>
                            <w:rPr>
                              <w:rFonts w:hint="eastAsia"/>
                              <w:sz w:val="18"/>
                              <w:szCs w:val="18"/>
                            </w:rPr>
                            <w:fldChar w:fldCharType="end"/>
                          </w:r>
                        </w:p>
                      </w:txbxContent>
                    </wps:txbx>
                    <wps:bodyPr wrap="square" lIns="0" tIns="0" rIns="0" bIns="0"/>
                  </wps:wsp>
                </a:graphicData>
              </a:graphic>
            </wp:anchor>
          </w:drawing>
        </mc:Choice>
        <mc:Fallback>
          <w:pict>
            <v:shape id="文本框 4" o:spid="_x0000_s1026" o:spt="202" type="#_x0000_t202" style="position:absolute;left:0pt;margin-left:436.1pt;margin-top:3.6pt;height:17.15pt;width:23.4pt;mso-position-horizontal-relative:margin;z-index:251659264;mso-width-relative:page;mso-height-relative:page;" filled="f" stroked="f" coordsize="21600,21600" o:gfxdata="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mPRb72AAAAAgBAAAPAAAAAAAAAAEAIAAAACIAAABkcnMv&#10;ZG93bnJldi54bWxQSwECFAAUAAAACACHTuJApm29Y8oBAACLAwAADgAAAAAAAAABACAAAAAnAQAA&#10;ZHJzL2Uyb0RvYy54bWxQSwUGAAAAAAYABgBZAQAAYwUAAAAA&#10;">
              <v:fill on="f" focussize="0,0"/>
              <v:stroke on="f"/>
              <v:imagedata o:title=""/>
              <o:lock v:ext="edit" aspectratio="f"/>
              <v:textbox inset="0mm,0mm,0mm,0mm">
                <w:txbxContent>
                  <w:p w14:paraId="24CD0C37">
                    <w:pPr>
                      <w:snapToGrid w:val="0"/>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41</w:t>
                    </w:r>
                    <w:r>
                      <w:rPr>
                        <w:rFonts w:hint="eastAsia"/>
                        <w:sz w:val="18"/>
                        <w:szCs w:val="18"/>
                      </w:rPr>
                      <w:fldChar w:fldCharType="end"/>
                    </w:r>
                  </w:p>
                </w:txbxContent>
              </v:textbox>
            </v:shape>
          </w:pict>
        </mc:Fallback>
      </mc:AlternateContent>
    </w:r>
    <w:r>
      <w:rPr>
        <w:rFonts w:hint="eastAsia" w:ascii="Cambria" w:hAnsi="Cambria"/>
        <w:szCs w:val="18"/>
      </w:rPr>
      <w:t xml:space="preserve"> 河南荣之鑫工程管理有限公司</w:t>
    </w:r>
    <w:r>
      <w:rPr>
        <w:rFonts w:ascii="Cambria" w:hAnsi="Cambria"/>
        <w:sz w:val="21"/>
        <w:szCs w:val="21"/>
        <w:lang w:val="zh-CN"/>
      </w:rPr>
      <w:t xml:space="preserve"> </w:t>
    </w:r>
    <w:r>
      <w:rPr>
        <w:rFonts w:hint="eastAsia"/>
        <w:sz w:val="21"/>
        <w:szCs w:val="21"/>
      </w:rPr>
      <w:t xml:space="preserve"> </w:t>
    </w:r>
  </w:p>
  <w:p w14:paraId="30C35EC9">
    <w:pPr>
      <w:pStyle w:val="15"/>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C0228">
    <w:pPr>
      <w:pStyle w:val="17"/>
      <w:pBdr>
        <w:bottom w:val="thickThinSmallGap" w:color="622423" w:sz="24" w:space="1"/>
        <w:right w:val="none" w:color="auto" w:sz="0" w:space="8"/>
      </w:pBdr>
      <w:ind w:firstLine="210" w:firstLineChars="100"/>
      <w:jc w:val="left"/>
      <w:rPr>
        <w:rFonts w:ascii="Cambria" w:hAnsi="Cambria"/>
        <w:sz w:val="21"/>
        <w:szCs w:val="21"/>
      </w:rPr>
    </w:pPr>
    <w:r>
      <w:rPr>
        <w:rFonts w:hint="eastAsia" w:ascii="宋体" w:hAnsi="宋体"/>
        <w:sz w:val="21"/>
        <w:szCs w:val="21"/>
        <w:lang w:eastAsia="zh-CN"/>
      </w:rPr>
      <w:t>平顶山市第一人民医院优越路院区维修下送服务外包项目</w:t>
    </w:r>
    <w:r>
      <w:rPr>
        <w:rFonts w:hint="eastAsia" w:ascii="宋体" w:hAnsi="宋体"/>
        <w:color w:val="000000"/>
        <w:szCs w:val="18"/>
        <w:shd w:val="clear" w:color="auto" w:fill="FFFFFF"/>
      </w:rPr>
      <w:t xml:space="preserve">     </w:t>
    </w:r>
    <w:r>
      <w:rPr>
        <w:rFonts w:hint="eastAsia" w:ascii="宋体" w:hAnsi="宋体"/>
        <w:color w:val="000000"/>
        <w:sz w:val="21"/>
        <w:szCs w:val="21"/>
        <w:shd w:val="clear" w:color="auto" w:fill="FFFFFF"/>
      </w:rPr>
      <w:t xml:space="preserve">    </w:t>
    </w:r>
    <w:r>
      <w:rPr>
        <w:rFonts w:hint="eastAsia" w:ascii="宋体" w:hAnsi="宋体"/>
        <w:color w:val="000000"/>
        <w:sz w:val="21"/>
        <w:szCs w:val="21"/>
        <w:shd w:val="clear" w:color="auto" w:fill="FFFFFF"/>
        <w:lang w:val="en-US" w:eastAsia="zh-CN"/>
      </w:rPr>
      <w:t xml:space="preserve">      </w:t>
    </w:r>
    <w:r>
      <w:rPr>
        <w:rFonts w:hint="eastAsia" w:ascii="宋体" w:hAnsi="宋体"/>
        <w:color w:val="000000"/>
        <w:sz w:val="21"/>
        <w:szCs w:val="21"/>
        <w:shd w:val="clear" w:color="auto" w:fill="FFFFFF"/>
      </w:rPr>
      <w:t xml:space="preserve">        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816C">
    <w:pPr>
      <w:pStyle w:val="17"/>
      <w:pBdr>
        <w:bottom w:val="thickThinSmallGap" w:color="622423" w:sz="24" w:space="1"/>
      </w:pBdr>
      <w:ind w:firstLine="180" w:firstLineChars="100"/>
      <w:jc w:val="left"/>
      <w:rPr>
        <w:rFonts w:ascii="Cambria" w:hAnsi="Cambria"/>
        <w:szCs w:val="18"/>
      </w:rPr>
    </w:pPr>
    <w:r>
      <w:rPr>
        <w:rFonts w:hint="eastAsia" w:ascii="宋体" w:hAnsi="宋体"/>
        <w:color w:val="000000"/>
        <w:szCs w:val="18"/>
        <w:shd w:val="clear" w:color="auto" w:fill="FFFFFF"/>
        <w:lang w:eastAsia="zh-CN"/>
      </w:rPr>
      <w:t>平顶山市第一人民医院优越路院区维修下送服务外包项目</w:t>
    </w:r>
    <w:r>
      <w:rPr>
        <w:rFonts w:hint="eastAsia" w:ascii="宋体" w:hAnsi="宋体"/>
        <w:color w:val="000000"/>
        <w:szCs w:val="18"/>
        <w:shd w:val="clear" w:color="auto" w:fill="FFFFFF"/>
      </w:rPr>
      <w:t xml:space="preserve">            </w:t>
    </w:r>
    <w:r>
      <w:rPr>
        <w:rFonts w:hint="eastAsia" w:ascii="宋体" w:hAnsi="宋体"/>
        <w:color w:val="000000"/>
        <w:szCs w:val="18"/>
        <w:shd w:val="clear" w:color="auto" w:fill="FFFFFF"/>
        <w:lang w:val="en-US" w:eastAsia="zh-CN"/>
      </w:rPr>
      <w:t xml:space="preserve">       </w:t>
    </w:r>
    <w:r>
      <w:rPr>
        <w:rFonts w:hint="eastAsia" w:ascii="宋体" w:hAnsi="宋体"/>
        <w:color w:val="000000"/>
        <w:szCs w:val="18"/>
        <w:shd w:val="clear" w:color="auto" w:fill="FFFFFF"/>
      </w:rPr>
      <w:t xml:space="preserve">        </w:t>
    </w:r>
    <w:r>
      <w:rPr>
        <w:rFonts w:hint="eastAsia" w:ascii="宋体" w:hAnsi="宋体"/>
        <w:color w:val="000000"/>
        <w:szCs w:val="18"/>
        <w:shd w:val="clear" w:color="auto" w:fill="FFFFFF"/>
        <w:lang w:val="en-US" w:eastAsia="zh-CN"/>
      </w:rPr>
      <w:t xml:space="preserve"> </w:t>
    </w:r>
    <w:r>
      <w:rPr>
        <w:rFonts w:hint="eastAsia" w:ascii="宋体" w:hAnsi="宋体"/>
        <w:color w:val="000000"/>
        <w:szCs w:val="18"/>
        <w:shd w:val="clear" w:color="auto" w:fill="FFFFFF"/>
      </w:rPr>
      <w:t xml:space="preserve">        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8CAE1F"/>
    <w:multiLevelType w:val="singleLevel"/>
    <w:tmpl w:val="208CAE1F"/>
    <w:lvl w:ilvl="0" w:tentative="0">
      <w:start w:val="2"/>
      <w:numFmt w:val="chineseCounting"/>
      <w:suff w:val="nothing"/>
      <w:lvlText w:val="%1、"/>
      <w:lvlJc w:val="left"/>
      <w:rPr>
        <w:rFonts w:hint="eastAsia"/>
      </w:rPr>
    </w:lvl>
  </w:abstractNum>
  <w:abstractNum w:abstractNumId="1">
    <w:nsid w:val="64A0FE59"/>
    <w:multiLevelType w:val="singleLevel"/>
    <w:tmpl w:val="64A0FE59"/>
    <w:lvl w:ilvl="0" w:tentative="0">
      <w:start w:val="2"/>
      <w:numFmt w:val="decimal"/>
      <w:suff w:val="nothing"/>
      <w:lvlText w:val="%1、"/>
      <w:lvlJc w:val="left"/>
    </w:lvl>
  </w:abstractNum>
  <w:abstractNum w:abstractNumId="2">
    <w:nsid w:val="71F7F9DA"/>
    <w:multiLevelType w:val="singleLevel"/>
    <w:tmpl w:val="71F7F9DA"/>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4YjMzNTUxNjAwNjk2N2IzY2NjZTQwOWZjMTM0OGYifQ=="/>
  </w:docVars>
  <w:rsids>
    <w:rsidRoot w:val="008C670D"/>
    <w:rsid w:val="00051DA5"/>
    <w:rsid w:val="00057B76"/>
    <w:rsid w:val="0009450D"/>
    <w:rsid w:val="000B6EB1"/>
    <w:rsid w:val="00103D2B"/>
    <w:rsid w:val="001070E3"/>
    <w:rsid w:val="00124887"/>
    <w:rsid w:val="00131DE6"/>
    <w:rsid w:val="001665BA"/>
    <w:rsid w:val="0017227E"/>
    <w:rsid w:val="001B60FE"/>
    <w:rsid w:val="00267E04"/>
    <w:rsid w:val="002854DA"/>
    <w:rsid w:val="002A2A87"/>
    <w:rsid w:val="00311D15"/>
    <w:rsid w:val="003137C5"/>
    <w:rsid w:val="003425E3"/>
    <w:rsid w:val="003645AF"/>
    <w:rsid w:val="003A0DBF"/>
    <w:rsid w:val="003B0CFD"/>
    <w:rsid w:val="003C2772"/>
    <w:rsid w:val="003C659C"/>
    <w:rsid w:val="003D7425"/>
    <w:rsid w:val="00414CCC"/>
    <w:rsid w:val="00440A8D"/>
    <w:rsid w:val="0046475E"/>
    <w:rsid w:val="004649B8"/>
    <w:rsid w:val="00560ECA"/>
    <w:rsid w:val="00562782"/>
    <w:rsid w:val="00577718"/>
    <w:rsid w:val="005920F9"/>
    <w:rsid w:val="005C3707"/>
    <w:rsid w:val="005D2854"/>
    <w:rsid w:val="00616402"/>
    <w:rsid w:val="006665A6"/>
    <w:rsid w:val="00675481"/>
    <w:rsid w:val="00696F7E"/>
    <w:rsid w:val="006B634B"/>
    <w:rsid w:val="006C41D8"/>
    <w:rsid w:val="006E29B7"/>
    <w:rsid w:val="006F3191"/>
    <w:rsid w:val="006F577C"/>
    <w:rsid w:val="006F636E"/>
    <w:rsid w:val="007705A8"/>
    <w:rsid w:val="007C2CDB"/>
    <w:rsid w:val="007D6600"/>
    <w:rsid w:val="008128D2"/>
    <w:rsid w:val="008250A8"/>
    <w:rsid w:val="008C670D"/>
    <w:rsid w:val="0091013C"/>
    <w:rsid w:val="00923CA8"/>
    <w:rsid w:val="00945444"/>
    <w:rsid w:val="009572CB"/>
    <w:rsid w:val="0098528E"/>
    <w:rsid w:val="009876C7"/>
    <w:rsid w:val="009F7B5C"/>
    <w:rsid w:val="00A14638"/>
    <w:rsid w:val="00A70ADC"/>
    <w:rsid w:val="00A9728D"/>
    <w:rsid w:val="00B043D6"/>
    <w:rsid w:val="00B04764"/>
    <w:rsid w:val="00B76F10"/>
    <w:rsid w:val="00B77430"/>
    <w:rsid w:val="00BF7E90"/>
    <w:rsid w:val="00C27028"/>
    <w:rsid w:val="00C46F13"/>
    <w:rsid w:val="00CD3DE4"/>
    <w:rsid w:val="00CE79E8"/>
    <w:rsid w:val="00D03BB1"/>
    <w:rsid w:val="00D25D5C"/>
    <w:rsid w:val="00D86DE4"/>
    <w:rsid w:val="00DE0738"/>
    <w:rsid w:val="00ED6D53"/>
    <w:rsid w:val="00F478AA"/>
    <w:rsid w:val="00F5151C"/>
    <w:rsid w:val="00F637AF"/>
    <w:rsid w:val="00FD5F34"/>
    <w:rsid w:val="00FE6908"/>
    <w:rsid w:val="0100390C"/>
    <w:rsid w:val="01064C9A"/>
    <w:rsid w:val="0147778C"/>
    <w:rsid w:val="016215FB"/>
    <w:rsid w:val="01747E56"/>
    <w:rsid w:val="01822481"/>
    <w:rsid w:val="0199101D"/>
    <w:rsid w:val="01993D60"/>
    <w:rsid w:val="019F1377"/>
    <w:rsid w:val="01A203CB"/>
    <w:rsid w:val="01CE2009"/>
    <w:rsid w:val="01CE3A0A"/>
    <w:rsid w:val="01E20948"/>
    <w:rsid w:val="01EC0334"/>
    <w:rsid w:val="02144B50"/>
    <w:rsid w:val="0216715F"/>
    <w:rsid w:val="02315D47"/>
    <w:rsid w:val="02581D5D"/>
    <w:rsid w:val="02654334"/>
    <w:rsid w:val="0273010D"/>
    <w:rsid w:val="027520D7"/>
    <w:rsid w:val="02755CF7"/>
    <w:rsid w:val="02AE1145"/>
    <w:rsid w:val="02C660E2"/>
    <w:rsid w:val="02EE128B"/>
    <w:rsid w:val="02F4124E"/>
    <w:rsid w:val="031452AA"/>
    <w:rsid w:val="03321D76"/>
    <w:rsid w:val="03403591"/>
    <w:rsid w:val="03404493"/>
    <w:rsid w:val="03483348"/>
    <w:rsid w:val="03563CB7"/>
    <w:rsid w:val="03724E62"/>
    <w:rsid w:val="039353A3"/>
    <w:rsid w:val="039D0E8A"/>
    <w:rsid w:val="039D18E6"/>
    <w:rsid w:val="03A13606"/>
    <w:rsid w:val="03A34A22"/>
    <w:rsid w:val="03A56952"/>
    <w:rsid w:val="03BD5AE4"/>
    <w:rsid w:val="03D45534"/>
    <w:rsid w:val="0407613B"/>
    <w:rsid w:val="040C25C7"/>
    <w:rsid w:val="04133419"/>
    <w:rsid w:val="0434414A"/>
    <w:rsid w:val="046C12B8"/>
    <w:rsid w:val="046E524A"/>
    <w:rsid w:val="047F723D"/>
    <w:rsid w:val="048E7480"/>
    <w:rsid w:val="04E35A1E"/>
    <w:rsid w:val="04E86B91"/>
    <w:rsid w:val="05032FD7"/>
    <w:rsid w:val="050D71A9"/>
    <w:rsid w:val="052851DF"/>
    <w:rsid w:val="058663AA"/>
    <w:rsid w:val="059B12C3"/>
    <w:rsid w:val="05B747B5"/>
    <w:rsid w:val="061425C8"/>
    <w:rsid w:val="06361B7E"/>
    <w:rsid w:val="0648365F"/>
    <w:rsid w:val="064F2C3F"/>
    <w:rsid w:val="06691F53"/>
    <w:rsid w:val="06AC665A"/>
    <w:rsid w:val="06AF595C"/>
    <w:rsid w:val="06E858E0"/>
    <w:rsid w:val="06F757B1"/>
    <w:rsid w:val="0700783C"/>
    <w:rsid w:val="071C70BB"/>
    <w:rsid w:val="074309F6"/>
    <w:rsid w:val="074B1CC4"/>
    <w:rsid w:val="076F5614"/>
    <w:rsid w:val="077C7A64"/>
    <w:rsid w:val="07807554"/>
    <w:rsid w:val="07D3133D"/>
    <w:rsid w:val="07D34683"/>
    <w:rsid w:val="08036978"/>
    <w:rsid w:val="081859DF"/>
    <w:rsid w:val="086D4B78"/>
    <w:rsid w:val="08713341"/>
    <w:rsid w:val="087748F9"/>
    <w:rsid w:val="08843074"/>
    <w:rsid w:val="08935065"/>
    <w:rsid w:val="089808CE"/>
    <w:rsid w:val="08BC0A60"/>
    <w:rsid w:val="08F301FA"/>
    <w:rsid w:val="090421AD"/>
    <w:rsid w:val="09212671"/>
    <w:rsid w:val="09316433"/>
    <w:rsid w:val="094B002E"/>
    <w:rsid w:val="094B004F"/>
    <w:rsid w:val="094B225D"/>
    <w:rsid w:val="096D3B08"/>
    <w:rsid w:val="097B123F"/>
    <w:rsid w:val="09886CCB"/>
    <w:rsid w:val="09BE6112"/>
    <w:rsid w:val="09D516AE"/>
    <w:rsid w:val="09FC6C3A"/>
    <w:rsid w:val="0A0340AD"/>
    <w:rsid w:val="0A454A85"/>
    <w:rsid w:val="0A5F5B47"/>
    <w:rsid w:val="0A674150"/>
    <w:rsid w:val="0A880574"/>
    <w:rsid w:val="0A9B6453"/>
    <w:rsid w:val="0AA97E17"/>
    <w:rsid w:val="0AAA48E8"/>
    <w:rsid w:val="0AB17A25"/>
    <w:rsid w:val="0AB80DB3"/>
    <w:rsid w:val="0AB97167"/>
    <w:rsid w:val="0ABB2680"/>
    <w:rsid w:val="0AD100C7"/>
    <w:rsid w:val="0AD876A7"/>
    <w:rsid w:val="0AFA4BBF"/>
    <w:rsid w:val="0B055ADF"/>
    <w:rsid w:val="0B3E7EC7"/>
    <w:rsid w:val="0B427D78"/>
    <w:rsid w:val="0B5F56D3"/>
    <w:rsid w:val="0B84338B"/>
    <w:rsid w:val="0B893FD9"/>
    <w:rsid w:val="0B995089"/>
    <w:rsid w:val="0BB24B5F"/>
    <w:rsid w:val="0BC234C9"/>
    <w:rsid w:val="0BD6330C"/>
    <w:rsid w:val="0BF422BF"/>
    <w:rsid w:val="0BFF0851"/>
    <w:rsid w:val="0C177D5B"/>
    <w:rsid w:val="0C5C7E64"/>
    <w:rsid w:val="0C6D2071"/>
    <w:rsid w:val="0C9870EE"/>
    <w:rsid w:val="0CA00976"/>
    <w:rsid w:val="0CA43CE5"/>
    <w:rsid w:val="0CBD4DA7"/>
    <w:rsid w:val="0CC003F3"/>
    <w:rsid w:val="0CF52FC6"/>
    <w:rsid w:val="0D076022"/>
    <w:rsid w:val="0D1E5FDD"/>
    <w:rsid w:val="0D2838E8"/>
    <w:rsid w:val="0D306426"/>
    <w:rsid w:val="0D4D1600"/>
    <w:rsid w:val="0D6D28F7"/>
    <w:rsid w:val="0D6E42F3"/>
    <w:rsid w:val="0D7373DB"/>
    <w:rsid w:val="0DA37844"/>
    <w:rsid w:val="0DB37F58"/>
    <w:rsid w:val="0DC61A39"/>
    <w:rsid w:val="0DC770EF"/>
    <w:rsid w:val="0DF465A6"/>
    <w:rsid w:val="0E0F3579"/>
    <w:rsid w:val="0E3757B4"/>
    <w:rsid w:val="0E4458B8"/>
    <w:rsid w:val="0E495604"/>
    <w:rsid w:val="0E5C2F7A"/>
    <w:rsid w:val="0E763536"/>
    <w:rsid w:val="0EA855E3"/>
    <w:rsid w:val="0EAF24CD"/>
    <w:rsid w:val="0EBE3B3B"/>
    <w:rsid w:val="0ECF5BBD"/>
    <w:rsid w:val="0ED32660"/>
    <w:rsid w:val="0EE74BDC"/>
    <w:rsid w:val="0F025937"/>
    <w:rsid w:val="0F111995"/>
    <w:rsid w:val="0F2C6214"/>
    <w:rsid w:val="0F470958"/>
    <w:rsid w:val="0F582B65"/>
    <w:rsid w:val="0F64150A"/>
    <w:rsid w:val="0F932C49"/>
    <w:rsid w:val="0FA74998"/>
    <w:rsid w:val="0FAB538A"/>
    <w:rsid w:val="0FAB6184"/>
    <w:rsid w:val="0FCB3337"/>
    <w:rsid w:val="0FD7617F"/>
    <w:rsid w:val="0FD82812"/>
    <w:rsid w:val="0FFC1742"/>
    <w:rsid w:val="10142F30"/>
    <w:rsid w:val="10582E9D"/>
    <w:rsid w:val="107C3CB2"/>
    <w:rsid w:val="107E65FB"/>
    <w:rsid w:val="1081433D"/>
    <w:rsid w:val="108712E4"/>
    <w:rsid w:val="108A77BA"/>
    <w:rsid w:val="109167D7"/>
    <w:rsid w:val="1106340F"/>
    <w:rsid w:val="111B02EE"/>
    <w:rsid w:val="1123314B"/>
    <w:rsid w:val="113676AF"/>
    <w:rsid w:val="11492901"/>
    <w:rsid w:val="117C7190"/>
    <w:rsid w:val="11940ACA"/>
    <w:rsid w:val="11B5429E"/>
    <w:rsid w:val="11C60692"/>
    <w:rsid w:val="120F56F9"/>
    <w:rsid w:val="12112066"/>
    <w:rsid w:val="122538A3"/>
    <w:rsid w:val="12266F4A"/>
    <w:rsid w:val="124374E0"/>
    <w:rsid w:val="12461F75"/>
    <w:rsid w:val="126323BF"/>
    <w:rsid w:val="12BB58E4"/>
    <w:rsid w:val="12C50555"/>
    <w:rsid w:val="12F6691D"/>
    <w:rsid w:val="131C0CDF"/>
    <w:rsid w:val="13210B56"/>
    <w:rsid w:val="13282EF1"/>
    <w:rsid w:val="13392CAD"/>
    <w:rsid w:val="13441ACF"/>
    <w:rsid w:val="13484121"/>
    <w:rsid w:val="138F0B1F"/>
    <w:rsid w:val="13963C5C"/>
    <w:rsid w:val="13A66595"/>
    <w:rsid w:val="13B9511F"/>
    <w:rsid w:val="1404150D"/>
    <w:rsid w:val="140A3F28"/>
    <w:rsid w:val="141334FE"/>
    <w:rsid w:val="14295259"/>
    <w:rsid w:val="143D2494"/>
    <w:rsid w:val="147A4A30"/>
    <w:rsid w:val="148436B4"/>
    <w:rsid w:val="148B1197"/>
    <w:rsid w:val="149F2FE4"/>
    <w:rsid w:val="14EA425F"/>
    <w:rsid w:val="14F74BCE"/>
    <w:rsid w:val="150D619F"/>
    <w:rsid w:val="1522216A"/>
    <w:rsid w:val="15282FD9"/>
    <w:rsid w:val="154126F9"/>
    <w:rsid w:val="15621F95"/>
    <w:rsid w:val="1567091B"/>
    <w:rsid w:val="15785D0F"/>
    <w:rsid w:val="157F0993"/>
    <w:rsid w:val="159236F7"/>
    <w:rsid w:val="15962060"/>
    <w:rsid w:val="15A07014"/>
    <w:rsid w:val="15A46B04"/>
    <w:rsid w:val="15B031F8"/>
    <w:rsid w:val="15B36D47"/>
    <w:rsid w:val="15EB4733"/>
    <w:rsid w:val="16027CCE"/>
    <w:rsid w:val="162145DE"/>
    <w:rsid w:val="162C2014"/>
    <w:rsid w:val="16314A30"/>
    <w:rsid w:val="16361726"/>
    <w:rsid w:val="163C1A4A"/>
    <w:rsid w:val="163C6D3C"/>
    <w:rsid w:val="16551BFC"/>
    <w:rsid w:val="16681976"/>
    <w:rsid w:val="16AB2114"/>
    <w:rsid w:val="16AB5C70"/>
    <w:rsid w:val="16B969AC"/>
    <w:rsid w:val="16BF71F5"/>
    <w:rsid w:val="16CC2CCF"/>
    <w:rsid w:val="16D178CA"/>
    <w:rsid w:val="16F83AC9"/>
    <w:rsid w:val="17166609"/>
    <w:rsid w:val="178E7A2F"/>
    <w:rsid w:val="179A3D7B"/>
    <w:rsid w:val="17AA5F28"/>
    <w:rsid w:val="18145FA4"/>
    <w:rsid w:val="183D40EF"/>
    <w:rsid w:val="18534811"/>
    <w:rsid w:val="186407CC"/>
    <w:rsid w:val="18710E80"/>
    <w:rsid w:val="18920358"/>
    <w:rsid w:val="18AB01A9"/>
    <w:rsid w:val="18AE1A47"/>
    <w:rsid w:val="18BA123D"/>
    <w:rsid w:val="18CE20EA"/>
    <w:rsid w:val="18E67433"/>
    <w:rsid w:val="18ED3525"/>
    <w:rsid w:val="19121FD6"/>
    <w:rsid w:val="192835A8"/>
    <w:rsid w:val="193E726F"/>
    <w:rsid w:val="19A075E2"/>
    <w:rsid w:val="19CF5CD4"/>
    <w:rsid w:val="19D63004"/>
    <w:rsid w:val="19DD03AD"/>
    <w:rsid w:val="19F811CC"/>
    <w:rsid w:val="1A07140F"/>
    <w:rsid w:val="1A2E2E40"/>
    <w:rsid w:val="1A400DC5"/>
    <w:rsid w:val="1A8A7B70"/>
    <w:rsid w:val="1AA749A0"/>
    <w:rsid w:val="1AAB26E2"/>
    <w:rsid w:val="1AAD43E7"/>
    <w:rsid w:val="1AB3519B"/>
    <w:rsid w:val="1AC5013C"/>
    <w:rsid w:val="1AE479A2"/>
    <w:rsid w:val="1AE7794B"/>
    <w:rsid w:val="1B0167A6"/>
    <w:rsid w:val="1B083637"/>
    <w:rsid w:val="1B177D78"/>
    <w:rsid w:val="1B313298"/>
    <w:rsid w:val="1B59213E"/>
    <w:rsid w:val="1B682381"/>
    <w:rsid w:val="1B684375"/>
    <w:rsid w:val="1BC145A8"/>
    <w:rsid w:val="1BDE0896"/>
    <w:rsid w:val="1BF27E9D"/>
    <w:rsid w:val="1C275D99"/>
    <w:rsid w:val="1C35495A"/>
    <w:rsid w:val="1C5A616E"/>
    <w:rsid w:val="1C7A05BE"/>
    <w:rsid w:val="1CBF04B5"/>
    <w:rsid w:val="1CC25D97"/>
    <w:rsid w:val="1CD31A7D"/>
    <w:rsid w:val="1CDD0B4D"/>
    <w:rsid w:val="1CE343B6"/>
    <w:rsid w:val="1CE912A0"/>
    <w:rsid w:val="1CFD541C"/>
    <w:rsid w:val="1D2E190D"/>
    <w:rsid w:val="1D483A57"/>
    <w:rsid w:val="1D4D182F"/>
    <w:rsid w:val="1D6B6EF8"/>
    <w:rsid w:val="1DB95116"/>
    <w:rsid w:val="1DED6B6E"/>
    <w:rsid w:val="1DF175EB"/>
    <w:rsid w:val="1E05030A"/>
    <w:rsid w:val="1E1D42E2"/>
    <w:rsid w:val="1E30343A"/>
    <w:rsid w:val="1E320A25"/>
    <w:rsid w:val="1E3E73CA"/>
    <w:rsid w:val="1E4A2212"/>
    <w:rsid w:val="1E4F3E33"/>
    <w:rsid w:val="1E6D7CAF"/>
    <w:rsid w:val="1E7754DA"/>
    <w:rsid w:val="1E9D0594"/>
    <w:rsid w:val="1E9D5733"/>
    <w:rsid w:val="1EAF2075"/>
    <w:rsid w:val="1EDD6FFC"/>
    <w:rsid w:val="1EEC4C88"/>
    <w:rsid w:val="1EF906ED"/>
    <w:rsid w:val="1EFA3C38"/>
    <w:rsid w:val="1EFC1A3D"/>
    <w:rsid w:val="1EFC4779"/>
    <w:rsid w:val="1F073C5F"/>
    <w:rsid w:val="1F1620F4"/>
    <w:rsid w:val="1F38206B"/>
    <w:rsid w:val="1F5E22C7"/>
    <w:rsid w:val="1F654410"/>
    <w:rsid w:val="1F691A29"/>
    <w:rsid w:val="1F7532BF"/>
    <w:rsid w:val="1F817EB6"/>
    <w:rsid w:val="1F8E0DF1"/>
    <w:rsid w:val="1F9E45C4"/>
    <w:rsid w:val="1FB2006F"/>
    <w:rsid w:val="1FC87BE3"/>
    <w:rsid w:val="1FCD2A11"/>
    <w:rsid w:val="20592BE1"/>
    <w:rsid w:val="208066D1"/>
    <w:rsid w:val="20875058"/>
    <w:rsid w:val="20915ED7"/>
    <w:rsid w:val="2092608C"/>
    <w:rsid w:val="20991F81"/>
    <w:rsid w:val="20B31BF1"/>
    <w:rsid w:val="20B83463"/>
    <w:rsid w:val="20E029BA"/>
    <w:rsid w:val="20F34C82"/>
    <w:rsid w:val="21240AF9"/>
    <w:rsid w:val="212806DD"/>
    <w:rsid w:val="213B4094"/>
    <w:rsid w:val="21621621"/>
    <w:rsid w:val="21661111"/>
    <w:rsid w:val="216A0EB4"/>
    <w:rsid w:val="2199566E"/>
    <w:rsid w:val="21AF7AFC"/>
    <w:rsid w:val="21B300CF"/>
    <w:rsid w:val="21F7620D"/>
    <w:rsid w:val="220A636E"/>
    <w:rsid w:val="223A125F"/>
    <w:rsid w:val="224156DA"/>
    <w:rsid w:val="22806203"/>
    <w:rsid w:val="22B91715"/>
    <w:rsid w:val="22C04851"/>
    <w:rsid w:val="22C24A6D"/>
    <w:rsid w:val="22D04830"/>
    <w:rsid w:val="22D413D0"/>
    <w:rsid w:val="22D93B65"/>
    <w:rsid w:val="22DB4A25"/>
    <w:rsid w:val="22DB5B2F"/>
    <w:rsid w:val="22F17100"/>
    <w:rsid w:val="23353CAF"/>
    <w:rsid w:val="23411E36"/>
    <w:rsid w:val="2342795C"/>
    <w:rsid w:val="23623B5A"/>
    <w:rsid w:val="23897339"/>
    <w:rsid w:val="23D902C0"/>
    <w:rsid w:val="23DA7B95"/>
    <w:rsid w:val="23DF7F13"/>
    <w:rsid w:val="23E92421"/>
    <w:rsid w:val="240D1D18"/>
    <w:rsid w:val="245943CB"/>
    <w:rsid w:val="2475774C"/>
    <w:rsid w:val="249E6E14"/>
    <w:rsid w:val="24A87C93"/>
    <w:rsid w:val="24B46637"/>
    <w:rsid w:val="24D947CC"/>
    <w:rsid w:val="24E011DB"/>
    <w:rsid w:val="24F775A7"/>
    <w:rsid w:val="25102293"/>
    <w:rsid w:val="25392602"/>
    <w:rsid w:val="253E063E"/>
    <w:rsid w:val="25473008"/>
    <w:rsid w:val="255078B8"/>
    <w:rsid w:val="256C0CC0"/>
    <w:rsid w:val="256F255E"/>
    <w:rsid w:val="25807FE4"/>
    <w:rsid w:val="25CD1B0A"/>
    <w:rsid w:val="25D574A7"/>
    <w:rsid w:val="25DE2BC8"/>
    <w:rsid w:val="260333D3"/>
    <w:rsid w:val="26184C5A"/>
    <w:rsid w:val="263A2B6C"/>
    <w:rsid w:val="2668683F"/>
    <w:rsid w:val="26A821CC"/>
    <w:rsid w:val="26AA7CF2"/>
    <w:rsid w:val="26C871EB"/>
    <w:rsid w:val="26D92385"/>
    <w:rsid w:val="26DE5BEE"/>
    <w:rsid w:val="26E6443F"/>
    <w:rsid w:val="27733EF7"/>
    <w:rsid w:val="27770AA4"/>
    <w:rsid w:val="277F14D1"/>
    <w:rsid w:val="278E372E"/>
    <w:rsid w:val="27A04163"/>
    <w:rsid w:val="27A27E29"/>
    <w:rsid w:val="27B412A0"/>
    <w:rsid w:val="27DC7457"/>
    <w:rsid w:val="27E6678F"/>
    <w:rsid w:val="27F21E4F"/>
    <w:rsid w:val="27F51899"/>
    <w:rsid w:val="27FF5365"/>
    <w:rsid w:val="28083F30"/>
    <w:rsid w:val="28213FE4"/>
    <w:rsid w:val="28814A83"/>
    <w:rsid w:val="28CC7D45"/>
    <w:rsid w:val="28F66259"/>
    <w:rsid w:val="28FF584E"/>
    <w:rsid w:val="290B259E"/>
    <w:rsid w:val="290F02E0"/>
    <w:rsid w:val="296A19BB"/>
    <w:rsid w:val="2996455E"/>
    <w:rsid w:val="29E40114"/>
    <w:rsid w:val="29EB2AFB"/>
    <w:rsid w:val="29F964AF"/>
    <w:rsid w:val="29FB6BB3"/>
    <w:rsid w:val="2A024C96"/>
    <w:rsid w:val="2A07545B"/>
    <w:rsid w:val="2A1738F0"/>
    <w:rsid w:val="2A53244F"/>
    <w:rsid w:val="2A5C7555"/>
    <w:rsid w:val="2A6E0D64"/>
    <w:rsid w:val="2A846AAC"/>
    <w:rsid w:val="2A905451"/>
    <w:rsid w:val="2A944F41"/>
    <w:rsid w:val="2AB903A4"/>
    <w:rsid w:val="2AC375D4"/>
    <w:rsid w:val="2AE82B97"/>
    <w:rsid w:val="2AEF7A2C"/>
    <w:rsid w:val="2AFA28CA"/>
    <w:rsid w:val="2B116592"/>
    <w:rsid w:val="2B146EA5"/>
    <w:rsid w:val="2B1E2A5D"/>
    <w:rsid w:val="2B5D3585"/>
    <w:rsid w:val="2B620B9B"/>
    <w:rsid w:val="2B9F68F0"/>
    <w:rsid w:val="2BD163E4"/>
    <w:rsid w:val="2BE35631"/>
    <w:rsid w:val="2BE47802"/>
    <w:rsid w:val="2BF37A45"/>
    <w:rsid w:val="2BFF3C5A"/>
    <w:rsid w:val="2C22657D"/>
    <w:rsid w:val="2C453755"/>
    <w:rsid w:val="2C6165C7"/>
    <w:rsid w:val="2C622E1D"/>
    <w:rsid w:val="2C8114F5"/>
    <w:rsid w:val="2CAE7E10"/>
    <w:rsid w:val="2CB81AC6"/>
    <w:rsid w:val="2CBF1D70"/>
    <w:rsid w:val="2CC90DEA"/>
    <w:rsid w:val="2CD418C9"/>
    <w:rsid w:val="2CE96241"/>
    <w:rsid w:val="2D047A30"/>
    <w:rsid w:val="2D066165"/>
    <w:rsid w:val="2D173C07"/>
    <w:rsid w:val="2D5C3D7E"/>
    <w:rsid w:val="2D656721"/>
    <w:rsid w:val="2D6F778D"/>
    <w:rsid w:val="2DCC2C44"/>
    <w:rsid w:val="2DEF4847"/>
    <w:rsid w:val="2E0C3213"/>
    <w:rsid w:val="2E4427DA"/>
    <w:rsid w:val="2E475519"/>
    <w:rsid w:val="2E4A5917"/>
    <w:rsid w:val="2E4D1C63"/>
    <w:rsid w:val="2E4E4CB6"/>
    <w:rsid w:val="2E5C5D76"/>
    <w:rsid w:val="2EE47591"/>
    <w:rsid w:val="2EE713B8"/>
    <w:rsid w:val="2EED10C4"/>
    <w:rsid w:val="2EEF6BEA"/>
    <w:rsid w:val="2F25085E"/>
    <w:rsid w:val="2F3C496C"/>
    <w:rsid w:val="2F812990"/>
    <w:rsid w:val="2F8B61E7"/>
    <w:rsid w:val="2FA06A12"/>
    <w:rsid w:val="2FC72C45"/>
    <w:rsid w:val="2FD07A41"/>
    <w:rsid w:val="2FDD4C94"/>
    <w:rsid w:val="2FF41FDE"/>
    <w:rsid w:val="2FFB511A"/>
    <w:rsid w:val="300466C5"/>
    <w:rsid w:val="30224D9D"/>
    <w:rsid w:val="30356194"/>
    <w:rsid w:val="30420F9B"/>
    <w:rsid w:val="304E7940"/>
    <w:rsid w:val="306E0700"/>
    <w:rsid w:val="307159E6"/>
    <w:rsid w:val="30766E97"/>
    <w:rsid w:val="307A0BE2"/>
    <w:rsid w:val="308710A4"/>
    <w:rsid w:val="30980BBB"/>
    <w:rsid w:val="30B56F17"/>
    <w:rsid w:val="30DC6E84"/>
    <w:rsid w:val="310A51F9"/>
    <w:rsid w:val="311C359A"/>
    <w:rsid w:val="31271F3F"/>
    <w:rsid w:val="312A0A4F"/>
    <w:rsid w:val="31471C2E"/>
    <w:rsid w:val="315A0567"/>
    <w:rsid w:val="31AC0F25"/>
    <w:rsid w:val="31C559E0"/>
    <w:rsid w:val="31FC517A"/>
    <w:rsid w:val="324234D5"/>
    <w:rsid w:val="32B37F2E"/>
    <w:rsid w:val="32DF2AD1"/>
    <w:rsid w:val="330750F9"/>
    <w:rsid w:val="330D2341"/>
    <w:rsid w:val="332E5807"/>
    <w:rsid w:val="335A0511"/>
    <w:rsid w:val="33A442A2"/>
    <w:rsid w:val="33AB31A2"/>
    <w:rsid w:val="33B21810"/>
    <w:rsid w:val="33D538BD"/>
    <w:rsid w:val="33DE722D"/>
    <w:rsid w:val="33E02FA5"/>
    <w:rsid w:val="33F15884"/>
    <w:rsid w:val="33F20F2A"/>
    <w:rsid w:val="33F403DB"/>
    <w:rsid w:val="341B6E9C"/>
    <w:rsid w:val="34256C0A"/>
    <w:rsid w:val="343432F1"/>
    <w:rsid w:val="3448180F"/>
    <w:rsid w:val="34963664"/>
    <w:rsid w:val="34967B08"/>
    <w:rsid w:val="34972C70"/>
    <w:rsid w:val="34B735CA"/>
    <w:rsid w:val="34F67F3E"/>
    <w:rsid w:val="350727B3"/>
    <w:rsid w:val="351E7D53"/>
    <w:rsid w:val="352073D1"/>
    <w:rsid w:val="35812566"/>
    <w:rsid w:val="35951B6D"/>
    <w:rsid w:val="3596253B"/>
    <w:rsid w:val="35AB5A10"/>
    <w:rsid w:val="35B95BA2"/>
    <w:rsid w:val="35BB76F2"/>
    <w:rsid w:val="35D95EFE"/>
    <w:rsid w:val="35EE3CCD"/>
    <w:rsid w:val="36000F23"/>
    <w:rsid w:val="360437A1"/>
    <w:rsid w:val="36133101"/>
    <w:rsid w:val="36203B2D"/>
    <w:rsid w:val="365C4A75"/>
    <w:rsid w:val="36625EF3"/>
    <w:rsid w:val="36740D6D"/>
    <w:rsid w:val="367C55CF"/>
    <w:rsid w:val="368D3AF5"/>
    <w:rsid w:val="369736C3"/>
    <w:rsid w:val="369E2CA4"/>
    <w:rsid w:val="36CE5337"/>
    <w:rsid w:val="370967B4"/>
    <w:rsid w:val="37245537"/>
    <w:rsid w:val="37353608"/>
    <w:rsid w:val="374D6BA3"/>
    <w:rsid w:val="374F724C"/>
    <w:rsid w:val="37501848"/>
    <w:rsid w:val="3768578B"/>
    <w:rsid w:val="37A61E10"/>
    <w:rsid w:val="37B207B5"/>
    <w:rsid w:val="37D73EE0"/>
    <w:rsid w:val="3825542A"/>
    <w:rsid w:val="383330A8"/>
    <w:rsid w:val="38771256"/>
    <w:rsid w:val="389425B0"/>
    <w:rsid w:val="38AC78FA"/>
    <w:rsid w:val="391F631E"/>
    <w:rsid w:val="392128B5"/>
    <w:rsid w:val="396E1053"/>
    <w:rsid w:val="398224CB"/>
    <w:rsid w:val="39893797"/>
    <w:rsid w:val="3994542D"/>
    <w:rsid w:val="399D5494"/>
    <w:rsid w:val="39AE1450"/>
    <w:rsid w:val="39B8407C"/>
    <w:rsid w:val="39F677CC"/>
    <w:rsid w:val="39F8091D"/>
    <w:rsid w:val="3A1B7855"/>
    <w:rsid w:val="3A306308"/>
    <w:rsid w:val="3A4044DE"/>
    <w:rsid w:val="3A533484"/>
    <w:rsid w:val="3A544177"/>
    <w:rsid w:val="3A54439E"/>
    <w:rsid w:val="3A583A1A"/>
    <w:rsid w:val="3A746A47"/>
    <w:rsid w:val="3A940645"/>
    <w:rsid w:val="3AA27206"/>
    <w:rsid w:val="3AA30888"/>
    <w:rsid w:val="3ABE3914"/>
    <w:rsid w:val="3AC20F8E"/>
    <w:rsid w:val="3AC91727"/>
    <w:rsid w:val="3AC92C59"/>
    <w:rsid w:val="3AD3370A"/>
    <w:rsid w:val="3AD82C28"/>
    <w:rsid w:val="3AF45588"/>
    <w:rsid w:val="3B0C4680"/>
    <w:rsid w:val="3B1179CD"/>
    <w:rsid w:val="3B1E43B3"/>
    <w:rsid w:val="3B20637D"/>
    <w:rsid w:val="3B2174CA"/>
    <w:rsid w:val="3B39757A"/>
    <w:rsid w:val="3B404329"/>
    <w:rsid w:val="3B491430"/>
    <w:rsid w:val="3B653D90"/>
    <w:rsid w:val="3B86306E"/>
    <w:rsid w:val="3B9D177C"/>
    <w:rsid w:val="3BAE6BF0"/>
    <w:rsid w:val="3BB76A5C"/>
    <w:rsid w:val="3BB84807"/>
    <w:rsid w:val="3BBA0580"/>
    <w:rsid w:val="3BFE11A5"/>
    <w:rsid w:val="3C19472E"/>
    <w:rsid w:val="3C237727"/>
    <w:rsid w:val="3C2459F9"/>
    <w:rsid w:val="3C553E04"/>
    <w:rsid w:val="3C6D6E2C"/>
    <w:rsid w:val="3C6F1CC3"/>
    <w:rsid w:val="3C720E5A"/>
    <w:rsid w:val="3C7F7F69"/>
    <w:rsid w:val="3C8C1F1C"/>
    <w:rsid w:val="3C8E09DE"/>
    <w:rsid w:val="3C926E07"/>
    <w:rsid w:val="3CE21B3C"/>
    <w:rsid w:val="3D0A5657"/>
    <w:rsid w:val="3D283E0F"/>
    <w:rsid w:val="3D3D1457"/>
    <w:rsid w:val="3D54230E"/>
    <w:rsid w:val="3D5D031B"/>
    <w:rsid w:val="3D952F1B"/>
    <w:rsid w:val="3D981D44"/>
    <w:rsid w:val="3DB515A7"/>
    <w:rsid w:val="3DD1570D"/>
    <w:rsid w:val="3DDB6347"/>
    <w:rsid w:val="3DDC2A2F"/>
    <w:rsid w:val="3E0B50C2"/>
    <w:rsid w:val="3E5F4386"/>
    <w:rsid w:val="3E6E2C0C"/>
    <w:rsid w:val="3E864749"/>
    <w:rsid w:val="3EC7548D"/>
    <w:rsid w:val="3ECD2378"/>
    <w:rsid w:val="3F265A3D"/>
    <w:rsid w:val="3F4318E9"/>
    <w:rsid w:val="3F482AD2"/>
    <w:rsid w:val="3F632CDC"/>
    <w:rsid w:val="3F7A52E4"/>
    <w:rsid w:val="3F950528"/>
    <w:rsid w:val="3F9C714A"/>
    <w:rsid w:val="3FB64D9C"/>
    <w:rsid w:val="3FCE1046"/>
    <w:rsid w:val="40033846"/>
    <w:rsid w:val="400C0C7E"/>
    <w:rsid w:val="40144798"/>
    <w:rsid w:val="40153FD6"/>
    <w:rsid w:val="404A6CB7"/>
    <w:rsid w:val="404B79F8"/>
    <w:rsid w:val="40866C82"/>
    <w:rsid w:val="40890521"/>
    <w:rsid w:val="40BE641C"/>
    <w:rsid w:val="40BE7586"/>
    <w:rsid w:val="40C94DC1"/>
    <w:rsid w:val="40D72B0E"/>
    <w:rsid w:val="40F736DC"/>
    <w:rsid w:val="41295D39"/>
    <w:rsid w:val="414F1E70"/>
    <w:rsid w:val="416B7C26"/>
    <w:rsid w:val="41822811"/>
    <w:rsid w:val="41A90E7A"/>
    <w:rsid w:val="41B415CD"/>
    <w:rsid w:val="41C9151C"/>
    <w:rsid w:val="41D56558"/>
    <w:rsid w:val="420662CD"/>
    <w:rsid w:val="42246753"/>
    <w:rsid w:val="42252D94"/>
    <w:rsid w:val="42402E61"/>
    <w:rsid w:val="42600DB7"/>
    <w:rsid w:val="42621029"/>
    <w:rsid w:val="429278C6"/>
    <w:rsid w:val="42A11E5B"/>
    <w:rsid w:val="42A6360C"/>
    <w:rsid w:val="42C65A5C"/>
    <w:rsid w:val="42CD0B98"/>
    <w:rsid w:val="42E85703"/>
    <w:rsid w:val="42FC147E"/>
    <w:rsid w:val="43053B0D"/>
    <w:rsid w:val="43086074"/>
    <w:rsid w:val="432A2B18"/>
    <w:rsid w:val="4347785B"/>
    <w:rsid w:val="435E7A42"/>
    <w:rsid w:val="439B47F3"/>
    <w:rsid w:val="43E75C8A"/>
    <w:rsid w:val="442904EA"/>
    <w:rsid w:val="442962A2"/>
    <w:rsid w:val="443B0F22"/>
    <w:rsid w:val="44487CAC"/>
    <w:rsid w:val="44613C8E"/>
    <w:rsid w:val="44693A33"/>
    <w:rsid w:val="44A21BB1"/>
    <w:rsid w:val="44C42BF9"/>
    <w:rsid w:val="44C4421D"/>
    <w:rsid w:val="44C77869"/>
    <w:rsid w:val="44CD0E21"/>
    <w:rsid w:val="44D73F50"/>
    <w:rsid w:val="44DF1057"/>
    <w:rsid w:val="44FE20BE"/>
    <w:rsid w:val="45605CF4"/>
    <w:rsid w:val="45701CAF"/>
    <w:rsid w:val="457E64F6"/>
    <w:rsid w:val="45830F60"/>
    <w:rsid w:val="45EA7CB3"/>
    <w:rsid w:val="45F35A75"/>
    <w:rsid w:val="461079D7"/>
    <w:rsid w:val="46435345"/>
    <w:rsid w:val="46B502C1"/>
    <w:rsid w:val="46C205A2"/>
    <w:rsid w:val="46D70238"/>
    <w:rsid w:val="470152B5"/>
    <w:rsid w:val="470E1780"/>
    <w:rsid w:val="47136D96"/>
    <w:rsid w:val="47314C75"/>
    <w:rsid w:val="47415EF6"/>
    <w:rsid w:val="47543636"/>
    <w:rsid w:val="476D64A6"/>
    <w:rsid w:val="47855EE6"/>
    <w:rsid w:val="47923710"/>
    <w:rsid w:val="479F2AAC"/>
    <w:rsid w:val="47B42F72"/>
    <w:rsid w:val="47D322B0"/>
    <w:rsid w:val="47E50732"/>
    <w:rsid w:val="480037BE"/>
    <w:rsid w:val="48052261"/>
    <w:rsid w:val="480A1F47"/>
    <w:rsid w:val="481712A1"/>
    <w:rsid w:val="481D6EAC"/>
    <w:rsid w:val="482963EE"/>
    <w:rsid w:val="482A083B"/>
    <w:rsid w:val="482A743F"/>
    <w:rsid w:val="48457423"/>
    <w:rsid w:val="488E0670"/>
    <w:rsid w:val="48BC5937"/>
    <w:rsid w:val="48F84495"/>
    <w:rsid w:val="4933677E"/>
    <w:rsid w:val="495042D1"/>
    <w:rsid w:val="495A0E12"/>
    <w:rsid w:val="496A7E48"/>
    <w:rsid w:val="497E0E3E"/>
    <w:rsid w:val="49867CF3"/>
    <w:rsid w:val="4991364C"/>
    <w:rsid w:val="49A40179"/>
    <w:rsid w:val="49BC54C3"/>
    <w:rsid w:val="49BF4FB3"/>
    <w:rsid w:val="49C8030C"/>
    <w:rsid w:val="4A19059A"/>
    <w:rsid w:val="4A5D0A54"/>
    <w:rsid w:val="4AA06B93"/>
    <w:rsid w:val="4AD11442"/>
    <w:rsid w:val="4ADA20A4"/>
    <w:rsid w:val="4AED6C7A"/>
    <w:rsid w:val="4B1A4B97"/>
    <w:rsid w:val="4B245A16"/>
    <w:rsid w:val="4B317D2F"/>
    <w:rsid w:val="4B322E71"/>
    <w:rsid w:val="4B3F0159"/>
    <w:rsid w:val="4B636654"/>
    <w:rsid w:val="4B983D0E"/>
    <w:rsid w:val="4B9D40A6"/>
    <w:rsid w:val="4BA90F7B"/>
    <w:rsid w:val="4C0F5AA0"/>
    <w:rsid w:val="4C286E40"/>
    <w:rsid w:val="4C3E48B5"/>
    <w:rsid w:val="4C72455F"/>
    <w:rsid w:val="4C765DFD"/>
    <w:rsid w:val="4C995F8F"/>
    <w:rsid w:val="4CA357A5"/>
    <w:rsid w:val="4CB15087"/>
    <w:rsid w:val="4CB84667"/>
    <w:rsid w:val="4CBD3FE4"/>
    <w:rsid w:val="4CBE6AB3"/>
    <w:rsid w:val="4CE63C41"/>
    <w:rsid w:val="4CEA0114"/>
    <w:rsid w:val="4D2515D1"/>
    <w:rsid w:val="4D641CF6"/>
    <w:rsid w:val="4D840997"/>
    <w:rsid w:val="4D88228C"/>
    <w:rsid w:val="4D981DA3"/>
    <w:rsid w:val="4DC4703C"/>
    <w:rsid w:val="4DD4452E"/>
    <w:rsid w:val="4DDD3C5A"/>
    <w:rsid w:val="4DE3752F"/>
    <w:rsid w:val="4E037B64"/>
    <w:rsid w:val="4E0D2791"/>
    <w:rsid w:val="4E1458CD"/>
    <w:rsid w:val="4E1C3953"/>
    <w:rsid w:val="4E385ACF"/>
    <w:rsid w:val="4E4A7541"/>
    <w:rsid w:val="4E4D76A0"/>
    <w:rsid w:val="4E604FB7"/>
    <w:rsid w:val="4E7206C1"/>
    <w:rsid w:val="4E74636C"/>
    <w:rsid w:val="4E847AAE"/>
    <w:rsid w:val="4EAD22C4"/>
    <w:rsid w:val="4EB15812"/>
    <w:rsid w:val="4EBB21ED"/>
    <w:rsid w:val="4ED37BF8"/>
    <w:rsid w:val="4ED432AF"/>
    <w:rsid w:val="4ED96B17"/>
    <w:rsid w:val="4EFF657E"/>
    <w:rsid w:val="4F144AD8"/>
    <w:rsid w:val="4F6F735C"/>
    <w:rsid w:val="4F9C201E"/>
    <w:rsid w:val="4FAE2941"/>
    <w:rsid w:val="4FC60E49"/>
    <w:rsid w:val="50045AFA"/>
    <w:rsid w:val="50146059"/>
    <w:rsid w:val="50146E79"/>
    <w:rsid w:val="50165873"/>
    <w:rsid w:val="5019366F"/>
    <w:rsid w:val="502D2F8A"/>
    <w:rsid w:val="505D1F19"/>
    <w:rsid w:val="50795EBC"/>
    <w:rsid w:val="508A080A"/>
    <w:rsid w:val="50A2410C"/>
    <w:rsid w:val="50AE4698"/>
    <w:rsid w:val="50B6426B"/>
    <w:rsid w:val="50CA42A3"/>
    <w:rsid w:val="50D61560"/>
    <w:rsid w:val="50E01EDC"/>
    <w:rsid w:val="50FB2D75"/>
    <w:rsid w:val="512027DB"/>
    <w:rsid w:val="51330760"/>
    <w:rsid w:val="515D3FBF"/>
    <w:rsid w:val="51A76A58"/>
    <w:rsid w:val="51AB35F6"/>
    <w:rsid w:val="51B509B4"/>
    <w:rsid w:val="51C60B76"/>
    <w:rsid w:val="51D1711C"/>
    <w:rsid w:val="52256283"/>
    <w:rsid w:val="524D5852"/>
    <w:rsid w:val="525C5A95"/>
    <w:rsid w:val="52691F4D"/>
    <w:rsid w:val="52754DA9"/>
    <w:rsid w:val="52A631B4"/>
    <w:rsid w:val="52C52A13"/>
    <w:rsid w:val="52CF15A7"/>
    <w:rsid w:val="52D054FF"/>
    <w:rsid w:val="530F2AAE"/>
    <w:rsid w:val="534E1882"/>
    <w:rsid w:val="53611486"/>
    <w:rsid w:val="53656BCB"/>
    <w:rsid w:val="53B11E10"/>
    <w:rsid w:val="53DF072C"/>
    <w:rsid w:val="5403637A"/>
    <w:rsid w:val="54134879"/>
    <w:rsid w:val="54324CFF"/>
    <w:rsid w:val="54370568"/>
    <w:rsid w:val="546F1786"/>
    <w:rsid w:val="547831AD"/>
    <w:rsid w:val="54807696"/>
    <w:rsid w:val="54857525"/>
    <w:rsid w:val="54A9416D"/>
    <w:rsid w:val="54DB20F0"/>
    <w:rsid w:val="54DE6481"/>
    <w:rsid w:val="54E265C6"/>
    <w:rsid w:val="550A5C7C"/>
    <w:rsid w:val="55200FFC"/>
    <w:rsid w:val="554F6AB3"/>
    <w:rsid w:val="556D1D67"/>
    <w:rsid w:val="55A9190F"/>
    <w:rsid w:val="55B24BFC"/>
    <w:rsid w:val="55C20305"/>
    <w:rsid w:val="55E53FF3"/>
    <w:rsid w:val="55F15070"/>
    <w:rsid w:val="55F9588A"/>
    <w:rsid w:val="561641AD"/>
    <w:rsid w:val="561F3061"/>
    <w:rsid w:val="56373A45"/>
    <w:rsid w:val="56446A9E"/>
    <w:rsid w:val="564E2D20"/>
    <w:rsid w:val="56505911"/>
    <w:rsid w:val="565C2ED8"/>
    <w:rsid w:val="56701B0F"/>
    <w:rsid w:val="56BC2FA6"/>
    <w:rsid w:val="56E83D9B"/>
    <w:rsid w:val="570033CF"/>
    <w:rsid w:val="577B076B"/>
    <w:rsid w:val="577C4928"/>
    <w:rsid w:val="579D6934"/>
    <w:rsid w:val="57AC61B5"/>
    <w:rsid w:val="5815046B"/>
    <w:rsid w:val="58201313"/>
    <w:rsid w:val="58324764"/>
    <w:rsid w:val="58484328"/>
    <w:rsid w:val="58567AFD"/>
    <w:rsid w:val="585A65D3"/>
    <w:rsid w:val="58841449"/>
    <w:rsid w:val="588F7980"/>
    <w:rsid w:val="58B55EFF"/>
    <w:rsid w:val="58B73A25"/>
    <w:rsid w:val="58C21900"/>
    <w:rsid w:val="58D60CCE"/>
    <w:rsid w:val="58F07B97"/>
    <w:rsid w:val="591C61EA"/>
    <w:rsid w:val="592310BA"/>
    <w:rsid w:val="59253A7C"/>
    <w:rsid w:val="5952374E"/>
    <w:rsid w:val="595B4CF8"/>
    <w:rsid w:val="596D0588"/>
    <w:rsid w:val="599F49E6"/>
    <w:rsid w:val="59BF23EC"/>
    <w:rsid w:val="59C04B5B"/>
    <w:rsid w:val="5A461CCB"/>
    <w:rsid w:val="5A4A4E95"/>
    <w:rsid w:val="5A9304C2"/>
    <w:rsid w:val="5AA67D4E"/>
    <w:rsid w:val="5ABF6998"/>
    <w:rsid w:val="5AEE5A68"/>
    <w:rsid w:val="5AEE74A6"/>
    <w:rsid w:val="5B3F5F54"/>
    <w:rsid w:val="5B411280"/>
    <w:rsid w:val="5B4141C0"/>
    <w:rsid w:val="5B647768"/>
    <w:rsid w:val="5B704F13"/>
    <w:rsid w:val="5B7C4AB2"/>
    <w:rsid w:val="5B9B7CD2"/>
    <w:rsid w:val="5B9F0927"/>
    <w:rsid w:val="5BC32E17"/>
    <w:rsid w:val="5BC4185F"/>
    <w:rsid w:val="5BD31D4A"/>
    <w:rsid w:val="5BDC21BF"/>
    <w:rsid w:val="5C1D0043"/>
    <w:rsid w:val="5C1F7D5C"/>
    <w:rsid w:val="5C235EDD"/>
    <w:rsid w:val="5C3E3E84"/>
    <w:rsid w:val="5CA40D0B"/>
    <w:rsid w:val="5CB71A0B"/>
    <w:rsid w:val="5CDD267E"/>
    <w:rsid w:val="5CE2303B"/>
    <w:rsid w:val="5D215599"/>
    <w:rsid w:val="5D7C523D"/>
    <w:rsid w:val="5D8076FB"/>
    <w:rsid w:val="5D916F3A"/>
    <w:rsid w:val="5DB538CA"/>
    <w:rsid w:val="5DC7352E"/>
    <w:rsid w:val="5E0D4F01"/>
    <w:rsid w:val="5E280635"/>
    <w:rsid w:val="5E3A7CBB"/>
    <w:rsid w:val="5E413D91"/>
    <w:rsid w:val="5E4C7589"/>
    <w:rsid w:val="5E575F74"/>
    <w:rsid w:val="5E8C6FA2"/>
    <w:rsid w:val="5E9345EC"/>
    <w:rsid w:val="5EAA5DDA"/>
    <w:rsid w:val="5ECA3D86"/>
    <w:rsid w:val="5EE412EC"/>
    <w:rsid w:val="5EF00F1B"/>
    <w:rsid w:val="5EFA466C"/>
    <w:rsid w:val="5F0F62D3"/>
    <w:rsid w:val="5F241D44"/>
    <w:rsid w:val="5F29366A"/>
    <w:rsid w:val="5F3E2C07"/>
    <w:rsid w:val="5F7E34EF"/>
    <w:rsid w:val="5F936D3C"/>
    <w:rsid w:val="5FA6034F"/>
    <w:rsid w:val="5FBC1FB2"/>
    <w:rsid w:val="5FCB044D"/>
    <w:rsid w:val="5FD66082"/>
    <w:rsid w:val="5FD71BE0"/>
    <w:rsid w:val="5FF76DFD"/>
    <w:rsid w:val="5FF90DC7"/>
    <w:rsid w:val="60397415"/>
    <w:rsid w:val="6051475F"/>
    <w:rsid w:val="60515D90"/>
    <w:rsid w:val="60600E46"/>
    <w:rsid w:val="60834CCE"/>
    <w:rsid w:val="608675F7"/>
    <w:rsid w:val="608F2995"/>
    <w:rsid w:val="60A9459B"/>
    <w:rsid w:val="60B33EFC"/>
    <w:rsid w:val="60B35F66"/>
    <w:rsid w:val="60CA2223"/>
    <w:rsid w:val="60DF043A"/>
    <w:rsid w:val="60FA0031"/>
    <w:rsid w:val="613A3BD8"/>
    <w:rsid w:val="61565DA5"/>
    <w:rsid w:val="61671724"/>
    <w:rsid w:val="618943CD"/>
    <w:rsid w:val="61AB4A74"/>
    <w:rsid w:val="61AF3E33"/>
    <w:rsid w:val="61BF7DEE"/>
    <w:rsid w:val="62002612"/>
    <w:rsid w:val="621C2B4B"/>
    <w:rsid w:val="622639C9"/>
    <w:rsid w:val="622F579E"/>
    <w:rsid w:val="623D67E7"/>
    <w:rsid w:val="62650996"/>
    <w:rsid w:val="627E358B"/>
    <w:rsid w:val="628801E0"/>
    <w:rsid w:val="62961D79"/>
    <w:rsid w:val="629923ED"/>
    <w:rsid w:val="62A0377C"/>
    <w:rsid w:val="62A3501A"/>
    <w:rsid w:val="62AB66B6"/>
    <w:rsid w:val="62C70D09"/>
    <w:rsid w:val="62C77A86"/>
    <w:rsid w:val="62FC7B64"/>
    <w:rsid w:val="63400ABB"/>
    <w:rsid w:val="636522D0"/>
    <w:rsid w:val="63AF2C66"/>
    <w:rsid w:val="63C139AA"/>
    <w:rsid w:val="63D339F0"/>
    <w:rsid w:val="63F42CFA"/>
    <w:rsid w:val="640C4D1B"/>
    <w:rsid w:val="64190825"/>
    <w:rsid w:val="641D4ACC"/>
    <w:rsid w:val="643C1282"/>
    <w:rsid w:val="64416899"/>
    <w:rsid w:val="64502F80"/>
    <w:rsid w:val="64760C38"/>
    <w:rsid w:val="648A6492"/>
    <w:rsid w:val="64AD6256"/>
    <w:rsid w:val="64AF68F5"/>
    <w:rsid w:val="64B61035"/>
    <w:rsid w:val="64BB048F"/>
    <w:rsid w:val="64BD0292"/>
    <w:rsid w:val="64C87BEC"/>
    <w:rsid w:val="64D66322"/>
    <w:rsid w:val="650368C8"/>
    <w:rsid w:val="650E70C3"/>
    <w:rsid w:val="65136487"/>
    <w:rsid w:val="65165F77"/>
    <w:rsid w:val="65553D8D"/>
    <w:rsid w:val="65646CE3"/>
    <w:rsid w:val="65711400"/>
    <w:rsid w:val="65BD1F06"/>
    <w:rsid w:val="65EC0A86"/>
    <w:rsid w:val="65F102E2"/>
    <w:rsid w:val="660477E3"/>
    <w:rsid w:val="66105EE5"/>
    <w:rsid w:val="66195D1F"/>
    <w:rsid w:val="661E50E3"/>
    <w:rsid w:val="66293A88"/>
    <w:rsid w:val="663C37BC"/>
    <w:rsid w:val="664C7593"/>
    <w:rsid w:val="665B711E"/>
    <w:rsid w:val="66990A21"/>
    <w:rsid w:val="669C24AC"/>
    <w:rsid w:val="66A21C94"/>
    <w:rsid w:val="66A939B9"/>
    <w:rsid w:val="66B90356"/>
    <w:rsid w:val="66E55C01"/>
    <w:rsid w:val="671562A2"/>
    <w:rsid w:val="6716400D"/>
    <w:rsid w:val="671D2805"/>
    <w:rsid w:val="672E75A8"/>
    <w:rsid w:val="67440B07"/>
    <w:rsid w:val="67513297"/>
    <w:rsid w:val="67674868"/>
    <w:rsid w:val="677D409D"/>
    <w:rsid w:val="678135EA"/>
    <w:rsid w:val="678F0C2B"/>
    <w:rsid w:val="678F3DBF"/>
    <w:rsid w:val="67966EFB"/>
    <w:rsid w:val="67B37AAD"/>
    <w:rsid w:val="67BF28F6"/>
    <w:rsid w:val="67DD0ED4"/>
    <w:rsid w:val="67EE0AE5"/>
    <w:rsid w:val="67F500C6"/>
    <w:rsid w:val="67F92427"/>
    <w:rsid w:val="680034B9"/>
    <w:rsid w:val="680C5410"/>
    <w:rsid w:val="68110BA3"/>
    <w:rsid w:val="68456D65"/>
    <w:rsid w:val="6865349E"/>
    <w:rsid w:val="68784853"/>
    <w:rsid w:val="689478DF"/>
    <w:rsid w:val="689F18FE"/>
    <w:rsid w:val="68B36117"/>
    <w:rsid w:val="68CB7079"/>
    <w:rsid w:val="69012A9A"/>
    <w:rsid w:val="690A5DF3"/>
    <w:rsid w:val="69344C1E"/>
    <w:rsid w:val="69347D47"/>
    <w:rsid w:val="694D5CE0"/>
    <w:rsid w:val="698536CB"/>
    <w:rsid w:val="69D77466"/>
    <w:rsid w:val="69D876E3"/>
    <w:rsid w:val="69EE1271"/>
    <w:rsid w:val="6A0374F0"/>
    <w:rsid w:val="6A040A94"/>
    <w:rsid w:val="6A3D751D"/>
    <w:rsid w:val="6A6F5334"/>
    <w:rsid w:val="6A723ADE"/>
    <w:rsid w:val="6A743729"/>
    <w:rsid w:val="6AA14535"/>
    <w:rsid w:val="6AB5267C"/>
    <w:rsid w:val="6ABC136F"/>
    <w:rsid w:val="6AD95A7D"/>
    <w:rsid w:val="6AE0505D"/>
    <w:rsid w:val="6B19231D"/>
    <w:rsid w:val="6B337080"/>
    <w:rsid w:val="6B712159"/>
    <w:rsid w:val="6BA240C1"/>
    <w:rsid w:val="6BA77929"/>
    <w:rsid w:val="6BE67AD9"/>
    <w:rsid w:val="6C054A23"/>
    <w:rsid w:val="6C0E79A8"/>
    <w:rsid w:val="6C1B0923"/>
    <w:rsid w:val="6C835B15"/>
    <w:rsid w:val="6CB51F18"/>
    <w:rsid w:val="6CF54633"/>
    <w:rsid w:val="6D013069"/>
    <w:rsid w:val="6D17288C"/>
    <w:rsid w:val="6D25144D"/>
    <w:rsid w:val="6D394EF9"/>
    <w:rsid w:val="6D3C6797"/>
    <w:rsid w:val="6D673814"/>
    <w:rsid w:val="6D6D267B"/>
    <w:rsid w:val="6D725AC9"/>
    <w:rsid w:val="6D7654B4"/>
    <w:rsid w:val="6D77332B"/>
    <w:rsid w:val="6E076DA5"/>
    <w:rsid w:val="6E3A4A84"/>
    <w:rsid w:val="6E4753F3"/>
    <w:rsid w:val="6E600263"/>
    <w:rsid w:val="6E602011"/>
    <w:rsid w:val="6E60701B"/>
    <w:rsid w:val="6E6A22AC"/>
    <w:rsid w:val="6E70494A"/>
    <w:rsid w:val="6EFA4214"/>
    <w:rsid w:val="6F09071C"/>
    <w:rsid w:val="6F1A690C"/>
    <w:rsid w:val="6F35349E"/>
    <w:rsid w:val="6F4656AB"/>
    <w:rsid w:val="6F7A7103"/>
    <w:rsid w:val="6F8F0E00"/>
    <w:rsid w:val="6FBA4380"/>
    <w:rsid w:val="6FCD02A1"/>
    <w:rsid w:val="6FEF5D43"/>
    <w:rsid w:val="702526C1"/>
    <w:rsid w:val="703405DB"/>
    <w:rsid w:val="707864F8"/>
    <w:rsid w:val="70E1568B"/>
    <w:rsid w:val="70F500DD"/>
    <w:rsid w:val="712C555E"/>
    <w:rsid w:val="713178F8"/>
    <w:rsid w:val="713F0604"/>
    <w:rsid w:val="71500A63"/>
    <w:rsid w:val="717A5729"/>
    <w:rsid w:val="71883D59"/>
    <w:rsid w:val="7188437A"/>
    <w:rsid w:val="71AD2FCB"/>
    <w:rsid w:val="71D945B4"/>
    <w:rsid w:val="71E43EA1"/>
    <w:rsid w:val="71ED0060"/>
    <w:rsid w:val="723B526F"/>
    <w:rsid w:val="724C33D9"/>
    <w:rsid w:val="725026B7"/>
    <w:rsid w:val="725956F5"/>
    <w:rsid w:val="725E6492"/>
    <w:rsid w:val="72810486"/>
    <w:rsid w:val="729D3834"/>
    <w:rsid w:val="72DD6326"/>
    <w:rsid w:val="72F5541E"/>
    <w:rsid w:val="73263B99"/>
    <w:rsid w:val="732C4748"/>
    <w:rsid w:val="733958E9"/>
    <w:rsid w:val="73405192"/>
    <w:rsid w:val="73466353"/>
    <w:rsid w:val="73497C2C"/>
    <w:rsid w:val="734D136A"/>
    <w:rsid w:val="73531ABC"/>
    <w:rsid w:val="73861F99"/>
    <w:rsid w:val="73A40BF2"/>
    <w:rsid w:val="73AC3271"/>
    <w:rsid w:val="73CA0659"/>
    <w:rsid w:val="73E334C8"/>
    <w:rsid w:val="74033AD2"/>
    <w:rsid w:val="7404348A"/>
    <w:rsid w:val="741E610F"/>
    <w:rsid w:val="74212243"/>
    <w:rsid w:val="74604B19"/>
    <w:rsid w:val="748D22C8"/>
    <w:rsid w:val="74A76BEC"/>
    <w:rsid w:val="74A9664D"/>
    <w:rsid w:val="74C0380A"/>
    <w:rsid w:val="74D3353D"/>
    <w:rsid w:val="74D61C69"/>
    <w:rsid w:val="74EC2851"/>
    <w:rsid w:val="75015B16"/>
    <w:rsid w:val="750603EA"/>
    <w:rsid w:val="75186ED5"/>
    <w:rsid w:val="75220020"/>
    <w:rsid w:val="754C38F5"/>
    <w:rsid w:val="7551016A"/>
    <w:rsid w:val="755D145F"/>
    <w:rsid w:val="755E7517"/>
    <w:rsid w:val="75930F1E"/>
    <w:rsid w:val="75946113"/>
    <w:rsid w:val="75A729E6"/>
    <w:rsid w:val="75A86778"/>
    <w:rsid w:val="75B4336E"/>
    <w:rsid w:val="75B94E29"/>
    <w:rsid w:val="75BB556C"/>
    <w:rsid w:val="75BC66C7"/>
    <w:rsid w:val="75EF626D"/>
    <w:rsid w:val="75F47C0F"/>
    <w:rsid w:val="76192361"/>
    <w:rsid w:val="763C5112"/>
    <w:rsid w:val="765441FF"/>
    <w:rsid w:val="766823AB"/>
    <w:rsid w:val="76733229"/>
    <w:rsid w:val="76760624"/>
    <w:rsid w:val="768F5B89"/>
    <w:rsid w:val="76A827A7"/>
    <w:rsid w:val="76B507BE"/>
    <w:rsid w:val="76BB072D"/>
    <w:rsid w:val="76CD04E1"/>
    <w:rsid w:val="76D360E8"/>
    <w:rsid w:val="76D72A70"/>
    <w:rsid w:val="76E70D07"/>
    <w:rsid w:val="76FA1255"/>
    <w:rsid w:val="770757DF"/>
    <w:rsid w:val="770B3462"/>
    <w:rsid w:val="771C566F"/>
    <w:rsid w:val="771F0CBB"/>
    <w:rsid w:val="772E53A2"/>
    <w:rsid w:val="77505319"/>
    <w:rsid w:val="77575D8D"/>
    <w:rsid w:val="779C40BA"/>
    <w:rsid w:val="78146346"/>
    <w:rsid w:val="782347DB"/>
    <w:rsid w:val="783562BD"/>
    <w:rsid w:val="783F0EE9"/>
    <w:rsid w:val="78433BB3"/>
    <w:rsid w:val="78767001"/>
    <w:rsid w:val="788039DC"/>
    <w:rsid w:val="788B630A"/>
    <w:rsid w:val="78FD6DDA"/>
    <w:rsid w:val="793066DC"/>
    <w:rsid w:val="794C7708"/>
    <w:rsid w:val="79517126"/>
    <w:rsid w:val="79784C56"/>
    <w:rsid w:val="79982FA7"/>
    <w:rsid w:val="79AB40C9"/>
    <w:rsid w:val="79BD47BC"/>
    <w:rsid w:val="79DF2984"/>
    <w:rsid w:val="7A1B7E60"/>
    <w:rsid w:val="7A57269A"/>
    <w:rsid w:val="7A7C4258"/>
    <w:rsid w:val="7A8C0BA3"/>
    <w:rsid w:val="7AD26045"/>
    <w:rsid w:val="7B087558"/>
    <w:rsid w:val="7B133AD1"/>
    <w:rsid w:val="7B5A3E66"/>
    <w:rsid w:val="7B5B0730"/>
    <w:rsid w:val="7B5F1646"/>
    <w:rsid w:val="7B735884"/>
    <w:rsid w:val="7B75534E"/>
    <w:rsid w:val="7B7D2454"/>
    <w:rsid w:val="7B8657AD"/>
    <w:rsid w:val="7B917CAE"/>
    <w:rsid w:val="7BC57958"/>
    <w:rsid w:val="7BC97448"/>
    <w:rsid w:val="7BCE7E9A"/>
    <w:rsid w:val="7BD32074"/>
    <w:rsid w:val="7BD61B65"/>
    <w:rsid w:val="7BDC6760"/>
    <w:rsid w:val="7BE52583"/>
    <w:rsid w:val="7C6F4493"/>
    <w:rsid w:val="7C714AB9"/>
    <w:rsid w:val="7CAF0CC9"/>
    <w:rsid w:val="7CC12815"/>
    <w:rsid w:val="7CCE5A7E"/>
    <w:rsid w:val="7D213777"/>
    <w:rsid w:val="7D2F3C22"/>
    <w:rsid w:val="7D4C0330"/>
    <w:rsid w:val="7D5471E5"/>
    <w:rsid w:val="7DA956D5"/>
    <w:rsid w:val="7DBA263C"/>
    <w:rsid w:val="7DE04828"/>
    <w:rsid w:val="7DF52776"/>
    <w:rsid w:val="7E053659"/>
    <w:rsid w:val="7E074257"/>
    <w:rsid w:val="7E2A17DB"/>
    <w:rsid w:val="7E323653"/>
    <w:rsid w:val="7E6671D0"/>
    <w:rsid w:val="7E9A1F12"/>
    <w:rsid w:val="7EA52F78"/>
    <w:rsid w:val="7F0F1615"/>
    <w:rsid w:val="7F1D01D6"/>
    <w:rsid w:val="7F1E3F4E"/>
    <w:rsid w:val="7F313C82"/>
    <w:rsid w:val="7F3472CE"/>
    <w:rsid w:val="7F4D0390"/>
    <w:rsid w:val="7F572FBC"/>
    <w:rsid w:val="7F7B4EFD"/>
    <w:rsid w:val="7FBF128D"/>
    <w:rsid w:val="7FF30F37"/>
    <w:rsid w:val="7FF50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54"/>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3">
    <w:name w:val="heading 1"/>
    <w:basedOn w:val="1"/>
    <w:next w:val="1"/>
    <w:link w:val="30"/>
    <w:qFormat/>
    <w:uiPriority w:val="0"/>
    <w:pPr>
      <w:keepNext/>
      <w:keepLines/>
      <w:spacing w:before="340" w:after="330" w:line="576" w:lineRule="auto"/>
      <w:outlineLvl w:val="0"/>
    </w:pPr>
    <w:rPr>
      <w:b/>
      <w:bCs/>
      <w:kern w:val="44"/>
      <w:sz w:val="44"/>
      <w:szCs w:val="44"/>
    </w:rPr>
  </w:style>
  <w:style w:type="paragraph" w:styleId="2">
    <w:name w:val="heading 2"/>
    <w:basedOn w:val="1"/>
    <w:next w:val="1"/>
    <w:link w:val="31"/>
    <w:unhideWhenUsed/>
    <w:qFormat/>
    <w:uiPriority w:val="0"/>
    <w:pPr>
      <w:keepNext/>
      <w:keepLines/>
      <w:spacing w:before="260" w:after="260" w:line="415" w:lineRule="auto"/>
      <w:outlineLvl w:val="1"/>
    </w:pPr>
    <w:rPr>
      <w:rFonts w:ascii="Arial" w:hAnsi="Arial" w:eastAsia="黑体"/>
      <w:b/>
      <w:bCs/>
      <w:sz w:val="32"/>
      <w:szCs w:val="32"/>
    </w:rPr>
  </w:style>
  <w:style w:type="paragraph" w:styleId="4">
    <w:name w:val="heading 5"/>
    <w:basedOn w:val="1"/>
    <w:next w:val="1"/>
    <w:semiHidden/>
    <w:unhideWhenUsed/>
    <w:qFormat/>
    <w:uiPriority w:val="9"/>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unhideWhenUsed/>
    <w:qFormat/>
    <w:uiPriority w:val="99"/>
    <w:pPr>
      <w:ind w:firstLine="420" w:firstLineChars="200"/>
    </w:pPr>
  </w:style>
  <w:style w:type="paragraph" w:styleId="6">
    <w:name w:val="Body Text 2"/>
    <w:basedOn w:val="1"/>
    <w:next w:val="1"/>
    <w:semiHidden/>
    <w:qFormat/>
    <w:uiPriority w:val="99"/>
    <w:pPr>
      <w:spacing w:after="120" w:line="480" w:lineRule="auto"/>
    </w:pPr>
    <w:rPr>
      <w:kern w:val="0"/>
      <w:sz w:val="20"/>
    </w:rPr>
  </w:style>
  <w:style w:type="paragraph" w:styleId="7">
    <w:name w:val="annotation text"/>
    <w:basedOn w:val="1"/>
    <w:link w:val="37"/>
    <w:semiHidden/>
    <w:unhideWhenUsed/>
    <w:qFormat/>
    <w:uiPriority w:val="99"/>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spacing w:line="360" w:lineRule="auto"/>
      <w:ind w:firstLine="420" w:firstLineChars="200"/>
      <w:outlineLvl w:val="0"/>
    </w:pPr>
    <w:rPr>
      <w:color w:val="000000"/>
    </w:rPr>
  </w:style>
  <w:style w:type="paragraph" w:styleId="10">
    <w:name w:val="List 2"/>
    <w:basedOn w:val="1"/>
    <w:qFormat/>
    <w:uiPriority w:val="0"/>
    <w:pPr>
      <w:ind w:left="100" w:leftChars="200" w:hanging="200" w:hangingChars="200"/>
    </w:pPr>
  </w:style>
  <w:style w:type="paragraph" w:styleId="11">
    <w:name w:val="index 4"/>
    <w:basedOn w:val="1"/>
    <w:next w:val="1"/>
    <w:unhideWhenUsed/>
    <w:qFormat/>
    <w:uiPriority w:val="99"/>
    <w:pPr>
      <w:ind w:left="600" w:leftChars="600"/>
    </w:pPr>
  </w:style>
  <w:style w:type="paragraph" w:styleId="12">
    <w:name w:val="Plain Text"/>
    <w:basedOn w:val="1"/>
    <w:qFormat/>
    <w:uiPriority w:val="0"/>
    <w:rPr>
      <w:rFonts w:ascii="宋体" w:hAnsi="Courier New"/>
      <w:sz w:val="19"/>
      <w:szCs w:val="20"/>
    </w:rPr>
  </w:style>
  <w:style w:type="paragraph" w:styleId="13">
    <w:name w:val="Body Text Indent 2"/>
    <w:basedOn w:val="1"/>
    <w:link w:val="33"/>
    <w:qFormat/>
    <w:uiPriority w:val="0"/>
    <w:pPr>
      <w:ind w:firstLine="570"/>
    </w:pPr>
    <w:rPr>
      <w:sz w:val="32"/>
    </w:rPr>
  </w:style>
  <w:style w:type="paragraph" w:styleId="14">
    <w:name w:val="Balloon Text"/>
    <w:basedOn w:val="1"/>
    <w:link w:val="39"/>
    <w:semiHidden/>
    <w:unhideWhenUsed/>
    <w:qFormat/>
    <w:uiPriority w:val="99"/>
    <w:rPr>
      <w:sz w:val="18"/>
      <w:szCs w:val="18"/>
    </w:rPr>
  </w:style>
  <w:style w:type="paragraph" w:styleId="15">
    <w:name w:val="footer"/>
    <w:basedOn w:val="1"/>
    <w:link w:val="34"/>
    <w:qFormat/>
    <w:uiPriority w:val="0"/>
    <w:pPr>
      <w:tabs>
        <w:tab w:val="center" w:pos="4153"/>
        <w:tab w:val="right" w:pos="8306"/>
      </w:tabs>
      <w:snapToGrid w:val="0"/>
      <w:jc w:val="left"/>
    </w:pPr>
    <w:rPr>
      <w:sz w:val="18"/>
    </w:rPr>
  </w:style>
  <w:style w:type="paragraph" w:styleId="16">
    <w:name w:val="envelope return"/>
    <w:basedOn w:val="1"/>
    <w:qFormat/>
    <w:uiPriority w:val="0"/>
    <w:pPr>
      <w:snapToGrid w:val="0"/>
    </w:pPr>
    <w:rPr>
      <w:rFonts w:ascii="Arial" w:hAnsi="Arial"/>
    </w:rPr>
  </w:style>
  <w:style w:type="paragraph" w:styleId="17">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8">
    <w:name w:val="toc 1"/>
    <w:basedOn w:val="1"/>
    <w:next w:val="1"/>
    <w:qFormat/>
    <w:uiPriority w:val="39"/>
    <w:pPr>
      <w:spacing w:line="500" w:lineRule="exact"/>
    </w:pPr>
  </w:style>
  <w:style w:type="paragraph" w:styleId="19">
    <w:name w:val="toc 2"/>
    <w:basedOn w:val="1"/>
    <w:next w:val="1"/>
    <w:qFormat/>
    <w:uiPriority w:val="39"/>
    <w:pPr>
      <w:ind w:left="420" w:leftChars="200"/>
    </w:pPr>
  </w:style>
  <w:style w:type="paragraph" w:styleId="20">
    <w:name w:val="Message Header"/>
    <w:basedOn w:val="1"/>
    <w:link w:val="36"/>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2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2">
    <w:name w:val="annotation subject"/>
    <w:basedOn w:val="7"/>
    <w:next w:val="7"/>
    <w:link w:val="38"/>
    <w:semiHidden/>
    <w:unhideWhenUsed/>
    <w:qFormat/>
    <w:uiPriority w:val="99"/>
    <w:rPr>
      <w:b/>
      <w:bCs/>
    </w:rPr>
  </w:style>
  <w:style w:type="paragraph" w:styleId="23">
    <w:name w:val="Body Text First Indent"/>
    <w:basedOn w:val="8"/>
    <w:next w:val="24"/>
    <w:qFormat/>
    <w:uiPriority w:val="99"/>
    <w:pPr>
      <w:spacing w:line="360" w:lineRule="auto"/>
      <w:ind w:firstLine="976" w:firstLineChars="200"/>
    </w:pPr>
    <w:rPr>
      <w:sz w:val="28"/>
      <w:szCs w:val="28"/>
    </w:rPr>
  </w:style>
  <w:style w:type="paragraph" w:styleId="24">
    <w:name w:val="Body Text First Indent 2"/>
    <w:basedOn w:val="9"/>
    <w:next w:val="5"/>
    <w:qFormat/>
    <w:uiPriority w:val="99"/>
    <w:pPr>
      <w:spacing w:after="120"/>
      <w:ind w:left="420" w:leftChars="200"/>
    </w:pPr>
    <w:rPr>
      <w:rFonts w:eastAsia="等线"/>
    </w:rPr>
  </w:style>
  <w:style w:type="character" w:styleId="27">
    <w:name w:val="page number"/>
    <w:qFormat/>
    <w:uiPriority w:val="0"/>
  </w:style>
  <w:style w:type="character" w:styleId="28">
    <w:name w:val="annotation reference"/>
    <w:basedOn w:val="26"/>
    <w:semiHidden/>
    <w:unhideWhenUsed/>
    <w:qFormat/>
    <w:uiPriority w:val="99"/>
    <w:rPr>
      <w:sz w:val="21"/>
      <w:szCs w:val="21"/>
    </w:rPr>
  </w:style>
  <w:style w:type="paragraph" w:customStyle="1" w:styleId="29">
    <w:name w:val="No Spacing1"/>
    <w:basedOn w:val="1"/>
    <w:qFormat/>
    <w:uiPriority w:val="0"/>
    <w:pPr>
      <w:spacing w:line="400" w:lineRule="exact"/>
    </w:pPr>
    <w:rPr>
      <w:sz w:val="24"/>
      <w:szCs w:val="24"/>
    </w:rPr>
  </w:style>
  <w:style w:type="character" w:customStyle="1" w:styleId="30">
    <w:name w:val="标题 1 Char"/>
    <w:link w:val="3"/>
    <w:qFormat/>
    <w:uiPriority w:val="0"/>
    <w:rPr>
      <w:b/>
      <w:bCs/>
      <w:kern w:val="44"/>
      <w:sz w:val="44"/>
      <w:szCs w:val="44"/>
    </w:rPr>
  </w:style>
  <w:style w:type="character" w:customStyle="1" w:styleId="31">
    <w:name w:val="标题 2 Char"/>
    <w:link w:val="2"/>
    <w:qFormat/>
    <w:uiPriority w:val="0"/>
    <w:rPr>
      <w:rFonts w:ascii="Arial" w:hAnsi="Arial" w:eastAsia="黑体"/>
      <w:b/>
      <w:bCs/>
      <w:sz w:val="32"/>
      <w:szCs w:val="32"/>
    </w:rPr>
  </w:style>
  <w:style w:type="paragraph" w:customStyle="1" w:styleId="32">
    <w:name w:val="正文文本缩进 21"/>
    <w:basedOn w:val="1"/>
    <w:qFormat/>
    <w:uiPriority w:val="0"/>
    <w:pPr>
      <w:ind w:firstLine="570"/>
    </w:pPr>
    <w:rPr>
      <w:sz w:val="32"/>
    </w:rPr>
  </w:style>
  <w:style w:type="character" w:customStyle="1" w:styleId="33">
    <w:name w:val="正文文本缩进 2 Char"/>
    <w:link w:val="13"/>
    <w:qFormat/>
    <w:uiPriority w:val="0"/>
    <w:rPr>
      <w:sz w:val="32"/>
      <w:szCs w:val="24"/>
    </w:rPr>
  </w:style>
  <w:style w:type="character" w:customStyle="1" w:styleId="34">
    <w:name w:val="页脚 Char"/>
    <w:link w:val="15"/>
    <w:qFormat/>
    <w:uiPriority w:val="0"/>
    <w:rPr>
      <w:sz w:val="18"/>
      <w:szCs w:val="24"/>
    </w:rPr>
  </w:style>
  <w:style w:type="character" w:customStyle="1" w:styleId="35">
    <w:name w:val="页眉 Char"/>
    <w:link w:val="17"/>
    <w:qFormat/>
    <w:uiPriority w:val="0"/>
    <w:rPr>
      <w:rFonts w:ascii="Times New Roman" w:hAnsi="Times New Roman"/>
      <w:sz w:val="18"/>
      <w:szCs w:val="24"/>
    </w:rPr>
  </w:style>
  <w:style w:type="character" w:customStyle="1" w:styleId="36">
    <w:name w:val="信息标题 Char"/>
    <w:link w:val="20"/>
    <w:qFormat/>
    <w:uiPriority w:val="99"/>
    <w:rPr>
      <w:rFonts w:ascii="Cambria" w:hAnsi="Cambria"/>
      <w:sz w:val="24"/>
      <w:szCs w:val="24"/>
      <w:shd w:val="pct20" w:color="auto" w:fill="auto"/>
    </w:rPr>
  </w:style>
  <w:style w:type="character" w:customStyle="1" w:styleId="37">
    <w:name w:val="批注文字 Char"/>
    <w:basedOn w:val="26"/>
    <w:link w:val="7"/>
    <w:semiHidden/>
    <w:qFormat/>
    <w:uiPriority w:val="99"/>
    <w:rPr>
      <w:rFonts w:ascii="Calibri" w:hAnsi="Calibri"/>
      <w:kern w:val="2"/>
      <w:sz w:val="21"/>
      <w:szCs w:val="24"/>
    </w:rPr>
  </w:style>
  <w:style w:type="character" w:customStyle="1" w:styleId="38">
    <w:name w:val="批注主题 Char"/>
    <w:basedOn w:val="37"/>
    <w:link w:val="22"/>
    <w:qFormat/>
    <w:uiPriority w:val="0"/>
    <w:rPr>
      <w:rFonts w:ascii="Calibri" w:hAnsi="Calibri"/>
      <w:kern w:val="2"/>
      <w:sz w:val="21"/>
      <w:szCs w:val="24"/>
    </w:rPr>
  </w:style>
  <w:style w:type="character" w:customStyle="1" w:styleId="39">
    <w:name w:val="批注框文本 Char"/>
    <w:basedOn w:val="26"/>
    <w:link w:val="14"/>
    <w:semiHidden/>
    <w:qFormat/>
    <w:uiPriority w:val="99"/>
    <w:rPr>
      <w:rFonts w:ascii="Calibri" w:hAnsi="Calibri"/>
      <w:kern w:val="2"/>
      <w:sz w:val="18"/>
      <w:szCs w:val="18"/>
    </w:rPr>
  </w:style>
  <w:style w:type="paragraph" w:customStyle="1" w:styleId="40">
    <w:name w:val="纯文本1"/>
    <w:basedOn w:val="1"/>
    <w:qFormat/>
    <w:uiPriority w:val="99"/>
    <w:rPr>
      <w:rFonts w:ascii="宋体" w:hAnsi="Courier New" w:eastAsia="华文宋体"/>
      <w:sz w:val="28"/>
      <w:szCs w:val="20"/>
    </w:rPr>
  </w:style>
  <w:style w:type="paragraph" w:customStyle="1" w:styleId="41">
    <w:name w:val="p"/>
    <w:basedOn w:val="1"/>
    <w:qFormat/>
    <w:uiPriority w:val="0"/>
    <w:pPr>
      <w:spacing w:line="432" w:lineRule="auto"/>
    </w:pPr>
    <w:rPr>
      <w:kern w:val="0"/>
      <w:sz w:val="24"/>
    </w:rPr>
  </w:style>
  <w:style w:type="paragraph" w:customStyle="1" w:styleId="42">
    <w:name w:val="普通(网站)1"/>
    <w:basedOn w:val="1"/>
    <w:qFormat/>
    <w:uiPriority w:val="99"/>
    <w:rPr>
      <w:sz w:val="24"/>
    </w:rPr>
  </w:style>
  <w:style w:type="paragraph" w:customStyle="1" w:styleId="43">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NormalCharacter"/>
    <w:qFormat/>
    <w:uiPriority w:val="0"/>
  </w:style>
  <w:style w:type="paragraph" w:customStyle="1" w:styleId="45">
    <w:name w:val="WPSOffice手动目录 1"/>
    <w:qFormat/>
    <w:uiPriority w:val="0"/>
    <w:pPr>
      <w:ind w:leftChars="0"/>
    </w:pPr>
    <w:rPr>
      <w:rFonts w:ascii="Times New Roman" w:hAnsi="Times New Roman" w:eastAsia="宋体" w:cs="Times New Roman"/>
      <w:sz w:val="20"/>
      <w:szCs w:val="20"/>
    </w:rPr>
  </w:style>
  <w:style w:type="paragraph" w:customStyle="1" w:styleId="46">
    <w:name w:val="纯文本11"/>
    <w:basedOn w:val="1"/>
    <w:qFormat/>
    <w:uiPriority w:val="0"/>
    <w:rPr>
      <w:rFonts w:ascii="宋体" w:hAnsi="Courier New"/>
      <w:kern w:val="0"/>
      <w:sz w:val="20"/>
    </w:rPr>
  </w:style>
  <w:style w:type="paragraph" w:customStyle="1" w:styleId="47">
    <w:name w:val="无间隔1"/>
    <w:basedOn w:val="1"/>
    <w:qFormat/>
    <w:uiPriority w:val="1"/>
    <w:pPr>
      <w:spacing w:line="400" w:lineRule="exact"/>
    </w:pPr>
    <w:rPr>
      <w:sz w:val="24"/>
    </w:rPr>
  </w:style>
  <w:style w:type="paragraph" w:customStyle="1" w:styleId="48">
    <w:name w:val="正文首行缩进1"/>
    <w:basedOn w:val="49"/>
    <w:qFormat/>
    <w:uiPriority w:val="0"/>
    <w:pPr>
      <w:ind w:firstLine="420" w:firstLineChars="100"/>
    </w:pPr>
  </w:style>
  <w:style w:type="paragraph" w:customStyle="1" w:styleId="49">
    <w:name w:val="正文文本1"/>
    <w:basedOn w:val="1"/>
    <w:qFormat/>
    <w:uiPriority w:val="0"/>
    <w:pPr>
      <w:spacing w:after="120"/>
    </w:pPr>
  </w:style>
  <w:style w:type="paragraph" w:customStyle="1" w:styleId="50">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pPr>
    <w:rPr>
      <w:kern w:val="0"/>
      <w:sz w:val="18"/>
      <w:szCs w:val="18"/>
    </w:rPr>
  </w:style>
  <w:style w:type="paragraph" w:customStyle="1" w:styleId="51">
    <w:name w:val="页脚1"/>
    <w:basedOn w:val="1"/>
    <w:qFormat/>
    <w:uiPriority w:val="0"/>
    <w:pPr>
      <w:tabs>
        <w:tab w:val="center" w:pos="4153"/>
        <w:tab w:val="right" w:pos="8306"/>
      </w:tabs>
      <w:snapToGrid w:val="0"/>
      <w:jc w:val="left"/>
    </w:pPr>
    <w:rPr>
      <w:kern w:val="0"/>
      <w:sz w:val="18"/>
      <w:szCs w:val="18"/>
    </w:rPr>
  </w:style>
  <w:style w:type="paragraph" w:customStyle="1" w:styleId="52">
    <w:name w:val="标题 21"/>
    <w:basedOn w:val="1"/>
    <w:autoRedefine/>
    <w:qFormat/>
    <w:uiPriority w:val="0"/>
    <w:pPr>
      <w:spacing w:before="260" w:beforeAutospacing="0" w:afterAutospacing="0" w:line="360" w:lineRule="auto"/>
      <w:outlineLvl w:val="1"/>
    </w:pPr>
    <w:rPr>
      <w:rFonts w:ascii="宋体" w:hAnsi="宋体"/>
      <w:b/>
      <w:bCs/>
      <w:sz w:val="28"/>
      <w:szCs w:val="28"/>
    </w:rPr>
  </w:style>
  <w:style w:type="character" w:customStyle="1" w:styleId="53">
    <w:name w:val="font11"/>
    <w:link w:val="1"/>
    <w:autoRedefine/>
    <w:qFormat/>
    <w:uiPriority w:val="0"/>
    <w:rPr>
      <w:rFonts w:ascii="Calibri" w:hAnsi="Calibri" w:eastAsia="宋体" w:cs="Times New Roman"/>
      <w:kern w:val="2"/>
      <w:sz w:val="21"/>
      <w:szCs w:val="24"/>
      <w:lang w:val="en-US" w:eastAsia="zh-CN" w:bidi="ar-SA"/>
    </w:rPr>
  </w:style>
  <w:style w:type="character" w:customStyle="1" w:styleId="54">
    <w:name w:val="font51"/>
    <w:link w:val="1"/>
    <w:autoRedefine/>
    <w:qFormat/>
    <w:uiPriority w:val="0"/>
    <w:rPr>
      <w:rFonts w:ascii="Calibri" w:hAnsi="Calibri"/>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53</Pages>
  <Words>5028</Words>
  <Characters>5666</Characters>
  <Lines>163</Lines>
  <Paragraphs>45</Paragraphs>
  <TotalTime>6</TotalTime>
  <ScaleCrop>false</ScaleCrop>
  <LinksUpToDate>false</LinksUpToDate>
  <CharactersWithSpaces>5732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2020-12-31T08:11:00Z</dcterms:created>
  <dc:creator>河南申鑫工程管理有限公司:刘平</dc:creator>
  <cp:lastModifiedBy>WPS_1222511935</cp:lastModifiedBy>
  <cp:lastPrinted>2026-08-06T00:00:00Z</cp:lastPrinted>
  <dcterms:modified xsi:type="dcterms:W3CDTF">2026-08-06T05:06:49Z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F60FD756A4D845C4AE1EB0753AD4EC37_13</vt:lpwstr>
  </property>
  <property fmtid="{D5CDD505-2E9C-101B-9397-08002B2CF9AE}" pid="4" name="KSOTemplateDocerSaveRecord">
    <vt:lpwstr>eyJoZGlkIjoiZDU1YTE0NjE5NGY5MTg1MGJjZDY4NWQ2MTBjYWZhZjEiLCJ1c2VySWQiOiIxMjIyNTExOTM1In0=</vt:lpwstr>
  </property>
</Properties>
</file>