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E2E0F">
      <w:pPr>
        <w:pStyle w:val="36"/>
        <w:spacing w:line="480" w:lineRule="auto"/>
        <w:jc w:val="center"/>
        <w:rPr>
          <w:rFonts w:hint="eastAsia" w:ascii="宋体" w:hAnsi="宋体" w:eastAsia="宋体" w:cs="宋体"/>
          <w:b/>
          <w:bCs/>
          <w:kern w:val="0"/>
          <w:sz w:val="48"/>
          <w:szCs w:val="48"/>
          <w:highlight w:val="none"/>
          <w:lang w:eastAsia="zh-CN"/>
        </w:rPr>
      </w:pPr>
      <w:bookmarkStart w:id="43" w:name="_GoBack"/>
      <w:bookmarkEnd w:id="43"/>
      <w:r>
        <w:rPr>
          <w:rFonts w:ascii="宋体" w:hAnsi="宋体" w:eastAsia="宋体" w:cs="宋体"/>
          <w:sz w:val="24"/>
          <w:szCs w:val="24"/>
        </w:rPr>
        <w:drawing>
          <wp:inline distT="0" distB="0" distL="114300" distR="114300">
            <wp:extent cx="5990590" cy="8471535"/>
            <wp:effectExtent l="0" t="0" r="10160" b="5715"/>
            <wp:docPr id="1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icPr>
                  <pic:blipFill>
                    <a:blip r:embed="rId16"/>
                    <a:stretch>
                      <a:fillRect/>
                    </a:stretch>
                  </pic:blipFill>
                  <pic:spPr>
                    <a:xfrm>
                      <a:off x="0" y="0"/>
                      <a:ext cx="5990590" cy="8471535"/>
                    </a:xfrm>
                    <a:prstGeom prst="rect">
                      <a:avLst/>
                    </a:prstGeom>
                    <a:noFill/>
                    <a:ln w="9525">
                      <a:noFill/>
                    </a:ln>
                  </pic:spPr>
                </pic:pic>
              </a:graphicData>
            </a:graphic>
          </wp:inline>
        </w:drawing>
      </w:r>
    </w:p>
    <w:p w14:paraId="49DB70A5">
      <w:pPr>
        <w:pStyle w:val="36"/>
        <w:spacing w:line="480" w:lineRule="auto"/>
        <w:jc w:val="center"/>
        <w:rPr>
          <w:rFonts w:hint="eastAsia" w:ascii="宋体" w:hAnsi="宋体" w:eastAsia="宋体" w:cs="宋体"/>
          <w:b/>
          <w:bCs/>
          <w:kern w:val="0"/>
          <w:sz w:val="48"/>
          <w:szCs w:val="48"/>
          <w:highlight w:val="none"/>
          <w:lang w:eastAsia="zh-CN"/>
        </w:rPr>
      </w:pPr>
    </w:p>
    <w:p w14:paraId="416059DA">
      <w:pPr>
        <w:pStyle w:val="36"/>
        <w:spacing w:line="480" w:lineRule="auto"/>
        <w:jc w:val="center"/>
        <w:rPr>
          <w:rFonts w:hint="eastAsia" w:ascii="宋体" w:hAnsi="宋体" w:eastAsia="宋体" w:cs="宋体"/>
          <w:b/>
          <w:bCs/>
          <w:kern w:val="0"/>
          <w:sz w:val="48"/>
          <w:szCs w:val="48"/>
          <w:highlight w:val="none"/>
          <w:lang w:eastAsia="zh-CN"/>
        </w:rPr>
      </w:pPr>
    </w:p>
    <w:p w14:paraId="72D1C33C">
      <w:pPr>
        <w:pStyle w:val="36"/>
        <w:spacing w:line="480" w:lineRule="auto"/>
        <w:jc w:val="center"/>
        <w:rPr>
          <w:rFonts w:hint="eastAsia" w:ascii="宋体" w:hAnsi="宋体" w:eastAsia="宋体" w:cs="宋体"/>
          <w:b/>
          <w:bCs/>
          <w:kern w:val="0"/>
          <w:sz w:val="48"/>
          <w:szCs w:val="48"/>
          <w:highlight w:val="none"/>
        </w:rPr>
      </w:pPr>
      <w:r>
        <w:rPr>
          <w:rFonts w:hint="eastAsia" w:ascii="宋体" w:hAnsi="宋体" w:eastAsia="宋体" w:cs="宋体"/>
          <w:b/>
          <w:bCs/>
          <w:kern w:val="0"/>
          <w:sz w:val="48"/>
          <w:szCs w:val="48"/>
          <w:highlight w:val="none"/>
          <w:lang w:eastAsia="zh-CN"/>
        </w:rPr>
        <w:t>平顶山学院</w:t>
      </w:r>
      <w:r>
        <w:rPr>
          <w:rFonts w:hint="eastAsia" w:ascii="宋体" w:hAnsi="宋体" w:eastAsia="宋体" w:cs="宋体"/>
          <w:b/>
          <w:bCs/>
          <w:kern w:val="0"/>
          <w:sz w:val="48"/>
          <w:szCs w:val="48"/>
          <w:highlight w:val="none"/>
          <w:lang w:val="en-US" w:eastAsia="zh-CN"/>
        </w:rPr>
        <w:t>能源互联网信息安全实训平台</w:t>
      </w:r>
      <w:r>
        <w:rPr>
          <w:rFonts w:hint="eastAsia" w:ascii="宋体" w:hAnsi="宋体" w:eastAsia="宋体" w:cs="宋体"/>
          <w:b/>
          <w:bCs/>
          <w:kern w:val="0"/>
          <w:sz w:val="48"/>
          <w:szCs w:val="48"/>
          <w:highlight w:val="none"/>
          <w:lang w:eastAsia="zh-CN"/>
        </w:rPr>
        <w:t>项目</w:t>
      </w:r>
      <w:r>
        <w:rPr>
          <w:rFonts w:hint="eastAsia" w:ascii="宋体" w:hAnsi="宋体" w:eastAsia="宋体" w:cs="宋体"/>
          <w:b/>
          <w:bCs/>
          <w:kern w:val="0"/>
          <w:sz w:val="48"/>
          <w:szCs w:val="48"/>
          <w:highlight w:val="none"/>
        </w:rPr>
        <w:tab/>
      </w:r>
    </w:p>
    <w:p w14:paraId="609BBBFC">
      <w:pPr>
        <w:rPr>
          <w:rFonts w:hint="eastAsia" w:ascii="宋体" w:hAnsi="宋体" w:eastAsia="宋体" w:cs="宋体"/>
          <w:sz w:val="48"/>
          <w:szCs w:val="48"/>
          <w:highlight w:val="none"/>
        </w:rPr>
      </w:pPr>
    </w:p>
    <w:p w14:paraId="4ECF6927">
      <w:pPr>
        <w:rPr>
          <w:rFonts w:hint="eastAsia" w:ascii="宋体" w:hAnsi="宋体" w:eastAsia="宋体" w:cs="宋体"/>
          <w:highlight w:val="none"/>
        </w:rPr>
      </w:pPr>
    </w:p>
    <w:p w14:paraId="6C625D26">
      <w:pPr>
        <w:jc w:val="center"/>
        <w:rPr>
          <w:rFonts w:hint="eastAsia" w:ascii="宋体" w:hAnsi="宋体" w:eastAsia="宋体" w:cs="宋体"/>
          <w:b/>
          <w:sz w:val="112"/>
          <w:szCs w:val="112"/>
          <w:highlight w:val="none"/>
        </w:rPr>
      </w:pPr>
    </w:p>
    <w:p w14:paraId="0909D9F4">
      <w:pPr>
        <w:jc w:val="center"/>
        <w:rPr>
          <w:rFonts w:hint="eastAsia" w:ascii="宋体" w:hAnsi="宋体" w:eastAsia="宋体" w:cs="宋体"/>
          <w:b/>
          <w:sz w:val="96"/>
          <w:szCs w:val="96"/>
          <w:highlight w:val="none"/>
        </w:rPr>
      </w:pPr>
    </w:p>
    <w:p w14:paraId="27A1B531">
      <w:pPr>
        <w:jc w:val="center"/>
        <w:rPr>
          <w:rFonts w:hint="eastAsia" w:ascii="宋体" w:hAnsi="宋体" w:eastAsia="宋体" w:cs="宋体"/>
          <w:b/>
          <w:sz w:val="96"/>
          <w:szCs w:val="96"/>
          <w:highlight w:val="none"/>
        </w:rPr>
      </w:pPr>
      <w:r>
        <w:rPr>
          <w:rFonts w:hint="eastAsia" w:ascii="宋体" w:hAnsi="宋体" w:eastAsia="宋体" w:cs="宋体"/>
          <w:b/>
          <w:sz w:val="96"/>
          <w:szCs w:val="96"/>
          <w:highlight w:val="none"/>
        </w:rPr>
        <w:t>招标文件</w:t>
      </w:r>
    </w:p>
    <w:p w14:paraId="2C02B9D4">
      <w:pPr>
        <w:pStyle w:val="4"/>
        <w:ind w:left="0" w:leftChars="0" w:firstLine="0" w:firstLineChars="0"/>
        <w:jc w:val="center"/>
        <w:rPr>
          <w:rFonts w:hint="eastAsia" w:ascii="宋体" w:hAnsi="宋体" w:eastAsia="宋体" w:cs="宋体"/>
          <w:highlight w:val="none"/>
        </w:rPr>
      </w:pPr>
    </w:p>
    <w:p w14:paraId="524FAAB7">
      <w:pPr>
        <w:pStyle w:val="36"/>
        <w:rPr>
          <w:rFonts w:hint="eastAsia" w:ascii="宋体" w:hAnsi="宋体" w:eastAsia="宋体" w:cs="宋体"/>
          <w:highlight w:val="none"/>
        </w:rPr>
      </w:pPr>
    </w:p>
    <w:p w14:paraId="4B1DD5F9">
      <w:pPr>
        <w:tabs>
          <w:tab w:val="left" w:pos="-1155"/>
          <w:tab w:val="left" w:pos="-1050"/>
        </w:tabs>
        <w:adjustRightInd w:val="0"/>
        <w:snapToGrid w:val="0"/>
        <w:spacing w:line="360" w:lineRule="auto"/>
        <w:ind w:firstLine="1398" w:firstLineChars="400"/>
        <w:rPr>
          <w:rFonts w:hint="eastAsia" w:ascii="宋体" w:hAnsi="宋体" w:eastAsia="宋体" w:cs="宋体"/>
          <w:b/>
          <w:spacing w:val="-6"/>
          <w:sz w:val="36"/>
          <w:szCs w:val="36"/>
          <w:highlight w:val="none"/>
        </w:rPr>
      </w:pPr>
    </w:p>
    <w:p w14:paraId="094EA4B1">
      <w:pPr>
        <w:tabs>
          <w:tab w:val="left" w:pos="-1155"/>
          <w:tab w:val="left" w:pos="-1050"/>
        </w:tabs>
        <w:adjustRightInd w:val="0"/>
        <w:snapToGrid w:val="0"/>
        <w:spacing w:line="360" w:lineRule="auto"/>
        <w:ind w:firstLine="1237" w:firstLineChars="400"/>
        <w:rPr>
          <w:rFonts w:hint="eastAsia" w:ascii="宋体" w:hAnsi="宋体" w:eastAsia="宋体" w:cs="宋体"/>
          <w:b/>
          <w:spacing w:val="-6"/>
          <w:sz w:val="32"/>
          <w:szCs w:val="32"/>
          <w:highlight w:val="none"/>
        </w:rPr>
      </w:pPr>
    </w:p>
    <w:p w14:paraId="2EB019B5">
      <w:pPr>
        <w:tabs>
          <w:tab w:val="left" w:pos="-1155"/>
          <w:tab w:val="left" w:pos="-1050"/>
        </w:tabs>
        <w:adjustRightInd w:val="0"/>
        <w:snapToGrid w:val="0"/>
        <w:spacing w:line="360" w:lineRule="auto"/>
        <w:ind w:firstLine="1237" w:firstLineChars="400"/>
        <w:rPr>
          <w:rFonts w:hint="eastAsia" w:ascii="宋体" w:hAnsi="宋体" w:eastAsia="宋体" w:cs="宋体"/>
          <w:b/>
          <w:spacing w:val="-6"/>
          <w:sz w:val="32"/>
          <w:szCs w:val="32"/>
          <w:highlight w:val="none"/>
        </w:rPr>
      </w:pPr>
    </w:p>
    <w:p w14:paraId="6F3B688E">
      <w:pPr>
        <w:tabs>
          <w:tab w:val="left" w:pos="-1155"/>
          <w:tab w:val="left" w:pos="-1050"/>
        </w:tabs>
        <w:adjustRightInd w:val="0"/>
        <w:snapToGrid w:val="0"/>
        <w:spacing w:line="360" w:lineRule="auto"/>
        <w:ind w:firstLine="1237" w:firstLineChars="400"/>
        <w:rPr>
          <w:rFonts w:hint="eastAsia" w:ascii="宋体" w:hAnsi="宋体" w:eastAsia="宋体" w:cs="宋体"/>
          <w:b/>
          <w:spacing w:val="-6"/>
          <w:sz w:val="32"/>
          <w:szCs w:val="32"/>
          <w:highlight w:val="none"/>
        </w:rPr>
      </w:pPr>
    </w:p>
    <w:p w14:paraId="32D2D8B6">
      <w:pPr>
        <w:tabs>
          <w:tab w:val="left" w:pos="-1155"/>
          <w:tab w:val="left" w:pos="-1050"/>
        </w:tabs>
        <w:adjustRightInd w:val="0"/>
        <w:snapToGrid w:val="0"/>
        <w:spacing w:line="360" w:lineRule="auto"/>
        <w:ind w:firstLine="1237" w:firstLineChars="400"/>
        <w:rPr>
          <w:rFonts w:hint="eastAsia" w:ascii="宋体" w:hAnsi="宋体" w:eastAsia="宋体" w:cs="宋体"/>
          <w:b/>
          <w:spacing w:val="-6"/>
          <w:sz w:val="32"/>
          <w:szCs w:val="32"/>
          <w:highlight w:val="none"/>
          <w:lang w:val="en-US" w:eastAsia="zh-CN"/>
        </w:rPr>
      </w:pPr>
    </w:p>
    <w:p w14:paraId="108247BE">
      <w:pPr>
        <w:tabs>
          <w:tab w:val="left" w:pos="-1155"/>
          <w:tab w:val="left" w:pos="-1050"/>
        </w:tabs>
        <w:adjustRightInd w:val="0"/>
        <w:snapToGrid w:val="0"/>
        <w:spacing w:line="360" w:lineRule="auto"/>
        <w:ind w:firstLine="1237" w:firstLineChars="400"/>
        <w:rPr>
          <w:rFonts w:hint="eastAsia" w:ascii="宋体" w:hAnsi="宋体" w:eastAsia="宋体" w:cs="宋体"/>
          <w:b/>
          <w:spacing w:val="-6"/>
          <w:sz w:val="32"/>
          <w:szCs w:val="32"/>
          <w:highlight w:val="none"/>
          <w:lang w:val="en-US" w:eastAsia="zh-CN"/>
        </w:rPr>
      </w:pPr>
    </w:p>
    <w:p w14:paraId="2340C3A1">
      <w:pPr>
        <w:tabs>
          <w:tab w:val="left" w:pos="-1155"/>
          <w:tab w:val="left" w:pos="-1050"/>
        </w:tabs>
        <w:adjustRightInd w:val="0"/>
        <w:snapToGrid w:val="0"/>
        <w:spacing w:line="360" w:lineRule="auto"/>
        <w:ind w:firstLine="1237" w:firstLineChars="400"/>
        <w:rPr>
          <w:rFonts w:hint="eastAsia" w:ascii="宋体" w:hAnsi="宋体" w:eastAsia="宋体" w:cs="宋体"/>
          <w:b/>
          <w:spacing w:val="-6"/>
          <w:sz w:val="32"/>
          <w:szCs w:val="32"/>
          <w:highlight w:val="none"/>
        </w:rPr>
      </w:pPr>
      <w:r>
        <w:rPr>
          <w:rFonts w:hint="eastAsia" w:ascii="宋体" w:hAnsi="宋体" w:eastAsia="宋体" w:cs="宋体"/>
          <w:b/>
          <w:spacing w:val="-6"/>
          <w:sz w:val="32"/>
          <w:szCs w:val="32"/>
          <w:highlight w:val="none"/>
          <w:lang w:val="en-US" w:eastAsia="zh-CN"/>
        </w:rPr>
        <w:t xml:space="preserve">采   购   </w:t>
      </w:r>
      <w:r>
        <w:rPr>
          <w:rFonts w:hint="eastAsia" w:ascii="宋体" w:hAnsi="宋体" w:eastAsia="宋体" w:cs="宋体"/>
          <w:b/>
          <w:spacing w:val="-6"/>
          <w:sz w:val="32"/>
          <w:szCs w:val="32"/>
          <w:highlight w:val="none"/>
        </w:rPr>
        <w:t>人：平顶山学院</w:t>
      </w:r>
    </w:p>
    <w:p w14:paraId="7B852DBF">
      <w:pPr>
        <w:tabs>
          <w:tab w:val="left" w:pos="-1155"/>
          <w:tab w:val="left" w:pos="-1050"/>
        </w:tabs>
        <w:adjustRightInd w:val="0"/>
        <w:snapToGrid w:val="0"/>
        <w:spacing w:line="360" w:lineRule="auto"/>
        <w:ind w:firstLine="1237" w:firstLineChars="400"/>
        <w:rPr>
          <w:rFonts w:hint="eastAsia" w:ascii="宋体" w:hAnsi="宋体" w:eastAsia="宋体" w:cs="宋体"/>
          <w:b/>
          <w:spacing w:val="-6"/>
          <w:sz w:val="32"/>
          <w:szCs w:val="32"/>
          <w:highlight w:val="none"/>
          <w:lang w:val="en-US" w:eastAsia="zh-CN"/>
        </w:rPr>
      </w:pPr>
      <w:r>
        <w:rPr>
          <w:rFonts w:hint="eastAsia" w:ascii="宋体" w:hAnsi="宋体" w:eastAsia="宋体" w:cs="宋体"/>
          <w:b/>
          <w:spacing w:val="-6"/>
          <w:sz w:val="32"/>
          <w:szCs w:val="32"/>
          <w:highlight w:val="none"/>
          <w:lang w:val="en-US" w:eastAsia="zh-CN"/>
        </w:rPr>
        <w:t>采购</w:t>
      </w:r>
      <w:r>
        <w:rPr>
          <w:rFonts w:hint="eastAsia" w:ascii="宋体" w:hAnsi="宋体" w:eastAsia="宋体" w:cs="宋体"/>
          <w:b/>
          <w:spacing w:val="-6"/>
          <w:sz w:val="32"/>
          <w:szCs w:val="32"/>
          <w:highlight w:val="none"/>
        </w:rPr>
        <w:t>代理机构：</w:t>
      </w:r>
      <w:r>
        <w:rPr>
          <w:rFonts w:hint="eastAsia" w:ascii="宋体" w:hAnsi="宋体" w:eastAsia="宋体" w:cs="宋体"/>
          <w:b/>
          <w:spacing w:val="-6"/>
          <w:sz w:val="32"/>
          <w:szCs w:val="32"/>
          <w:highlight w:val="none"/>
          <w:lang w:val="en-US" w:eastAsia="zh-CN"/>
        </w:rPr>
        <w:t>慧霖建设发展集团有限公司</w:t>
      </w:r>
    </w:p>
    <w:p w14:paraId="458FACAD">
      <w:pPr>
        <w:tabs>
          <w:tab w:val="left" w:pos="-1155"/>
          <w:tab w:val="left" w:pos="-1050"/>
        </w:tabs>
        <w:adjustRightInd w:val="0"/>
        <w:snapToGrid w:val="0"/>
        <w:spacing w:line="360" w:lineRule="auto"/>
        <w:ind w:firstLine="1237" w:firstLineChars="400"/>
        <w:rPr>
          <w:rFonts w:hint="eastAsia" w:ascii="宋体" w:hAnsi="宋体" w:eastAsia="宋体" w:cs="宋体"/>
          <w:b/>
          <w:spacing w:val="-6"/>
          <w:sz w:val="32"/>
          <w:szCs w:val="32"/>
          <w:highlight w:val="none"/>
          <w:u w:val="single"/>
        </w:rPr>
      </w:pPr>
      <w:r>
        <w:rPr>
          <w:rFonts w:hint="eastAsia" w:ascii="宋体" w:hAnsi="宋体" w:eastAsia="宋体" w:cs="宋体"/>
          <w:b/>
          <w:spacing w:val="-6"/>
          <w:sz w:val="32"/>
          <w:szCs w:val="32"/>
          <w:highlight w:val="none"/>
        </w:rPr>
        <w:t xml:space="preserve">日   </w:t>
      </w:r>
      <w:r>
        <w:rPr>
          <w:rFonts w:hint="eastAsia" w:ascii="宋体" w:hAnsi="宋体" w:eastAsia="宋体" w:cs="宋体"/>
          <w:b/>
          <w:spacing w:val="-6"/>
          <w:sz w:val="32"/>
          <w:szCs w:val="32"/>
          <w:highlight w:val="none"/>
          <w:lang w:val="en-US" w:eastAsia="zh-CN"/>
        </w:rPr>
        <w:t xml:space="preserve">    </w:t>
      </w:r>
      <w:r>
        <w:rPr>
          <w:rFonts w:hint="eastAsia" w:ascii="宋体" w:hAnsi="宋体" w:eastAsia="宋体" w:cs="宋体"/>
          <w:b/>
          <w:spacing w:val="-6"/>
          <w:sz w:val="32"/>
          <w:szCs w:val="32"/>
          <w:highlight w:val="none"/>
        </w:rPr>
        <w:t xml:space="preserve"> 期：二</w:t>
      </w:r>
      <w:r>
        <w:rPr>
          <w:rFonts w:hint="eastAsia" w:ascii="宋体" w:hAnsi="宋体" w:eastAsia="宋体" w:cs="宋体"/>
          <w:b/>
          <w:spacing w:val="-6"/>
          <w:sz w:val="32"/>
          <w:szCs w:val="32"/>
          <w:highlight w:val="none"/>
          <w:lang w:val="en-US" w:eastAsia="zh-CN"/>
        </w:rPr>
        <w:t>零</w:t>
      </w:r>
      <w:r>
        <w:rPr>
          <w:rFonts w:hint="eastAsia" w:ascii="宋体" w:hAnsi="宋体" w:eastAsia="宋体" w:cs="宋体"/>
          <w:b/>
          <w:spacing w:val="-6"/>
          <w:sz w:val="32"/>
          <w:szCs w:val="32"/>
          <w:highlight w:val="none"/>
        </w:rPr>
        <w:t>二</w:t>
      </w:r>
      <w:r>
        <w:rPr>
          <w:rFonts w:hint="eastAsia" w:ascii="宋体" w:hAnsi="宋体" w:eastAsia="宋体" w:cs="宋体"/>
          <w:b/>
          <w:spacing w:val="-6"/>
          <w:sz w:val="32"/>
          <w:szCs w:val="32"/>
          <w:highlight w:val="none"/>
          <w:lang w:val="en-US" w:eastAsia="zh-CN"/>
        </w:rPr>
        <w:t>六</w:t>
      </w:r>
      <w:r>
        <w:rPr>
          <w:rFonts w:hint="eastAsia" w:ascii="宋体" w:hAnsi="宋体" w:eastAsia="宋体" w:cs="宋体"/>
          <w:b/>
          <w:spacing w:val="-6"/>
          <w:sz w:val="32"/>
          <w:szCs w:val="32"/>
          <w:highlight w:val="none"/>
        </w:rPr>
        <w:t>年</w:t>
      </w:r>
      <w:r>
        <w:rPr>
          <w:rFonts w:hint="eastAsia" w:ascii="宋体" w:hAnsi="宋体" w:eastAsia="宋体" w:cs="宋体"/>
          <w:b/>
          <w:spacing w:val="-6"/>
          <w:sz w:val="32"/>
          <w:szCs w:val="32"/>
          <w:highlight w:val="none"/>
          <w:lang w:val="en-US" w:eastAsia="zh-CN"/>
        </w:rPr>
        <w:t>七</w:t>
      </w:r>
      <w:r>
        <w:rPr>
          <w:rFonts w:hint="eastAsia" w:ascii="宋体" w:hAnsi="宋体" w:eastAsia="宋体" w:cs="宋体"/>
          <w:b/>
          <w:spacing w:val="-6"/>
          <w:sz w:val="32"/>
          <w:szCs w:val="32"/>
          <w:highlight w:val="none"/>
        </w:rPr>
        <w:t>月</w:t>
      </w:r>
    </w:p>
    <w:p w14:paraId="30DC171E">
      <w:pPr>
        <w:autoSpaceDE w:val="0"/>
        <w:autoSpaceDN w:val="0"/>
        <w:adjustRightInd w:val="0"/>
        <w:snapToGrid w:val="0"/>
        <w:spacing w:before="312" w:beforeLines="100" w:after="312" w:afterLines="100" w:line="360" w:lineRule="auto"/>
        <w:ind w:firstLine="2390" w:firstLineChars="744"/>
        <w:rPr>
          <w:rFonts w:hint="eastAsia" w:ascii="宋体" w:hAnsi="宋体" w:eastAsia="宋体" w:cs="宋体"/>
          <w:b/>
          <w:kern w:val="0"/>
          <w:sz w:val="32"/>
          <w:szCs w:val="32"/>
          <w:highlight w:val="none"/>
        </w:rPr>
        <w:sectPr>
          <w:footerReference r:id="rId3" w:type="default"/>
          <w:pgSz w:w="11906" w:h="16838"/>
          <w:pgMar w:top="1020" w:right="1080" w:bottom="1440" w:left="1080" w:header="851" w:footer="992" w:gutter="0"/>
          <w:pgNumType w:fmt="decimal" w:start="1"/>
          <w:cols w:space="720" w:num="1"/>
          <w:docGrid w:type="lines" w:linePitch="312" w:charSpace="0"/>
        </w:sectPr>
      </w:pPr>
    </w:p>
    <w:p w14:paraId="6B75832E">
      <w:pPr>
        <w:tabs>
          <w:tab w:val="left" w:pos="840"/>
        </w:tabs>
        <w:spacing w:before="19"/>
        <w:ind w:right="83"/>
        <w:jc w:val="center"/>
        <w:rPr>
          <w:rFonts w:hint="eastAsia" w:ascii="宋体" w:hAnsi="宋体" w:eastAsia="宋体" w:cs="宋体"/>
          <w:b/>
          <w:color w:val="auto"/>
          <w:sz w:val="32"/>
          <w:szCs w:val="32"/>
          <w:highlight w:val="none"/>
        </w:rPr>
      </w:pPr>
    </w:p>
    <w:p w14:paraId="08F2DAF9">
      <w:pPr>
        <w:tabs>
          <w:tab w:val="left" w:pos="840"/>
        </w:tabs>
        <w:spacing w:before="19"/>
        <w:ind w:right="8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目</w:t>
      </w:r>
      <w:r>
        <w:rPr>
          <w:rFonts w:hint="eastAsia" w:ascii="宋体" w:hAnsi="宋体" w:eastAsia="宋体" w:cs="宋体"/>
          <w:b/>
          <w:color w:val="auto"/>
          <w:sz w:val="32"/>
          <w:szCs w:val="32"/>
          <w:highlight w:val="none"/>
        </w:rPr>
        <w:tab/>
      </w:r>
      <w:r>
        <w:rPr>
          <w:rFonts w:hint="eastAsia" w:ascii="宋体" w:hAnsi="宋体" w:eastAsia="宋体" w:cs="宋体"/>
          <w:b/>
          <w:color w:val="auto"/>
          <w:sz w:val="32"/>
          <w:szCs w:val="32"/>
          <w:highlight w:val="none"/>
        </w:rPr>
        <w:t>录</w:t>
      </w:r>
    </w:p>
    <w:p w14:paraId="403EBB5A">
      <w:pPr>
        <w:pStyle w:val="9"/>
        <w:spacing w:before="11" w:line="480" w:lineRule="auto"/>
        <w:rPr>
          <w:rFonts w:hint="eastAsia" w:ascii="宋体" w:hAnsi="宋体" w:eastAsia="宋体" w:cs="宋体"/>
          <w:b/>
          <w:color w:val="auto"/>
          <w:sz w:val="23"/>
          <w:highlight w:val="none"/>
        </w:rPr>
      </w:pPr>
    </w:p>
    <w:p w14:paraId="40723F56">
      <w:pPr>
        <w:pStyle w:val="17"/>
        <w:tabs>
          <w:tab w:val="right" w:leader="dot" w:pos="8250"/>
        </w:tabs>
        <w:spacing w:line="48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TOC \o "1-1" \h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"_Toc25172"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第一章</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_Toc25172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3458617">
      <w:pPr>
        <w:pStyle w:val="17"/>
        <w:tabs>
          <w:tab w:val="right" w:leader="dot" w:pos="8250"/>
        </w:tabs>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"_Toc5796"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- 6 -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708C3D3">
      <w:pPr>
        <w:pStyle w:val="17"/>
        <w:tabs>
          <w:tab w:val="right" w:leader="dot" w:pos="8250"/>
        </w:tabs>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"_Toc12010"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第三章 评标办法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_Toc12010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- 24 -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F7DEA42">
      <w:pPr>
        <w:pStyle w:val="17"/>
        <w:tabs>
          <w:tab w:val="right" w:leader="dot" w:pos="8250"/>
        </w:tabs>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"_Toc15842"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第四章</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合同条款及格式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_Toc15842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- 33 -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61912D0">
      <w:pPr>
        <w:pStyle w:val="17"/>
        <w:tabs>
          <w:tab w:val="right" w:leader="dot" w:pos="8250"/>
        </w:tabs>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"_Toc16106"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第五章  采购内容及技术要求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_Toc16106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- 38 -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F43D2AA">
      <w:pPr>
        <w:pStyle w:val="17"/>
        <w:tabs>
          <w:tab w:val="right" w:pos="3600"/>
          <w:tab w:val="right" w:leader="dot" w:pos="8250"/>
        </w:tabs>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"_Toc19016"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第六章</w:t>
      </w:r>
      <w:r>
        <w:rPr>
          <w:rFonts w:hint="eastAsia" w:ascii="宋体" w:hAnsi="宋体" w:eastAsia="宋体" w:cs="宋体"/>
          <w:color w:val="auto"/>
          <w:sz w:val="24"/>
          <w:szCs w:val="24"/>
          <w:highlight w:val="none"/>
          <w:lang w:val="en-US"/>
        </w:rPr>
        <w:t xml:space="preserve">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_Toc19016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- 64 -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0C019BD">
      <w:pPr>
        <w:pStyle w:val="9"/>
        <w:spacing w:before="11"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fldChar w:fldCharType="end"/>
      </w:r>
    </w:p>
    <w:p w14:paraId="639244CC">
      <w:pPr>
        <w:pStyle w:val="9"/>
        <w:spacing w:before="11"/>
        <w:rPr>
          <w:rFonts w:hint="eastAsia" w:ascii="宋体" w:hAnsi="宋体" w:eastAsia="宋体" w:cs="宋体"/>
          <w:b/>
          <w:color w:val="auto"/>
          <w:sz w:val="23"/>
          <w:highlight w:val="none"/>
        </w:rPr>
      </w:pPr>
    </w:p>
    <w:p w14:paraId="58655F82">
      <w:pPr>
        <w:pStyle w:val="9"/>
        <w:spacing w:before="11"/>
        <w:rPr>
          <w:rFonts w:hint="eastAsia" w:ascii="宋体" w:hAnsi="宋体" w:eastAsia="宋体" w:cs="宋体"/>
          <w:b/>
          <w:color w:val="auto"/>
          <w:sz w:val="23"/>
          <w:highlight w:val="none"/>
        </w:rPr>
      </w:pPr>
    </w:p>
    <w:p w14:paraId="68EDD9D4">
      <w:pPr>
        <w:pStyle w:val="9"/>
        <w:spacing w:before="11"/>
        <w:rPr>
          <w:rFonts w:hint="eastAsia" w:ascii="宋体" w:hAnsi="宋体" w:eastAsia="宋体" w:cs="宋体"/>
          <w:b/>
          <w:color w:val="auto"/>
          <w:sz w:val="23"/>
          <w:highlight w:val="none"/>
        </w:rPr>
      </w:pPr>
    </w:p>
    <w:p w14:paraId="7B4D2684">
      <w:pPr>
        <w:pStyle w:val="9"/>
        <w:spacing w:before="11"/>
        <w:rPr>
          <w:rFonts w:hint="eastAsia" w:ascii="宋体" w:hAnsi="宋体" w:eastAsia="宋体" w:cs="宋体"/>
          <w:b/>
          <w:color w:val="auto"/>
          <w:sz w:val="23"/>
          <w:highlight w:val="none"/>
        </w:rPr>
      </w:pPr>
    </w:p>
    <w:p w14:paraId="289704B0">
      <w:pPr>
        <w:pStyle w:val="9"/>
        <w:spacing w:before="11"/>
        <w:rPr>
          <w:rFonts w:hint="eastAsia" w:ascii="宋体" w:hAnsi="宋体" w:eastAsia="宋体" w:cs="宋体"/>
          <w:b/>
          <w:color w:val="auto"/>
          <w:sz w:val="23"/>
          <w:highlight w:val="none"/>
        </w:rPr>
      </w:pPr>
    </w:p>
    <w:p w14:paraId="036EA2CC">
      <w:pPr>
        <w:pStyle w:val="9"/>
        <w:spacing w:before="11"/>
        <w:rPr>
          <w:rFonts w:hint="eastAsia" w:ascii="宋体" w:hAnsi="宋体" w:eastAsia="宋体" w:cs="宋体"/>
          <w:b/>
          <w:color w:val="auto"/>
          <w:sz w:val="23"/>
          <w:highlight w:val="none"/>
        </w:rPr>
      </w:pPr>
    </w:p>
    <w:p w14:paraId="54863478">
      <w:pPr>
        <w:pStyle w:val="9"/>
        <w:spacing w:before="11"/>
        <w:rPr>
          <w:rFonts w:hint="eastAsia" w:ascii="宋体" w:hAnsi="宋体" w:eastAsia="宋体" w:cs="宋体"/>
          <w:b/>
          <w:color w:val="auto"/>
          <w:sz w:val="23"/>
          <w:highlight w:val="none"/>
        </w:rPr>
      </w:pPr>
    </w:p>
    <w:p w14:paraId="0D6E4BF1">
      <w:pPr>
        <w:pStyle w:val="9"/>
        <w:spacing w:before="11"/>
        <w:rPr>
          <w:rFonts w:hint="eastAsia" w:ascii="宋体" w:hAnsi="宋体" w:eastAsia="宋体" w:cs="宋体"/>
          <w:b/>
          <w:color w:val="auto"/>
          <w:sz w:val="23"/>
          <w:highlight w:val="none"/>
        </w:rPr>
      </w:pPr>
    </w:p>
    <w:p w14:paraId="27C3CF56">
      <w:pPr>
        <w:rPr>
          <w:rFonts w:hint="eastAsia" w:ascii="宋体" w:hAnsi="宋体" w:eastAsia="宋体" w:cs="宋体"/>
          <w:b/>
          <w:color w:val="auto"/>
          <w:sz w:val="23"/>
          <w:highlight w:val="none"/>
        </w:rPr>
      </w:pPr>
    </w:p>
    <w:p w14:paraId="109D1ADB">
      <w:pPr>
        <w:rPr>
          <w:rFonts w:hint="eastAsia" w:ascii="宋体" w:hAnsi="宋体" w:eastAsia="宋体" w:cs="宋体"/>
          <w:color w:val="auto"/>
          <w:highlight w:val="none"/>
        </w:rPr>
      </w:pPr>
    </w:p>
    <w:p w14:paraId="0FBB2EEF">
      <w:pPr>
        <w:pStyle w:val="3"/>
        <w:numPr>
          <w:ilvl w:val="0"/>
          <w:numId w:val="1"/>
        </w:numPr>
        <w:spacing w:before="100" w:after="100" w:line="440" w:lineRule="exact"/>
        <w:ind w:right="-144"/>
        <w:rPr>
          <w:rFonts w:hint="eastAsia" w:ascii="宋体" w:hAnsi="宋体" w:eastAsia="宋体" w:cs="宋体"/>
          <w:color w:val="auto"/>
          <w:highlight w:val="none"/>
        </w:rPr>
        <w:sectPr>
          <w:headerReference r:id="rId5" w:type="first"/>
          <w:headerReference r:id="rId4" w:type="default"/>
          <w:footerReference r:id="rId6" w:type="default"/>
          <w:pgSz w:w="11850" w:h="16783"/>
          <w:pgMar w:top="1440" w:right="1800" w:bottom="1440" w:left="1800" w:header="0" w:footer="1233" w:gutter="0"/>
          <w:cols w:space="720" w:num="1"/>
        </w:sectPr>
      </w:pPr>
    </w:p>
    <w:p w14:paraId="72DC62C4">
      <w:pPr>
        <w:pStyle w:val="3"/>
        <w:keepNext w:val="0"/>
        <w:keepLines w:val="0"/>
        <w:pageBreakBefore w:val="0"/>
        <w:kinsoku/>
        <w:wordWrap/>
        <w:overflowPunct/>
        <w:topLinePunct w:val="0"/>
        <w:bidi w:val="0"/>
        <w:adjustRightInd/>
        <w:snapToGrid/>
        <w:spacing w:before="100" w:after="100" w:line="400" w:lineRule="exact"/>
        <w:ind w:right="-144"/>
        <w:textAlignment w:val="auto"/>
        <w:rPr>
          <w:rFonts w:hint="eastAsia" w:ascii="宋体" w:hAnsi="宋体" w:eastAsia="宋体" w:cs="宋体"/>
          <w:color w:val="auto"/>
          <w:highlight w:val="none"/>
        </w:rPr>
      </w:pPr>
      <w:bookmarkStart w:id="0" w:name="_Toc4557"/>
      <w:bookmarkStart w:id="1" w:name="_Toc25172"/>
      <w:r>
        <w:rPr>
          <w:rFonts w:hint="eastAsia" w:ascii="宋体" w:hAnsi="宋体" w:eastAsia="宋体" w:cs="宋体"/>
          <w:color w:val="auto"/>
          <w:highlight w:val="none"/>
        </w:rPr>
        <w:t>第一章</w:t>
      </w:r>
      <w:r>
        <w:rPr>
          <w:rFonts w:hint="eastAsia" w:ascii="宋体" w:hAnsi="宋体" w:eastAsia="宋体" w:cs="宋体"/>
          <w:color w:val="auto"/>
          <w:highlight w:val="none"/>
          <w:lang w:val="en-US"/>
        </w:rPr>
        <w:t xml:space="preserve"> </w:t>
      </w:r>
      <w:r>
        <w:rPr>
          <w:rFonts w:hint="eastAsia" w:ascii="宋体" w:hAnsi="宋体" w:eastAsia="宋体" w:cs="宋体"/>
          <w:color w:val="auto"/>
          <w:highlight w:val="none"/>
        </w:rPr>
        <w:t>招标公告</w:t>
      </w:r>
      <w:bookmarkEnd w:id="0"/>
      <w:bookmarkEnd w:id="1"/>
    </w:p>
    <w:p w14:paraId="5AEC1CC7">
      <w:pPr>
        <w:keepNext w:val="0"/>
        <w:keepLines w:val="0"/>
        <w:pageBreakBefore w:val="0"/>
        <w:widowControl/>
        <w:kinsoku/>
        <w:wordWrap/>
        <w:overflowPunct/>
        <w:topLinePunct w:val="0"/>
        <w:bidi w:val="0"/>
        <w:adjustRightInd w:val="0"/>
        <w:snapToGrid w:val="0"/>
        <w:spacing w:beforeAutospacing="0" w:afterAutospacing="0" w:line="408" w:lineRule="auto"/>
        <w:ind w:right="-370"/>
        <w:jc w:val="center"/>
        <w:textAlignment w:val="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【平公资采</w:t>
      </w:r>
      <w:r>
        <w:rPr>
          <w:rFonts w:hint="eastAsia" w:ascii="宋体" w:hAnsi="宋体" w:eastAsia="宋体" w:cs="宋体"/>
          <w:b/>
          <w:bCs/>
          <w:color w:val="auto"/>
          <w:sz w:val="30"/>
          <w:szCs w:val="30"/>
          <w:highlight w:val="none"/>
          <w:lang w:val="en-US" w:eastAsia="zh-CN"/>
        </w:rPr>
        <w:t>2026723</w:t>
      </w:r>
      <w:r>
        <w:rPr>
          <w:rFonts w:hint="eastAsia" w:ascii="宋体" w:hAnsi="宋体" w:eastAsia="宋体" w:cs="宋体"/>
          <w:b/>
          <w:bCs/>
          <w:color w:val="auto"/>
          <w:sz w:val="30"/>
          <w:szCs w:val="30"/>
          <w:highlight w:val="none"/>
        </w:rPr>
        <w:t>号】</w:t>
      </w:r>
      <w:r>
        <w:rPr>
          <w:rFonts w:hint="eastAsia" w:ascii="宋体" w:hAnsi="宋体" w:eastAsia="宋体" w:cs="宋体"/>
          <w:b/>
          <w:bCs/>
          <w:color w:val="auto"/>
          <w:sz w:val="30"/>
          <w:szCs w:val="30"/>
          <w:highlight w:val="none"/>
          <w:lang w:eastAsia="zh-CN"/>
        </w:rPr>
        <w:t>平顶山学院能源互联网信息安全实训平台项目</w:t>
      </w:r>
    </w:p>
    <w:p w14:paraId="093A21C7">
      <w:pPr>
        <w:keepNext w:val="0"/>
        <w:keepLines w:val="0"/>
        <w:pageBreakBefore w:val="0"/>
        <w:widowControl/>
        <w:kinsoku/>
        <w:wordWrap/>
        <w:overflowPunct/>
        <w:topLinePunct w:val="0"/>
        <w:bidi w:val="0"/>
        <w:adjustRightInd w:val="0"/>
        <w:snapToGrid w:val="0"/>
        <w:spacing w:beforeAutospacing="0" w:afterAutospacing="0" w:line="408" w:lineRule="auto"/>
        <w:ind w:right="-370"/>
        <w:jc w:val="center"/>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公开招标公告</w:t>
      </w:r>
    </w:p>
    <w:p w14:paraId="64B42EB2">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82" w:firstLineChars="200"/>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项目概况</w:t>
      </w:r>
    </w:p>
    <w:p w14:paraId="062AF06C">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480" w:firstLineChars="200"/>
        <w:textAlignment w:val="auto"/>
        <w:rPr>
          <w:rFonts w:hint="eastAsia" w:ascii="宋体" w:hAnsi="宋体" w:eastAsia="宋体" w:cs="宋体"/>
          <w:color w:val="auto"/>
          <w:kern w:val="0"/>
          <w:sz w:val="24"/>
          <w:szCs w:val="24"/>
          <w:highlight w:val="none"/>
          <w:shd w:val="clear" w:color="auto" w:fill="FFFFFF"/>
          <w:lang w:val="zh-CN" w:bidi="ar"/>
        </w:rPr>
      </w:pPr>
      <w:r>
        <w:rPr>
          <w:rFonts w:hint="eastAsia" w:ascii="宋体" w:hAnsi="宋体" w:eastAsia="宋体" w:cs="宋体"/>
          <w:color w:val="auto"/>
          <w:kern w:val="0"/>
          <w:sz w:val="24"/>
          <w:szCs w:val="24"/>
          <w:highlight w:val="none"/>
          <w:shd w:val="clear" w:color="auto" w:fill="FFFFFF"/>
          <w:lang w:eastAsia="zh-CN" w:bidi="ar"/>
        </w:rPr>
        <w:t>平顶山学院能源互联网信息安全实训平台项目</w:t>
      </w:r>
      <w:r>
        <w:rPr>
          <w:rFonts w:hint="eastAsia" w:ascii="宋体" w:hAnsi="宋体" w:eastAsia="宋体" w:cs="宋体"/>
          <w:color w:val="auto"/>
          <w:kern w:val="0"/>
          <w:sz w:val="24"/>
          <w:szCs w:val="24"/>
          <w:highlight w:val="none"/>
          <w:shd w:val="clear" w:color="auto" w:fill="FFFFFF"/>
          <w:lang w:bidi="ar"/>
        </w:rPr>
        <w:t>的潜在投标人应在</w:t>
      </w:r>
      <w:r>
        <w:rPr>
          <w:rFonts w:hint="eastAsia" w:ascii="宋体" w:hAnsi="宋体" w:eastAsia="宋体" w:cs="宋体"/>
          <w:i w:val="0"/>
          <w:iCs w:val="0"/>
          <w:caps w:val="0"/>
          <w:color w:val="auto"/>
          <w:spacing w:val="0"/>
          <w:sz w:val="24"/>
          <w:szCs w:val="24"/>
          <w:highlight w:val="none"/>
          <w:shd w:val="clear" w:color="auto" w:fill="FFFFFF"/>
        </w:rPr>
        <w:t>平顶山市公共资源交易中心</w:t>
      </w:r>
      <w:r>
        <w:rPr>
          <w:rFonts w:hint="eastAsia" w:ascii="宋体" w:hAnsi="宋体" w:eastAsia="宋体" w:cs="宋体"/>
          <w:color w:val="auto"/>
          <w:sz w:val="24"/>
          <w:szCs w:val="24"/>
          <w:highlight w:val="none"/>
          <w:shd w:val="clear" w:color="auto" w:fill="FFFFFF"/>
        </w:rPr>
        <w:t>（网址：http://ggzy.pds.gov.cn/）</w:t>
      </w:r>
      <w:r>
        <w:rPr>
          <w:rFonts w:hint="eastAsia" w:ascii="宋体" w:hAnsi="宋体" w:eastAsia="宋体" w:cs="宋体"/>
          <w:color w:val="auto"/>
          <w:sz w:val="24"/>
          <w:szCs w:val="24"/>
          <w:highlight w:val="none"/>
          <w:shd w:val="clear" w:color="auto" w:fill="FFFFFF"/>
          <w:lang w:eastAsia="zh-CN"/>
        </w:rPr>
        <w:t>电子交易系统</w:t>
      </w:r>
      <w:r>
        <w:rPr>
          <w:rFonts w:hint="eastAsia" w:ascii="宋体" w:hAnsi="宋体" w:eastAsia="宋体" w:cs="宋体"/>
          <w:color w:val="auto"/>
          <w:kern w:val="0"/>
          <w:sz w:val="24"/>
          <w:szCs w:val="24"/>
          <w:highlight w:val="none"/>
          <w:shd w:val="clear" w:color="auto" w:fill="FFFFFF"/>
          <w:lang w:bidi="ar"/>
        </w:rPr>
        <w:t>获取招标文件，并于202</w:t>
      </w:r>
      <w:r>
        <w:rPr>
          <w:rFonts w:hint="eastAsia" w:ascii="宋体" w:hAnsi="宋体" w:eastAsia="宋体" w:cs="宋体"/>
          <w:color w:val="auto"/>
          <w:kern w:val="0"/>
          <w:sz w:val="24"/>
          <w:szCs w:val="24"/>
          <w:highlight w:val="none"/>
          <w:shd w:val="clear" w:color="auto" w:fill="FFFFFF"/>
          <w:lang w:val="en-US" w:eastAsia="zh-CN" w:bidi="ar"/>
        </w:rPr>
        <w:t>6</w:t>
      </w:r>
      <w:r>
        <w:rPr>
          <w:rFonts w:hint="eastAsia" w:ascii="宋体" w:hAnsi="宋体" w:eastAsia="宋体" w:cs="宋体"/>
          <w:color w:val="auto"/>
          <w:kern w:val="0"/>
          <w:sz w:val="24"/>
          <w:szCs w:val="24"/>
          <w:highlight w:val="none"/>
          <w:shd w:val="clear" w:color="auto" w:fill="FFFFFF"/>
          <w:lang w:bidi="ar"/>
        </w:rPr>
        <w:t>年</w:t>
      </w:r>
      <w:r>
        <w:rPr>
          <w:rFonts w:hint="eastAsia" w:ascii="宋体" w:hAnsi="宋体" w:cs="宋体"/>
          <w:color w:val="auto"/>
          <w:kern w:val="0"/>
          <w:sz w:val="24"/>
          <w:szCs w:val="24"/>
          <w:highlight w:val="none"/>
          <w:shd w:val="clear" w:color="auto" w:fill="FFFFFF"/>
          <w:lang w:val="en-US" w:eastAsia="zh-CN" w:bidi="ar"/>
        </w:rPr>
        <w:t>8</w:t>
      </w:r>
      <w:r>
        <w:rPr>
          <w:rFonts w:hint="eastAsia" w:ascii="宋体" w:hAnsi="宋体" w:eastAsia="宋体" w:cs="宋体"/>
          <w:color w:val="auto"/>
          <w:kern w:val="0"/>
          <w:sz w:val="24"/>
          <w:szCs w:val="24"/>
          <w:highlight w:val="none"/>
          <w:shd w:val="clear" w:color="auto" w:fill="FFFFFF"/>
          <w:lang w:bidi="ar"/>
        </w:rPr>
        <w:t>月</w:t>
      </w:r>
      <w:r>
        <w:rPr>
          <w:rFonts w:hint="eastAsia" w:ascii="宋体" w:hAnsi="宋体" w:cs="宋体"/>
          <w:color w:val="auto"/>
          <w:kern w:val="0"/>
          <w:sz w:val="24"/>
          <w:szCs w:val="24"/>
          <w:highlight w:val="none"/>
          <w:shd w:val="clear" w:color="auto" w:fill="FFFFFF"/>
          <w:lang w:val="en-US" w:eastAsia="zh-CN" w:bidi="ar"/>
        </w:rPr>
        <w:t>10</w:t>
      </w:r>
      <w:r>
        <w:rPr>
          <w:rFonts w:hint="eastAsia" w:ascii="宋体" w:hAnsi="宋体" w:eastAsia="宋体" w:cs="宋体"/>
          <w:color w:val="auto"/>
          <w:kern w:val="0"/>
          <w:sz w:val="24"/>
          <w:szCs w:val="24"/>
          <w:highlight w:val="none"/>
          <w:shd w:val="clear" w:color="auto" w:fill="FFFFFF"/>
          <w:lang w:bidi="ar"/>
        </w:rPr>
        <w:t>日</w:t>
      </w:r>
      <w:r>
        <w:rPr>
          <w:rFonts w:hint="eastAsia" w:ascii="宋体" w:hAnsi="宋体" w:cs="宋体"/>
          <w:color w:val="auto"/>
          <w:kern w:val="0"/>
          <w:sz w:val="24"/>
          <w:szCs w:val="24"/>
          <w:highlight w:val="none"/>
          <w:shd w:val="clear" w:color="auto" w:fill="FFFFFF"/>
          <w:lang w:val="en-US" w:eastAsia="zh-CN" w:bidi="ar"/>
        </w:rPr>
        <w:t>8</w:t>
      </w:r>
      <w:r>
        <w:rPr>
          <w:rFonts w:hint="eastAsia" w:ascii="宋体" w:hAnsi="宋体" w:eastAsia="宋体" w:cs="宋体"/>
          <w:color w:val="auto"/>
          <w:kern w:val="0"/>
          <w:sz w:val="24"/>
          <w:szCs w:val="24"/>
          <w:highlight w:val="none"/>
          <w:shd w:val="clear" w:color="auto" w:fill="FFFFFF"/>
          <w:lang w:bidi="ar"/>
        </w:rPr>
        <w:t>时</w:t>
      </w:r>
      <w:r>
        <w:rPr>
          <w:rFonts w:hint="eastAsia" w:ascii="宋体" w:hAnsi="宋体" w:cs="宋体"/>
          <w:color w:val="auto"/>
          <w:kern w:val="0"/>
          <w:sz w:val="24"/>
          <w:szCs w:val="24"/>
          <w:highlight w:val="none"/>
          <w:shd w:val="clear" w:color="auto" w:fill="FFFFFF"/>
          <w:lang w:val="en-US" w:eastAsia="zh-CN" w:bidi="ar"/>
        </w:rPr>
        <w:t>40</w:t>
      </w:r>
      <w:r>
        <w:rPr>
          <w:rFonts w:hint="eastAsia" w:ascii="宋体" w:hAnsi="宋体" w:eastAsia="宋体" w:cs="宋体"/>
          <w:color w:val="auto"/>
          <w:kern w:val="0"/>
          <w:sz w:val="24"/>
          <w:szCs w:val="24"/>
          <w:highlight w:val="none"/>
          <w:shd w:val="clear" w:color="auto" w:fill="FFFFFF"/>
          <w:lang w:bidi="ar"/>
        </w:rPr>
        <w:t>分（北京时间）前递交投标文件。</w:t>
      </w:r>
    </w:p>
    <w:p w14:paraId="6D0E7197">
      <w:pPr>
        <w:keepNext w:val="0"/>
        <w:keepLines w:val="0"/>
        <w:pageBreakBefore w:val="0"/>
        <w:widowControl/>
        <w:numPr>
          <w:ilvl w:val="0"/>
          <w:numId w:val="2"/>
        </w:numPr>
        <w:shd w:val="clear" w:color="auto" w:fill="FFFFFF"/>
        <w:kinsoku/>
        <w:wordWrap/>
        <w:overflowPunct/>
        <w:topLinePunct w:val="0"/>
        <w:autoSpaceDE/>
        <w:autoSpaceDN/>
        <w:bidi w:val="0"/>
        <w:adjustRightInd w:val="0"/>
        <w:snapToGrid w:val="0"/>
        <w:spacing w:beforeAutospacing="0" w:afterAutospacing="0" w:line="408" w:lineRule="auto"/>
        <w:ind w:right="-365" w:hanging="210" w:hangingChars="87"/>
        <w:textAlignment w:val="auto"/>
        <w:rPr>
          <w:rFonts w:hint="eastAsia" w:ascii="宋体" w:hAnsi="宋体" w:eastAsia="宋体" w:cs="宋体"/>
          <w:b/>
          <w:color w:val="auto"/>
          <w:kern w:val="0"/>
          <w:sz w:val="24"/>
          <w:szCs w:val="24"/>
          <w:highlight w:val="none"/>
          <w:shd w:val="clear" w:color="auto" w:fill="FFFFFF"/>
          <w:lang w:bidi="ar"/>
        </w:rPr>
      </w:pPr>
      <w:r>
        <w:rPr>
          <w:rFonts w:hint="eastAsia" w:ascii="宋体" w:hAnsi="宋体" w:eastAsia="宋体" w:cs="宋体"/>
          <w:b/>
          <w:color w:val="auto"/>
          <w:kern w:val="0"/>
          <w:sz w:val="24"/>
          <w:szCs w:val="24"/>
          <w:highlight w:val="none"/>
          <w:shd w:val="clear" w:color="auto" w:fill="FFFFFF"/>
          <w:lang w:bidi="ar"/>
        </w:rPr>
        <w:t>项目基本情况</w:t>
      </w:r>
      <w:r>
        <w:rPr>
          <w:rFonts w:hint="eastAsia" w:ascii="宋体" w:hAnsi="宋体" w:eastAsia="宋体" w:cs="宋体"/>
          <w:b/>
          <w:bCs/>
          <w:color w:val="auto"/>
          <w:kern w:val="0"/>
          <w:sz w:val="24"/>
          <w:szCs w:val="24"/>
          <w:highlight w:val="none"/>
          <w:shd w:val="clear" w:color="auto" w:fill="FFFFFF"/>
          <w:lang w:bidi="ar"/>
        </w:rPr>
        <w:t>：</w:t>
      </w:r>
    </w:p>
    <w:p w14:paraId="42539C74">
      <w:pPr>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1.</w:t>
      </w:r>
      <w:r>
        <w:rPr>
          <w:rFonts w:hint="eastAsia" w:ascii="宋体" w:hAnsi="宋体" w:eastAsia="宋体" w:cs="宋体"/>
          <w:color w:val="auto"/>
          <w:kern w:val="0"/>
          <w:sz w:val="24"/>
          <w:szCs w:val="24"/>
          <w:highlight w:val="none"/>
          <w:shd w:val="clear" w:color="auto" w:fill="FFFFFF"/>
          <w:lang w:bidi="ar"/>
        </w:rPr>
        <w:t>项目编号：</w:t>
      </w:r>
      <w:r>
        <w:rPr>
          <w:rFonts w:hint="eastAsia" w:ascii="宋体" w:hAnsi="宋体" w:eastAsia="宋体" w:cs="宋体"/>
          <w:color w:val="auto"/>
          <w:kern w:val="0"/>
          <w:sz w:val="24"/>
          <w:szCs w:val="24"/>
          <w:highlight w:val="none"/>
          <w:shd w:val="clear" w:color="auto" w:fill="FFFFFF"/>
          <w:lang w:val="en-US" w:eastAsia="zh-CN" w:bidi="ar"/>
        </w:rPr>
        <w:t>平采招标-2026-99</w:t>
      </w:r>
    </w:p>
    <w:p w14:paraId="46B711F2">
      <w:pPr>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bidi="ar"/>
        </w:rPr>
        <w:t>2.项目名称：</w:t>
      </w:r>
      <w:r>
        <w:rPr>
          <w:rFonts w:hint="eastAsia" w:ascii="宋体" w:hAnsi="宋体" w:eastAsia="宋体" w:cs="宋体"/>
          <w:color w:val="auto"/>
          <w:kern w:val="0"/>
          <w:sz w:val="24"/>
          <w:szCs w:val="24"/>
          <w:highlight w:val="none"/>
          <w:shd w:val="clear" w:color="auto" w:fill="FFFFFF"/>
          <w:lang w:eastAsia="zh-CN" w:bidi="ar"/>
        </w:rPr>
        <w:t>平顶山学院能源互联网信息安全实训平台项目</w:t>
      </w:r>
      <w:r>
        <w:rPr>
          <w:rFonts w:hint="eastAsia" w:ascii="宋体" w:hAnsi="宋体" w:eastAsia="宋体" w:cs="宋体"/>
          <w:color w:val="auto"/>
          <w:kern w:val="0"/>
          <w:sz w:val="24"/>
          <w:szCs w:val="24"/>
          <w:highlight w:val="none"/>
          <w:shd w:val="clear" w:color="auto" w:fill="FFFFFF"/>
          <w:lang w:eastAsia="zh-CN" w:bidi="ar"/>
        </w:rPr>
        <w:tab/>
      </w:r>
    </w:p>
    <w:p w14:paraId="5AF2FD21">
      <w:pPr>
        <w:keepNext w:val="0"/>
        <w:keepLines w:val="0"/>
        <w:pageBreakBefore w:val="0"/>
        <w:widowControl/>
        <w:shd w:val="clear" w:color="auto" w:fill="FFFFFF"/>
        <w:tabs>
          <w:tab w:val="center" w:pos="4125"/>
        </w:tabs>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3.采购方式：公开招标</w:t>
      </w:r>
      <w:r>
        <w:rPr>
          <w:rFonts w:hint="eastAsia" w:ascii="宋体" w:hAnsi="宋体" w:eastAsia="宋体" w:cs="宋体"/>
          <w:color w:val="auto"/>
          <w:kern w:val="0"/>
          <w:sz w:val="24"/>
          <w:szCs w:val="24"/>
          <w:highlight w:val="none"/>
          <w:shd w:val="clear" w:color="auto" w:fill="FFFFFF"/>
          <w:lang w:bidi="ar"/>
        </w:rPr>
        <w:tab/>
      </w:r>
    </w:p>
    <w:p w14:paraId="27F88188">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218" w:firstLineChars="91"/>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eastAsia="zh-CN" w:bidi="ar"/>
        </w:rPr>
        <w:t>4.预算金额：</w:t>
      </w:r>
      <w:r>
        <w:rPr>
          <w:rFonts w:hint="eastAsia" w:ascii="宋体" w:hAnsi="宋体" w:eastAsia="宋体" w:cs="宋体"/>
          <w:color w:val="auto"/>
          <w:kern w:val="0"/>
          <w:sz w:val="24"/>
          <w:szCs w:val="24"/>
          <w:highlight w:val="none"/>
          <w:shd w:val="clear" w:color="auto" w:fill="FFFFFF"/>
          <w:lang w:val="en-US" w:eastAsia="zh-CN" w:bidi="ar"/>
        </w:rPr>
        <w:t>1000000.00</w:t>
      </w:r>
      <w:r>
        <w:rPr>
          <w:rFonts w:hint="eastAsia" w:ascii="宋体" w:hAnsi="宋体" w:eastAsia="宋体" w:cs="宋体"/>
          <w:color w:val="auto"/>
          <w:kern w:val="0"/>
          <w:sz w:val="24"/>
          <w:szCs w:val="24"/>
          <w:highlight w:val="none"/>
          <w:shd w:val="clear" w:color="auto" w:fill="FFFFFF"/>
          <w:lang w:eastAsia="zh-CN" w:bidi="ar"/>
        </w:rPr>
        <w:t>元</w:t>
      </w:r>
    </w:p>
    <w:p w14:paraId="3CD3377A">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eastAsia="zh-CN" w:bidi="ar"/>
        </w:rPr>
        <w:t>最高限价：</w:t>
      </w:r>
      <w:r>
        <w:rPr>
          <w:rFonts w:hint="eastAsia" w:ascii="宋体" w:hAnsi="宋体" w:eastAsia="宋体" w:cs="宋体"/>
          <w:color w:val="auto"/>
          <w:kern w:val="0"/>
          <w:sz w:val="24"/>
          <w:szCs w:val="24"/>
          <w:highlight w:val="none"/>
          <w:shd w:val="clear" w:color="auto" w:fill="FFFFFF"/>
          <w:lang w:val="en-US" w:eastAsia="zh-CN" w:bidi="ar"/>
        </w:rPr>
        <w:t>1000000.00</w:t>
      </w:r>
      <w:r>
        <w:rPr>
          <w:rFonts w:hint="eastAsia" w:ascii="宋体" w:hAnsi="宋体" w:eastAsia="宋体" w:cs="宋体"/>
          <w:color w:val="auto"/>
          <w:kern w:val="0"/>
          <w:sz w:val="24"/>
          <w:szCs w:val="24"/>
          <w:highlight w:val="none"/>
          <w:shd w:val="clear" w:color="auto" w:fill="FFFFFF"/>
          <w:lang w:eastAsia="zh-CN" w:bidi="ar"/>
        </w:rPr>
        <w:t>元</w:t>
      </w:r>
    </w:p>
    <w:tbl>
      <w:tblPr>
        <w:tblStyle w:val="21"/>
        <w:tblpPr w:leftFromText="180" w:rightFromText="180" w:vertAnchor="text" w:horzAnchor="page" w:tblpX="1471" w:tblpY="127"/>
        <w:tblOverlap w:val="never"/>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1"/>
        <w:gridCol w:w="1355"/>
        <w:gridCol w:w="3345"/>
        <w:gridCol w:w="1959"/>
        <w:gridCol w:w="1838"/>
      </w:tblGrid>
      <w:tr w14:paraId="1A22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trPr>
        <w:tc>
          <w:tcPr>
            <w:tcW w:w="741" w:type="dxa"/>
            <w:noWrap w:val="0"/>
            <w:tcMar>
              <w:top w:w="15" w:type="dxa"/>
              <w:left w:w="15" w:type="dxa"/>
              <w:right w:w="15" w:type="dxa"/>
            </w:tcMar>
            <w:vAlign w:val="center"/>
          </w:tcPr>
          <w:p w14:paraId="4F0AD805">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序号</w:t>
            </w:r>
          </w:p>
        </w:tc>
        <w:tc>
          <w:tcPr>
            <w:tcW w:w="1355" w:type="dxa"/>
            <w:noWrap w:val="0"/>
            <w:tcMar>
              <w:top w:w="15" w:type="dxa"/>
              <w:left w:w="15" w:type="dxa"/>
              <w:right w:w="15" w:type="dxa"/>
            </w:tcMar>
            <w:vAlign w:val="center"/>
          </w:tcPr>
          <w:p w14:paraId="4F09846F">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包号</w:t>
            </w:r>
          </w:p>
        </w:tc>
        <w:tc>
          <w:tcPr>
            <w:tcW w:w="3345" w:type="dxa"/>
            <w:noWrap w:val="0"/>
            <w:tcMar>
              <w:top w:w="15" w:type="dxa"/>
              <w:left w:w="15" w:type="dxa"/>
              <w:right w:w="15" w:type="dxa"/>
            </w:tcMar>
            <w:vAlign w:val="center"/>
          </w:tcPr>
          <w:p w14:paraId="7CA53564">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包名称</w:t>
            </w:r>
          </w:p>
        </w:tc>
        <w:tc>
          <w:tcPr>
            <w:tcW w:w="1959" w:type="dxa"/>
            <w:noWrap w:val="0"/>
            <w:tcMar>
              <w:top w:w="15" w:type="dxa"/>
              <w:left w:w="15" w:type="dxa"/>
              <w:right w:w="15" w:type="dxa"/>
            </w:tcMar>
            <w:vAlign w:val="center"/>
          </w:tcPr>
          <w:p w14:paraId="5213A9D4">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包预算</w:t>
            </w:r>
          </w:p>
          <w:p w14:paraId="47D2A403">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（元）</w:t>
            </w:r>
          </w:p>
        </w:tc>
        <w:tc>
          <w:tcPr>
            <w:tcW w:w="1838" w:type="dxa"/>
            <w:noWrap w:val="0"/>
            <w:tcMar>
              <w:top w:w="15" w:type="dxa"/>
              <w:left w:w="15" w:type="dxa"/>
              <w:right w:w="15" w:type="dxa"/>
            </w:tcMar>
            <w:vAlign w:val="center"/>
          </w:tcPr>
          <w:p w14:paraId="1CC05B45">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包最高限价（元）</w:t>
            </w:r>
          </w:p>
        </w:tc>
      </w:tr>
      <w:tr w14:paraId="60DA4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0" w:hRule="atLeast"/>
        </w:trPr>
        <w:tc>
          <w:tcPr>
            <w:tcW w:w="741" w:type="dxa"/>
            <w:noWrap w:val="0"/>
            <w:tcMar>
              <w:top w:w="15" w:type="dxa"/>
              <w:left w:w="15" w:type="dxa"/>
              <w:right w:w="15" w:type="dxa"/>
            </w:tcMar>
            <w:vAlign w:val="center"/>
          </w:tcPr>
          <w:p w14:paraId="386DA4D3">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1</w:t>
            </w:r>
          </w:p>
        </w:tc>
        <w:tc>
          <w:tcPr>
            <w:tcW w:w="1355" w:type="dxa"/>
            <w:noWrap w:val="0"/>
            <w:tcMar>
              <w:top w:w="15" w:type="dxa"/>
              <w:left w:w="15" w:type="dxa"/>
              <w:right w:w="15" w:type="dxa"/>
            </w:tcMar>
            <w:vAlign w:val="center"/>
          </w:tcPr>
          <w:p w14:paraId="2CCAA9C9">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default" w:ascii="宋体" w:hAnsi="宋体" w:eastAsia="宋体" w:cs="宋体"/>
                <w:color w:val="auto"/>
                <w:kern w:val="0"/>
                <w:sz w:val="24"/>
                <w:szCs w:val="24"/>
                <w:highlight w:val="none"/>
                <w:shd w:val="clear" w:color="auto" w:fill="FFFFFF"/>
                <w:lang w:val="en-US" w:bidi="ar"/>
              </w:rPr>
            </w:pPr>
            <w:r>
              <w:rPr>
                <w:rFonts w:hint="eastAsia" w:ascii="宋体" w:hAnsi="宋体" w:eastAsia="宋体" w:cs="宋体"/>
                <w:color w:val="auto"/>
                <w:kern w:val="0"/>
                <w:sz w:val="24"/>
                <w:szCs w:val="24"/>
                <w:highlight w:val="none"/>
                <w:shd w:val="clear" w:color="auto" w:fill="FFFFFF"/>
                <w:lang w:bidi="ar"/>
              </w:rPr>
              <w:t>平公资采</w:t>
            </w:r>
            <w:r>
              <w:rPr>
                <w:rFonts w:hint="eastAsia" w:ascii="宋体" w:hAnsi="宋体" w:eastAsia="宋体" w:cs="宋体"/>
                <w:color w:val="auto"/>
                <w:kern w:val="0"/>
                <w:sz w:val="24"/>
                <w:szCs w:val="24"/>
                <w:highlight w:val="none"/>
                <w:shd w:val="clear" w:color="auto" w:fill="FFFFFF"/>
                <w:lang w:val="en-US" w:eastAsia="zh-CN" w:bidi="ar"/>
              </w:rPr>
              <w:t>2026723</w:t>
            </w:r>
            <w:r>
              <w:rPr>
                <w:rFonts w:hint="eastAsia" w:ascii="宋体" w:hAnsi="宋体" w:cs="宋体"/>
                <w:color w:val="auto"/>
                <w:kern w:val="0"/>
                <w:sz w:val="24"/>
                <w:szCs w:val="24"/>
                <w:highlight w:val="none"/>
                <w:shd w:val="clear" w:color="auto" w:fill="FFFFFF"/>
                <w:lang w:val="en-US" w:eastAsia="zh-CN" w:bidi="ar"/>
              </w:rPr>
              <w:t>-1</w:t>
            </w:r>
          </w:p>
        </w:tc>
        <w:tc>
          <w:tcPr>
            <w:tcW w:w="3345" w:type="dxa"/>
            <w:noWrap w:val="0"/>
            <w:tcMar>
              <w:top w:w="15" w:type="dxa"/>
              <w:left w:w="15" w:type="dxa"/>
              <w:right w:w="15" w:type="dxa"/>
            </w:tcMar>
            <w:vAlign w:val="center"/>
          </w:tcPr>
          <w:p w14:paraId="3D46D082">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第一标段</w:t>
            </w:r>
          </w:p>
        </w:tc>
        <w:tc>
          <w:tcPr>
            <w:tcW w:w="1959" w:type="dxa"/>
            <w:noWrap w:val="0"/>
            <w:tcMar>
              <w:top w:w="15" w:type="dxa"/>
              <w:left w:w="15" w:type="dxa"/>
              <w:right w:w="15" w:type="dxa"/>
            </w:tcMar>
            <w:vAlign w:val="center"/>
          </w:tcPr>
          <w:p w14:paraId="72479B1D">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val="en-US" w:eastAsia="zh-CN" w:bidi="ar"/>
              </w:rPr>
              <w:t>1000000.00</w:t>
            </w:r>
          </w:p>
        </w:tc>
        <w:tc>
          <w:tcPr>
            <w:tcW w:w="1838" w:type="dxa"/>
            <w:noWrap w:val="0"/>
            <w:tcMar>
              <w:top w:w="15" w:type="dxa"/>
              <w:left w:w="15" w:type="dxa"/>
              <w:right w:w="15" w:type="dxa"/>
            </w:tcMar>
            <w:vAlign w:val="center"/>
          </w:tcPr>
          <w:p w14:paraId="58634A4E">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jc w:val="center"/>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1000000.00</w:t>
            </w:r>
          </w:p>
        </w:tc>
      </w:tr>
    </w:tbl>
    <w:p w14:paraId="765C4385">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218" w:firstLineChars="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val="en-US" w:eastAsia="zh-CN" w:bidi="ar"/>
        </w:rPr>
        <w:t>5.</w:t>
      </w:r>
      <w:r>
        <w:rPr>
          <w:rFonts w:hint="eastAsia" w:ascii="宋体" w:hAnsi="宋体" w:eastAsia="宋体" w:cs="宋体"/>
          <w:color w:val="auto"/>
          <w:kern w:val="0"/>
          <w:sz w:val="24"/>
          <w:szCs w:val="24"/>
          <w:highlight w:val="none"/>
          <w:shd w:val="clear" w:color="auto" w:fill="FFFFFF"/>
          <w:lang w:bidi="ar"/>
        </w:rPr>
        <w:t>采购需求（包括但不限于标的的名称、数量、简要技术需求或服务要求等）</w:t>
      </w:r>
    </w:p>
    <w:p w14:paraId="6561A142">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eastAsia="zh-CN" w:bidi="ar"/>
        </w:rPr>
        <w:t>5.1资金来源：财政资金,已落实；</w:t>
      </w:r>
    </w:p>
    <w:p w14:paraId="275110D1">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eastAsia="zh-CN" w:bidi="ar"/>
        </w:rPr>
        <w:t>5.2采购内容</w:t>
      </w:r>
      <w:r>
        <w:rPr>
          <w:rFonts w:hint="eastAsia" w:ascii="宋体" w:hAnsi="宋体" w:eastAsia="宋体" w:cs="宋体"/>
          <w:color w:val="auto"/>
          <w:kern w:val="0"/>
          <w:sz w:val="24"/>
          <w:szCs w:val="24"/>
          <w:highlight w:val="none"/>
          <w:shd w:val="clear" w:color="auto" w:fill="FFFFFF"/>
          <w:lang w:val="en-US" w:eastAsia="zh-Hans" w:bidi="ar"/>
        </w:rPr>
        <w:t>：采购信息安全数字孪生靶场平台、网络安全基础资源包、实网攻防资源包、工控能源安全场景演练资源包等</w:t>
      </w:r>
      <w:r>
        <w:rPr>
          <w:rFonts w:hint="eastAsia" w:ascii="宋体" w:hAnsi="宋体" w:eastAsia="宋体" w:cs="宋体"/>
          <w:color w:val="auto"/>
          <w:kern w:val="0"/>
          <w:sz w:val="24"/>
          <w:szCs w:val="24"/>
          <w:highlight w:val="none"/>
          <w:shd w:val="clear" w:color="auto" w:fill="FFFFFF"/>
          <w:lang w:val="en-US" w:eastAsia="zh-CN" w:bidi="ar"/>
        </w:rPr>
        <w:t>，</w:t>
      </w:r>
      <w:r>
        <w:rPr>
          <w:rFonts w:hint="eastAsia" w:ascii="宋体" w:hAnsi="宋体" w:eastAsia="宋体" w:cs="宋体"/>
          <w:color w:val="auto"/>
          <w:kern w:val="0"/>
          <w:sz w:val="24"/>
          <w:szCs w:val="24"/>
          <w:highlight w:val="none"/>
          <w:shd w:val="clear" w:color="auto" w:fill="FFFFFF"/>
          <w:lang w:eastAsia="zh-CN" w:bidi="ar"/>
        </w:rPr>
        <w:t>具体详细内容及技术要求详见招标文件。</w:t>
      </w:r>
    </w:p>
    <w:p w14:paraId="1184621C">
      <w:pPr>
        <w:pStyle w:val="36"/>
        <w:keepNext w:val="0"/>
        <w:keepLines w:val="0"/>
        <w:pageBreakBefore w:val="0"/>
        <w:kinsoku/>
        <w:wordWrap/>
        <w:overflowPunct/>
        <w:topLinePunct w:val="0"/>
        <w:autoSpaceDE/>
        <w:autoSpaceDN/>
        <w:bidi w:val="0"/>
        <w:adjustRightInd w:val="0"/>
        <w:snapToGrid w:val="0"/>
        <w:spacing w:beforeAutospacing="0" w:afterAutospacing="0" w:line="408" w:lineRule="auto"/>
        <w:ind w:firstLine="480" w:firstLineChars="200"/>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bidi="ar"/>
        </w:rPr>
        <w:t>5.3交货期:</w:t>
      </w:r>
      <w:r>
        <w:rPr>
          <w:rFonts w:hint="eastAsia" w:ascii="宋体" w:hAnsi="宋体" w:eastAsia="宋体" w:cs="宋体"/>
          <w:bCs/>
          <w:sz w:val="24"/>
          <w:szCs w:val="24"/>
          <w:highlight w:val="none"/>
        </w:rPr>
        <w:t>合同签订后30天内到货并安装调试完毕。</w:t>
      </w:r>
    </w:p>
    <w:p w14:paraId="3BCD174D">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right="-370" w:rightChars="-176" w:firstLine="480" w:firstLineChars="200"/>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bidi="ar"/>
        </w:rPr>
        <w:t>5.4质量要求:符合国家或行业技术规范标准，质量要求合格</w:t>
      </w:r>
      <w:r>
        <w:rPr>
          <w:rFonts w:hint="eastAsia" w:ascii="宋体" w:hAnsi="宋体" w:eastAsia="宋体" w:cs="宋体"/>
          <w:color w:val="auto"/>
          <w:kern w:val="0"/>
          <w:sz w:val="24"/>
          <w:szCs w:val="24"/>
          <w:highlight w:val="none"/>
          <w:shd w:val="clear" w:color="auto" w:fill="FFFFFF"/>
          <w:lang w:eastAsia="zh-CN" w:bidi="ar"/>
        </w:rPr>
        <w:t>。</w:t>
      </w:r>
    </w:p>
    <w:p w14:paraId="0E552E34">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right="-370" w:rightChars="-176" w:firstLine="480" w:firstLineChars="200"/>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bidi="ar"/>
        </w:rPr>
        <w:t>5.</w:t>
      </w:r>
      <w:r>
        <w:rPr>
          <w:rFonts w:hint="eastAsia" w:ascii="宋体" w:hAnsi="宋体" w:eastAsia="宋体" w:cs="宋体"/>
          <w:color w:val="auto"/>
          <w:kern w:val="0"/>
          <w:sz w:val="24"/>
          <w:szCs w:val="24"/>
          <w:highlight w:val="none"/>
          <w:shd w:val="clear" w:color="auto" w:fill="FFFFFF"/>
          <w:lang w:val="en-US" w:eastAsia="zh-CN" w:bidi="ar"/>
        </w:rPr>
        <w:t>5</w:t>
      </w:r>
      <w:r>
        <w:rPr>
          <w:rFonts w:hint="eastAsia" w:ascii="宋体" w:hAnsi="宋体" w:eastAsia="宋体" w:cs="宋体"/>
          <w:color w:val="auto"/>
          <w:kern w:val="0"/>
          <w:sz w:val="24"/>
          <w:szCs w:val="24"/>
          <w:highlight w:val="none"/>
          <w:shd w:val="clear" w:color="auto" w:fill="FFFFFF"/>
          <w:lang w:bidi="ar"/>
        </w:rPr>
        <w:t>交货地点:</w:t>
      </w:r>
      <w:r>
        <w:rPr>
          <w:rFonts w:hint="eastAsia" w:ascii="宋体" w:hAnsi="宋体" w:eastAsia="宋体" w:cs="宋体"/>
          <w:color w:val="auto"/>
          <w:kern w:val="0"/>
          <w:sz w:val="24"/>
          <w:szCs w:val="24"/>
          <w:highlight w:val="none"/>
          <w:shd w:val="clear" w:color="auto" w:fill="FFFFFF"/>
          <w:lang w:val="en-US" w:eastAsia="zh-CN" w:bidi="ar"/>
        </w:rPr>
        <w:t>采购</w:t>
      </w:r>
      <w:r>
        <w:rPr>
          <w:rFonts w:hint="eastAsia" w:ascii="宋体" w:hAnsi="宋体" w:eastAsia="宋体" w:cs="宋体"/>
          <w:color w:val="auto"/>
          <w:kern w:val="0"/>
          <w:sz w:val="24"/>
          <w:szCs w:val="24"/>
          <w:highlight w:val="none"/>
          <w:shd w:val="clear" w:color="auto" w:fill="FFFFFF"/>
          <w:lang w:bidi="ar"/>
        </w:rPr>
        <w:t>人指定地点</w:t>
      </w:r>
      <w:r>
        <w:rPr>
          <w:rFonts w:hint="eastAsia" w:ascii="宋体" w:hAnsi="宋体" w:eastAsia="宋体" w:cs="宋体"/>
          <w:color w:val="auto"/>
          <w:kern w:val="0"/>
          <w:sz w:val="24"/>
          <w:szCs w:val="24"/>
          <w:highlight w:val="none"/>
          <w:shd w:val="clear" w:color="auto" w:fill="FFFFFF"/>
          <w:lang w:eastAsia="zh-CN" w:bidi="ar"/>
        </w:rPr>
        <w:t>。</w:t>
      </w:r>
    </w:p>
    <w:p w14:paraId="1DCB863F">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199" w:firstLineChars="83"/>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bidi="ar"/>
        </w:rPr>
        <w:t>6、合同履行期限：</w:t>
      </w:r>
      <w:r>
        <w:rPr>
          <w:rFonts w:hint="eastAsia" w:ascii="宋体" w:hAnsi="宋体" w:eastAsia="宋体" w:cs="宋体"/>
          <w:color w:val="auto"/>
          <w:kern w:val="0"/>
          <w:sz w:val="24"/>
          <w:szCs w:val="24"/>
          <w:highlight w:val="none"/>
          <w:lang w:val="en-US" w:eastAsia="zh-CN" w:bidi="ar-SA"/>
        </w:rPr>
        <w:t>合同签订生效后至质保期满</w:t>
      </w:r>
      <w:r>
        <w:rPr>
          <w:rFonts w:hint="eastAsia" w:ascii="宋体" w:hAnsi="宋体" w:eastAsia="宋体" w:cs="宋体"/>
          <w:color w:val="auto"/>
          <w:kern w:val="0"/>
          <w:sz w:val="24"/>
          <w:szCs w:val="24"/>
          <w:highlight w:val="none"/>
          <w:shd w:val="clear" w:color="auto" w:fill="FFFFFF"/>
          <w:lang w:eastAsia="zh-CN" w:bidi="ar"/>
        </w:rPr>
        <w:t>。</w:t>
      </w:r>
    </w:p>
    <w:p w14:paraId="31D59D24">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199" w:firstLineChars="83"/>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bidi="ar"/>
        </w:rPr>
        <w:t>7、本项目是否接受联合体投标：否</w:t>
      </w:r>
      <w:r>
        <w:rPr>
          <w:rFonts w:hint="eastAsia" w:ascii="宋体" w:hAnsi="宋体" w:eastAsia="宋体" w:cs="宋体"/>
          <w:color w:val="auto"/>
          <w:kern w:val="0"/>
          <w:sz w:val="24"/>
          <w:szCs w:val="24"/>
          <w:highlight w:val="none"/>
          <w:shd w:val="clear" w:color="auto" w:fill="FFFFFF"/>
          <w:lang w:eastAsia="zh-CN" w:bidi="ar"/>
        </w:rPr>
        <w:t>；</w:t>
      </w:r>
    </w:p>
    <w:p w14:paraId="40EA77D4">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199" w:firstLineChars="83"/>
        <w:textAlignment w:val="auto"/>
        <w:rPr>
          <w:rFonts w:hint="eastAsia" w:ascii="宋体" w:hAnsi="宋体" w:eastAsia="宋体" w:cs="宋体"/>
          <w:color w:val="auto"/>
          <w:kern w:val="0"/>
          <w:sz w:val="24"/>
          <w:szCs w:val="24"/>
          <w:highlight w:val="none"/>
          <w:shd w:val="clear" w:color="auto" w:fill="FFFFFF"/>
          <w:lang w:eastAsia="zh-CN" w:bidi="ar"/>
        </w:rPr>
      </w:pPr>
      <w:r>
        <w:rPr>
          <w:rFonts w:hint="eastAsia" w:ascii="宋体" w:hAnsi="宋体" w:eastAsia="宋体" w:cs="宋体"/>
          <w:color w:val="auto"/>
          <w:kern w:val="0"/>
          <w:sz w:val="24"/>
          <w:szCs w:val="24"/>
          <w:highlight w:val="none"/>
          <w:shd w:val="clear" w:color="auto" w:fill="FFFFFF"/>
          <w:lang w:bidi="ar"/>
        </w:rPr>
        <w:t>8、是否接受进口产品：否</w:t>
      </w:r>
      <w:r>
        <w:rPr>
          <w:rFonts w:hint="eastAsia" w:ascii="宋体" w:hAnsi="宋体" w:eastAsia="宋体" w:cs="宋体"/>
          <w:color w:val="auto"/>
          <w:kern w:val="0"/>
          <w:sz w:val="24"/>
          <w:szCs w:val="24"/>
          <w:highlight w:val="none"/>
          <w:shd w:val="clear" w:color="auto" w:fill="FFFFFF"/>
          <w:lang w:eastAsia="zh-CN" w:bidi="ar"/>
        </w:rPr>
        <w:t>；</w:t>
      </w:r>
    </w:p>
    <w:p w14:paraId="52712A0A">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199" w:firstLineChars="83"/>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kern w:val="0"/>
          <w:sz w:val="24"/>
          <w:szCs w:val="24"/>
          <w:highlight w:val="none"/>
          <w:lang w:bidi="ar"/>
        </w:rPr>
        <w:t>9、是否专门面向中小企业：</w:t>
      </w:r>
      <w:r>
        <w:rPr>
          <w:rFonts w:hint="eastAsia" w:ascii="宋体" w:hAnsi="宋体" w:eastAsia="宋体" w:cs="宋体"/>
          <w:color w:val="auto"/>
          <w:kern w:val="0"/>
          <w:sz w:val="24"/>
          <w:szCs w:val="24"/>
          <w:highlight w:val="none"/>
          <w:shd w:val="clear" w:color="auto" w:fill="FFFFFF"/>
          <w:lang w:bidi="ar"/>
        </w:rPr>
        <w:t>否</w:t>
      </w:r>
      <w:r>
        <w:rPr>
          <w:rFonts w:hint="eastAsia" w:ascii="宋体" w:hAnsi="宋体" w:eastAsia="宋体" w:cs="宋体"/>
          <w:color w:val="auto"/>
          <w:kern w:val="0"/>
          <w:sz w:val="24"/>
          <w:szCs w:val="24"/>
          <w:highlight w:val="none"/>
          <w:shd w:val="clear" w:color="auto" w:fill="FFFFFF"/>
          <w:lang w:eastAsia="zh-CN" w:bidi="ar"/>
        </w:rPr>
        <w:t>；</w:t>
      </w:r>
    </w:p>
    <w:p w14:paraId="0EFCDA3D">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right="-370" w:rightChars="-176"/>
        <w:textAlignment w:val="auto"/>
        <w:rPr>
          <w:rFonts w:hint="eastAsia" w:ascii="宋体" w:hAnsi="宋体" w:eastAsia="宋体" w:cs="宋体"/>
          <w:b/>
          <w:bCs/>
          <w:color w:val="auto"/>
          <w:kern w:val="0"/>
          <w:sz w:val="24"/>
          <w:szCs w:val="24"/>
          <w:highlight w:val="none"/>
          <w:shd w:val="clear" w:color="auto" w:fill="FFFFFF"/>
          <w:lang w:bidi="ar"/>
        </w:rPr>
      </w:pPr>
      <w:r>
        <w:rPr>
          <w:rFonts w:hint="eastAsia" w:ascii="宋体" w:hAnsi="宋体" w:eastAsia="宋体" w:cs="宋体"/>
          <w:b/>
          <w:bCs/>
          <w:color w:val="auto"/>
          <w:kern w:val="0"/>
          <w:sz w:val="24"/>
          <w:szCs w:val="24"/>
          <w:highlight w:val="none"/>
          <w:shd w:val="clear" w:color="auto" w:fill="FFFFFF"/>
          <w:lang w:bidi="ar"/>
        </w:rPr>
        <w:t>二、申请人资格要求：</w:t>
      </w:r>
    </w:p>
    <w:p w14:paraId="732087DE">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left="0" w:leftChars="0" w:right="-370" w:rightChars="-176" w:firstLine="199" w:firstLineChars="83"/>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1、符合《中华人民共和国政府采购法》第二十二条的要求</w:t>
      </w: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bidi="ar"/>
        </w:rPr>
        <w:t xml:space="preserve"> </w:t>
      </w:r>
    </w:p>
    <w:p w14:paraId="5E06B482">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left="0" w:leftChars="0" w:right="-370" w:rightChars="-176" w:firstLine="199" w:firstLineChars="83"/>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bidi="ar"/>
        </w:rPr>
        <w:t>2、落实政府采购政策满足的资格要求：</w:t>
      </w:r>
      <w:r>
        <w:rPr>
          <w:rFonts w:hint="eastAsia" w:ascii="宋体" w:hAnsi="宋体" w:eastAsia="宋体" w:cs="宋体"/>
          <w:color w:val="auto"/>
          <w:kern w:val="0"/>
          <w:sz w:val="24"/>
          <w:szCs w:val="24"/>
          <w:highlight w:val="none"/>
          <w:shd w:val="clear" w:color="auto" w:fill="FFFFFF"/>
          <w:lang w:val="en-US" w:eastAsia="zh-CN" w:bidi="ar"/>
        </w:rPr>
        <w:t>/</w:t>
      </w:r>
    </w:p>
    <w:p w14:paraId="273B4818">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left="0" w:leftChars="0" w:firstLine="199" w:firstLineChars="83"/>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3、本项目的特定资格要求：</w:t>
      </w:r>
    </w:p>
    <w:p w14:paraId="0E474BB0">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480" w:firstLineChars="200"/>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（1）</w:t>
      </w:r>
      <w:r>
        <w:rPr>
          <w:rFonts w:hint="eastAsia" w:ascii="宋体" w:hAnsi="宋体" w:eastAsia="宋体" w:cs="宋体"/>
          <w:color w:val="auto"/>
          <w:kern w:val="0"/>
          <w:sz w:val="24"/>
          <w:szCs w:val="24"/>
          <w:highlight w:val="none"/>
          <w:shd w:val="clear" w:color="auto" w:fill="FFFFFF"/>
          <w:lang w:val="zh-CN" w:bidi="ar"/>
        </w:rPr>
        <w:t>具有独立承担民事责任的能力；（</w:t>
      </w:r>
      <w:r>
        <w:rPr>
          <w:rFonts w:hint="eastAsia" w:ascii="宋体" w:hAnsi="宋体" w:eastAsia="宋体" w:cs="宋体"/>
          <w:color w:val="auto"/>
          <w:kern w:val="0"/>
          <w:sz w:val="24"/>
          <w:szCs w:val="24"/>
          <w:highlight w:val="none"/>
          <w:shd w:val="clear" w:color="auto" w:fill="FFFFFF"/>
          <w:lang w:bidi="ar"/>
        </w:rPr>
        <w:t>提供有效的营业执照、税务登记证、组织机构代码证或三证合一营业执照，也可提供电子营业执照）；</w:t>
      </w:r>
    </w:p>
    <w:p w14:paraId="3CCEE9F0">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right="-149" w:rightChars="-71"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（2）具有良好的商业信誉和健全的</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"http://www.baidu.com/s?wd=%E8%B4%A2%E5%8A%A1%E4%BC%9A%E8%AE%A1%E5%88%B6%E5%BA%A6&amp;tn=44039180_cpr&amp;fenlei=mv6quAkxTZn0IZRqIHckPjm4nH00T1Y3rHbsn1b3P1u-uymsnAP90ZwV5Hcvrjm3rH6sPfKWUMw85HfYnjn4nH6sgvPsT6KdThsqpZwYTjCEQLGCpyw9Uz4Bmy-bIi4WUvYETgN-TLwGUv3En1bkrjDsPWcs" \t "https://zhidao.baidu.com/question/_blank"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0"/>
          <w:sz w:val="24"/>
          <w:szCs w:val="24"/>
          <w:highlight w:val="none"/>
          <w:shd w:val="clear" w:color="auto" w:fill="FFFFFF"/>
          <w:lang w:bidi="ar"/>
        </w:rPr>
        <w:t>财务会计制度</w:t>
      </w:r>
      <w:r>
        <w:rPr>
          <w:rFonts w:hint="eastAsia" w:ascii="宋体" w:hAnsi="宋体" w:eastAsia="宋体" w:cs="宋体"/>
          <w:color w:val="auto"/>
          <w:kern w:val="0"/>
          <w:sz w:val="24"/>
          <w:szCs w:val="24"/>
          <w:highlight w:val="none"/>
          <w:shd w:val="clear" w:color="auto" w:fill="FFFFFF"/>
          <w:lang w:bidi="ar"/>
        </w:rPr>
        <w:fldChar w:fldCharType="end"/>
      </w:r>
      <w:r>
        <w:rPr>
          <w:rFonts w:hint="eastAsia" w:ascii="宋体" w:hAnsi="宋体" w:eastAsia="宋体" w:cs="宋体"/>
          <w:color w:val="auto"/>
          <w:kern w:val="0"/>
          <w:sz w:val="24"/>
          <w:szCs w:val="24"/>
          <w:highlight w:val="none"/>
          <w:shd w:val="clear" w:color="auto" w:fill="FFFFFF"/>
          <w:lang w:bidi="ar"/>
        </w:rPr>
        <w:t>;（提供承诺函,格式自拟）；</w:t>
      </w:r>
    </w:p>
    <w:p w14:paraId="36B92750">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right="-149" w:rightChars="-71"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（3）具有履行合同所必需的设备和专业技术能力；（提供承诺函,格式自拟）；</w:t>
      </w:r>
    </w:p>
    <w:p w14:paraId="5682E8B6">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right="-149" w:rightChars="-71"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（4）有依法缴纳税收和</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"http://www.baidu.com/s?wd=%E7%A4%BE%E4%BC%9A%E4%BF%9D%E9%9A%9C%E8%B5%84%E9%87%91&amp;tn=44039180_cpr&amp;fenlei=mv6quAkxTZn0IZRqIHckPjm4nH00T1Y3rHbsn1b3P1u-uymsnAP90ZwV5Hcvrjm3rH6sPfKWUMw85HfYnjn4nH6sgvPsT6KdThsqpZwYTjCEQLGCpyw9Uz4Bmy-bIi4WUvYETgN-TLwGUv3En1bkrjDsPWcs" \t "https://zhidao.baidu.com/question/_blank"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0"/>
          <w:sz w:val="24"/>
          <w:szCs w:val="24"/>
          <w:highlight w:val="none"/>
          <w:shd w:val="clear" w:color="auto" w:fill="FFFFFF"/>
          <w:lang w:bidi="ar"/>
        </w:rPr>
        <w:t>社会保障资金</w:t>
      </w:r>
      <w:r>
        <w:rPr>
          <w:rFonts w:hint="eastAsia" w:ascii="宋体" w:hAnsi="宋体" w:eastAsia="宋体" w:cs="宋体"/>
          <w:color w:val="auto"/>
          <w:kern w:val="0"/>
          <w:sz w:val="24"/>
          <w:szCs w:val="24"/>
          <w:highlight w:val="none"/>
          <w:shd w:val="clear" w:color="auto" w:fill="FFFFFF"/>
          <w:lang w:bidi="ar"/>
        </w:rPr>
        <w:fldChar w:fldCharType="end"/>
      </w:r>
      <w:r>
        <w:rPr>
          <w:rFonts w:hint="eastAsia" w:ascii="宋体" w:hAnsi="宋体" w:eastAsia="宋体" w:cs="宋体"/>
          <w:color w:val="auto"/>
          <w:kern w:val="0"/>
          <w:sz w:val="24"/>
          <w:szCs w:val="24"/>
          <w:highlight w:val="none"/>
          <w:shd w:val="clear" w:color="auto" w:fill="FFFFFF"/>
          <w:lang w:bidi="ar"/>
        </w:rPr>
        <w:t>的良好记录；（提供承诺函,格式自拟）；</w:t>
      </w:r>
    </w:p>
    <w:p w14:paraId="34739FD8">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right="-149" w:rightChars="-71"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（5）参加政府采购活动近三年内，在经营活动中没有重大违法记录；（提供承诺函,格式自拟）</w:t>
      </w:r>
      <w:r>
        <w:rPr>
          <w:rFonts w:hint="eastAsia" w:ascii="宋体" w:hAnsi="宋体" w:eastAsia="宋体" w:cs="宋体"/>
          <w:color w:val="auto"/>
          <w:kern w:val="0"/>
          <w:sz w:val="24"/>
          <w:szCs w:val="24"/>
          <w:highlight w:val="none"/>
          <w:shd w:val="clear" w:color="auto" w:fill="FFFFFF"/>
          <w:lang w:val="zh-CN" w:bidi="ar"/>
        </w:rPr>
        <w:t>；</w:t>
      </w:r>
      <w:r>
        <w:rPr>
          <w:rFonts w:hint="eastAsia" w:ascii="宋体" w:hAnsi="宋体" w:eastAsia="宋体" w:cs="宋体"/>
          <w:color w:val="auto"/>
          <w:kern w:val="0"/>
          <w:sz w:val="24"/>
          <w:szCs w:val="24"/>
          <w:highlight w:val="none"/>
          <w:shd w:val="clear" w:color="auto" w:fill="FFFFFF"/>
          <w:lang w:bidi="ar"/>
        </w:rPr>
        <w:t xml:space="preserve">         </w:t>
      </w:r>
    </w:p>
    <w:p w14:paraId="4BCC9D21">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bidi="ar"/>
        </w:rPr>
        <w:t>6</w:t>
      </w: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bidi="ar"/>
        </w:rPr>
        <w:t>投标人提供在</w:t>
      </w: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bidi="ar"/>
        </w:rPr>
        <w:t>中国执行信息公开网”网站的“失信被执行人”、“信用中国”网站“重大税收违法失信主体”、“ 中国政府采购网” 网站的“政府采购严重违法失信行为名单”，的查询结果，若有不良记录，执行财库【2016】125号文（采购人、采购代理机构</w:t>
      </w:r>
      <w:r>
        <w:rPr>
          <w:rFonts w:hint="eastAsia" w:ascii="宋体" w:hAnsi="宋体" w:eastAsia="宋体" w:cs="宋体"/>
          <w:color w:val="auto"/>
          <w:kern w:val="0"/>
          <w:sz w:val="24"/>
          <w:szCs w:val="24"/>
          <w:highlight w:val="none"/>
          <w:shd w:val="clear" w:color="auto" w:fill="FFFFFF"/>
          <w:lang w:val="en-US" w:eastAsia="zh-CN" w:bidi="ar"/>
        </w:rPr>
        <w:t>开标当天</w:t>
      </w:r>
      <w:r>
        <w:rPr>
          <w:rFonts w:hint="eastAsia" w:ascii="宋体" w:hAnsi="宋体" w:eastAsia="宋体" w:cs="宋体"/>
          <w:color w:val="auto"/>
          <w:kern w:val="0"/>
          <w:sz w:val="24"/>
          <w:szCs w:val="24"/>
          <w:highlight w:val="none"/>
          <w:shd w:val="clear" w:color="auto" w:fill="FFFFFF"/>
          <w:lang w:bidi="ar"/>
        </w:rPr>
        <w:t>通过以上网站查询投标人信用记录，并将查询网页、内容进行截图，以作证据存档</w:t>
      </w: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bidi="ar"/>
        </w:rPr>
        <w:t>如有不良情况，按无效标处理。）；</w:t>
      </w:r>
    </w:p>
    <w:p w14:paraId="7FE27A8B">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（7）本次招标不接受联合体投标，供应商负责人为同一人或者存在直接控股、管理关系的不同供应商，不得同时参加同一标包的采购活动。（提供承诺函,格式自拟）。</w:t>
      </w:r>
    </w:p>
    <w:p w14:paraId="0B04D301">
      <w:pPr>
        <w:keepNext w:val="0"/>
        <w:keepLines w:val="0"/>
        <w:pageBreakBefore w:val="0"/>
        <w:widowControl/>
        <w:kinsoku/>
        <w:wordWrap/>
        <w:overflowPunct/>
        <w:topLinePunct w:val="0"/>
        <w:autoSpaceDE/>
        <w:autoSpaceDN/>
        <w:bidi w:val="0"/>
        <w:adjustRightInd w:val="0"/>
        <w:snapToGrid w:val="0"/>
        <w:spacing w:beforeAutospacing="0" w:afterAutospacing="0" w:line="408" w:lineRule="auto"/>
        <w:ind w:right="79"/>
        <w:textAlignment w:val="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shd w:val="clear" w:color="auto" w:fill="FFFFFF"/>
        </w:rPr>
        <w:t>三、获取招标文件:</w:t>
      </w:r>
    </w:p>
    <w:p w14:paraId="01E01132">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1.时间：202</w:t>
      </w:r>
      <w:r>
        <w:rPr>
          <w:rFonts w:hint="eastAsia" w:ascii="宋体" w:hAnsi="宋体" w:eastAsia="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rPr>
        <w:t>月</w:t>
      </w:r>
      <w:r>
        <w:rPr>
          <w:rFonts w:hint="eastAsia" w:ascii="宋体" w:hAnsi="宋体" w:cs="宋体"/>
          <w:color w:val="auto"/>
          <w:sz w:val="24"/>
          <w:szCs w:val="24"/>
          <w:highlight w:val="none"/>
          <w:shd w:val="clear" w:color="auto" w:fill="FFFFFF"/>
          <w:lang w:val="en-US" w:eastAsia="zh-CN"/>
        </w:rPr>
        <w:t>17</w:t>
      </w:r>
      <w:r>
        <w:rPr>
          <w:rFonts w:hint="eastAsia" w:ascii="宋体" w:hAnsi="宋体" w:eastAsia="宋体" w:cs="宋体"/>
          <w:color w:val="auto"/>
          <w:sz w:val="24"/>
          <w:szCs w:val="24"/>
          <w:highlight w:val="none"/>
          <w:shd w:val="clear" w:color="auto" w:fill="FFFFFF"/>
        </w:rPr>
        <w:t>日至202</w:t>
      </w:r>
      <w:r>
        <w:rPr>
          <w:rFonts w:hint="eastAsia" w:ascii="宋体" w:hAnsi="宋体" w:eastAsia="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rPr>
        <w:t>8</w:t>
      </w:r>
      <w:r>
        <w:rPr>
          <w:rFonts w:hint="eastAsia" w:ascii="宋体" w:hAnsi="宋体" w:eastAsia="宋体" w:cs="宋体"/>
          <w:color w:val="auto"/>
          <w:sz w:val="24"/>
          <w:szCs w:val="24"/>
          <w:highlight w:val="none"/>
          <w:shd w:val="clear" w:color="auto" w:fill="FFFFFF"/>
        </w:rPr>
        <w:t>月</w:t>
      </w:r>
      <w:r>
        <w:rPr>
          <w:rFonts w:hint="eastAsia" w:ascii="宋体" w:hAnsi="宋体" w:cs="宋体"/>
          <w:color w:val="auto"/>
          <w:sz w:val="24"/>
          <w:szCs w:val="24"/>
          <w:highlight w:val="none"/>
          <w:shd w:val="clear" w:color="auto" w:fill="FFFFFF"/>
          <w:lang w:val="en-US" w:eastAsia="zh-CN"/>
        </w:rPr>
        <w:t>9</w:t>
      </w:r>
      <w:r>
        <w:rPr>
          <w:rFonts w:hint="eastAsia" w:ascii="宋体" w:hAnsi="宋体" w:eastAsia="宋体" w:cs="宋体"/>
          <w:color w:val="auto"/>
          <w:sz w:val="24"/>
          <w:szCs w:val="24"/>
          <w:highlight w:val="none"/>
          <w:shd w:val="clear" w:color="auto" w:fill="FFFFFF"/>
        </w:rPr>
        <w:t>日，每天上午00:00至12:00，下午12:00至23:59（北京时间）</w:t>
      </w:r>
    </w:p>
    <w:p w14:paraId="7E234F1D">
      <w:pPr>
        <w:keepNext w:val="0"/>
        <w:keepLines w:val="0"/>
        <w:pageBreakBefore w:val="0"/>
        <w:kinsoku/>
        <w:wordWrap/>
        <w:overflowPunct/>
        <w:topLinePunct w:val="0"/>
        <w:autoSpaceDE/>
        <w:autoSpaceDN/>
        <w:bidi w:val="0"/>
        <w:adjustRightInd w:val="0"/>
        <w:snapToGrid w:val="0"/>
        <w:spacing w:beforeAutospacing="0" w:afterAutospacing="0" w:line="408" w:lineRule="auto"/>
        <w:ind w:right="-989" w:rightChars="-471" w:firstLine="240" w:firstLineChars="10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2.地点：平顶山市公共资源交易中心网（网址：http://ggzy.pds.gov.cn/）。</w:t>
      </w:r>
    </w:p>
    <w:p w14:paraId="68122B67">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jc w:val="left"/>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shd w:val="clear" w:color="auto" w:fill="FFFFFF"/>
        </w:rPr>
        <w:t>3.方式：潜在投标人需凭CA数字证书通过全国公共资源交易平台（河南省·平顶山市）“交易主体登录”入口进入交易系统进行文件下载。具体操作请查看以下链接：</w:t>
      </w:r>
      <w:r>
        <w:rPr>
          <w:rFonts w:hint="eastAsia" w:ascii="宋体" w:hAnsi="宋体" w:eastAsia="宋体" w:cs="宋体"/>
          <w:color w:val="auto"/>
          <w:spacing w:val="-2"/>
          <w:sz w:val="24"/>
          <w:szCs w:val="24"/>
          <w:highlight w:val="none"/>
        </w:rPr>
        <w:t xml:space="preserve">  </w:t>
      </w:r>
    </w:p>
    <w:p w14:paraId="28E8D742">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jc w:val="left"/>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shd w:val="clear" w:color="auto" w:fill="FFFFFF"/>
        </w:rPr>
        <w:t>链接地址：</w:t>
      </w:r>
      <w:r>
        <w:rPr>
          <w:rFonts w:hint="eastAsia" w:ascii="宋体" w:hAnsi="宋体" w:eastAsia="宋体" w:cs="宋体"/>
          <w:color w:val="auto"/>
          <w:spacing w:val="-2"/>
          <w:sz w:val="24"/>
          <w:szCs w:val="24"/>
          <w:highlight w:val="none"/>
        </w:rPr>
        <w:t>http://ggzy.pds.gov.cn/fwzn/11020.jhtml</w:t>
      </w:r>
    </w:p>
    <w:p w14:paraId="2C563E5E">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36"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办理CA证书：http://ggzy.pds.gov.cn/tzgg/10814.jhtml。</w:t>
      </w:r>
    </w:p>
    <w:p w14:paraId="35A55C53">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kern w:val="0"/>
          <w:sz w:val="24"/>
          <w:szCs w:val="24"/>
          <w:highlight w:val="none"/>
          <w:lang w:bidi="ar"/>
        </w:rPr>
        <w:t>4.售价：0元。</w:t>
      </w:r>
    </w:p>
    <w:p w14:paraId="7670610D">
      <w:pPr>
        <w:keepNext w:val="0"/>
        <w:keepLines w:val="0"/>
        <w:pageBreakBefore w:val="0"/>
        <w:kinsoku/>
        <w:wordWrap/>
        <w:overflowPunct/>
        <w:topLinePunct w:val="0"/>
        <w:autoSpaceDE/>
        <w:autoSpaceDN/>
        <w:bidi w:val="0"/>
        <w:adjustRightInd w:val="0"/>
        <w:snapToGrid w:val="0"/>
        <w:spacing w:beforeAutospacing="0" w:afterAutospacing="0" w:line="408"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四、投标截止时间及地点：</w:t>
      </w:r>
    </w:p>
    <w:p w14:paraId="3EF5EAB4">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1.时间：</w:t>
      </w:r>
      <w:r>
        <w:rPr>
          <w:rFonts w:hint="eastAsia" w:ascii="宋体" w:hAnsi="宋体" w:eastAsia="宋体" w:cs="宋体"/>
          <w:color w:val="auto"/>
          <w:kern w:val="0"/>
          <w:sz w:val="24"/>
          <w:szCs w:val="24"/>
          <w:highlight w:val="none"/>
          <w:shd w:val="clear" w:color="auto" w:fill="FFFFFF"/>
          <w:lang w:bidi="ar"/>
        </w:rPr>
        <w:t>202</w:t>
      </w:r>
      <w:r>
        <w:rPr>
          <w:rFonts w:hint="eastAsia" w:ascii="宋体" w:hAnsi="宋体" w:eastAsia="宋体" w:cs="宋体"/>
          <w:color w:val="auto"/>
          <w:kern w:val="0"/>
          <w:sz w:val="24"/>
          <w:szCs w:val="24"/>
          <w:highlight w:val="none"/>
          <w:shd w:val="clear" w:color="auto" w:fill="FFFFFF"/>
          <w:lang w:val="en-US" w:eastAsia="zh-CN" w:bidi="ar"/>
        </w:rPr>
        <w:t>6</w:t>
      </w:r>
      <w:r>
        <w:rPr>
          <w:rFonts w:hint="eastAsia" w:ascii="宋体" w:hAnsi="宋体" w:eastAsia="宋体" w:cs="宋体"/>
          <w:color w:val="auto"/>
          <w:kern w:val="0"/>
          <w:sz w:val="24"/>
          <w:szCs w:val="24"/>
          <w:highlight w:val="none"/>
          <w:shd w:val="clear" w:color="auto" w:fill="FFFFFF"/>
          <w:lang w:bidi="ar"/>
        </w:rPr>
        <w:t>年</w:t>
      </w:r>
      <w:r>
        <w:rPr>
          <w:rFonts w:hint="eastAsia" w:ascii="宋体" w:hAnsi="宋体" w:cs="宋体"/>
          <w:color w:val="auto"/>
          <w:kern w:val="0"/>
          <w:sz w:val="24"/>
          <w:szCs w:val="24"/>
          <w:highlight w:val="none"/>
          <w:shd w:val="clear" w:color="auto" w:fill="FFFFFF"/>
          <w:lang w:val="en-US" w:eastAsia="zh-CN" w:bidi="ar"/>
        </w:rPr>
        <w:t>8</w:t>
      </w:r>
      <w:r>
        <w:rPr>
          <w:rFonts w:hint="eastAsia" w:ascii="宋体" w:hAnsi="宋体" w:eastAsia="宋体" w:cs="宋体"/>
          <w:color w:val="auto"/>
          <w:kern w:val="0"/>
          <w:sz w:val="24"/>
          <w:szCs w:val="24"/>
          <w:highlight w:val="none"/>
          <w:shd w:val="clear" w:color="auto" w:fill="FFFFFF"/>
          <w:lang w:val="en-US" w:eastAsia="zh-CN" w:bidi="ar"/>
        </w:rPr>
        <w:t xml:space="preserve"> </w:t>
      </w:r>
      <w:r>
        <w:rPr>
          <w:rFonts w:hint="eastAsia" w:ascii="宋体" w:hAnsi="宋体" w:eastAsia="宋体" w:cs="宋体"/>
          <w:color w:val="auto"/>
          <w:kern w:val="0"/>
          <w:sz w:val="24"/>
          <w:szCs w:val="24"/>
          <w:highlight w:val="none"/>
          <w:shd w:val="clear" w:color="auto" w:fill="FFFFFF"/>
          <w:lang w:bidi="ar"/>
        </w:rPr>
        <w:t>月</w:t>
      </w:r>
      <w:r>
        <w:rPr>
          <w:rFonts w:hint="eastAsia" w:ascii="宋体" w:hAnsi="宋体" w:cs="宋体"/>
          <w:color w:val="auto"/>
          <w:kern w:val="0"/>
          <w:sz w:val="24"/>
          <w:szCs w:val="24"/>
          <w:highlight w:val="none"/>
          <w:shd w:val="clear" w:color="auto" w:fill="FFFFFF"/>
          <w:lang w:val="en-US" w:eastAsia="zh-CN" w:bidi="ar"/>
        </w:rPr>
        <w:t>10</w:t>
      </w:r>
      <w:r>
        <w:rPr>
          <w:rFonts w:hint="eastAsia" w:ascii="宋体" w:hAnsi="宋体" w:eastAsia="宋体" w:cs="宋体"/>
          <w:color w:val="auto"/>
          <w:kern w:val="0"/>
          <w:sz w:val="24"/>
          <w:szCs w:val="24"/>
          <w:highlight w:val="none"/>
          <w:shd w:val="clear" w:color="auto" w:fill="FFFFFF"/>
          <w:lang w:bidi="ar"/>
        </w:rPr>
        <w:t>日</w:t>
      </w:r>
      <w:r>
        <w:rPr>
          <w:rFonts w:hint="eastAsia" w:ascii="宋体" w:hAnsi="宋体" w:cs="宋体"/>
          <w:color w:val="auto"/>
          <w:kern w:val="0"/>
          <w:sz w:val="24"/>
          <w:szCs w:val="24"/>
          <w:highlight w:val="none"/>
          <w:shd w:val="clear" w:color="auto" w:fill="FFFFFF"/>
          <w:lang w:val="en-US" w:eastAsia="zh-CN" w:bidi="ar"/>
        </w:rPr>
        <w:t>8</w:t>
      </w:r>
      <w:r>
        <w:rPr>
          <w:rFonts w:hint="eastAsia" w:ascii="宋体" w:hAnsi="宋体" w:eastAsia="宋体" w:cs="宋体"/>
          <w:color w:val="auto"/>
          <w:kern w:val="0"/>
          <w:sz w:val="24"/>
          <w:szCs w:val="24"/>
          <w:highlight w:val="none"/>
          <w:shd w:val="clear" w:color="auto" w:fill="FFFFFF"/>
          <w:lang w:bidi="ar"/>
        </w:rPr>
        <w:t>时</w:t>
      </w:r>
      <w:r>
        <w:rPr>
          <w:rFonts w:hint="eastAsia" w:ascii="宋体" w:hAnsi="宋体" w:cs="宋体"/>
          <w:color w:val="auto"/>
          <w:kern w:val="0"/>
          <w:sz w:val="24"/>
          <w:szCs w:val="24"/>
          <w:highlight w:val="none"/>
          <w:shd w:val="clear" w:color="auto" w:fill="FFFFFF"/>
          <w:lang w:val="en-US" w:eastAsia="zh-CN" w:bidi="ar"/>
        </w:rPr>
        <w:t>40</w:t>
      </w:r>
      <w:r>
        <w:rPr>
          <w:rFonts w:hint="eastAsia" w:ascii="宋体" w:hAnsi="宋体" w:eastAsia="宋体" w:cs="宋体"/>
          <w:color w:val="auto"/>
          <w:kern w:val="0"/>
          <w:sz w:val="24"/>
          <w:szCs w:val="24"/>
          <w:highlight w:val="none"/>
          <w:shd w:val="clear" w:color="auto" w:fill="FFFFFF"/>
          <w:lang w:bidi="ar"/>
        </w:rPr>
        <w:t>分</w:t>
      </w:r>
      <w:r>
        <w:rPr>
          <w:rFonts w:hint="eastAsia" w:ascii="宋体" w:hAnsi="宋体" w:eastAsia="宋体" w:cs="宋体"/>
          <w:color w:val="auto"/>
          <w:sz w:val="24"/>
          <w:szCs w:val="24"/>
          <w:highlight w:val="none"/>
          <w:shd w:val="clear" w:color="auto" w:fill="FFFFFF"/>
        </w:rPr>
        <w:t>（北京时间）。</w:t>
      </w:r>
    </w:p>
    <w:p w14:paraId="03D28D6E">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shd w:val="clear" w:color="auto" w:fill="FFFFFF"/>
        </w:rPr>
        <w:t>全国公共资源交易平台（河南省.平顶山市）</w:t>
      </w:r>
      <w:r>
        <w:rPr>
          <w:rFonts w:hint="eastAsia" w:ascii="宋体" w:hAnsi="宋体" w:eastAsia="宋体" w:cs="宋体"/>
          <w:color w:val="auto"/>
          <w:sz w:val="24"/>
          <w:szCs w:val="24"/>
          <w:highlight w:val="none"/>
        </w:rPr>
        <w:t>电子交易系统。</w:t>
      </w:r>
    </w:p>
    <w:p w14:paraId="64F9DFC9">
      <w:pPr>
        <w:keepNext w:val="0"/>
        <w:keepLines w:val="0"/>
        <w:pageBreakBefore w:val="0"/>
        <w:tabs>
          <w:tab w:val="left" w:pos="420"/>
        </w:tabs>
        <w:kinsoku/>
        <w:wordWrap/>
        <w:overflowPunct/>
        <w:topLinePunct w:val="0"/>
        <w:autoSpaceDE/>
        <w:autoSpaceDN/>
        <w:bidi w:val="0"/>
        <w:adjustRightInd w:val="0"/>
        <w:snapToGrid w:val="0"/>
        <w:spacing w:beforeAutospacing="0" w:afterAutospacing="0" w:line="408" w:lineRule="auto"/>
        <w:ind w:right="-365" w:rightChars="-174"/>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五、开标时间及地点:</w:t>
      </w:r>
    </w:p>
    <w:p w14:paraId="2C324118">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1.时间：</w:t>
      </w:r>
      <w:r>
        <w:rPr>
          <w:rFonts w:hint="eastAsia" w:ascii="宋体" w:hAnsi="宋体" w:eastAsia="宋体" w:cs="宋体"/>
          <w:color w:val="auto"/>
          <w:kern w:val="0"/>
          <w:sz w:val="24"/>
          <w:szCs w:val="24"/>
          <w:highlight w:val="none"/>
          <w:shd w:val="clear" w:color="auto" w:fill="FFFFFF"/>
          <w:lang w:bidi="ar"/>
        </w:rPr>
        <w:t>202</w:t>
      </w:r>
      <w:r>
        <w:rPr>
          <w:rFonts w:hint="eastAsia" w:ascii="宋体" w:hAnsi="宋体" w:eastAsia="宋体" w:cs="宋体"/>
          <w:color w:val="auto"/>
          <w:kern w:val="0"/>
          <w:sz w:val="24"/>
          <w:szCs w:val="24"/>
          <w:highlight w:val="none"/>
          <w:shd w:val="clear" w:color="auto" w:fill="FFFFFF"/>
          <w:lang w:val="en-US" w:eastAsia="zh-CN" w:bidi="ar"/>
        </w:rPr>
        <w:t>6</w:t>
      </w:r>
      <w:r>
        <w:rPr>
          <w:rFonts w:hint="eastAsia" w:ascii="宋体" w:hAnsi="宋体" w:eastAsia="宋体" w:cs="宋体"/>
          <w:color w:val="auto"/>
          <w:kern w:val="0"/>
          <w:sz w:val="24"/>
          <w:szCs w:val="24"/>
          <w:highlight w:val="none"/>
          <w:shd w:val="clear" w:color="auto" w:fill="FFFFFF"/>
          <w:lang w:bidi="ar"/>
        </w:rPr>
        <w:t>年</w:t>
      </w:r>
      <w:r>
        <w:rPr>
          <w:rFonts w:hint="eastAsia" w:ascii="宋体" w:hAnsi="宋体" w:cs="宋体"/>
          <w:color w:val="auto"/>
          <w:kern w:val="0"/>
          <w:sz w:val="24"/>
          <w:szCs w:val="24"/>
          <w:highlight w:val="none"/>
          <w:shd w:val="clear" w:color="auto" w:fill="FFFFFF"/>
          <w:lang w:val="en-US" w:eastAsia="zh-CN" w:bidi="ar"/>
        </w:rPr>
        <w:t>8</w:t>
      </w:r>
      <w:r>
        <w:rPr>
          <w:rFonts w:hint="eastAsia" w:ascii="宋体" w:hAnsi="宋体" w:eastAsia="宋体" w:cs="宋体"/>
          <w:color w:val="auto"/>
          <w:kern w:val="0"/>
          <w:sz w:val="24"/>
          <w:szCs w:val="24"/>
          <w:highlight w:val="none"/>
          <w:shd w:val="clear" w:color="auto" w:fill="FFFFFF"/>
          <w:lang w:val="en-US" w:eastAsia="zh-CN" w:bidi="ar"/>
        </w:rPr>
        <w:t xml:space="preserve"> </w:t>
      </w:r>
      <w:r>
        <w:rPr>
          <w:rFonts w:hint="eastAsia" w:ascii="宋体" w:hAnsi="宋体" w:eastAsia="宋体" w:cs="宋体"/>
          <w:color w:val="auto"/>
          <w:kern w:val="0"/>
          <w:sz w:val="24"/>
          <w:szCs w:val="24"/>
          <w:highlight w:val="none"/>
          <w:shd w:val="clear" w:color="auto" w:fill="FFFFFF"/>
          <w:lang w:bidi="ar"/>
        </w:rPr>
        <w:t>月</w:t>
      </w:r>
      <w:r>
        <w:rPr>
          <w:rFonts w:hint="eastAsia" w:ascii="宋体" w:hAnsi="宋体" w:cs="宋体"/>
          <w:color w:val="auto"/>
          <w:kern w:val="0"/>
          <w:sz w:val="24"/>
          <w:szCs w:val="24"/>
          <w:highlight w:val="none"/>
          <w:shd w:val="clear" w:color="auto" w:fill="FFFFFF"/>
          <w:lang w:val="en-US" w:eastAsia="zh-CN" w:bidi="ar"/>
        </w:rPr>
        <w:t>10</w:t>
      </w:r>
      <w:r>
        <w:rPr>
          <w:rFonts w:hint="eastAsia" w:ascii="宋体" w:hAnsi="宋体" w:eastAsia="宋体" w:cs="宋体"/>
          <w:color w:val="auto"/>
          <w:kern w:val="0"/>
          <w:sz w:val="24"/>
          <w:szCs w:val="24"/>
          <w:highlight w:val="none"/>
          <w:shd w:val="clear" w:color="auto" w:fill="FFFFFF"/>
          <w:lang w:bidi="ar"/>
        </w:rPr>
        <w:t>日</w:t>
      </w:r>
      <w:r>
        <w:rPr>
          <w:rFonts w:hint="eastAsia" w:ascii="宋体" w:hAnsi="宋体" w:cs="宋体"/>
          <w:color w:val="auto"/>
          <w:kern w:val="0"/>
          <w:sz w:val="24"/>
          <w:szCs w:val="24"/>
          <w:highlight w:val="none"/>
          <w:shd w:val="clear" w:color="auto" w:fill="FFFFFF"/>
          <w:lang w:val="en-US" w:eastAsia="zh-CN" w:bidi="ar"/>
        </w:rPr>
        <w:t>8</w:t>
      </w:r>
      <w:r>
        <w:rPr>
          <w:rFonts w:hint="eastAsia" w:ascii="宋体" w:hAnsi="宋体" w:eastAsia="宋体" w:cs="宋体"/>
          <w:color w:val="auto"/>
          <w:kern w:val="0"/>
          <w:sz w:val="24"/>
          <w:szCs w:val="24"/>
          <w:highlight w:val="none"/>
          <w:shd w:val="clear" w:color="auto" w:fill="FFFFFF"/>
          <w:lang w:bidi="ar"/>
        </w:rPr>
        <w:t>时</w:t>
      </w:r>
      <w:r>
        <w:rPr>
          <w:rFonts w:hint="eastAsia" w:ascii="宋体" w:hAnsi="宋体" w:cs="宋体"/>
          <w:color w:val="auto"/>
          <w:kern w:val="0"/>
          <w:sz w:val="24"/>
          <w:szCs w:val="24"/>
          <w:highlight w:val="none"/>
          <w:shd w:val="clear" w:color="auto" w:fill="FFFFFF"/>
          <w:lang w:val="en-US" w:eastAsia="zh-CN" w:bidi="ar"/>
        </w:rPr>
        <w:t>40</w:t>
      </w:r>
      <w:r>
        <w:rPr>
          <w:rFonts w:hint="eastAsia" w:ascii="宋体" w:hAnsi="宋体" w:eastAsia="宋体" w:cs="宋体"/>
          <w:color w:val="auto"/>
          <w:kern w:val="0"/>
          <w:sz w:val="24"/>
          <w:szCs w:val="24"/>
          <w:highlight w:val="none"/>
          <w:shd w:val="clear" w:color="auto" w:fill="FFFFFF"/>
          <w:lang w:bidi="ar"/>
        </w:rPr>
        <w:t>分</w:t>
      </w:r>
      <w:r>
        <w:rPr>
          <w:rFonts w:hint="eastAsia" w:ascii="宋体" w:hAnsi="宋体" w:eastAsia="宋体" w:cs="宋体"/>
          <w:color w:val="auto"/>
          <w:sz w:val="24"/>
          <w:szCs w:val="24"/>
          <w:highlight w:val="none"/>
          <w:shd w:val="clear" w:color="auto" w:fill="FFFFFF"/>
        </w:rPr>
        <w:t>（北京时间）。</w:t>
      </w:r>
    </w:p>
    <w:p w14:paraId="379E3A02">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shd w:val="clear" w:color="auto" w:fill="FFFFFF"/>
        </w:rPr>
        <w:t>2.地点：全国公共资源交易平台（河南省.平顶山市）电子交易</w:t>
      </w:r>
      <w:r>
        <w:rPr>
          <w:rFonts w:hint="eastAsia" w:ascii="宋体" w:hAnsi="宋体" w:eastAsia="宋体" w:cs="宋体"/>
          <w:bCs/>
          <w:color w:val="auto"/>
          <w:sz w:val="24"/>
          <w:szCs w:val="24"/>
          <w:highlight w:val="none"/>
        </w:rPr>
        <w:t>系统。</w:t>
      </w:r>
    </w:p>
    <w:p w14:paraId="33C684E0">
      <w:pPr>
        <w:keepNext w:val="0"/>
        <w:keepLines w:val="0"/>
        <w:pageBreakBefore w:val="0"/>
        <w:kinsoku/>
        <w:wordWrap/>
        <w:overflowPunct/>
        <w:topLinePunct w:val="0"/>
        <w:autoSpaceDE/>
        <w:autoSpaceDN/>
        <w:bidi w:val="0"/>
        <w:adjustRightInd w:val="0"/>
        <w:snapToGrid w:val="0"/>
        <w:spacing w:beforeAutospacing="0" w:afterAutospacing="0" w:line="408" w:lineRule="auto"/>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zh-CN"/>
        </w:rPr>
        <w:t>六、</w:t>
      </w:r>
      <w:r>
        <w:rPr>
          <w:rFonts w:hint="eastAsia" w:ascii="宋体" w:hAnsi="宋体" w:eastAsia="宋体" w:cs="宋体"/>
          <w:b/>
          <w:bCs/>
          <w:color w:val="auto"/>
          <w:sz w:val="24"/>
          <w:szCs w:val="24"/>
          <w:highlight w:val="none"/>
          <w:shd w:val="clear" w:color="auto" w:fill="FFFFFF"/>
        </w:rPr>
        <w:t>发布公告的媒介及招标公告期限:</w:t>
      </w:r>
    </w:p>
    <w:p w14:paraId="09FB88A4">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80" w:firstLineChars="200"/>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本次招标公告在《河南省政府采购网》、《平顶山市政府采购网》、《全国公共资源交易平台（河南省.平顶山市）》上发布，</w:t>
      </w:r>
      <w:r>
        <w:rPr>
          <w:rFonts w:hint="eastAsia" w:ascii="宋体" w:hAnsi="宋体" w:eastAsia="宋体" w:cs="宋体"/>
          <w:bCs/>
          <w:color w:val="auto"/>
          <w:sz w:val="24"/>
          <w:szCs w:val="24"/>
          <w:highlight w:val="none"/>
        </w:rPr>
        <w:t>招标公告期限为五个工作日</w:t>
      </w:r>
      <w:r>
        <w:rPr>
          <w:rFonts w:hint="eastAsia" w:ascii="宋体" w:hAnsi="宋体" w:eastAsia="宋体" w:cs="宋体"/>
          <w:color w:val="auto"/>
          <w:sz w:val="24"/>
          <w:szCs w:val="24"/>
          <w:highlight w:val="none"/>
          <w:shd w:val="clear" w:color="auto" w:fill="FFFFFF"/>
          <w:lang w:eastAsia="zh-CN"/>
        </w:rPr>
        <w:t>；</w:t>
      </w:r>
    </w:p>
    <w:p w14:paraId="414CFCCB">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shd w:val="clear" w:color="auto" w:fill="FFFFFF"/>
          <w:lang w:bidi="ar"/>
        </w:rPr>
        <w:t>七、其他补充事宜:</w:t>
      </w:r>
    </w:p>
    <w:p w14:paraId="0F6FCA5F">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 xml:space="preserve">1.本次开标全面实行在线“不见面”开标，投标人远程在线解密投标文件，不再到开标现场，投标人开标前应仔细阅读《“不见面”开标注意事项及操作流程》。 </w:t>
      </w:r>
    </w:p>
    <w:p w14:paraId="534FBAFB">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2.该公告已同步至“平顶山市公共资源交易中心微信公众号”，可通过公众号中的服务栏目进行查阅”。</w:t>
      </w:r>
    </w:p>
    <w:p w14:paraId="29393EB0">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666A5ED6">
      <w:pPr>
        <w:keepNext w:val="0"/>
        <w:keepLines w:val="0"/>
        <w:pageBreakBefore w:val="0"/>
        <w:kinsoku/>
        <w:wordWrap/>
        <w:overflowPunct/>
        <w:topLinePunct w:val="0"/>
        <w:bidi w:val="0"/>
        <w:adjustRightInd w:val="0"/>
        <w:snapToGrid w:val="0"/>
        <w:spacing w:beforeAutospacing="0" w:afterAutospacing="0" w:line="408" w:lineRule="auto"/>
        <w:ind w:firstLine="240" w:firstLineChars="100"/>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4.监督单位：</w:t>
      </w:r>
    </w:p>
    <w:p w14:paraId="7E6606DE">
      <w:pPr>
        <w:keepNext w:val="0"/>
        <w:keepLines w:val="0"/>
        <w:pageBreakBefore w:val="0"/>
        <w:kinsoku/>
        <w:wordWrap/>
        <w:overflowPunct/>
        <w:topLinePunct w:val="0"/>
        <w:bidi w:val="0"/>
        <w:adjustRightInd w:val="0"/>
        <w:snapToGrid w:val="0"/>
        <w:spacing w:beforeAutospacing="0" w:afterAutospacing="0" w:line="408" w:lineRule="auto"/>
        <w:ind w:firstLine="480" w:firstLineChars="200"/>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监督单位：平顶山市财政局</w:t>
      </w:r>
    </w:p>
    <w:p w14:paraId="1FAFAD7C">
      <w:pPr>
        <w:keepNext w:val="0"/>
        <w:keepLines w:val="0"/>
        <w:pageBreakBefore w:val="0"/>
        <w:kinsoku/>
        <w:wordWrap/>
        <w:overflowPunct/>
        <w:topLinePunct w:val="0"/>
        <w:bidi w:val="0"/>
        <w:adjustRightInd w:val="0"/>
        <w:snapToGrid w:val="0"/>
        <w:spacing w:beforeAutospacing="0" w:afterAutospacing="0" w:line="408" w:lineRule="auto"/>
        <w:ind w:firstLine="480" w:firstLineChars="200"/>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联系电话：0375-2627595</w:t>
      </w:r>
    </w:p>
    <w:p w14:paraId="0F94CE32">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textAlignment w:val="auto"/>
        <w:rPr>
          <w:rFonts w:hint="eastAsia" w:ascii="宋体" w:hAnsi="宋体" w:eastAsia="宋体" w:cs="宋体"/>
          <w:b/>
          <w:bCs/>
          <w:color w:val="auto"/>
          <w:kern w:val="0"/>
          <w:sz w:val="24"/>
          <w:szCs w:val="24"/>
          <w:highlight w:val="none"/>
          <w:shd w:val="clear" w:color="auto" w:fill="FFFFFF"/>
          <w:lang w:bidi="ar"/>
        </w:rPr>
      </w:pPr>
    </w:p>
    <w:p w14:paraId="4860934D">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408" w:lineRule="auto"/>
        <w:textAlignment w:val="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bCs/>
          <w:color w:val="auto"/>
          <w:kern w:val="0"/>
          <w:sz w:val="24"/>
          <w:szCs w:val="24"/>
          <w:highlight w:val="none"/>
          <w:shd w:val="clear" w:color="auto" w:fill="FFFFFF"/>
          <w:lang w:bidi="ar"/>
        </w:rPr>
        <w:t>八、</w:t>
      </w:r>
      <w:r>
        <w:rPr>
          <w:rFonts w:hint="eastAsia" w:ascii="宋体" w:hAnsi="宋体" w:eastAsia="宋体" w:cs="宋体"/>
          <w:b/>
          <w:bCs/>
          <w:color w:val="auto"/>
          <w:sz w:val="24"/>
          <w:szCs w:val="24"/>
          <w:highlight w:val="none"/>
          <w:shd w:val="clear" w:color="auto" w:fill="FFFFFF"/>
        </w:rPr>
        <w:t>凡对本</w:t>
      </w:r>
      <w:r>
        <w:rPr>
          <w:rFonts w:hint="eastAsia" w:ascii="宋体" w:hAnsi="宋体" w:eastAsia="宋体" w:cs="宋体"/>
          <w:b/>
          <w:color w:val="auto"/>
          <w:sz w:val="24"/>
          <w:szCs w:val="24"/>
          <w:highlight w:val="none"/>
          <w:shd w:val="clear" w:color="auto" w:fill="FFFFFF"/>
        </w:rPr>
        <w:t>次招标提出询问，请按照以下方式联系:</w:t>
      </w:r>
    </w:p>
    <w:p w14:paraId="5CE50F71">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18" w:firstLineChars="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1.采购人信息</w:t>
      </w:r>
    </w:p>
    <w:p w14:paraId="4655997A">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名称：平顶山学院</w:t>
      </w:r>
    </w:p>
    <w:p w14:paraId="28375576">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地址：平顶山市新华区未来路</w:t>
      </w:r>
    </w:p>
    <w:p w14:paraId="388106C1">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联系人：李老师</w:t>
      </w:r>
    </w:p>
    <w:p w14:paraId="3F5E7CC5">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联系方式：0375-2657628</w:t>
      </w:r>
      <w:r>
        <w:rPr>
          <w:rFonts w:hint="eastAsia" w:ascii="宋体" w:hAnsi="宋体" w:eastAsia="宋体" w:cs="宋体"/>
          <w:color w:val="auto"/>
          <w:kern w:val="0"/>
          <w:sz w:val="24"/>
          <w:szCs w:val="24"/>
          <w:highlight w:val="none"/>
          <w:shd w:val="clear" w:color="auto" w:fill="FFFFFF"/>
          <w:lang w:bidi="ar"/>
        </w:rPr>
        <w:tab/>
      </w:r>
    </w:p>
    <w:p w14:paraId="4976B2D1">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18" w:firstLineChars="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2.采购代理机构信息</w:t>
      </w:r>
    </w:p>
    <w:p w14:paraId="2E726931">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bidi="ar"/>
        </w:rPr>
        <w:t>名称：</w:t>
      </w:r>
      <w:r>
        <w:rPr>
          <w:rFonts w:hint="eastAsia" w:ascii="宋体" w:hAnsi="宋体" w:eastAsia="宋体" w:cs="宋体"/>
          <w:color w:val="auto"/>
          <w:kern w:val="0"/>
          <w:sz w:val="24"/>
          <w:szCs w:val="24"/>
          <w:highlight w:val="none"/>
          <w:shd w:val="clear" w:color="auto" w:fill="FFFFFF"/>
          <w:lang w:val="en-US" w:eastAsia="zh-CN" w:bidi="ar"/>
        </w:rPr>
        <w:t>慧霖建设发展集团有限公司</w:t>
      </w:r>
    </w:p>
    <w:p w14:paraId="6ED075BE">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地址：平顶山</w:t>
      </w:r>
      <w:r>
        <w:rPr>
          <w:rFonts w:hint="eastAsia" w:ascii="宋体" w:hAnsi="宋体" w:eastAsia="宋体" w:cs="宋体"/>
          <w:color w:val="auto"/>
          <w:kern w:val="0"/>
          <w:sz w:val="24"/>
          <w:szCs w:val="24"/>
          <w:highlight w:val="none"/>
          <w:shd w:val="clear" w:color="auto" w:fill="FFFFFF"/>
          <w:lang w:eastAsia="zh-CN" w:bidi="ar"/>
        </w:rPr>
        <w:t>市</w:t>
      </w:r>
      <w:r>
        <w:rPr>
          <w:rFonts w:hint="eastAsia" w:ascii="宋体" w:hAnsi="宋体" w:eastAsia="宋体" w:cs="宋体"/>
          <w:color w:val="auto"/>
          <w:kern w:val="0"/>
          <w:sz w:val="24"/>
          <w:szCs w:val="24"/>
          <w:highlight w:val="none"/>
          <w:shd w:val="clear" w:color="auto" w:fill="FFFFFF"/>
          <w:lang w:bidi="ar"/>
        </w:rPr>
        <w:t>新华区建设路西段云顶灯饰城内1号楼3楼1-5号　</w:t>
      </w:r>
    </w:p>
    <w:p w14:paraId="4FD7AB52">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联系人</w:t>
      </w: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val="en-US" w:eastAsia="zh-CN" w:bidi="ar"/>
        </w:rPr>
        <w:t>张</w:t>
      </w:r>
      <w:r>
        <w:rPr>
          <w:rFonts w:hint="eastAsia" w:ascii="宋体" w:hAnsi="宋体" w:eastAsia="宋体" w:cs="宋体"/>
          <w:color w:val="auto"/>
          <w:kern w:val="0"/>
          <w:sz w:val="24"/>
          <w:szCs w:val="24"/>
          <w:highlight w:val="none"/>
          <w:shd w:val="clear" w:color="auto" w:fill="FFFFFF"/>
          <w:lang w:bidi="ar"/>
        </w:rPr>
        <w:t xml:space="preserve">女士          </w:t>
      </w:r>
    </w:p>
    <w:p w14:paraId="28D35B47">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联系方式</w:t>
      </w: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bidi="ar"/>
        </w:rPr>
        <w:t>0375-6161678</w:t>
      </w:r>
      <w:r>
        <w:rPr>
          <w:rFonts w:hint="eastAsia" w:ascii="宋体" w:hAnsi="宋体" w:eastAsia="宋体" w:cs="宋体"/>
          <w:color w:val="auto"/>
          <w:kern w:val="0"/>
          <w:sz w:val="24"/>
          <w:szCs w:val="24"/>
          <w:highlight w:val="none"/>
          <w:shd w:val="clear" w:color="auto" w:fill="FFFFFF"/>
          <w:lang w:val="en-US" w:eastAsia="zh-CN" w:bidi="ar"/>
        </w:rPr>
        <w:t xml:space="preserve">  </w:t>
      </w:r>
      <w:r>
        <w:rPr>
          <w:rFonts w:hint="eastAsia" w:ascii="宋体" w:hAnsi="宋体" w:eastAsia="宋体" w:cs="宋体"/>
          <w:color w:val="auto"/>
          <w:kern w:val="0"/>
          <w:sz w:val="24"/>
          <w:szCs w:val="24"/>
          <w:highlight w:val="none"/>
          <w:shd w:val="clear" w:color="auto" w:fill="FFFFFF"/>
          <w:lang w:bidi="ar"/>
        </w:rPr>
        <w:t>1993</w:t>
      </w:r>
      <w:r>
        <w:rPr>
          <w:rFonts w:hint="eastAsia" w:ascii="宋体" w:hAnsi="宋体" w:eastAsia="宋体" w:cs="宋体"/>
          <w:color w:val="auto"/>
          <w:kern w:val="0"/>
          <w:sz w:val="24"/>
          <w:szCs w:val="24"/>
          <w:highlight w:val="none"/>
          <w:shd w:val="clear" w:color="auto" w:fill="FFFFFF"/>
          <w:lang w:val="en-US" w:eastAsia="zh-CN" w:bidi="ar"/>
        </w:rPr>
        <w:t>9025105</w:t>
      </w:r>
    </w:p>
    <w:p w14:paraId="1E873023">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218" w:firstLineChars="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3.项目联系方式</w:t>
      </w:r>
    </w:p>
    <w:p w14:paraId="4D3A0ED5">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项目联系人</w:t>
      </w: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val="en-US" w:eastAsia="zh-CN" w:bidi="ar"/>
        </w:rPr>
        <w:t>张</w:t>
      </w:r>
      <w:r>
        <w:rPr>
          <w:rFonts w:hint="eastAsia" w:ascii="宋体" w:hAnsi="宋体" w:eastAsia="宋体" w:cs="宋体"/>
          <w:color w:val="auto"/>
          <w:kern w:val="0"/>
          <w:sz w:val="24"/>
          <w:szCs w:val="24"/>
          <w:highlight w:val="none"/>
          <w:shd w:val="clear" w:color="auto" w:fill="FFFFFF"/>
          <w:lang w:bidi="ar"/>
        </w:rPr>
        <w:t xml:space="preserve">女士          </w:t>
      </w:r>
    </w:p>
    <w:p w14:paraId="536C27EE">
      <w:pPr>
        <w:keepNext w:val="0"/>
        <w:keepLines w:val="0"/>
        <w:pageBreakBefore w:val="0"/>
        <w:kinsoku/>
        <w:wordWrap/>
        <w:overflowPunct/>
        <w:topLinePunct w:val="0"/>
        <w:autoSpaceDE/>
        <w:autoSpaceDN/>
        <w:bidi w:val="0"/>
        <w:adjustRightInd w:val="0"/>
        <w:snapToGrid w:val="0"/>
        <w:spacing w:beforeAutospacing="0" w:afterAutospacing="0" w:line="408" w:lineRule="auto"/>
        <w:ind w:firstLine="458" w:firstLineChars="191"/>
        <w:textAlignment w:val="auto"/>
        <w:rPr>
          <w:rFonts w:hint="eastAsia" w:ascii="宋体" w:hAnsi="宋体" w:eastAsia="宋体" w:cs="宋体"/>
          <w:color w:val="auto"/>
          <w:kern w:val="0"/>
          <w:sz w:val="24"/>
          <w:szCs w:val="24"/>
          <w:highlight w:val="none"/>
          <w:shd w:val="clear" w:color="auto" w:fill="FFFFFF"/>
          <w:lang w:val="en-US" w:bidi="ar"/>
        </w:rPr>
      </w:pPr>
      <w:r>
        <w:rPr>
          <w:rFonts w:hint="eastAsia" w:ascii="宋体" w:hAnsi="宋体" w:eastAsia="宋体" w:cs="宋体"/>
          <w:color w:val="auto"/>
          <w:kern w:val="0"/>
          <w:sz w:val="24"/>
          <w:szCs w:val="24"/>
          <w:highlight w:val="none"/>
          <w:shd w:val="clear" w:color="auto" w:fill="FFFFFF"/>
          <w:lang w:bidi="ar"/>
        </w:rPr>
        <w:t>联系方式</w:t>
      </w:r>
      <w:r>
        <w:rPr>
          <w:rFonts w:hint="eastAsia" w:ascii="宋体" w:hAnsi="宋体" w:eastAsia="宋体" w:cs="宋体"/>
          <w:color w:val="auto"/>
          <w:kern w:val="0"/>
          <w:sz w:val="24"/>
          <w:szCs w:val="24"/>
          <w:highlight w:val="none"/>
          <w:shd w:val="clear" w:color="auto" w:fill="FFFFFF"/>
          <w:lang w:eastAsia="zh-CN" w:bidi="ar"/>
        </w:rPr>
        <w:t>：</w:t>
      </w:r>
      <w:r>
        <w:rPr>
          <w:rFonts w:hint="eastAsia" w:ascii="宋体" w:hAnsi="宋体" w:eastAsia="宋体" w:cs="宋体"/>
          <w:color w:val="auto"/>
          <w:kern w:val="0"/>
          <w:sz w:val="24"/>
          <w:szCs w:val="24"/>
          <w:highlight w:val="none"/>
          <w:shd w:val="clear" w:color="auto" w:fill="FFFFFF"/>
          <w:lang w:bidi="ar"/>
        </w:rPr>
        <w:t>0375-6161678</w:t>
      </w:r>
      <w:r>
        <w:rPr>
          <w:rFonts w:hint="eastAsia" w:ascii="宋体" w:hAnsi="宋体" w:eastAsia="宋体" w:cs="宋体"/>
          <w:color w:val="auto"/>
          <w:kern w:val="0"/>
          <w:sz w:val="24"/>
          <w:szCs w:val="24"/>
          <w:highlight w:val="none"/>
          <w:shd w:val="clear" w:color="auto" w:fill="FFFFFF"/>
          <w:lang w:val="en-US" w:eastAsia="zh-CN" w:bidi="ar"/>
        </w:rPr>
        <w:t xml:space="preserve">  </w:t>
      </w:r>
      <w:r>
        <w:rPr>
          <w:rFonts w:hint="eastAsia" w:ascii="宋体" w:hAnsi="宋体" w:eastAsia="宋体" w:cs="宋体"/>
          <w:color w:val="auto"/>
          <w:kern w:val="0"/>
          <w:sz w:val="24"/>
          <w:szCs w:val="24"/>
          <w:highlight w:val="none"/>
          <w:shd w:val="clear" w:color="auto" w:fill="FFFFFF"/>
          <w:lang w:bidi="ar"/>
        </w:rPr>
        <w:t>1993</w:t>
      </w:r>
      <w:r>
        <w:rPr>
          <w:rFonts w:hint="eastAsia" w:ascii="宋体" w:hAnsi="宋体" w:eastAsia="宋体" w:cs="宋体"/>
          <w:color w:val="auto"/>
          <w:kern w:val="0"/>
          <w:sz w:val="24"/>
          <w:szCs w:val="24"/>
          <w:highlight w:val="none"/>
          <w:shd w:val="clear" w:color="auto" w:fill="FFFFFF"/>
          <w:lang w:val="en-US" w:eastAsia="zh-CN" w:bidi="ar"/>
        </w:rPr>
        <w:t>9025105</w:t>
      </w:r>
    </w:p>
    <w:p w14:paraId="75D98D06">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64C843BC">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2EE9601C">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6383349C">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13BF8CF2">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13B4034F">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1575AC5E">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3EC0CF00">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2FE5C5AF">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0B11E4B8">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6FD94F93">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4CCFB6E0">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color w:val="auto"/>
          <w:sz w:val="24"/>
          <w:szCs w:val="24"/>
          <w:highlight w:val="none"/>
          <w:shd w:val="clear" w:color="auto" w:fill="FFFFFF"/>
          <w:lang w:bidi="ar"/>
        </w:rPr>
      </w:pPr>
    </w:p>
    <w:p w14:paraId="3A925A6A">
      <w:pPr>
        <w:keepNext w:val="0"/>
        <w:keepLines w:val="0"/>
        <w:pageBreakBefore w:val="0"/>
        <w:widowControl/>
        <w:kinsoku/>
        <w:wordWrap/>
        <w:overflowPunct/>
        <w:topLinePunct w:val="0"/>
        <w:autoSpaceDE w:val="0"/>
        <w:autoSpaceDN w:val="0"/>
        <w:bidi w:val="0"/>
        <w:adjustRightInd w:val="0"/>
        <w:snapToGrid w:val="0"/>
        <w:spacing w:beforeAutospacing="0" w:afterAutospacing="0" w:line="408" w:lineRule="auto"/>
        <w:ind w:right="79" w:firstLine="480" w:firstLineChars="200"/>
        <w:jc w:val="both"/>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bCs/>
          <w:color w:val="auto"/>
          <w:sz w:val="24"/>
          <w:szCs w:val="24"/>
          <w:highlight w:val="none"/>
          <w:shd w:val="clear" w:color="auto" w:fill="FFFFFF"/>
        </w:rPr>
        <w:t>温馨提示：</w:t>
      </w:r>
    </w:p>
    <w:p w14:paraId="08E9B5C3">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本项目为全流程电子化交易项目，请认真阅读采购文件，并注意以下事项。</w:t>
      </w:r>
    </w:p>
    <w:p w14:paraId="0479ECB1">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1.供应商应按采购文件规定编制、提交电子投标文件。 </w:t>
      </w:r>
    </w:p>
    <w:p w14:paraId="21D785F7">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2.本项目供应商不用再提供纸质投标文件。</w:t>
      </w:r>
    </w:p>
    <w:p w14:paraId="52AC0F59">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3.电子文件下载、制作、提交期间和开标（电子投标文件的解密）环节，供应商须使用CA数字证书（证书须在有效期内）。</w:t>
      </w:r>
    </w:p>
    <w:p w14:paraId="4389578D">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4.电子投标文件的制作</w:t>
      </w:r>
    </w:p>
    <w:p w14:paraId="11E3357C">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 供应商登录《全国公共资源交易平台(河南省▪平顶山市)》公共资源交易系统下载“平顶山投标文件制作系统”，按采购文件要求制作电子投标文件。</w:t>
      </w:r>
    </w:p>
    <w:p w14:paraId="664E32CD">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电子投标文件的制作，参考《全国公共资源交易平台(河南省▪平顶山市)》公共资源交易系统——组件下载——交易系统操作手册（投标人、供应商）。</w:t>
      </w:r>
    </w:p>
    <w:p w14:paraId="7A92B30B">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4.2 供应商须将采购文件要求的资质、业绩、荣誉及相关人员证明材料等资料原件扫描件（或图片）制作到所提交的电子投标文件中。</w:t>
      </w:r>
    </w:p>
    <w:p w14:paraId="63888C4E">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4.3供应商对同一项目多个标段进行投标的，应分别下载所投标段的采购文件，按标段制作电子投标文件，并按采购文件要求在相应位置加盖供应商电子印章和法人电子印章。</w:t>
      </w:r>
    </w:p>
    <w:p w14:paraId="015F7451">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一个标段对应生成一个文件夹（xxxx项目xx标段）, 其中包含2个文件和1个文件夹。后缀名为“.file”的文件用于电子投标使用，名称为“备份”的文件夹使用电子介质存储，供开标现场备用。</w:t>
      </w:r>
    </w:p>
    <w:p w14:paraId="3DBCD2A5">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5.加密电子投标文件的提交</w:t>
      </w:r>
    </w:p>
    <w:p w14:paraId="5C075F17">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5.1加密电子投标文件应在采购文件规定的投标截止时间（开标时间）之前成功提交至《全国公共资源交易平台(河南省▪平顶山市)》公共资源交易系统。</w:t>
      </w:r>
    </w:p>
    <w:p w14:paraId="3EC33DBB">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供应商应充分考虑并预留技术处理和上传数据所需时间。</w:t>
      </w:r>
    </w:p>
    <w:p w14:paraId="4BBBACC9">
      <w:pPr>
        <w:keepNext w:val="0"/>
        <w:keepLines w:val="0"/>
        <w:pageBreakBefore w:val="0"/>
        <w:kinsoku/>
        <w:wordWrap/>
        <w:overflowPunct/>
        <w:topLinePunct w:val="0"/>
        <w:bidi w:val="0"/>
        <w:adjustRightInd w:val="0"/>
        <w:snapToGrid w:val="0"/>
        <w:spacing w:beforeAutospacing="0" w:afterAutospacing="0" w:line="408" w:lineRule="auto"/>
        <w:ind w:left="239" w:leftChars="114"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5.2 供应商对同一项目多个标段进行投标的，加密电子投标文件应按标段分别提交。</w:t>
      </w:r>
    </w:p>
    <w:p w14:paraId="761B6AFE">
      <w:pPr>
        <w:pStyle w:val="8"/>
        <w:keepNext w:val="0"/>
        <w:keepLines w:val="0"/>
        <w:pageBreakBefore w:val="0"/>
        <w:kinsoku/>
        <w:wordWrap/>
        <w:overflowPunct/>
        <w:topLinePunct w:val="0"/>
        <w:bidi w:val="0"/>
        <w:adjustRightInd w:val="0"/>
        <w:snapToGrid w:val="0"/>
        <w:spacing w:before="0" w:beforeAutospacing="0" w:after="0" w:afterAutospacing="0" w:line="408" w:lineRule="auto"/>
        <w:textAlignment w:val="auto"/>
        <w:rPr>
          <w:rFonts w:hint="eastAsia" w:ascii="宋体" w:hAnsi="宋体" w:eastAsia="宋体" w:cs="宋体"/>
          <w:color w:val="auto"/>
          <w:sz w:val="24"/>
          <w:szCs w:val="24"/>
          <w:highlight w:val="none"/>
        </w:rPr>
      </w:pPr>
    </w:p>
    <w:p w14:paraId="54CBF3A5">
      <w:pPr>
        <w:pStyle w:val="8"/>
        <w:keepNext w:val="0"/>
        <w:keepLines w:val="0"/>
        <w:pageBreakBefore w:val="0"/>
        <w:kinsoku/>
        <w:wordWrap/>
        <w:overflowPunct/>
        <w:topLinePunct w:val="0"/>
        <w:bidi w:val="0"/>
        <w:adjustRightInd w:val="0"/>
        <w:snapToGrid w:val="0"/>
        <w:spacing w:before="0" w:beforeAutospacing="0" w:after="0" w:afterAutospacing="0" w:line="408" w:lineRule="auto"/>
        <w:textAlignment w:val="auto"/>
        <w:rPr>
          <w:rFonts w:hint="eastAsia" w:ascii="宋体" w:hAnsi="宋体" w:eastAsia="宋体" w:cs="宋体"/>
          <w:color w:val="auto"/>
          <w:sz w:val="24"/>
          <w:szCs w:val="24"/>
          <w:highlight w:val="none"/>
        </w:rPr>
      </w:pPr>
    </w:p>
    <w:p w14:paraId="4A330984">
      <w:pPr>
        <w:pStyle w:val="3"/>
        <w:numPr>
          <w:ilvl w:val="0"/>
          <w:numId w:val="0"/>
        </w:numPr>
        <w:tabs>
          <w:tab w:val="left" w:pos="1283"/>
        </w:tabs>
        <w:spacing w:before="37"/>
        <w:ind w:right="637" w:rightChars="0"/>
        <w:jc w:val="center"/>
        <w:rPr>
          <w:rFonts w:hint="eastAsia" w:ascii="宋体" w:hAnsi="宋体" w:eastAsia="宋体" w:cs="宋体"/>
          <w:color w:val="auto"/>
          <w:highlight w:val="none"/>
        </w:rPr>
      </w:pPr>
      <w:bookmarkStart w:id="2" w:name="_Toc13827"/>
      <w:bookmarkStart w:id="3" w:name="_Toc5796"/>
      <w:bookmarkStart w:id="4" w:name="_Toc5301"/>
      <w:bookmarkStart w:id="5" w:name="_Toc9079"/>
      <w:r>
        <w:rPr>
          <w:rFonts w:hint="eastAsia" w:ascii="宋体" w:hAnsi="宋体" w:eastAsia="宋体" w:cs="Times New Roman"/>
          <w:b/>
          <w:bCs/>
          <w:color w:val="auto"/>
          <w:kern w:val="0"/>
          <w:sz w:val="32"/>
          <w:szCs w:val="32"/>
          <w:highlight w:val="none"/>
          <w:lang w:val="zh-CN" w:eastAsia="zh-CN" w:bidi="ar-SA"/>
        </w:rPr>
        <w:t>第二章</w:t>
      </w:r>
      <w:r>
        <w:rPr>
          <w:rFonts w:hint="eastAsia" w:ascii="宋体" w:hAnsi="宋体" w:eastAsia="宋体" w:cs="Times New Roman"/>
          <w:b/>
          <w:bCs/>
          <w:color w:val="auto"/>
          <w:kern w:val="0"/>
          <w:sz w:val="32"/>
          <w:szCs w:val="32"/>
          <w:highlight w:val="none"/>
          <w:lang w:val="en-US" w:eastAsia="zh-CN" w:bidi="ar-SA"/>
        </w:rPr>
        <w:t xml:space="preserve">  </w:t>
      </w:r>
      <w:r>
        <w:rPr>
          <w:rFonts w:hint="eastAsia" w:ascii="宋体" w:hAnsi="宋体" w:eastAsia="宋体" w:cs="宋体"/>
          <w:color w:val="auto"/>
          <w:highlight w:val="none"/>
        </w:rPr>
        <w:t>投标人须知</w:t>
      </w:r>
      <w:bookmarkEnd w:id="2"/>
      <w:bookmarkEnd w:id="3"/>
      <w:bookmarkEnd w:id="4"/>
      <w:bookmarkEnd w:id="5"/>
    </w:p>
    <w:p w14:paraId="4AF889BF">
      <w:pPr>
        <w:pStyle w:val="4"/>
        <w:ind w:left="0" w:right="76"/>
        <w:jc w:val="center"/>
        <w:rPr>
          <w:rFonts w:hint="eastAsia" w:ascii="宋体" w:hAnsi="宋体" w:eastAsia="宋体" w:cs="宋体"/>
          <w:b/>
          <w:bCs/>
          <w:color w:val="auto"/>
          <w:sz w:val="28"/>
          <w:szCs w:val="28"/>
          <w:highlight w:val="none"/>
        </w:rPr>
      </w:pPr>
      <w:bookmarkStart w:id="6" w:name="_bookmark2"/>
      <w:bookmarkEnd w:id="6"/>
      <w:bookmarkStart w:id="7" w:name="_Toc2076"/>
      <w:r>
        <w:rPr>
          <w:rFonts w:hint="eastAsia" w:ascii="宋体" w:hAnsi="宋体" w:eastAsia="宋体" w:cs="宋体"/>
          <w:b/>
          <w:bCs/>
          <w:color w:val="auto"/>
          <w:sz w:val="28"/>
          <w:szCs w:val="28"/>
          <w:highlight w:val="none"/>
        </w:rPr>
        <w:t>投标人须知前附表</w:t>
      </w:r>
      <w:bookmarkEnd w:id="7"/>
    </w:p>
    <w:tbl>
      <w:tblPr>
        <w:tblStyle w:val="2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997"/>
        <w:gridCol w:w="6442"/>
      </w:tblGrid>
      <w:tr w14:paraId="04239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0BE2664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997" w:type="dxa"/>
            <w:noWrap w:val="0"/>
            <w:vAlign w:val="center"/>
          </w:tcPr>
          <w:p w14:paraId="14A734E9">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p>
        </w:tc>
        <w:tc>
          <w:tcPr>
            <w:tcW w:w="6442" w:type="dxa"/>
            <w:noWrap w:val="0"/>
            <w:vAlign w:val="center"/>
          </w:tcPr>
          <w:p w14:paraId="4605C5F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  容</w:t>
            </w:r>
          </w:p>
        </w:tc>
      </w:tr>
      <w:tr w14:paraId="7F7C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4F0B82B9">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7" w:type="dxa"/>
            <w:noWrap w:val="0"/>
            <w:vAlign w:val="center"/>
          </w:tcPr>
          <w:p w14:paraId="2F0D1C1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w:t>
            </w:r>
          </w:p>
        </w:tc>
        <w:tc>
          <w:tcPr>
            <w:tcW w:w="6442" w:type="dxa"/>
            <w:noWrap w:val="0"/>
            <w:vAlign w:val="center"/>
          </w:tcPr>
          <w:p w14:paraId="3215449A">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名称：平顶山学院</w:t>
            </w:r>
          </w:p>
          <w:p w14:paraId="35213D59">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地址：平顶山市新城区未来路南段</w:t>
            </w:r>
          </w:p>
          <w:p w14:paraId="2046BF24">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联系人：李老师</w:t>
            </w:r>
          </w:p>
          <w:p w14:paraId="2F49A361">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联系方式：0375-2657628</w:t>
            </w:r>
          </w:p>
        </w:tc>
      </w:tr>
      <w:tr w14:paraId="5CCA0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122EE4DF">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7" w:type="dxa"/>
            <w:noWrap w:val="0"/>
            <w:vAlign w:val="center"/>
          </w:tcPr>
          <w:p w14:paraId="7C4165D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p>
        </w:tc>
        <w:tc>
          <w:tcPr>
            <w:tcW w:w="6442" w:type="dxa"/>
            <w:noWrap w:val="0"/>
            <w:vAlign w:val="center"/>
          </w:tcPr>
          <w:p w14:paraId="23769848">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val="en-US" w:eastAsia="zh-CN"/>
              </w:rPr>
              <w:t>慧霖建设发展集团有限公司</w:t>
            </w:r>
          </w:p>
          <w:p w14:paraId="32FE8106">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地址：平顶山市新华区建设路西段云顶灯饰城内1号楼3楼1-5号</w:t>
            </w:r>
          </w:p>
          <w:p w14:paraId="3979251F">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联系人:张女士</w:t>
            </w:r>
          </w:p>
          <w:p w14:paraId="24F9EC4A">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联系方式:0375-6161678  1993902510</w:t>
            </w:r>
            <w:r>
              <w:rPr>
                <w:rFonts w:hint="eastAsia" w:ascii="宋体" w:hAnsi="宋体" w:eastAsia="宋体" w:cs="宋体"/>
                <w:color w:val="auto"/>
                <w:sz w:val="24"/>
                <w:highlight w:val="none"/>
                <w:lang w:val="en-US" w:eastAsia="zh-CN"/>
              </w:rPr>
              <w:t>5</w:t>
            </w:r>
          </w:p>
        </w:tc>
      </w:tr>
      <w:tr w14:paraId="66457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7" w:type="dxa"/>
            <w:noWrap w:val="0"/>
            <w:vAlign w:val="center"/>
          </w:tcPr>
          <w:p w14:paraId="6CDA91C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997" w:type="dxa"/>
            <w:noWrap w:val="0"/>
            <w:vAlign w:val="center"/>
          </w:tcPr>
          <w:p w14:paraId="36D1BEE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442" w:type="dxa"/>
            <w:noWrap w:val="0"/>
            <w:vAlign w:val="center"/>
          </w:tcPr>
          <w:p w14:paraId="43105B6E">
            <w:pPr>
              <w:spacing w:line="400" w:lineRule="exact"/>
              <w:jc w:val="left"/>
              <w:rPr>
                <w:rFonts w:hint="eastAsia" w:ascii="宋体" w:hAnsi="宋体" w:eastAsia="宋体" w:cs="宋体"/>
                <w:bCs/>
                <w:color w:val="auto"/>
                <w:sz w:val="24"/>
                <w:highlight w:val="none"/>
                <w:lang w:eastAsia="zh-CN"/>
              </w:rPr>
            </w:pPr>
            <w:r>
              <w:rPr>
                <w:rFonts w:hint="eastAsia" w:ascii="宋体" w:hAnsi="宋体" w:eastAsia="宋体" w:cs="宋体"/>
                <w:color w:val="auto"/>
                <w:kern w:val="0"/>
                <w:sz w:val="24"/>
                <w:highlight w:val="none"/>
                <w:shd w:val="clear" w:color="auto" w:fill="FFFFFF"/>
                <w:lang w:eastAsia="zh-CN" w:bidi="ar"/>
              </w:rPr>
              <w:t>平顶山学院能源互联网信息安全实训平台项目</w:t>
            </w:r>
            <w:r>
              <w:rPr>
                <w:rFonts w:hint="eastAsia" w:ascii="宋体" w:hAnsi="宋体" w:eastAsia="宋体" w:cs="宋体"/>
                <w:color w:val="auto"/>
                <w:kern w:val="0"/>
                <w:sz w:val="24"/>
                <w:highlight w:val="none"/>
                <w:shd w:val="clear" w:color="auto" w:fill="FFFFFF"/>
                <w:lang w:eastAsia="zh-CN" w:bidi="ar"/>
              </w:rPr>
              <w:tab/>
            </w:r>
          </w:p>
        </w:tc>
      </w:tr>
      <w:tr w14:paraId="0847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77" w:type="dxa"/>
            <w:noWrap w:val="0"/>
            <w:vAlign w:val="center"/>
          </w:tcPr>
          <w:p w14:paraId="187A3EDF">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997" w:type="dxa"/>
            <w:noWrap w:val="0"/>
            <w:vAlign w:val="center"/>
          </w:tcPr>
          <w:p w14:paraId="1B8B633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资金来源及落实</w:t>
            </w:r>
          </w:p>
          <w:p w14:paraId="0B559B0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情况</w:t>
            </w:r>
          </w:p>
        </w:tc>
        <w:tc>
          <w:tcPr>
            <w:tcW w:w="6442" w:type="dxa"/>
            <w:noWrap w:val="0"/>
            <w:vAlign w:val="center"/>
          </w:tcPr>
          <w:p w14:paraId="6195C002">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kern w:val="0"/>
                <w:sz w:val="24"/>
                <w:highlight w:val="none"/>
                <w:shd w:val="clear" w:color="auto" w:fill="FFFFFF"/>
                <w:lang w:val="en-US" w:eastAsia="zh-CN" w:bidi="ar"/>
              </w:rPr>
            </w:pPr>
            <w:r>
              <w:rPr>
                <w:rFonts w:hint="eastAsia" w:ascii="宋体" w:hAnsi="宋体" w:eastAsia="宋体" w:cs="宋体"/>
                <w:color w:val="auto"/>
                <w:kern w:val="0"/>
                <w:sz w:val="24"/>
                <w:highlight w:val="none"/>
                <w:shd w:val="clear" w:color="auto" w:fill="FFFFFF"/>
                <w:lang w:val="en-US" w:eastAsia="zh-CN" w:bidi="ar"/>
              </w:rPr>
              <w:t>财政资金，已落实</w:t>
            </w:r>
          </w:p>
        </w:tc>
      </w:tr>
      <w:tr w14:paraId="21A7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777" w:type="dxa"/>
            <w:noWrap w:val="0"/>
            <w:vAlign w:val="center"/>
          </w:tcPr>
          <w:p w14:paraId="6BC4E8C8">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997" w:type="dxa"/>
            <w:noWrap w:val="0"/>
            <w:vAlign w:val="center"/>
          </w:tcPr>
          <w:p w14:paraId="52950E1D">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采购内容</w:t>
            </w:r>
          </w:p>
        </w:tc>
        <w:tc>
          <w:tcPr>
            <w:tcW w:w="6442" w:type="dxa"/>
            <w:noWrap w:val="0"/>
            <w:vAlign w:val="center"/>
          </w:tcPr>
          <w:p w14:paraId="4F962855">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kern w:val="0"/>
                <w:sz w:val="24"/>
                <w:highlight w:val="none"/>
                <w:shd w:val="clear" w:color="auto" w:fill="FFFFFF"/>
                <w:lang w:val="en-US" w:eastAsia="zh-CN" w:bidi="ar"/>
              </w:rPr>
            </w:pPr>
            <w:r>
              <w:rPr>
                <w:rFonts w:hint="eastAsia" w:ascii="宋体" w:hAnsi="宋体" w:eastAsia="宋体" w:cs="宋体"/>
                <w:color w:val="auto"/>
                <w:kern w:val="0"/>
                <w:sz w:val="24"/>
                <w:highlight w:val="none"/>
                <w:shd w:val="clear" w:color="auto" w:fill="FFFFFF"/>
                <w:lang w:val="en-US" w:eastAsia="zh-Hans" w:bidi="ar"/>
              </w:rPr>
              <w:t>采购信息安全数字孪生靶场平台、网络安全基础资源包、实网攻防资源包、工控能源安全场景演练资源包等</w:t>
            </w:r>
            <w:r>
              <w:rPr>
                <w:rFonts w:hint="eastAsia" w:ascii="宋体" w:hAnsi="宋体" w:eastAsia="宋体" w:cs="宋体"/>
                <w:color w:val="auto"/>
                <w:kern w:val="0"/>
                <w:sz w:val="24"/>
                <w:highlight w:val="none"/>
                <w:shd w:val="clear" w:color="auto" w:fill="FFFFFF"/>
                <w:lang w:val="en-US" w:eastAsia="zh-CN" w:bidi="ar"/>
              </w:rPr>
              <w:t>，具体详细内容及技术要求详见第五章采购内容及技术要求。</w:t>
            </w:r>
          </w:p>
        </w:tc>
      </w:tr>
      <w:tr w14:paraId="001A3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77" w:type="dxa"/>
            <w:noWrap w:val="0"/>
            <w:vAlign w:val="center"/>
          </w:tcPr>
          <w:p w14:paraId="348B394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997" w:type="dxa"/>
            <w:noWrap w:val="0"/>
            <w:vAlign w:val="center"/>
          </w:tcPr>
          <w:p w14:paraId="4134A66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采购方式</w:t>
            </w:r>
          </w:p>
        </w:tc>
        <w:tc>
          <w:tcPr>
            <w:tcW w:w="6442" w:type="dxa"/>
            <w:noWrap w:val="0"/>
            <w:vAlign w:val="center"/>
          </w:tcPr>
          <w:p w14:paraId="25961340">
            <w:pPr>
              <w:spacing w:line="400" w:lineRule="exact"/>
              <w:rPr>
                <w:rStyle w:val="24"/>
                <w:rFonts w:hint="eastAsia" w:ascii="宋体" w:hAnsi="宋体" w:eastAsia="宋体" w:cs="宋体"/>
                <w:b w:val="0"/>
                <w:color w:val="auto"/>
                <w:sz w:val="24"/>
                <w:highlight w:val="none"/>
              </w:rPr>
            </w:pPr>
            <w:r>
              <w:rPr>
                <w:rStyle w:val="24"/>
                <w:rFonts w:hint="eastAsia" w:ascii="宋体" w:hAnsi="宋体" w:eastAsia="宋体" w:cs="宋体"/>
                <w:b w:val="0"/>
                <w:color w:val="auto"/>
                <w:sz w:val="24"/>
                <w:highlight w:val="none"/>
              </w:rPr>
              <w:t>公开招标</w:t>
            </w:r>
          </w:p>
        </w:tc>
      </w:tr>
      <w:tr w14:paraId="2819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77" w:type="dxa"/>
            <w:noWrap w:val="0"/>
            <w:vAlign w:val="center"/>
          </w:tcPr>
          <w:p w14:paraId="52D3AAB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997" w:type="dxa"/>
            <w:noWrap w:val="0"/>
            <w:vAlign w:val="center"/>
          </w:tcPr>
          <w:p w14:paraId="42FC262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采购项目属性</w:t>
            </w:r>
          </w:p>
        </w:tc>
        <w:tc>
          <w:tcPr>
            <w:tcW w:w="6442" w:type="dxa"/>
            <w:noWrap w:val="0"/>
            <w:vAlign w:val="center"/>
          </w:tcPr>
          <w:p w14:paraId="011620A6">
            <w:pPr>
              <w:spacing w:line="400" w:lineRule="exact"/>
              <w:rPr>
                <w:rStyle w:val="24"/>
                <w:rFonts w:hint="eastAsia" w:ascii="宋体" w:hAnsi="宋体" w:eastAsia="宋体" w:cs="宋体"/>
                <w:b w:val="0"/>
                <w:color w:val="auto"/>
                <w:sz w:val="24"/>
                <w:highlight w:val="none"/>
              </w:rPr>
            </w:pPr>
            <w:r>
              <w:rPr>
                <w:rFonts w:hint="eastAsia" w:ascii="宋体" w:hAnsi="宋体" w:eastAsia="宋体" w:cs="宋体"/>
                <w:color w:val="auto"/>
                <w:sz w:val="24"/>
                <w:highlight w:val="none"/>
              </w:rPr>
              <w:sym w:font="Wingdings 2" w:char="0052"/>
            </w:r>
            <w:r>
              <w:rPr>
                <w:rFonts w:hint="eastAsia" w:ascii="宋体" w:hAnsi="宋体" w:eastAsia="宋体" w:cs="宋体"/>
                <w:color w:val="auto"/>
                <w:sz w:val="24"/>
                <w:highlight w:val="none"/>
              </w:rPr>
              <w:t xml:space="preserve">货物       </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eq \o\ac(</w:instrText>
            </w:r>
            <w:r>
              <w:rPr>
                <w:rFonts w:hint="eastAsia" w:ascii="宋体" w:hAnsi="宋体" w:eastAsia="宋体" w:cs="宋体"/>
                <w:color w:val="auto"/>
                <w:position w:val="-4"/>
                <w:sz w:val="36"/>
                <w:highlight w:val="none"/>
              </w:rPr>
              <w:instrText xml:space="preserve">□</w:instrText>
            </w:r>
            <w:r>
              <w:rPr>
                <w:rFonts w:hint="eastAsia" w:ascii="宋体" w:hAnsi="宋体" w:eastAsia="宋体" w:cs="宋体"/>
                <w:color w:val="auto"/>
                <w:sz w:val="24"/>
                <w:highlight w:val="none"/>
              </w:rPr>
              <w:instrText xml:space="preserve">)</w:instrTex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服务       □工程</w:t>
            </w:r>
          </w:p>
        </w:tc>
      </w:tr>
      <w:tr w14:paraId="1265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77" w:type="dxa"/>
            <w:noWrap w:val="0"/>
            <w:vAlign w:val="center"/>
          </w:tcPr>
          <w:p w14:paraId="4D40FD53">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997" w:type="dxa"/>
            <w:noWrap w:val="0"/>
            <w:vAlign w:val="center"/>
          </w:tcPr>
          <w:p w14:paraId="35142ED4">
            <w:pPr>
              <w:spacing w:line="400" w:lineRule="exact"/>
              <w:jc w:val="center"/>
              <w:rPr>
                <w:rFonts w:hint="eastAsia" w:ascii="宋体" w:hAnsi="宋体" w:eastAsia="宋体" w:cs="宋体"/>
                <w:bCs/>
                <w:color w:val="auto"/>
                <w:spacing w:val="4"/>
                <w:sz w:val="24"/>
                <w:highlight w:val="none"/>
              </w:rPr>
            </w:pPr>
            <w:r>
              <w:rPr>
                <w:rFonts w:hint="eastAsia" w:ascii="宋体" w:hAnsi="宋体" w:eastAsia="宋体" w:cs="宋体"/>
                <w:bCs/>
                <w:color w:val="auto"/>
                <w:spacing w:val="4"/>
                <w:sz w:val="24"/>
                <w:highlight w:val="none"/>
              </w:rPr>
              <w:t>合同履行期限</w:t>
            </w:r>
          </w:p>
        </w:tc>
        <w:tc>
          <w:tcPr>
            <w:tcW w:w="6442" w:type="dxa"/>
            <w:noWrap w:val="0"/>
            <w:vAlign w:val="center"/>
          </w:tcPr>
          <w:p w14:paraId="4A50F59B">
            <w:pPr>
              <w:spacing w:line="400" w:lineRule="exact"/>
              <w:rPr>
                <w:rFonts w:hint="eastAsia" w:ascii="宋体" w:hAnsi="宋体" w:eastAsia="宋体" w:cs="宋体"/>
                <w:bCs/>
                <w:color w:val="auto"/>
                <w:sz w:val="24"/>
                <w:highlight w:val="none"/>
              </w:rPr>
            </w:pPr>
            <w:r>
              <w:rPr>
                <w:rFonts w:hint="eastAsia" w:ascii="宋体" w:hAnsi="宋体" w:eastAsia="宋体" w:cs="宋体"/>
                <w:color w:val="auto"/>
                <w:kern w:val="0"/>
                <w:sz w:val="24"/>
                <w:szCs w:val="24"/>
                <w:highlight w:val="none"/>
                <w:lang w:val="en-US" w:eastAsia="zh-CN" w:bidi="ar-SA"/>
              </w:rPr>
              <w:t>合同签订生效后至质保期满</w:t>
            </w:r>
          </w:p>
        </w:tc>
      </w:tr>
      <w:tr w14:paraId="289C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77" w:type="dxa"/>
            <w:noWrap w:val="0"/>
            <w:vAlign w:val="center"/>
          </w:tcPr>
          <w:p w14:paraId="0541B052">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997" w:type="dxa"/>
            <w:noWrap w:val="0"/>
            <w:vAlign w:val="center"/>
          </w:tcPr>
          <w:p w14:paraId="35A5040E">
            <w:pPr>
              <w:spacing w:line="400" w:lineRule="exact"/>
              <w:jc w:val="center"/>
              <w:rPr>
                <w:rFonts w:hint="eastAsia" w:ascii="宋体" w:hAnsi="宋体" w:eastAsia="宋体" w:cs="宋体"/>
                <w:bCs/>
                <w:color w:val="auto"/>
                <w:spacing w:val="4"/>
                <w:sz w:val="24"/>
                <w:highlight w:val="none"/>
              </w:rPr>
            </w:pPr>
            <w:r>
              <w:rPr>
                <w:rFonts w:hint="eastAsia" w:ascii="宋体" w:hAnsi="宋体" w:eastAsia="宋体" w:cs="宋体"/>
                <w:bCs/>
                <w:color w:val="auto"/>
                <w:spacing w:val="4"/>
                <w:sz w:val="24"/>
                <w:highlight w:val="none"/>
              </w:rPr>
              <w:t>交货期</w:t>
            </w:r>
          </w:p>
        </w:tc>
        <w:tc>
          <w:tcPr>
            <w:tcW w:w="6442" w:type="dxa"/>
            <w:noWrap w:val="0"/>
            <w:vAlign w:val="center"/>
          </w:tcPr>
          <w:p w14:paraId="1F655E04">
            <w:pPr>
              <w:pStyle w:val="36"/>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color w:val="auto"/>
                <w:sz w:val="24"/>
                <w:highlight w:val="none"/>
              </w:rPr>
            </w:pPr>
            <w:r>
              <w:rPr>
                <w:rFonts w:hint="eastAsia" w:ascii="宋体" w:hAnsi="宋体" w:eastAsia="宋体" w:cs="宋体"/>
                <w:bCs/>
                <w:sz w:val="24"/>
                <w:highlight w:val="none"/>
              </w:rPr>
              <w:t>合同签订后30天内到货并安装调试完毕。</w:t>
            </w:r>
          </w:p>
        </w:tc>
      </w:tr>
      <w:tr w14:paraId="5DE4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7" w:type="dxa"/>
            <w:noWrap w:val="0"/>
            <w:vAlign w:val="center"/>
          </w:tcPr>
          <w:p w14:paraId="1BA85065">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1997" w:type="dxa"/>
            <w:noWrap w:val="0"/>
            <w:vAlign w:val="center"/>
          </w:tcPr>
          <w:p w14:paraId="6A07B90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交货地点</w:t>
            </w:r>
          </w:p>
        </w:tc>
        <w:tc>
          <w:tcPr>
            <w:tcW w:w="6442" w:type="dxa"/>
            <w:noWrap w:val="0"/>
            <w:vAlign w:val="center"/>
          </w:tcPr>
          <w:p w14:paraId="6E12114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人指定地点</w:t>
            </w:r>
          </w:p>
        </w:tc>
      </w:tr>
      <w:tr w14:paraId="3EB89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20C6F3F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997" w:type="dxa"/>
            <w:noWrap w:val="0"/>
            <w:vAlign w:val="center"/>
          </w:tcPr>
          <w:p w14:paraId="78917E3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质量及</w:t>
            </w:r>
            <w:r>
              <w:rPr>
                <w:rFonts w:hint="eastAsia" w:ascii="宋体" w:hAnsi="宋体" w:eastAsia="宋体" w:cs="宋体"/>
                <w:color w:val="auto"/>
                <w:sz w:val="24"/>
                <w:highlight w:val="none"/>
                <w:lang w:val="zh-CN"/>
              </w:rPr>
              <w:t>质保期</w:t>
            </w:r>
          </w:p>
        </w:tc>
        <w:tc>
          <w:tcPr>
            <w:tcW w:w="6442" w:type="dxa"/>
            <w:noWrap w:val="0"/>
            <w:vAlign w:val="center"/>
          </w:tcPr>
          <w:p w14:paraId="432DE4A6">
            <w:pPr>
              <w:spacing w:line="400" w:lineRule="exact"/>
              <w:jc w:val="left"/>
              <w:rPr>
                <w:rFonts w:hint="eastAsia" w:ascii="宋体" w:hAnsi="宋体" w:eastAsia="宋体" w:cs="宋体"/>
                <w:color w:val="auto"/>
                <w:kern w:val="0"/>
                <w:sz w:val="24"/>
                <w:highlight w:val="none"/>
                <w:shd w:val="clear" w:color="auto" w:fill="FFFFFF"/>
                <w:lang w:val="en-US" w:eastAsia="zh-CN" w:bidi="ar"/>
              </w:rPr>
            </w:pPr>
            <w:r>
              <w:rPr>
                <w:rFonts w:hint="eastAsia" w:ascii="宋体" w:hAnsi="宋体" w:eastAsia="宋体" w:cs="宋体"/>
                <w:color w:val="auto"/>
                <w:kern w:val="0"/>
                <w:sz w:val="24"/>
                <w:highlight w:val="none"/>
                <w:shd w:val="clear" w:color="auto" w:fill="FFFFFF"/>
                <w:lang w:val="en-US" w:eastAsia="zh-CN" w:bidi="ar"/>
              </w:rPr>
              <w:t>质量要求：</w:t>
            </w:r>
            <w:r>
              <w:rPr>
                <w:rFonts w:hint="eastAsia" w:ascii="宋体" w:hAnsi="宋体" w:eastAsia="宋体" w:cs="宋体"/>
                <w:color w:val="auto"/>
                <w:kern w:val="0"/>
                <w:sz w:val="24"/>
                <w:highlight w:val="none"/>
                <w:shd w:val="clear" w:color="auto" w:fill="FFFFFF"/>
                <w:lang w:bidi="ar"/>
              </w:rPr>
              <w:t>符合国家或行业技术规范标准，质量要求合格</w:t>
            </w:r>
            <w:r>
              <w:rPr>
                <w:rFonts w:hint="eastAsia" w:ascii="宋体" w:hAnsi="宋体" w:cs="宋体"/>
                <w:color w:val="auto"/>
                <w:kern w:val="0"/>
                <w:sz w:val="24"/>
                <w:highlight w:val="none"/>
                <w:shd w:val="clear" w:color="auto" w:fill="FFFFFF"/>
                <w:lang w:eastAsia="zh-CN" w:bidi="ar"/>
              </w:rPr>
              <w:t>。</w:t>
            </w:r>
          </w:p>
          <w:p w14:paraId="034BCBD2">
            <w:pPr>
              <w:spacing w:line="400" w:lineRule="exact"/>
              <w:jc w:val="left"/>
              <w:rPr>
                <w:rFonts w:hint="eastAsia" w:ascii="宋体" w:hAnsi="宋体" w:eastAsia="宋体" w:cs="宋体"/>
                <w:b/>
                <w:color w:val="auto"/>
                <w:sz w:val="24"/>
                <w:highlight w:val="none"/>
                <w:lang w:eastAsia="zh-CN"/>
              </w:rPr>
            </w:pPr>
            <w:r>
              <w:rPr>
                <w:rFonts w:hint="eastAsia" w:ascii="宋体" w:hAnsi="宋体" w:eastAsia="宋体" w:cs="宋体"/>
                <w:color w:val="auto"/>
                <w:kern w:val="0"/>
                <w:sz w:val="24"/>
                <w:highlight w:val="none"/>
                <w:shd w:val="clear" w:color="auto" w:fill="FFFFFF"/>
                <w:lang w:val="zh-CN" w:eastAsia="zh-CN" w:bidi="ar"/>
              </w:rPr>
              <w:t>质保期:</w:t>
            </w:r>
            <w:r>
              <w:rPr>
                <w:rFonts w:hint="eastAsia" w:ascii="宋体" w:hAnsi="宋体" w:eastAsia="宋体" w:cs="宋体"/>
                <w:color w:val="auto"/>
                <w:kern w:val="0"/>
                <w:sz w:val="24"/>
                <w:highlight w:val="none"/>
                <w:shd w:val="clear" w:color="auto" w:fill="FFFFFF"/>
                <w:lang w:val="en-US" w:eastAsia="zh-CN" w:bidi="ar"/>
              </w:rPr>
              <w:t xml:space="preserve"> 本项目须提供5年免费质保服务（主要设备及核心软件原则上为原厂质保）。质保期内，中标人负责对软件系统进行维护和迁移，并且保证每学期上门维护一次，不再向用户收取任何费用。质保期后中标人提供的产品，采购人有权永久免费使用、迁移、安装。软件版本、各种升级库终身免费更新；系统漏洞和各种BUG终身免费修补。须提供产品原厂使用授权函和售后服务承诺函。</w:t>
            </w:r>
          </w:p>
        </w:tc>
      </w:tr>
      <w:tr w14:paraId="051A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7" w:type="dxa"/>
            <w:noWrap w:val="0"/>
            <w:vAlign w:val="center"/>
          </w:tcPr>
          <w:p w14:paraId="5BA6E0E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997" w:type="dxa"/>
            <w:noWrap w:val="0"/>
            <w:vAlign w:val="center"/>
          </w:tcPr>
          <w:p w14:paraId="536A206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投标人资格要求</w:t>
            </w:r>
          </w:p>
        </w:tc>
        <w:tc>
          <w:tcPr>
            <w:tcW w:w="6442" w:type="dxa"/>
            <w:noWrap w:val="0"/>
            <w:vAlign w:val="center"/>
          </w:tcPr>
          <w:p w14:paraId="2B0D6E0A">
            <w:pPr>
              <w:spacing w:line="400" w:lineRule="exact"/>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shd w:val="clear" w:color="auto" w:fill="FFFFFF"/>
                <w:lang w:val="en-US" w:eastAsia="zh-CN" w:bidi="ar"/>
              </w:rPr>
              <w:t>符合招标公告“二、申请人资格要求”</w:t>
            </w:r>
          </w:p>
        </w:tc>
      </w:tr>
      <w:tr w14:paraId="6236B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00123BC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1997" w:type="dxa"/>
            <w:noWrap w:val="0"/>
            <w:vAlign w:val="center"/>
          </w:tcPr>
          <w:p w14:paraId="1113F7E8">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是否接受联合体投标</w:t>
            </w:r>
          </w:p>
        </w:tc>
        <w:tc>
          <w:tcPr>
            <w:tcW w:w="6442" w:type="dxa"/>
            <w:noWrap w:val="0"/>
            <w:vAlign w:val="center"/>
          </w:tcPr>
          <w:p w14:paraId="7B1F079F">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eq \o\ac(</w:instrText>
            </w:r>
            <w:r>
              <w:rPr>
                <w:rFonts w:hint="eastAsia" w:ascii="宋体" w:hAnsi="宋体" w:eastAsia="宋体" w:cs="宋体"/>
                <w:color w:val="auto"/>
                <w:position w:val="-4"/>
                <w:sz w:val="36"/>
                <w:highlight w:val="none"/>
              </w:rPr>
              <w:instrText xml:space="preserve">□</w:instrText>
            </w:r>
            <w:r>
              <w:rPr>
                <w:rFonts w:hint="eastAsia" w:ascii="宋体" w:hAnsi="宋体" w:eastAsia="宋体" w:cs="宋体"/>
                <w:color w:val="auto"/>
                <w:sz w:val="24"/>
                <w:highlight w:val="none"/>
              </w:rPr>
              <w:instrText xml:space="preserve">,√)</w:instrTex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不接受</w:t>
            </w:r>
          </w:p>
          <w:p w14:paraId="670D3E81">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□接受</w:t>
            </w:r>
          </w:p>
        </w:tc>
      </w:tr>
      <w:tr w14:paraId="21672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7BA79D4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1997" w:type="dxa"/>
            <w:noWrap w:val="0"/>
            <w:vAlign w:val="center"/>
          </w:tcPr>
          <w:p w14:paraId="14C25139">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踏勘现场及答疑</w:t>
            </w:r>
          </w:p>
        </w:tc>
        <w:tc>
          <w:tcPr>
            <w:tcW w:w="6442" w:type="dxa"/>
            <w:noWrap w:val="0"/>
            <w:vAlign w:val="center"/>
          </w:tcPr>
          <w:p w14:paraId="0249DBBC">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eq \o\ac(</w:instrText>
            </w:r>
            <w:r>
              <w:rPr>
                <w:rFonts w:hint="eastAsia" w:ascii="宋体" w:hAnsi="宋体" w:eastAsia="宋体" w:cs="宋体"/>
                <w:color w:val="auto"/>
                <w:position w:val="-4"/>
                <w:sz w:val="36"/>
                <w:highlight w:val="none"/>
              </w:rPr>
              <w:instrText xml:space="preserve">□</w:instrText>
            </w:r>
            <w:r>
              <w:rPr>
                <w:rFonts w:hint="eastAsia" w:ascii="宋体" w:hAnsi="宋体" w:eastAsia="宋体" w:cs="宋体"/>
                <w:color w:val="auto"/>
                <w:sz w:val="24"/>
                <w:highlight w:val="none"/>
              </w:rPr>
              <w:instrText xml:space="preserve">,√)</w:instrTex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不组织</w:t>
            </w:r>
            <w:r>
              <w:rPr>
                <w:rFonts w:hint="eastAsia" w:ascii="宋体" w:hAnsi="宋体" w:eastAsia="宋体" w:cs="宋体"/>
                <w:color w:val="auto"/>
                <w:sz w:val="24"/>
                <w:highlight w:val="none"/>
                <w:lang w:eastAsia="zh-CN"/>
              </w:rPr>
              <w:t>，</w:t>
            </w:r>
            <w:r>
              <w:rPr>
                <w:rFonts w:hint="eastAsia" w:ascii="宋体" w:hAnsi="宋体" w:eastAsia="宋体" w:cs="宋体"/>
                <w:color w:val="auto"/>
                <w:kern w:val="0"/>
                <w:sz w:val="24"/>
                <w:highlight w:val="none"/>
                <w:shd w:val="clear" w:color="auto" w:fill="FFFFFF"/>
                <w:lang w:bidi="ar"/>
              </w:rPr>
              <w:t>投标人可自行对项目现场和周围环境进行踏勘，踏勘现场所发生的费用由投标人自己承担。出现事故，责任由投标人自行承担。</w:t>
            </w:r>
          </w:p>
          <w:p w14:paraId="19C911BA">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□组织</w:t>
            </w:r>
          </w:p>
        </w:tc>
      </w:tr>
      <w:tr w14:paraId="2B9B4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3777D2BC">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1997" w:type="dxa"/>
            <w:noWrap w:val="0"/>
            <w:vAlign w:val="center"/>
          </w:tcPr>
          <w:p w14:paraId="5559B79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投标预备会</w:t>
            </w:r>
          </w:p>
        </w:tc>
        <w:tc>
          <w:tcPr>
            <w:tcW w:w="6442" w:type="dxa"/>
            <w:noWrap w:val="0"/>
            <w:vAlign w:val="center"/>
          </w:tcPr>
          <w:p w14:paraId="13A3057B">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eq \o\ac(</w:instrText>
            </w:r>
            <w:r>
              <w:rPr>
                <w:rFonts w:hint="eastAsia" w:ascii="宋体" w:hAnsi="宋体" w:eastAsia="宋体" w:cs="宋体"/>
                <w:color w:val="auto"/>
                <w:position w:val="-4"/>
                <w:sz w:val="36"/>
                <w:highlight w:val="none"/>
              </w:rPr>
              <w:instrText xml:space="preserve">□</w:instrText>
            </w:r>
            <w:r>
              <w:rPr>
                <w:rFonts w:hint="eastAsia" w:ascii="宋体" w:hAnsi="宋体" w:eastAsia="宋体" w:cs="宋体"/>
                <w:color w:val="auto"/>
                <w:sz w:val="24"/>
                <w:highlight w:val="none"/>
              </w:rPr>
              <w:instrText xml:space="preserve">,√)</w:instrTex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不召开</w:t>
            </w:r>
          </w:p>
          <w:p w14:paraId="4EFA4CC3">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□召开</w:t>
            </w:r>
          </w:p>
        </w:tc>
      </w:tr>
      <w:tr w14:paraId="280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6CFD98B5">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p>
        </w:tc>
        <w:tc>
          <w:tcPr>
            <w:tcW w:w="1997" w:type="dxa"/>
            <w:noWrap w:val="0"/>
            <w:vAlign w:val="center"/>
          </w:tcPr>
          <w:p w14:paraId="109964A2">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技术偏离</w:t>
            </w:r>
          </w:p>
        </w:tc>
        <w:tc>
          <w:tcPr>
            <w:tcW w:w="6442" w:type="dxa"/>
            <w:noWrap w:val="0"/>
            <w:vAlign w:val="center"/>
          </w:tcPr>
          <w:p w14:paraId="76EFB512">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□不允许</w:t>
            </w:r>
          </w:p>
          <w:p w14:paraId="029177F5">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eq \o\ac(</w:instrText>
            </w:r>
            <w:r>
              <w:rPr>
                <w:rFonts w:hint="eastAsia" w:ascii="宋体" w:hAnsi="宋体" w:eastAsia="宋体" w:cs="宋体"/>
                <w:color w:val="auto"/>
                <w:position w:val="-4"/>
                <w:sz w:val="36"/>
                <w:highlight w:val="none"/>
              </w:rPr>
              <w:instrText xml:space="preserve">□</w:instrText>
            </w:r>
            <w:r>
              <w:rPr>
                <w:rFonts w:hint="eastAsia" w:ascii="宋体" w:hAnsi="宋体" w:eastAsia="宋体" w:cs="宋体"/>
                <w:color w:val="auto"/>
                <w:sz w:val="24"/>
                <w:highlight w:val="none"/>
              </w:rPr>
              <w:instrText xml:space="preserve">,√)</w:instrTex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允许</w:t>
            </w:r>
          </w:p>
        </w:tc>
      </w:tr>
      <w:tr w14:paraId="2DB71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77" w:type="dxa"/>
            <w:noWrap w:val="0"/>
            <w:vAlign w:val="center"/>
          </w:tcPr>
          <w:p w14:paraId="366EAD7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17</w:t>
            </w:r>
          </w:p>
        </w:tc>
        <w:tc>
          <w:tcPr>
            <w:tcW w:w="1997" w:type="dxa"/>
            <w:noWrap w:val="0"/>
            <w:vAlign w:val="center"/>
          </w:tcPr>
          <w:p w14:paraId="06466A5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构成招标文件的</w:t>
            </w:r>
          </w:p>
          <w:p w14:paraId="01CC380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其他材料</w:t>
            </w:r>
          </w:p>
        </w:tc>
        <w:tc>
          <w:tcPr>
            <w:tcW w:w="6442" w:type="dxa"/>
            <w:noWrap w:val="0"/>
            <w:vAlign w:val="center"/>
          </w:tcPr>
          <w:p w14:paraId="1437DCDB">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与本项目有关的解答、澄清、修改与补充等</w:t>
            </w:r>
          </w:p>
        </w:tc>
      </w:tr>
      <w:tr w14:paraId="1C6F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77" w:type="dxa"/>
            <w:noWrap w:val="0"/>
            <w:vAlign w:val="center"/>
          </w:tcPr>
          <w:p w14:paraId="474D1D92">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18</w:t>
            </w:r>
          </w:p>
        </w:tc>
        <w:tc>
          <w:tcPr>
            <w:tcW w:w="1997" w:type="dxa"/>
            <w:noWrap w:val="0"/>
            <w:vAlign w:val="center"/>
          </w:tcPr>
          <w:p w14:paraId="47B6AA4C">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投标人要求澄清招标文件的截止时间</w:t>
            </w:r>
          </w:p>
        </w:tc>
        <w:tc>
          <w:tcPr>
            <w:tcW w:w="6442" w:type="dxa"/>
            <w:noWrap w:val="0"/>
            <w:vAlign w:val="center"/>
          </w:tcPr>
          <w:p w14:paraId="60E72748">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自获取招标文件之日或招标文件公告期限届满之日起7个工作日内，在电子交易系统中提出并通知到采购代理机构</w:t>
            </w:r>
            <w:r>
              <w:rPr>
                <w:rFonts w:hint="eastAsia" w:ascii="宋体" w:hAnsi="宋体" w:eastAsia="宋体" w:cs="宋体"/>
                <w:color w:val="auto"/>
                <w:sz w:val="24"/>
                <w:highlight w:val="none"/>
                <w:lang w:eastAsia="zh-CN"/>
              </w:rPr>
              <w:t>。</w:t>
            </w:r>
          </w:p>
        </w:tc>
      </w:tr>
      <w:tr w14:paraId="4CFB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77" w:type="dxa"/>
            <w:noWrap w:val="0"/>
            <w:vAlign w:val="center"/>
          </w:tcPr>
          <w:p w14:paraId="00E372DF">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19</w:t>
            </w:r>
          </w:p>
        </w:tc>
        <w:tc>
          <w:tcPr>
            <w:tcW w:w="1997" w:type="dxa"/>
            <w:noWrap w:val="0"/>
            <w:vAlign w:val="center"/>
          </w:tcPr>
          <w:p w14:paraId="18D85C05">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w:t>
            </w:r>
          </w:p>
        </w:tc>
        <w:tc>
          <w:tcPr>
            <w:tcW w:w="6442" w:type="dxa"/>
            <w:noWrap w:val="0"/>
            <w:vAlign w:val="center"/>
          </w:tcPr>
          <w:p w14:paraId="1CC9A406">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投标截止时间:</w:t>
            </w:r>
            <w:r>
              <w:rPr>
                <w:rFonts w:hint="eastAsia" w:ascii="宋体" w:hAnsi="宋体" w:eastAsia="宋体" w:cs="宋体"/>
                <w:b/>
                <w:bCs/>
                <w:color w:val="auto"/>
                <w:sz w:val="24"/>
                <w:highlight w:val="none"/>
                <w:lang w:val="en-US" w:eastAsia="zh-CN"/>
              </w:rPr>
              <w:t>详见招标公告</w:t>
            </w:r>
            <w:r>
              <w:rPr>
                <w:rFonts w:hint="eastAsia" w:ascii="宋体" w:hAnsi="宋体" w:eastAsia="宋体" w:cs="宋体"/>
                <w:b/>
                <w:bCs/>
                <w:color w:val="auto"/>
                <w:sz w:val="24"/>
                <w:highlight w:val="none"/>
              </w:rPr>
              <w:t>。</w:t>
            </w:r>
          </w:p>
          <w:p w14:paraId="720BFDF2">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注：全面实行在线“不见面”开标，投标人远程在线解密投标文件，不再到开标现场，投标人开标前应仔细阅读《“不见面”开标注意事项及操作流程》。</w:t>
            </w:r>
          </w:p>
        </w:tc>
      </w:tr>
      <w:tr w14:paraId="54D58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77" w:type="dxa"/>
            <w:noWrap w:val="0"/>
            <w:vAlign w:val="center"/>
          </w:tcPr>
          <w:p w14:paraId="66AA0438">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20</w:t>
            </w:r>
          </w:p>
        </w:tc>
        <w:tc>
          <w:tcPr>
            <w:tcW w:w="1997" w:type="dxa"/>
            <w:noWrap w:val="0"/>
            <w:vAlign w:val="center"/>
          </w:tcPr>
          <w:p w14:paraId="468CA18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6442" w:type="dxa"/>
            <w:noWrap w:val="0"/>
            <w:vAlign w:val="center"/>
          </w:tcPr>
          <w:p w14:paraId="774B87A4">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自投标截止之日起90日历天</w:t>
            </w:r>
          </w:p>
        </w:tc>
      </w:tr>
      <w:tr w14:paraId="2197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77" w:type="dxa"/>
            <w:noWrap w:val="0"/>
            <w:vAlign w:val="center"/>
          </w:tcPr>
          <w:p w14:paraId="03EEE753">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1997" w:type="dxa"/>
            <w:noWrap w:val="0"/>
            <w:vAlign w:val="center"/>
          </w:tcPr>
          <w:p w14:paraId="16D3332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w:t>
            </w:r>
          </w:p>
        </w:tc>
        <w:tc>
          <w:tcPr>
            <w:tcW w:w="6442" w:type="dxa"/>
            <w:noWrap w:val="0"/>
            <w:vAlign w:val="center"/>
          </w:tcPr>
          <w:p w14:paraId="6DFC9033">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不收取</w:t>
            </w:r>
            <w:r>
              <w:rPr>
                <w:rFonts w:hint="eastAsia" w:ascii="宋体" w:hAnsi="宋体" w:eastAsia="宋体" w:cs="宋体"/>
                <w:color w:val="auto"/>
                <w:sz w:val="24"/>
                <w:highlight w:val="none"/>
              </w:rPr>
              <w:t>。</w:t>
            </w:r>
          </w:p>
        </w:tc>
      </w:tr>
      <w:tr w14:paraId="61DA6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2BC2B36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22</w:t>
            </w:r>
          </w:p>
        </w:tc>
        <w:tc>
          <w:tcPr>
            <w:tcW w:w="1997" w:type="dxa"/>
            <w:noWrap w:val="0"/>
            <w:vAlign w:val="center"/>
          </w:tcPr>
          <w:p w14:paraId="415CC82B">
            <w:pPr>
              <w:pStyle w:val="26"/>
              <w:spacing w:line="400" w:lineRule="exact"/>
              <w:jc w:val="center"/>
              <w:rPr>
                <w:rFonts w:hint="eastAsia" w:ascii="宋体" w:hAnsi="宋体" w:eastAsia="宋体" w:cs="宋体"/>
                <w:color w:val="auto"/>
                <w:highlight w:val="none"/>
              </w:rPr>
            </w:pPr>
            <w:r>
              <w:rPr>
                <w:rFonts w:hint="eastAsia" w:ascii="宋体" w:hAnsi="宋体" w:eastAsia="宋体" w:cs="宋体"/>
                <w:bCs/>
                <w:color w:val="auto"/>
                <w:highlight w:val="none"/>
                <w:lang w:val="zh-CN"/>
              </w:rPr>
              <w:t>电子化投标文件的签章要求</w:t>
            </w:r>
          </w:p>
        </w:tc>
        <w:tc>
          <w:tcPr>
            <w:tcW w:w="6442" w:type="dxa"/>
            <w:noWrap w:val="0"/>
            <w:vAlign w:val="center"/>
          </w:tcPr>
          <w:p w14:paraId="2EC6F1EE">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电子化投标文件的签章</w:t>
            </w:r>
          </w:p>
          <w:p w14:paraId="025C46F3">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1、投标人在生成电子化投标文件后，应对电子化投标文件进行签章，未进行签章的视为无效投标。</w:t>
            </w:r>
          </w:p>
          <w:p w14:paraId="172976BA">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文件中要求法定代表人或授权委托人签字或盖章的，投标人在进行电子化投标文件签章时，以签盖法定代表人签章为准。电子化投标文件具体制作教材请投标人通过CA证书登录平顶山市公共资源电子化交易系统在右上角“组建下载”中查看。</w:t>
            </w:r>
          </w:p>
        </w:tc>
      </w:tr>
      <w:tr w14:paraId="63A3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2AE79D93">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p>
        </w:tc>
        <w:tc>
          <w:tcPr>
            <w:tcW w:w="1997" w:type="dxa"/>
            <w:noWrap w:val="0"/>
            <w:vAlign w:val="center"/>
          </w:tcPr>
          <w:p w14:paraId="4B513B16">
            <w:pPr>
              <w:spacing w:line="40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投标文件格式及递交方式</w:t>
            </w:r>
          </w:p>
        </w:tc>
        <w:tc>
          <w:tcPr>
            <w:tcW w:w="6442" w:type="dxa"/>
            <w:noWrap w:val="0"/>
            <w:vAlign w:val="center"/>
          </w:tcPr>
          <w:p w14:paraId="46D949ED">
            <w:pPr>
              <w:numPr>
                <w:ilvl w:val="0"/>
                <w:numId w:val="3"/>
              </w:numPr>
              <w:spacing w:line="4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投标人所上传的电子化投标文件，应是通过中心投标文</w:t>
            </w:r>
          </w:p>
          <w:p w14:paraId="07C277D3">
            <w:pPr>
              <w:spacing w:line="4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件制作系统制作的，经过签章和加密后生成的电子版投标文件。生成的电子版响应文件中的主文件（项目文件格式为：xxx公司_ 项目名称.file）上传至</w:t>
            </w:r>
            <w:r>
              <w:rPr>
                <w:rFonts w:hint="eastAsia" w:ascii="宋体" w:hAnsi="宋体" w:eastAsia="宋体" w:cs="宋体"/>
                <w:color w:val="auto"/>
                <w:sz w:val="24"/>
                <w:highlight w:val="none"/>
                <w:shd w:val="clear" w:color="auto" w:fill="FFFFFF"/>
              </w:rPr>
              <w:t>全国公共资源交易平台（河南省.平顶山市）电子交易</w:t>
            </w:r>
            <w:r>
              <w:rPr>
                <w:rFonts w:hint="eastAsia" w:ascii="宋体" w:hAnsi="宋体" w:eastAsia="宋体" w:cs="宋体"/>
                <w:bCs/>
                <w:color w:val="auto"/>
                <w:sz w:val="24"/>
                <w:highlight w:val="none"/>
              </w:rPr>
              <w:t>系统</w:t>
            </w:r>
            <w:r>
              <w:rPr>
                <w:rFonts w:hint="eastAsia" w:ascii="宋体" w:hAnsi="宋体" w:eastAsia="宋体" w:cs="宋体"/>
                <w:bCs/>
                <w:color w:val="auto"/>
                <w:sz w:val="24"/>
                <w:highlight w:val="none"/>
                <w:lang w:val="zh-CN"/>
              </w:rPr>
              <w:t>；</w:t>
            </w:r>
          </w:p>
          <w:p w14:paraId="1B897919">
            <w:pPr>
              <w:pStyle w:val="2"/>
              <w:spacing w:line="400" w:lineRule="exact"/>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注：（1）投标人投报多个标段的，根据标段制作各个标段的投标文件后上传。</w:t>
            </w:r>
          </w:p>
          <w:p w14:paraId="05CC58FD">
            <w:pPr>
              <w:pStyle w:val="2"/>
              <w:spacing w:line="400" w:lineRule="exact"/>
              <w:ind w:firstLine="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（2）电子化投标文件应在投标截止时间前成功上传至</w:t>
            </w:r>
            <w:r>
              <w:rPr>
                <w:rFonts w:hint="eastAsia" w:ascii="宋体" w:hAnsi="宋体" w:eastAsia="宋体" w:cs="宋体"/>
                <w:color w:val="auto"/>
                <w:sz w:val="24"/>
                <w:highlight w:val="none"/>
                <w:shd w:val="clear" w:color="auto" w:fill="FFFFFF"/>
              </w:rPr>
              <w:t>全国公共资源交易平台（河南省.平顶山市）电子交易</w:t>
            </w:r>
            <w:r>
              <w:rPr>
                <w:rFonts w:hint="eastAsia" w:ascii="宋体" w:hAnsi="宋体" w:eastAsia="宋体" w:cs="宋体"/>
                <w:bCs/>
                <w:color w:val="auto"/>
                <w:sz w:val="24"/>
                <w:highlight w:val="none"/>
              </w:rPr>
              <w:t>系统</w:t>
            </w:r>
            <w:r>
              <w:rPr>
                <w:rFonts w:hint="eastAsia" w:ascii="宋体" w:hAnsi="宋体" w:eastAsia="宋体" w:cs="宋体"/>
                <w:bCs/>
                <w:color w:val="auto"/>
                <w:sz w:val="24"/>
                <w:szCs w:val="24"/>
                <w:highlight w:val="none"/>
              </w:rPr>
              <w:t>。至投标截止时间止，仍未上传成功的电子化投标文件将不予接收。（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tc>
      </w:tr>
      <w:tr w14:paraId="0874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77" w:type="dxa"/>
            <w:noWrap w:val="0"/>
            <w:vAlign w:val="center"/>
          </w:tcPr>
          <w:p w14:paraId="73936358">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24</w:t>
            </w:r>
          </w:p>
        </w:tc>
        <w:tc>
          <w:tcPr>
            <w:tcW w:w="1997" w:type="dxa"/>
            <w:noWrap w:val="0"/>
            <w:vAlign w:val="center"/>
          </w:tcPr>
          <w:p w14:paraId="023C793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递交投标文件</w:t>
            </w:r>
          </w:p>
          <w:p w14:paraId="65BB66D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地点</w:t>
            </w:r>
          </w:p>
        </w:tc>
        <w:tc>
          <w:tcPr>
            <w:tcW w:w="6442" w:type="dxa"/>
            <w:noWrap w:val="0"/>
            <w:vAlign w:val="center"/>
          </w:tcPr>
          <w:p w14:paraId="2526C6BE">
            <w:pPr>
              <w:spacing w:line="400" w:lineRule="exact"/>
              <w:rPr>
                <w:rFonts w:hint="eastAsia" w:ascii="宋体" w:hAnsi="宋体" w:eastAsia="宋体" w:cs="宋体"/>
                <w:bCs/>
                <w:color w:val="auto"/>
                <w:kern w:val="0"/>
                <w:sz w:val="24"/>
                <w:highlight w:val="none"/>
                <w:lang w:val="zh-CN"/>
              </w:rPr>
            </w:pPr>
            <w:r>
              <w:rPr>
                <w:rFonts w:hint="eastAsia" w:ascii="宋体" w:hAnsi="宋体" w:eastAsia="宋体" w:cs="宋体"/>
                <w:bCs/>
                <w:color w:val="auto"/>
                <w:kern w:val="0"/>
                <w:sz w:val="24"/>
                <w:highlight w:val="none"/>
                <w:lang w:val="zh-CN"/>
              </w:rPr>
              <w:t>全国公共资源交易平台（河南省.平顶山市）电子交易系统</w:t>
            </w:r>
          </w:p>
        </w:tc>
      </w:tr>
      <w:tr w14:paraId="1000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7F1884D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25</w:t>
            </w:r>
          </w:p>
        </w:tc>
        <w:tc>
          <w:tcPr>
            <w:tcW w:w="1997" w:type="dxa"/>
            <w:noWrap w:val="0"/>
            <w:vAlign w:val="center"/>
          </w:tcPr>
          <w:p w14:paraId="094549B0">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开标时间和地点</w:t>
            </w:r>
          </w:p>
        </w:tc>
        <w:tc>
          <w:tcPr>
            <w:tcW w:w="6442" w:type="dxa"/>
            <w:noWrap w:val="0"/>
            <w:vAlign w:val="center"/>
          </w:tcPr>
          <w:p w14:paraId="4156FFFE">
            <w:pPr>
              <w:spacing w:line="400" w:lineRule="exact"/>
              <w:rPr>
                <w:rFonts w:hint="eastAsia" w:ascii="宋体" w:hAnsi="宋体" w:eastAsia="宋体" w:cs="宋体"/>
                <w:bCs/>
                <w:color w:val="auto"/>
                <w:kern w:val="0"/>
                <w:sz w:val="24"/>
                <w:highlight w:val="none"/>
                <w:lang w:val="zh-CN"/>
              </w:rPr>
            </w:pPr>
            <w:r>
              <w:rPr>
                <w:rFonts w:hint="eastAsia" w:ascii="宋体" w:hAnsi="宋体" w:eastAsia="宋体" w:cs="宋体"/>
                <w:bCs/>
                <w:color w:val="auto"/>
                <w:kern w:val="0"/>
                <w:sz w:val="24"/>
                <w:highlight w:val="none"/>
                <w:lang w:val="zh-CN"/>
              </w:rPr>
              <w:t>开标时间：同投标截止时间</w:t>
            </w:r>
          </w:p>
          <w:p w14:paraId="15968E01">
            <w:pPr>
              <w:spacing w:line="400" w:lineRule="exact"/>
              <w:rPr>
                <w:rFonts w:hint="eastAsia" w:ascii="宋体" w:hAnsi="宋体" w:eastAsia="宋体" w:cs="宋体"/>
                <w:bCs/>
                <w:color w:val="auto"/>
                <w:kern w:val="0"/>
                <w:sz w:val="24"/>
                <w:highlight w:val="none"/>
                <w:lang w:val="zh-CN"/>
              </w:rPr>
            </w:pPr>
            <w:r>
              <w:rPr>
                <w:rFonts w:hint="eastAsia" w:ascii="宋体" w:hAnsi="宋体" w:eastAsia="宋体" w:cs="宋体"/>
                <w:bCs/>
                <w:color w:val="auto"/>
                <w:kern w:val="0"/>
                <w:sz w:val="24"/>
                <w:highlight w:val="none"/>
                <w:lang w:val="zh-CN"/>
              </w:rPr>
              <w:t>开标地点：全国公共资源交易平台（河南省.平顶山市）电子交易系统</w:t>
            </w:r>
          </w:p>
        </w:tc>
      </w:tr>
      <w:tr w14:paraId="74DA0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63D3022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26</w:t>
            </w:r>
          </w:p>
        </w:tc>
        <w:tc>
          <w:tcPr>
            <w:tcW w:w="1997" w:type="dxa"/>
            <w:noWrap w:val="0"/>
            <w:vAlign w:val="center"/>
          </w:tcPr>
          <w:p w14:paraId="2B05150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开标程序</w:t>
            </w:r>
          </w:p>
        </w:tc>
        <w:tc>
          <w:tcPr>
            <w:tcW w:w="6442" w:type="dxa"/>
            <w:noWrap w:val="0"/>
            <w:vAlign w:val="center"/>
          </w:tcPr>
          <w:p w14:paraId="3EB0392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14:paraId="22098CB9">
            <w:pPr>
              <w:spacing w:line="400" w:lineRule="exact"/>
              <w:jc w:val="left"/>
              <w:rPr>
                <w:rFonts w:hint="eastAsia" w:ascii="宋体" w:hAnsi="宋体" w:eastAsia="宋体" w:cs="宋体"/>
                <w:bCs/>
                <w:color w:val="auto"/>
                <w:kern w:val="0"/>
                <w:sz w:val="24"/>
                <w:highlight w:val="none"/>
                <w:lang w:val="zh-CN"/>
              </w:rPr>
            </w:pPr>
            <w:r>
              <w:rPr>
                <w:rFonts w:hint="eastAsia" w:ascii="宋体" w:hAnsi="宋体" w:eastAsia="宋体" w:cs="宋体"/>
                <w:color w:val="auto"/>
                <w:sz w:val="24"/>
                <w:highlight w:val="none"/>
              </w:rPr>
              <w:t>（2）待所有投标人投标文件解密完成后，由中介服务机构操作，由采购人（代理机构）操作，对开标结果进行公示。</w:t>
            </w:r>
          </w:p>
        </w:tc>
      </w:tr>
      <w:tr w14:paraId="28F8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noWrap w:val="0"/>
            <w:vAlign w:val="center"/>
          </w:tcPr>
          <w:p w14:paraId="2B633E5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27</w:t>
            </w:r>
          </w:p>
        </w:tc>
        <w:tc>
          <w:tcPr>
            <w:tcW w:w="1997" w:type="dxa"/>
            <w:noWrap w:val="0"/>
            <w:vAlign w:val="center"/>
          </w:tcPr>
          <w:p w14:paraId="7E93ABFF">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评标委员会的</w:t>
            </w:r>
          </w:p>
          <w:p w14:paraId="2B56349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组建</w:t>
            </w:r>
          </w:p>
        </w:tc>
        <w:tc>
          <w:tcPr>
            <w:tcW w:w="6442" w:type="dxa"/>
            <w:noWrap w:val="0"/>
            <w:vAlign w:val="center"/>
          </w:tcPr>
          <w:p w14:paraId="12136A34">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评标委员会组成：评标委员会由采购人和评审专家组成，成员人数为5人以上单数，其中评审专家不得少于成员总数的三分之二，专家从专家库中随机抽取。</w:t>
            </w:r>
          </w:p>
          <w:p w14:paraId="31C7C22F">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上述规定为一组评标专家委员会组成方式，根据项目标段数量和评标工作量，可由多组专家委员会完成评审，但一个标段只能由一组评标专家委员会评审。</w:t>
            </w:r>
          </w:p>
        </w:tc>
      </w:tr>
      <w:tr w14:paraId="0A386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vMerge w:val="restart"/>
            <w:noWrap w:val="0"/>
            <w:vAlign w:val="center"/>
          </w:tcPr>
          <w:p w14:paraId="26D481B8">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28</w:t>
            </w:r>
          </w:p>
        </w:tc>
        <w:tc>
          <w:tcPr>
            <w:tcW w:w="1997" w:type="dxa"/>
            <w:noWrap w:val="0"/>
            <w:vAlign w:val="center"/>
          </w:tcPr>
          <w:p w14:paraId="42E6569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是否授权评标委会确定中标人</w:t>
            </w:r>
          </w:p>
        </w:tc>
        <w:tc>
          <w:tcPr>
            <w:tcW w:w="6442" w:type="dxa"/>
            <w:noWrap w:val="0"/>
            <w:vAlign w:val="center"/>
          </w:tcPr>
          <w:p w14:paraId="764E0AF7">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否，推荐的中标候选人数：推荐3名中标候选人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若排名第一的中标候选人放弃中标、因不可抗力提出不能履行合同，采购人可以确定第二中标候选人为中标人；依此类推，或重新招标。当所有中标候选人因上述原因不能签订合同的，采购人将依法重新招标。</w:t>
            </w:r>
          </w:p>
        </w:tc>
      </w:tr>
      <w:tr w14:paraId="05B3F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7" w:type="dxa"/>
            <w:vMerge w:val="continue"/>
            <w:noWrap w:val="0"/>
            <w:vAlign w:val="center"/>
          </w:tcPr>
          <w:p w14:paraId="27975CD9">
            <w:pPr>
              <w:spacing w:line="400" w:lineRule="exact"/>
              <w:jc w:val="center"/>
              <w:rPr>
                <w:rFonts w:hint="eastAsia" w:ascii="宋体" w:hAnsi="宋体" w:eastAsia="宋体" w:cs="宋体"/>
                <w:color w:val="auto"/>
                <w:sz w:val="24"/>
                <w:highlight w:val="none"/>
              </w:rPr>
            </w:pPr>
          </w:p>
        </w:tc>
        <w:tc>
          <w:tcPr>
            <w:tcW w:w="1997" w:type="dxa"/>
            <w:noWrap w:val="0"/>
            <w:vAlign w:val="center"/>
          </w:tcPr>
          <w:p w14:paraId="2E4043D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中标公告媒介及期限</w:t>
            </w:r>
          </w:p>
        </w:tc>
        <w:tc>
          <w:tcPr>
            <w:tcW w:w="6442" w:type="dxa"/>
            <w:noWrap w:val="0"/>
            <w:vAlign w:val="center"/>
          </w:tcPr>
          <w:p w14:paraId="102C9AF7">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同招标公告发布媒介，公示期为1个工作日。</w:t>
            </w:r>
          </w:p>
        </w:tc>
      </w:tr>
      <w:tr w14:paraId="2B22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77" w:type="dxa"/>
            <w:vMerge w:val="restart"/>
            <w:noWrap w:val="0"/>
            <w:vAlign w:val="center"/>
          </w:tcPr>
          <w:p w14:paraId="29377A32">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29</w:t>
            </w:r>
          </w:p>
        </w:tc>
        <w:tc>
          <w:tcPr>
            <w:tcW w:w="1997" w:type="dxa"/>
            <w:noWrap w:val="0"/>
            <w:vAlign w:val="center"/>
          </w:tcPr>
          <w:p w14:paraId="415FFE9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w:t>
            </w:r>
          </w:p>
        </w:tc>
        <w:tc>
          <w:tcPr>
            <w:tcW w:w="6442" w:type="dxa"/>
            <w:noWrap w:val="0"/>
            <w:vAlign w:val="center"/>
          </w:tcPr>
          <w:p w14:paraId="584788C5">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不收取</w:t>
            </w:r>
          </w:p>
        </w:tc>
      </w:tr>
      <w:tr w14:paraId="09C3E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77" w:type="dxa"/>
            <w:vMerge w:val="continue"/>
            <w:noWrap w:val="0"/>
            <w:vAlign w:val="center"/>
          </w:tcPr>
          <w:p w14:paraId="0940D90E">
            <w:pPr>
              <w:spacing w:line="400" w:lineRule="exact"/>
              <w:jc w:val="center"/>
              <w:rPr>
                <w:rFonts w:hint="eastAsia" w:ascii="宋体" w:hAnsi="宋体" w:eastAsia="宋体" w:cs="宋体"/>
                <w:color w:val="auto"/>
                <w:sz w:val="24"/>
                <w:highlight w:val="none"/>
              </w:rPr>
            </w:pPr>
          </w:p>
        </w:tc>
        <w:tc>
          <w:tcPr>
            <w:tcW w:w="1997" w:type="dxa"/>
            <w:noWrap w:val="0"/>
            <w:vAlign w:val="center"/>
          </w:tcPr>
          <w:p w14:paraId="583161D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w:t>
            </w:r>
          </w:p>
        </w:tc>
        <w:tc>
          <w:tcPr>
            <w:tcW w:w="6442" w:type="dxa"/>
            <w:noWrap w:val="0"/>
            <w:vAlign w:val="top"/>
          </w:tcPr>
          <w:p w14:paraId="7D1C6AF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不收取</w:t>
            </w:r>
          </w:p>
        </w:tc>
      </w:tr>
      <w:tr w14:paraId="7B61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77" w:type="dxa"/>
            <w:vMerge w:val="continue"/>
            <w:noWrap w:val="0"/>
            <w:vAlign w:val="center"/>
          </w:tcPr>
          <w:p w14:paraId="32D09F5D">
            <w:pPr>
              <w:spacing w:line="400" w:lineRule="exact"/>
              <w:jc w:val="center"/>
              <w:rPr>
                <w:rFonts w:hint="eastAsia" w:ascii="宋体" w:hAnsi="宋体" w:eastAsia="宋体" w:cs="宋体"/>
                <w:color w:val="auto"/>
                <w:sz w:val="24"/>
                <w:highlight w:val="none"/>
              </w:rPr>
            </w:pPr>
          </w:p>
        </w:tc>
        <w:tc>
          <w:tcPr>
            <w:tcW w:w="1997" w:type="dxa"/>
            <w:noWrap w:val="0"/>
            <w:vAlign w:val="top"/>
          </w:tcPr>
          <w:p w14:paraId="16D1BFD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招标文件费用</w:t>
            </w:r>
          </w:p>
        </w:tc>
        <w:tc>
          <w:tcPr>
            <w:tcW w:w="6442" w:type="dxa"/>
            <w:noWrap w:val="0"/>
            <w:vAlign w:val="top"/>
          </w:tcPr>
          <w:p w14:paraId="43E8EA69">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不收取</w:t>
            </w:r>
          </w:p>
        </w:tc>
      </w:tr>
      <w:tr w14:paraId="75BC8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7" w:hRule="atLeast"/>
          <w:jc w:val="center"/>
        </w:trPr>
        <w:tc>
          <w:tcPr>
            <w:tcW w:w="777" w:type="dxa"/>
            <w:noWrap w:val="0"/>
            <w:vAlign w:val="center"/>
          </w:tcPr>
          <w:p w14:paraId="5C45824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30</w:t>
            </w:r>
          </w:p>
        </w:tc>
        <w:tc>
          <w:tcPr>
            <w:tcW w:w="1997" w:type="dxa"/>
            <w:noWrap w:val="0"/>
            <w:vAlign w:val="center"/>
          </w:tcPr>
          <w:p w14:paraId="7F33CA49">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接收质疑函的方式和联系方式</w:t>
            </w:r>
          </w:p>
        </w:tc>
        <w:tc>
          <w:tcPr>
            <w:tcW w:w="6442" w:type="dxa"/>
            <w:noWrap w:val="0"/>
            <w:vAlign w:val="center"/>
          </w:tcPr>
          <w:p w14:paraId="38B901DB">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12" w:lineRule="auto"/>
              <w:ind w:left="0" w:right="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（1）投标人认为采购文件、采购过程和中标结果使自己的权益受到损害的, 可以在知道或者应知其权益受到损害之日起七个工作日内，按中华人民共和国财政部令第94号《政府采购质疑和投诉办法》的相关规定，以书面形式同时向采购人和采购代理机构提出质疑（加盖单位公章且法定代表人签字）。逾期未提交或未按照要求提交的质疑函将不予受理。若有投诉，可按照相关规定以书面形式向监督部门进行投诉。</w:t>
            </w:r>
          </w:p>
          <w:p w14:paraId="3DBEF976">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12" w:lineRule="auto"/>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（2）质疑函的内容、格式：应符合《政府采购质疑和投诉办法》（财政部第94号令）相关规定和财政部门制定的《政府采购质疑函范本》格式。</w:t>
            </w:r>
          </w:p>
          <w:p w14:paraId="12DB805C">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12" w:lineRule="auto"/>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（3）投标人应在法定质疑期内一次性提出针对同一采购程序环节的质疑。</w:t>
            </w:r>
          </w:p>
          <w:p w14:paraId="01A3CC64">
            <w:pPr>
              <w:spacing w:line="400" w:lineRule="exact"/>
              <w:rPr>
                <w:rFonts w:hint="eastAsia" w:ascii="宋体" w:hAnsi="宋体" w:eastAsia="宋体" w:cs="宋体"/>
                <w:color w:val="auto"/>
                <w:sz w:val="24"/>
                <w:highlight w:val="none"/>
                <w:lang w:val="en-US"/>
              </w:rPr>
            </w:pPr>
            <w:r>
              <w:rPr>
                <w:rFonts w:hint="eastAsia" w:ascii="宋体" w:hAnsi="宋体" w:eastAsia="宋体" w:cs="宋体"/>
                <w:color w:val="auto"/>
                <w:kern w:val="2"/>
                <w:sz w:val="24"/>
                <w:szCs w:val="24"/>
                <w:highlight w:val="none"/>
                <w:lang w:val="en-US" w:eastAsia="zh-CN" w:bidi="ar-SA"/>
              </w:rPr>
              <w:t>联系人：张</w:t>
            </w:r>
            <w:r>
              <w:rPr>
                <w:rFonts w:hint="eastAsia" w:ascii="宋体" w:hAnsi="宋体" w:cs="宋体"/>
                <w:color w:val="auto"/>
                <w:kern w:val="2"/>
                <w:sz w:val="24"/>
                <w:szCs w:val="24"/>
                <w:highlight w:val="none"/>
                <w:lang w:val="en-US" w:eastAsia="zh-CN" w:bidi="ar-SA"/>
              </w:rPr>
              <w:t>女士</w:t>
            </w:r>
            <w:r>
              <w:rPr>
                <w:rFonts w:hint="eastAsia" w:ascii="宋体" w:hAnsi="宋体" w:eastAsia="宋体" w:cs="宋体"/>
                <w:color w:val="auto"/>
                <w:kern w:val="2"/>
                <w:sz w:val="24"/>
                <w:szCs w:val="24"/>
                <w:highlight w:val="none"/>
                <w:lang w:val="en-US" w:eastAsia="zh-CN" w:bidi="ar-SA"/>
              </w:rPr>
              <w:t xml:space="preserve">        联系方式：</w:t>
            </w:r>
            <w:r>
              <w:rPr>
                <w:rFonts w:hint="eastAsia" w:ascii="宋体" w:hAnsi="宋体" w:eastAsia="宋体" w:cs="宋体"/>
                <w:color w:val="auto"/>
                <w:sz w:val="24"/>
                <w:highlight w:val="none"/>
                <w:lang w:val="en-US" w:eastAsia="zh-CN"/>
              </w:rPr>
              <w:t>19939025105</w:t>
            </w:r>
          </w:p>
        </w:tc>
      </w:tr>
      <w:tr w14:paraId="37D79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777" w:type="dxa"/>
            <w:noWrap w:val="0"/>
            <w:vAlign w:val="center"/>
          </w:tcPr>
          <w:p w14:paraId="31581C49">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31</w:t>
            </w:r>
          </w:p>
        </w:tc>
        <w:tc>
          <w:tcPr>
            <w:tcW w:w="1997" w:type="dxa"/>
            <w:noWrap w:val="0"/>
            <w:vAlign w:val="center"/>
          </w:tcPr>
          <w:p w14:paraId="7D0EC2E5">
            <w:pPr>
              <w:spacing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招标控制价</w:t>
            </w:r>
          </w:p>
          <w:p w14:paraId="03B96079">
            <w:pPr>
              <w:spacing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（最高投标</w:t>
            </w:r>
          </w:p>
          <w:p w14:paraId="4559AD46">
            <w:pPr>
              <w:spacing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限价）</w:t>
            </w:r>
          </w:p>
        </w:tc>
        <w:tc>
          <w:tcPr>
            <w:tcW w:w="6442" w:type="dxa"/>
            <w:noWrap w:val="0"/>
            <w:vAlign w:val="center"/>
          </w:tcPr>
          <w:p w14:paraId="42CCE668">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本项目招标控制价为</w:t>
            </w:r>
            <w:r>
              <w:rPr>
                <w:rFonts w:hint="eastAsia" w:ascii="宋体" w:hAnsi="宋体" w:eastAsia="宋体" w:cs="宋体"/>
                <w:b/>
                <w:bCs/>
                <w:color w:val="auto"/>
                <w:sz w:val="24"/>
                <w:highlight w:val="none"/>
                <w:u w:val="single"/>
                <w:lang w:val="en-US" w:eastAsia="zh-CN"/>
              </w:rPr>
              <w:t>1000000.00</w:t>
            </w:r>
            <w:r>
              <w:rPr>
                <w:rFonts w:hint="eastAsia" w:ascii="宋体" w:hAnsi="宋体" w:eastAsia="宋体" w:cs="宋体"/>
                <w:b/>
                <w:bCs/>
                <w:color w:val="auto"/>
                <w:sz w:val="24"/>
                <w:highlight w:val="none"/>
                <w:u w:val="single"/>
              </w:rPr>
              <w:t>元；</w:t>
            </w:r>
            <w:r>
              <w:rPr>
                <w:rFonts w:hint="eastAsia" w:ascii="宋体" w:hAnsi="宋体" w:eastAsia="宋体" w:cs="宋体"/>
                <w:b/>
                <w:bCs/>
                <w:color w:val="auto"/>
                <w:sz w:val="24"/>
                <w:highlight w:val="none"/>
              </w:rPr>
              <w:t>投标总报价超出招标控制价的投标文件将不进入评审程序，按无效标处理。</w:t>
            </w:r>
          </w:p>
        </w:tc>
      </w:tr>
      <w:tr w14:paraId="6D69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0" w:hRule="atLeast"/>
          <w:jc w:val="center"/>
        </w:trPr>
        <w:tc>
          <w:tcPr>
            <w:tcW w:w="777" w:type="dxa"/>
            <w:noWrap w:val="0"/>
            <w:vAlign w:val="center"/>
          </w:tcPr>
          <w:p w14:paraId="2F80FA9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p>
        </w:tc>
        <w:tc>
          <w:tcPr>
            <w:tcW w:w="1997" w:type="dxa"/>
            <w:noWrap w:val="0"/>
            <w:vAlign w:val="center"/>
          </w:tcPr>
          <w:p w14:paraId="7F33109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招标代理服务费</w:t>
            </w:r>
          </w:p>
        </w:tc>
        <w:tc>
          <w:tcPr>
            <w:tcW w:w="6442" w:type="dxa"/>
            <w:noWrap w:val="0"/>
            <w:vAlign w:val="top"/>
          </w:tcPr>
          <w:p w14:paraId="44345CF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招标代理费</w:t>
            </w:r>
            <w:r>
              <w:rPr>
                <w:rFonts w:hint="eastAsia" w:ascii="宋体" w:hAnsi="宋体" w:eastAsia="宋体" w:cs="宋体"/>
                <w:color w:val="auto"/>
                <w:sz w:val="24"/>
                <w:highlight w:val="none"/>
                <w:lang w:val="en-US" w:eastAsia="zh-CN"/>
              </w:rPr>
              <w:t>按</w:t>
            </w:r>
            <w:r>
              <w:rPr>
                <w:rFonts w:hint="eastAsia" w:ascii="宋体" w:hAnsi="宋体" w:eastAsia="宋体" w:cs="宋体"/>
                <w:color w:val="auto"/>
                <w:sz w:val="24"/>
                <w:highlight w:val="none"/>
              </w:rPr>
              <w:t>照发改价格【2015】299号文件的规定向中标人收取，在中标人领取中标通知书时向采购代理机构缴纳。</w:t>
            </w:r>
          </w:p>
          <w:p w14:paraId="3E1A17FB">
            <w:pPr>
              <w:pStyle w:val="19"/>
              <w:spacing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此项费用由供应商综合考虑到磋商报价中，不再单独列项。</w:t>
            </w:r>
          </w:p>
          <w:p w14:paraId="09C4F5C3">
            <w:pPr>
              <w:pStyle w:val="19"/>
              <w:spacing w:line="360" w:lineRule="auto"/>
              <w:ind w:firstLine="0" w:firstLineChars="0"/>
              <w:rPr>
                <w:rFonts w:hint="eastAsia" w:ascii="宋体" w:hAnsi="宋体" w:eastAsia="宋体" w:cs="宋体"/>
                <w:color w:val="auto"/>
                <w:sz w:val="24"/>
                <w:highlight w:val="none"/>
                <w:lang w:val="en-US" w:eastAsia="zh-CN"/>
              </w:rPr>
            </w:pPr>
            <w:r>
              <w:rPr>
                <w:rFonts w:hint="eastAsia" w:ascii="宋体" w:hAnsi="宋体" w:eastAsia="宋体" w:cs="宋体"/>
                <w:sz w:val="24"/>
                <w:highlight w:val="none"/>
              </w:rPr>
              <w:t>注:招标代理服务</w:t>
            </w:r>
            <w:r>
              <w:rPr>
                <w:rFonts w:hint="eastAsia" w:ascii="宋体" w:hAnsi="宋体" w:eastAsia="宋体" w:cs="宋体"/>
                <w:sz w:val="24"/>
                <w:highlight w:val="none"/>
                <w:lang w:val="en-US" w:eastAsia="zh-CN"/>
              </w:rPr>
              <w:t>费</w:t>
            </w:r>
            <w:r>
              <w:rPr>
                <w:rFonts w:hint="eastAsia" w:ascii="宋体" w:hAnsi="宋体" w:eastAsia="宋体" w:cs="宋体"/>
                <w:sz w:val="24"/>
                <w:highlight w:val="none"/>
              </w:rPr>
              <w:t>收费按差额定率累进法计算</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详见下表，</w:t>
            </w:r>
          </w:p>
          <w:p w14:paraId="26728CD7">
            <w:pPr>
              <w:spacing w:line="48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drawing>
                <wp:inline distT="0" distB="0" distL="114300" distR="114300">
                  <wp:extent cx="3796030" cy="2454275"/>
                  <wp:effectExtent l="0" t="0" r="13970" b="3175"/>
                  <wp:docPr id="1" name="图片 1" descr="5d8852a5ff696ea2d12f916eca890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d8852a5ff696ea2d12f916eca8905a"/>
                          <pic:cNvPicPr>
                            <a:picLocks noChangeAspect="1"/>
                          </pic:cNvPicPr>
                        </pic:nvPicPr>
                        <pic:blipFill>
                          <a:blip r:embed="rId17"/>
                          <a:stretch>
                            <a:fillRect/>
                          </a:stretch>
                        </pic:blipFill>
                        <pic:spPr>
                          <a:xfrm>
                            <a:off x="0" y="0"/>
                            <a:ext cx="3796030" cy="2454275"/>
                          </a:xfrm>
                          <a:prstGeom prst="rect">
                            <a:avLst/>
                          </a:prstGeom>
                          <a:noFill/>
                          <a:ln>
                            <a:noFill/>
                          </a:ln>
                        </pic:spPr>
                      </pic:pic>
                    </a:graphicData>
                  </a:graphic>
                </wp:inline>
              </w:drawing>
            </w:r>
          </w:p>
          <w:p w14:paraId="205E3302">
            <w:pPr>
              <w:pStyle w:val="2"/>
              <w:ind w:left="0" w:leftChars="0" w:firstLine="0" w:firstLineChars="0"/>
              <w:rPr>
                <w:rFonts w:hint="eastAsia" w:eastAsia="宋体"/>
                <w:highlight w:val="none"/>
                <w:lang w:val="en-US" w:eastAsia="zh-CN"/>
              </w:rPr>
            </w:pPr>
            <w:r>
              <w:rPr>
                <w:rFonts w:hint="eastAsia" w:ascii="宋体" w:hAnsi="宋体" w:eastAsia="宋体" w:cs="宋体"/>
                <w:color w:val="auto"/>
                <w:sz w:val="24"/>
                <w:highlight w:val="none"/>
                <w:lang w:val="en-US" w:eastAsia="zh-CN"/>
              </w:rPr>
              <w:t>注：</w:t>
            </w:r>
            <w:r>
              <w:rPr>
                <w:rFonts w:hint="eastAsia" w:ascii="宋体" w:hAnsi="宋体" w:eastAsia="宋体" w:cs="宋体"/>
                <w:color w:val="auto"/>
                <w:sz w:val="24"/>
                <w:highlight w:val="none"/>
              </w:rPr>
              <w:t>招标代理服务</w:t>
            </w:r>
            <w:r>
              <w:rPr>
                <w:rFonts w:hint="eastAsia" w:ascii="宋体" w:hAnsi="宋体" w:cs="宋体"/>
                <w:color w:val="auto"/>
                <w:sz w:val="24"/>
                <w:highlight w:val="none"/>
                <w:lang w:val="en-US" w:eastAsia="zh-CN"/>
              </w:rPr>
              <w:t>费</w:t>
            </w:r>
            <w:r>
              <w:rPr>
                <w:rFonts w:hint="eastAsia" w:ascii="宋体" w:hAnsi="宋体" w:eastAsia="宋体" w:cs="宋体"/>
                <w:color w:val="auto"/>
                <w:sz w:val="24"/>
                <w:highlight w:val="none"/>
                <w:lang w:val="en-US" w:eastAsia="zh-CN"/>
              </w:rPr>
              <w:t>不足1万元按1万元收取。</w:t>
            </w:r>
          </w:p>
        </w:tc>
      </w:tr>
      <w:tr w14:paraId="356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7" w:type="dxa"/>
            <w:noWrap w:val="0"/>
            <w:vAlign w:val="center"/>
          </w:tcPr>
          <w:p w14:paraId="100A6C13">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33</w:t>
            </w:r>
          </w:p>
        </w:tc>
        <w:tc>
          <w:tcPr>
            <w:tcW w:w="1997" w:type="dxa"/>
            <w:noWrap w:val="0"/>
            <w:vAlign w:val="center"/>
          </w:tcPr>
          <w:p w14:paraId="142202A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付款方式</w:t>
            </w:r>
          </w:p>
        </w:tc>
        <w:tc>
          <w:tcPr>
            <w:tcW w:w="6442" w:type="dxa"/>
            <w:noWrap w:val="0"/>
            <w:vAlign w:val="center"/>
          </w:tcPr>
          <w:p w14:paraId="5264161C">
            <w:pPr>
              <w:pStyle w:val="19"/>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乙方在供货安装调试完毕后，向甲方提交合同总金额 5%的银行履约保函，保函有效期自履约保函开具之日起至质保期满后3个月止，担保范围涵盖本合同项下全部售后服务及质量保证责任。甲方试用无质量问题且验收合格后，乙方开具增值税专用发票，甲方支付100% 货款。在保函有效期满且双方无异议后退还保函。</w:t>
            </w:r>
          </w:p>
        </w:tc>
      </w:tr>
      <w:tr w14:paraId="72880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7" w:type="dxa"/>
            <w:noWrap w:val="0"/>
            <w:vAlign w:val="center"/>
          </w:tcPr>
          <w:p w14:paraId="7E407D93">
            <w:pPr>
              <w:spacing w:line="400" w:lineRule="exact"/>
              <w:jc w:val="center"/>
              <w:rPr>
                <w:rFonts w:hint="eastAsia" w:ascii="宋体" w:hAnsi="宋体" w:eastAsia="宋体" w:cs="宋体"/>
                <w:color w:val="auto"/>
                <w:sz w:val="24"/>
                <w:highlight w:val="none"/>
              </w:rPr>
            </w:pPr>
          </w:p>
          <w:p w14:paraId="0726B779">
            <w:pPr>
              <w:spacing w:line="400" w:lineRule="exact"/>
              <w:jc w:val="center"/>
              <w:rPr>
                <w:rFonts w:hint="eastAsia" w:ascii="宋体" w:hAnsi="宋体" w:eastAsia="宋体" w:cs="宋体"/>
                <w:color w:val="auto"/>
                <w:sz w:val="24"/>
                <w:highlight w:val="none"/>
              </w:rPr>
            </w:pPr>
          </w:p>
          <w:p w14:paraId="4658FE65">
            <w:pPr>
              <w:spacing w:line="400" w:lineRule="exact"/>
              <w:jc w:val="center"/>
              <w:rPr>
                <w:rFonts w:hint="eastAsia" w:ascii="宋体" w:hAnsi="宋体" w:eastAsia="宋体" w:cs="宋体"/>
                <w:color w:val="auto"/>
                <w:sz w:val="24"/>
                <w:highlight w:val="none"/>
              </w:rPr>
            </w:pPr>
          </w:p>
          <w:p w14:paraId="2A18F39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34</w:t>
            </w:r>
          </w:p>
        </w:tc>
        <w:tc>
          <w:tcPr>
            <w:tcW w:w="1997" w:type="dxa"/>
            <w:noWrap w:val="0"/>
            <w:vAlign w:val="center"/>
          </w:tcPr>
          <w:p w14:paraId="04EBA91A">
            <w:pPr>
              <w:spacing w:line="400" w:lineRule="exact"/>
              <w:jc w:val="center"/>
              <w:rPr>
                <w:rFonts w:hint="eastAsia" w:ascii="宋体" w:hAnsi="宋体" w:eastAsia="宋体" w:cs="宋体"/>
                <w:b/>
                <w:color w:val="auto"/>
                <w:sz w:val="24"/>
                <w:highlight w:val="none"/>
              </w:rPr>
            </w:pPr>
          </w:p>
          <w:p w14:paraId="34B0AD27">
            <w:pPr>
              <w:spacing w:line="400" w:lineRule="exact"/>
              <w:jc w:val="center"/>
              <w:rPr>
                <w:rFonts w:hint="eastAsia" w:ascii="宋体" w:hAnsi="宋体" w:eastAsia="宋体" w:cs="宋体"/>
                <w:b/>
                <w:color w:val="auto"/>
                <w:sz w:val="24"/>
                <w:highlight w:val="none"/>
              </w:rPr>
            </w:pPr>
          </w:p>
          <w:p w14:paraId="28705DC8">
            <w:pPr>
              <w:spacing w:line="400" w:lineRule="exact"/>
              <w:jc w:val="center"/>
              <w:rPr>
                <w:rFonts w:hint="eastAsia" w:ascii="宋体" w:hAnsi="宋体" w:eastAsia="宋体" w:cs="宋体"/>
                <w:b/>
                <w:color w:val="auto"/>
                <w:sz w:val="24"/>
                <w:highlight w:val="none"/>
              </w:rPr>
            </w:pPr>
          </w:p>
          <w:p w14:paraId="4FAEAB15">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政采领域优化营商环境相关政策</w:t>
            </w:r>
          </w:p>
          <w:p w14:paraId="2961025D">
            <w:pPr>
              <w:spacing w:line="400" w:lineRule="exact"/>
              <w:jc w:val="center"/>
              <w:rPr>
                <w:rFonts w:hint="eastAsia" w:ascii="宋体" w:hAnsi="宋体" w:eastAsia="宋体" w:cs="宋体"/>
                <w:color w:val="auto"/>
                <w:sz w:val="24"/>
                <w:highlight w:val="none"/>
              </w:rPr>
            </w:pPr>
          </w:p>
        </w:tc>
        <w:tc>
          <w:tcPr>
            <w:tcW w:w="6442" w:type="dxa"/>
            <w:noWrap w:val="0"/>
            <w:vAlign w:val="center"/>
          </w:tcPr>
          <w:p w14:paraId="56042D41">
            <w:pPr>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一</w:t>
            </w:r>
            <w:r>
              <w:rPr>
                <w:rFonts w:hint="eastAsia" w:ascii="宋体" w:hAnsi="宋体" w:eastAsia="宋体" w:cs="宋体"/>
                <w:b/>
                <w:color w:val="auto"/>
                <w:sz w:val="24"/>
                <w:highlight w:val="none"/>
              </w:rPr>
              <w:t>、维护企业在政府采购活动中的知情权</w:t>
            </w:r>
          </w:p>
          <w:p w14:paraId="7E338698">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672C40A4">
            <w:pPr>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二</w:t>
            </w:r>
            <w:r>
              <w:rPr>
                <w:rFonts w:hint="eastAsia" w:ascii="宋体" w:hAnsi="宋体" w:eastAsia="宋体" w:cs="宋体"/>
                <w:b/>
                <w:color w:val="auto"/>
                <w:sz w:val="24"/>
                <w:highlight w:val="none"/>
              </w:rPr>
              <w:t>、提供中小企业声明函格式</w:t>
            </w:r>
          </w:p>
          <w:p w14:paraId="0CB2BC32">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sz w:val="24"/>
                <w:szCs w:val="24"/>
                <w:highlight w:val="none"/>
              </w:rPr>
              <w:t>在采购文件中，采购代理机构应按照财政部、工信部印发的《政</w:t>
            </w:r>
            <w:r>
              <w:rPr>
                <w:rFonts w:hint="eastAsia" w:ascii="宋体" w:hAnsi="宋体" w:eastAsia="宋体" w:cs="宋体"/>
                <w:color w:val="auto"/>
                <w:kern w:val="2"/>
                <w:sz w:val="24"/>
                <w:szCs w:val="24"/>
                <w:highlight w:val="none"/>
                <w:lang w:val="en-US"/>
              </w:rPr>
              <w:t>府采购促进中小企业发展管理办法》的通知精神（财库〔2020〕46号）提供中小企业声明函格式。</w:t>
            </w:r>
          </w:p>
          <w:p w14:paraId="05982C62">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2"/>
                <w:sz w:val="24"/>
                <w:szCs w:val="24"/>
                <w:highlight w:val="none"/>
                <w:lang w:val="en-US"/>
              </w:rPr>
              <w:t>根据《政府采购促进中小企业发展管理办法》（财库〔2020〕46号）第四条：在政府采购活动中，供应商提供的货物、工程或者服务符合下列情形的，享受本办法规定的中小企业扶持政策：</w:t>
            </w:r>
          </w:p>
          <w:p w14:paraId="09F00D91">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2"/>
                <w:sz w:val="24"/>
                <w:szCs w:val="24"/>
                <w:highlight w:val="none"/>
                <w:lang w:val="en-US"/>
              </w:rPr>
              <w:t>（一）在货物采购项目中，货物由中小企业制造，即货物由中小企业生产且使用该中小企业商号或者注册商标；</w:t>
            </w:r>
          </w:p>
          <w:p w14:paraId="1247E36B">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2"/>
                <w:sz w:val="24"/>
                <w:szCs w:val="24"/>
                <w:highlight w:val="none"/>
                <w:lang w:val="en-US"/>
              </w:rPr>
              <w:t>（二）在工程采购项目中，工程由中小企业承建，即工程施工单位为中小企业；</w:t>
            </w:r>
          </w:p>
          <w:p w14:paraId="3864A8D8">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2"/>
                <w:sz w:val="24"/>
                <w:szCs w:val="24"/>
                <w:highlight w:val="none"/>
                <w:lang w:val="en-US"/>
              </w:rPr>
              <w:t>（三）在服务采购项目中，服务由中小企业承接，即提供服务的人员为中小企业依照《中华人民共和国劳动合同法》订立劳动合同的从业人员。</w:t>
            </w:r>
          </w:p>
          <w:p w14:paraId="37A86A1E">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2"/>
                <w:sz w:val="24"/>
                <w:szCs w:val="24"/>
                <w:highlight w:val="none"/>
                <w:lang w:val="en-US"/>
              </w:rPr>
              <w:t>在货物采购项目中，供应商提供的货物既有中小企业制造货物，也有大型企业制造货物的，不享受本办法规定的中小企业扶持政策。</w:t>
            </w:r>
          </w:p>
          <w:p w14:paraId="5FE31B12">
            <w:pPr>
              <w:pStyle w:val="19"/>
              <w:spacing w:after="0" w:line="400" w:lineRule="exact"/>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rPr>
              <w:t>以联合体形式参加政府采购活动，联合体各方均为中小企业的，联合体视同中小企业。其中，联合体各方均为小微企业的，联合体视同小微企业</w:t>
            </w:r>
            <w:r>
              <w:rPr>
                <w:rFonts w:hint="eastAsia" w:ascii="宋体" w:hAnsi="宋体" w:eastAsia="宋体" w:cs="宋体"/>
                <w:color w:val="auto"/>
                <w:sz w:val="24"/>
                <w:szCs w:val="24"/>
                <w:highlight w:val="none"/>
              </w:rPr>
              <w:t>。</w:t>
            </w:r>
          </w:p>
          <w:p w14:paraId="42941034">
            <w:pPr>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三</w:t>
            </w:r>
            <w:r>
              <w:rPr>
                <w:rFonts w:hint="eastAsia" w:ascii="宋体" w:hAnsi="宋体" w:eastAsia="宋体" w:cs="宋体"/>
                <w:b/>
                <w:color w:val="auto"/>
                <w:sz w:val="24"/>
                <w:highlight w:val="none"/>
              </w:rPr>
              <w:t>、推广政府采购合同融资</w:t>
            </w:r>
          </w:p>
          <w:p w14:paraId="1750F68D">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sz w:val="24"/>
                <w:szCs w:val="24"/>
                <w:highlight w:val="none"/>
              </w:rPr>
              <w:t>要求采购人和代理机构将“政府采购合同融资告知函”写入招标文件，鼓励中标供应商凭借采购合同申请贷款，助力解决中小企业</w:t>
            </w:r>
            <w:r>
              <w:rPr>
                <w:rFonts w:hint="eastAsia" w:ascii="宋体" w:hAnsi="宋体" w:eastAsia="宋体" w:cs="宋体"/>
                <w:color w:val="auto"/>
                <w:kern w:val="2"/>
                <w:sz w:val="24"/>
                <w:szCs w:val="24"/>
                <w:highlight w:val="none"/>
                <w:lang w:val="en-US"/>
              </w:rPr>
              <w:t>融资难、融资贵的问题。</w:t>
            </w:r>
          </w:p>
          <w:p w14:paraId="29887884">
            <w:pPr>
              <w:pStyle w:val="19"/>
              <w:spacing w:after="0" w:line="400" w:lineRule="exact"/>
              <w:ind w:firstLine="0" w:firstLineChars="0"/>
              <w:rPr>
                <w:rFonts w:hint="eastAsia" w:ascii="宋体" w:hAnsi="宋体" w:eastAsia="宋体" w:cs="宋体"/>
                <w:b/>
                <w:bCs/>
                <w:color w:val="auto"/>
                <w:kern w:val="2"/>
                <w:sz w:val="24"/>
                <w:szCs w:val="24"/>
                <w:highlight w:val="none"/>
                <w:lang w:val="en-US"/>
              </w:rPr>
            </w:pPr>
            <w:r>
              <w:rPr>
                <w:rFonts w:hint="eastAsia" w:ascii="宋体" w:hAnsi="宋体" w:eastAsia="宋体" w:cs="宋体"/>
                <w:b/>
                <w:bCs/>
                <w:color w:val="auto"/>
                <w:kern w:val="2"/>
                <w:sz w:val="24"/>
                <w:szCs w:val="24"/>
                <w:highlight w:val="none"/>
                <w:lang w:val="en-US" w:eastAsia="zh-CN"/>
              </w:rPr>
              <w:t>四</w:t>
            </w:r>
            <w:r>
              <w:rPr>
                <w:rFonts w:hint="eastAsia" w:ascii="宋体" w:hAnsi="宋体" w:eastAsia="宋体" w:cs="宋体"/>
                <w:b/>
                <w:bCs/>
                <w:color w:val="auto"/>
                <w:kern w:val="2"/>
                <w:sz w:val="24"/>
                <w:szCs w:val="24"/>
                <w:highlight w:val="none"/>
                <w:lang w:val="en-US"/>
              </w:rPr>
              <w:t>、落实预留采购份额</w:t>
            </w:r>
          </w:p>
          <w:p w14:paraId="6E3975E8">
            <w:pPr>
              <w:pStyle w:val="19"/>
              <w:spacing w:after="0" w:line="40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因“按照本办法规定预留采购份额无法确保充分供应、充分竞争，或者存在可能影响政府采购目标实现的情形；”，故本项目不专门面向中小企业预留采购份额。</w:t>
            </w:r>
          </w:p>
          <w:p w14:paraId="1F5F5E5A">
            <w:pPr>
              <w:spacing w:line="400" w:lineRule="exact"/>
              <w:ind w:left="105" w:leftChars="5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五</w:t>
            </w:r>
            <w:r>
              <w:rPr>
                <w:rFonts w:hint="eastAsia" w:ascii="宋体" w:hAnsi="宋体" w:eastAsia="宋体" w:cs="宋体"/>
                <w:b/>
                <w:color w:val="auto"/>
                <w:sz w:val="24"/>
                <w:highlight w:val="none"/>
              </w:rPr>
              <w:t>、落实价格评审优惠政策</w:t>
            </w:r>
          </w:p>
          <w:p w14:paraId="38CD7718">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sz w:val="24"/>
                <w:szCs w:val="24"/>
                <w:highlight w:val="none"/>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w:t>
            </w:r>
            <w:r>
              <w:rPr>
                <w:rFonts w:hint="eastAsia" w:ascii="宋体" w:hAnsi="宋体" w:eastAsia="宋体" w:cs="宋体"/>
                <w:color w:val="auto"/>
                <w:kern w:val="2"/>
                <w:sz w:val="24"/>
                <w:szCs w:val="24"/>
                <w:highlight w:val="none"/>
                <w:lang w:val="en-US"/>
              </w:rPr>
              <w:t>审办法中注明确定值。</w:t>
            </w:r>
          </w:p>
          <w:p w14:paraId="04A71451">
            <w:pPr>
              <w:pStyle w:val="19"/>
              <w:spacing w:after="0" w:line="400" w:lineRule="exact"/>
              <w:ind w:firstLine="0" w:firstLineChars="0"/>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六、落实本国产品政策</w:t>
            </w:r>
          </w:p>
          <w:p w14:paraId="7CB4CCA7">
            <w:pPr>
              <w:pStyle w:val="19"/>
              <w:spacing w:after="0" w:line="400" w:lineRule="exact"/>
              <w:ind w:firstLine="0" w:firstLineChars="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zh-CN" w:eastAsia="zh-CN" w:bidi="ar-SA"/>
              </w:rPr>
              <w:t>根据《国务院办</w:t>
            </w:r>
            <w:r>
              <w:rPr>
                <w:rFonts w:hint="eastAsia" w:ascii="宋体" w:hAnsi="宋体" w:eastAsia="宋体" w:cs="宋体"/>
                <w:color w:val="auto"/>
                <w:kern w:val="2"/>
                <w:sz w:val="24"/>
                <w:szCs w:val="24"/>
                <w:highlight w:val="none"/>
                <w:lang w:val="zh-CN" w:eastAsia="zh-CN" w:bidi="ar-SA"/>
              </w:rPr>
              <w:t>公</w:t>
            </w:r>
            <w:r>
              <w:rPr>
                <w:rFonts w:hint="eastAsia" w:ascii="宋体" w:hAnsi="宋体" w:eastAsia="宋体" w:cs="宋体"/>
                <w:color w:val="auto"/>
                <w:kern w:val="0"/>
                <w:sz w:val="24"/>
                <w:szCs w:val="24"/>
                <w:highlight w:val="none"/>
                <w:lang w:val="zh-CN" w:eastAsia="zh-CN" w:bidi="ar-SA"/>
              </w:rPr>
              <w:t>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p>
          <w:p w14:paraId="2173097D">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zh-CN" w:eastAsia="zh-CN" w:bidi="ar-SA"/>
              </w:rPr>
              <w:t>供应商对其提供的产品出具《关于符合本国产品标准的声明函》或财政部会同有关部门规定的有关证明文件。出具符合要求的《声明函》或有关证明文件的，该产品视为本国产品。评标委员会在评审中发现《声明函》内容含义不明确、同类事项与投标文件表述不一致或者有明显文字错误等情况的，应当以书面形式要求供应商作出必要的澄清、说明或者补正。经澄清、说明或者补正的《声明函》仍然不符合《国务院办公厅关于在政府采购中实施本国产品标准及相关政策的通知》（国办发〔2025〕34 号）规定要求的，供应商提供的相关产品视为不符合本国产品标准。</w:t>
            </w:r>
          </w:p>
          <w:p w14:paraId="549D1A03">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r>
      <w:tr w14:paraId="08A1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77" w:type="dxa"/>
            <w:noWrap w:val="0"/>
            <w:vAlign w:val="center"/>
          </w:tcPr>
          <w:p w14:paraId="239B0DF9">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35</w:t>
            </w:r>
          </w:p>
        </w:tc>
        <w:tc>
          <w:tcPr>
            <w:tcW w:w="1997" w:type="dxa"/>
            <w:noWrap w:val="0"/>
            <w:vAlign w:val="center"/>
          </w:tcPr>
          <w:p w14:paraId="028BAA65">
            <w:pPr>
              <w:spacing w:line="36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落实绿色产品（节能产品、环境标志产品）优先采购政策</w:t>
            </w:r>
          </w:p>
        </w:tc>
        <w:tc>
          <w:tcPr>
            <w:tcW w:w="6442" w:type="dxa"/>
            <w:noWrap w:val="0"/>
            <w:vAlign w:val="center"/>
          </w:tcPr>
          <w:p w14:paraId="6E9FE385">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(1)本项目若含有节能产品政府采购品目清单内政府强制采购产品，供应商须选用国家确定的认证机构认证的处于有效期之内的政府强制采购节能产品。</w:t>
            </w:r>
          </w:p>
          <w:p w14:paraId="24B46E5A">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本项目若含有节能产品、环境标志产品政府采购品目清单内政府优先采购产品，对选用国家确定的认证机构认证的处于有效期之内的政府优先采购节能产品(政府强制采购产品除外)、环境标志产品的，在评标时予以优先采购。</w:t>
            </w:r>
          </w:p>
          <w:p w14:paraId="42FE52B5">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强制采购的节能产品: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tc>
      </w:tr>
      <w:tr w14:paraId="4A494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777" w:type="dxa"/>
            <w:noWrap w:val="0"/>
            <w:vAlign w:val="center"/>
          </w:tcPr>
          <w:p w14:paraId="73A20D8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36</w:t>
            </w:r>
          </w:p>
        </w:tc>
        <w:tc>
          <w:tcPr>
            <w:tcW w:w="1997" w:type="dxa"/>
            <w:noWrap w:val="0"/>
            <w:vAlign w:val="center"/>
          </w:tcPr>
          <w:p w14:paraId="7F457B9D">
            <w:pPr>
              <w:spacing w:line="400" w:lineRule="exact"/>
              <w:jc w:val="center"/>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本项目所属行业</w:t>
            </w:r>
          </w:p>
        </w:tc>
        <w:tc>
          <w:tcPr>
            <w:tcW w:w="6442" w:type="dxa"/>
            <w:noWrap w:val="0"/>
            <w:vAlign w:val="center"/>
          </w:tcPr>
          <w:p w14:paraId="1F63DBA1">
            <w:pPr>
              <w:pStyle w:val="19"/>
              <w:spacing w:after="0" w:line="400" w:lineRule="exact"/>
              <w:ind w:firstLine="0" w:firstLineChars="0"/>
              <w:rPr>
                <w:rFonts w:hint="eastAsia" w:ascii="宋体" w:hAnsi="宋体" w:eastAsia="宋体" w:cs="宋体"/>
                <w:b w:val="0"/>
                <w:bCs w:val="0"/>
                <w:color w:val="auto"/>
                <w:kern w:val="2"/>
                <w:sz w:val="24"/>
                <w:szCs w:val="24"/>
                <w:highlight w:val="none"/>
                <w:lang w:val="en-US"/>
              </w:rPr>
            </w:pPr>
            <w:r>
              <w:rPr>
                <w:rFonts w:hint="eastAsia" w:ascii="宋体" w:hAnsi="宋体" w:eastAsia="宋体" w:cs="宋体"/>
                <w:b w:val="0"/>
                <w:bCs w:val="0"/>
                <w:color w:val="auto"/>
                <w:kern w:val="2"/>
                <w:sz w:val="24"/>
                <w:szCs w:val="24"/>
                <w:highlight w:val="none"/>
                <w:lang w:val="en-US"/>
              </w:rPr>
              <w:t>采购标的所属行业：</w:t>
            </w:r>
            <w:r>
              <w:rPr>
                <w:rFonts w:hint="eastAsia" w:ascii="宋体" w:hAnsi="宋体" w:eastAsia="宋体" w:cs="宋体"/>
                <w:b w:val="0"/>
                <w:bCs w:val="0"/>
                <w:color w:val="auto"/>
                <w:sz w:val="24"/>
                <w:szCs w:val="24"/>
                <w:highlight w:val="none"/>
                <w:lang w:val="en-US" w:eastAsia="zh-CN"/>
              </w:rPr>
              <w:t>工</w:t>
            </w:r>
            <w:r>
              <w:rPr>
                <w:rFonts w:hint="eastAsia" w:ascii="宋体" w:hAnsi="宋体" w:eastAsia="宋体" w:cs="宋体"/>
                <w:b w:val="0"/>
                <w:bCs w:val="0"/>
                <w:color w:val="auto"/>
                <w:sz w:val="24"/>
                <w:szCs w:val="24"/>
                <w:highlight w:val="none"/>
              </w:rPr>
              <w:t>业</w:t>
            </w:r>
          </w:p>
          <w:p w14:paraId="15BBB160">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2"/>
                <w:sz w:val="24"/>
                <w:szCs w:val="24"/>
                <w:highlight w:val="none"/>
                <w:lang w:val="en-US"/>
              </w:rPr>
              <w:t xml:space="preserve">划定标准（行业属性划分参照关于印发中小企业划型标准规定的通知(工信部联企业〔2011〕300号) </w:t>
            </w:r>
          </w:p>
        </w:tc>
      </w:tr>
      <w:tr w14:paraId="04F4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777" w:type="dxa"/>
            <w:noWrap w:val="0"/>
            <w:vAlign w:val="center"/>
          </w:tcPr>
          <w:p w14:paraId="501E9AD2">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37</w:t>
            </w:r>
          </w:p>
        </w:tc>
        <w:tc>
          <w:tcPr>
            <w:tcW w:w="1997" w:type="dxa"/>
            <w:noWrap w:val="0"/>
            <w:vAlign w:val="center"/>
          </w:tcPr>
          <w:p w14:paraId="55E51F60">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合同签订方式</w:t>
            </w:r>
          </w:p>
        </w:tc>
        <w:tc>
          <w:tcPr>
            <w:tcW w:w="6442" w:type="dxa"/>
            <w:noWrap w:val="0"/>
            <w:vAlign w:val="center"/>
          </w:tcPr>
          <w:p w14:paraId="710FCB1A">
            <w:pPr>
              <w:pStyle w:val="19"/>
              <w:spacing w:after="0" w:line="400" w:lineRule="exact"/>
              <w:ind w:firstLine="0" w:firstLineChars="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0"/>
                <w:sz w:val="24"/>
                <w:szCs w:val="20"/>
                <w:highlight w:val="none"/>
                <w:lang w:val="en-US" w:eastAsia="zh-CN" w:bidi="ar-SA"/>
              </w:rPr>
              <w:t>合同可选择在线签订，采购人与中标人（供应商）利用平顶山公共资源交易平台“合同在线签订模块”，将电子合同推送至对方进行审核，经双方确认均无异议通过后，进行在线签章，完成合同签订并公示。</w:t>
            </w:r>
          </w:p>
        </w:tc>
      </w:tr>
      <w:tr w14:paraId="4284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777" w:type="dxa"/>
            <w:noWrap w:val="0"/>
            <w:vAlign w:val="center"/>
          </w:tcPr>
          <w:p w14:paraId="06325836">
            <w:pPr>
              <w:spacing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38</w:t>
            </w:r>
          </w:p>
        </w:tc>
        <w:tc>
          <w:tcPr>
            <w:tcW w:w="1997" w:type="dxa"/>
            <w:noWrap w:val="0"/>
            <w:vAlign w:val="center"/>
          </w:tcPr>
          <w:p w14:paraId="42EF306F">
            <w:pPr>
              <w:spacing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核心产品及同一品牌相关问题</w:t>
            </w:r>
          </w:p>
        </w:tc>
        <w:tc>
          <w:tcPr>
            <w:tcW w:w="6442" w:type="dxa"/>
            <w:noWrap w:val="0"/>
            <w:vAlign w:val="center"/>
          </w:tcPr>
          <w:p w14:paraId="6CD7D142">
            <w:pPr>
              <w:spacing w:line="400" w:lineRule="exact"/>
              <w:jc w:val="left"/>
              <w:rPr>
                <w:rFonts w:hint="eastAsia" w:ascii="宋体" w:hAnsi="宋体" w:eastAsia="宋体" w:cs="宋体"/>
                <w:color w:val="auto"/>
                <w:sz w:val="24"/>
                <w:highlight w:val="none"/>
                <w:u w:val="single"/>
                <w:lang w:val="en-US" w:eastAsia="zh-CN"/>
              </w:rPr>
            </w:pPr>
            <w:r>
              <w:rPr>
                <w:rFonts w:hint="eastAsia" w:ascii="宋体" w:hAnsi="宋体" w:eastAsia="宋体" w:cs="宋体"/>
                <w:b/>
                <w:bCs/>
                <w:color w:val="auto"/>
                <w:sz w:val="24"/>
                <w:highlight w:val="none"/>
                <w:lang w:val="zh-CN"/>
              </w:rPr>
              <w:t>核心产品：</w:t>
            </w:r>
            <w:r>
              <w:rPr>
                <w:rFonts w:hint="eastAsia" w:ascii="宋体" w:hAnsi="宋体" w:eastAsia="宋体" w:cs="宋体"/>
                <w:b/>
                <w:bCs/>
                <w:color w:val="auto"/>
                <w:sz w:val="24"/>
                <w:highlight w:val="none"/>
                <w:lang w:val="en-US" w:eastAsia="zh-CN"/>
              </w:rPr>
              <w:t xml:space="preserve"> 高性能服务器</w:t>
            </w:r>
          </w:p>
          <w:p w14:paraId="41F81C5D">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本项目采用综合评分法，</w:t>
            </w:r>
            <w:r>
              <w:rPr>
                <w:rFonts w:hint="eastAsia" w:ascii="宋体" w:hAnsi="宋体" w:eastAsia="宋体" w:cs="宋体"/>
                <w:color w:val="auto"/>
                <w:sz w:val="24"/>
                <w:highlight w:val="none"/>
              </w:rPr>
              <w:t>多</w:t>
            </w:r>
            <w:r>
              <w:rPr>
                <w:rFonts w:hint="eastAsia" w:ascii="宋体" w:hAnsi="宋体" w:eastAsia="宋体" w:cs="宋体"/>
                <w:color w:val="auto"/>
                <w:sz w:val="24"/>
                <w:highlight w:val="none"/>
                <w:lang w:val="zh-CN"/>
              </w:rPr>
              <w:t>家投标人提供的核心产品品牌全部相同的，通过资格审查、符合性审查的不同投标人参加同一合同项下投标的，按一家投标人计算，评审后得分最高的同品牌投标人获得中标人推荐资格。评审得分相同的，按照投标报价低的获得中标人推荐资格。投标报价也相同的，采取随机抽取方式确定，其他同品牌投标人不作为中标候选人。</w:t>
            </w:r>
          </w:p>
        </w:tc>
      </w:tr>
      <w:tr w14:paraId="4F490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777" w:type="dxa"/>
            <w:noWrap w:val="0"/>
            <w:vAlign w:val="center"/>
          </w:tcPr>
          <w:p w14:paraId="5BEFA22D">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39</w:t>
            </w:r>
          </w:p>
        </w:tc>
        <w:tc>
          <w:tcPr>
            <w:tcW w:w="1997" w:type="dxa"/>
            <w:noWrap w:val="0"/>
            <w:vAlign w:val="center"/>
          </w:tcPr>
          <w:p w14:paraId="32CEB0A2">
            <w:pPr>
              <w:spacing w:line="4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履约验收</w:t>
            </w:r>
          </w:p>
        </w:tc>
        <w:tc>
          <w:tcPr>
            <w:tcW w:w="6442" w:type="dxa"/>
            <w:noWrap w:val="0"/>
            <w:vAlign w:val="center"/>
          </w:tcPr>
          <w:p w14:paraId="78A9572B">
            <w:pPr>
              <w:spacing w:line="40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（1）货物到货时，包装必须完好无缺,产品规格型号、产品种类等符合合同要求。</w:t>
            </w:r>
          </w:p>
          <w:p w14:paraId="3D2C3E68">
            <w:pPr>
              <w:spacing w:line="40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到货后，甲方会同乙方到现场进行清点，清点货物数量、品牌规格型号、配件等与合同的约定是否相符。货物有丢失或损坏，或者货物的包装、品牌、规格型号等不符合合同约定的，甲方有权要求乙方退回更换或补齐货物，乙方实际交货时间以最终补齐货物时间为准。参与交货验收的单位在货物清单上共同签字。此签单仅作为乙方交货的凭证，不作为乙方货物是否合格的最终依据。若乙方的产品经送检不符合本合同约定或安装后因产品质量问题未能通过验收的，乙方仍应当向甲方承担违约责任。</w:t>
            </w:r>
          </w:p>
          <w:p w14:paraId="3FC3E8E1">
            <w:pPr>
              <w:spacing w:line="400" w:lineRule="exact"/>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（3）在交货的同时应向甲方提交产品合格证等产品质量证明文件、说明书等相关资料，否则，甲方有权拒绝接受货物。</w:t>
            </w:r>
          </w:p>
        </w:tc>
      </w:tr>
      <w:tr w14:paraId="4507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77" w:type="dxa"/>
            <w:noWrap w:val="0"/>
            <w:vAlign w:val="center"/>
          </w:tcPr>
          <w:p w14:paraId="21C169A6">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40</w:t>
            </w:r>
          </w:p>
        </w:tc>
        <w:tc>
          <w:tcPr>
            <w:tcW w:w="1997" w:type="dxa"/>
            <w:noWrap w:val="0"/>
            <w:vAlign w:val="center"/>
          </w:tcPr>
          <w:p w14:paraId="564BE44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专家特别注意 “四方信用评价”须知（</w:t>
            </w:r>
            <w:r>
              <w:rPr>
                <w:rFonts w:hint="eastAsia" w:ascii="宋体" w:hAnsi="宋体" w:eastAsia="宋体" w:cs="宋体"/>
                <w:b/>
                <w:bCs/>
                <w:color w:val="auto"/>
                <w:kern w:val="0"/>
                <w:sz w:val="24"/>
                <w:szCs w:val="24"/>
                <w:highlight w:val="none"/>
                <w:lang w:eastAsia="zh-CN"/>
              </w:rPr>
              <w:t>采购人</w:t>
            </w:r>
            <w:r>
              <w:rPr>
                <w:rFonts w:hint="eastAsia" w:ascii="宋体" w:hAnsi="宋体" w:eastAsia="宋体" w:cs="宋体"/>
                <w:b/>
                <w:bCs/>
                <w:color w:val="auto"/>
                <w:kern w:val="0"/>
                <w:sz w:val="24"/>
                <w:szCs w:val="24"/>
                <w:highlight w:val="none"/>
                <w:lang w:eastAsia="zh-CN"/>
              </w:rPr>
              <w:tab/>
            </w:r>
            <w:r>
              <w:rPr>
                <w:rFonts w:hint="eastAsia" w:ascii="宋体" w:hAnsi="宋体" w:eastAsia="宋体" w:cs="宋体"/>
                <w:b/>
                <w:bCs/>
                <w:color w:val="auto"/>
                <w:kern w:val="0"/>
                <w:sz w:val="24"/>
                <w:szCs w:val="24"/>
                <w:highlight w:val="none"/>
              </w:rPr>
              <w:t>、代理机构、本项目评审专家、本项目中标投标人）</w:t>
            </w:r>
          </w:p>
        </w:tc>
        <w:tc>
          <w:tcPr>
            <w:tcW w:w="6442" w:type="dxa"/>
            <w:noWrap w:val="0"/>
            <w:vAlign w:val="center"/>
          </w:tcPr>
          <w:p w14:paraId="573CC6AA">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▲专家特别注意：“四方信用评价”须知（采购人、代理机构、本项目评审专家、本项目中标供应商） 《河南省政府采购网》目前已增加“四方信用评价”功能。请本项目采购人、代理机构、本项目评审专家、本项目中标供应商，按照评价时间节点按时完成评价工作。 时间节点在评审结束后的五日内。如果超期未评价，系统会默认超期不让评价。</w:t>
            </w:r>
          </w:p>
          <w:p w14:paraId="7B3BDCDE">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注：请各方注意时间，避免因超期未评价影响自身信用！</w:t>
            </w:r>
          </w:p>
          <w:p w14:paraId="5BD73410">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zh-CN"/>
              </w:rPr>
              <w:t xml:space="preserve">采购人、采购代理机构应当在评审工作结束后5日内对评审专家进行评价。 </w:t>
            </w:r>
          </w:p>
          <w:p w14:paraId="6F7CDAB2">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2.采购人、评审专家、供应商应当在评审工作结束后5日内对代理机构进行评价。 </w:t>
            </w:r>
          </w:p>
          <w:p w14:paraId="6CA4486E">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3.采购人应当在合同履约完成后对中标供应商进行评价。</w:t>
            </w:r>
          </w:p>
          <w:p w14:paraId="64F25D9D">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4.中标供应商应当在合同履约完成后对采购人进行评价。</w:t>
            </w:r>
          </w:p>
        </w:tc>
      </w:tr>
      <w:tr w14:paraId="3462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777" w:type="dxa"/>
            <w:noWrap w:val="0"/>
            <w:vAlign w:val="center"/>
          </w:tcPr>
          <w:p w14:paraId="532AF524">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41</w:t>
            </w:r>
          </w:p>
        </w:tc>
        <w:tc>
          <w:tcPr>
            <w:tcW w:w="1997" w:type="dxa"/>
            <w:noWrap w:val="0"/>
            <w:vAlign w:val="center"/>
          </w:tcPr>
          <w:p w14:paraId="26436C31">
            <w:pPr>
              <w:keepNext w:val="0"/>
              <w:keepLines w:val="0"/>
              <w:pageBreakBefore w:val="0"/>
              <w:widowControl w:val="0"/>
              <w:suppressLineNumbers w:val="0"/>
              <w:kinsoku/>
              <w:wordWrap/>
              <w:overflowPunct/>
              <w:topLinePunct w:val="0"/>
              <w:bidi w:val="0"/>
              <w:snapToGrid/>
              <w:spacing w:before="0" w:beforeAutospacing="0" w:after="0" w:afterAutospacing="0" w:line="360" w:lineRule="exact"/>
              <w:ind w:left="0" w:leftChars="0" w:right="0" w:rightChars="0"/>
              <w:jc w:val="center"/>
              <w:textAlignment w:val="auto"/>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sz w:val="24"/>
                <w:szCs w:val="24"/>
                <w:highlight w:val="none"/>
                <w:lang w:val="en-US" w:eastAsia="zh-CN"/>
              </w:rPr>
              <w:t>政府采购异常低价审查</w:t>
            </w:r>
          </w:p>
        </w:tc>
        <w:tc>
          <w:tcPr>
            <w:tcW w:w="6442" w:type="dxa"/>
            <w:noWrap w:val="0"/>
            <w:vAlign w:val="center"/>
          </w:tcPr>
          <w:p w14:paraId="585A11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（一）政府采购评审中出现下列情形之一的，评审委员会应当启动异常低价投标（响应）审查程序：</w:t>
            </w:r>
            <w:r>
              <w:rPr>
                <w:rFonts w:hint="eastAsia" w:ascii="宋体" w:hAnsi="宋体" w:eastAsia="宋体" w:cs="宋体"/>
                <w:b w:val="0"/>
                <w:bCs w:val="0"/>
                <w:color w:val="auto"/>
                <w:sz w:val="24"/>
                <w:szCs w:val="24"/>
                <w:highlight w:val="none"/>
                <w:lang w:val="en-US" w:eastAsia="zh-CN"/>
              </w:rPr>
              <w:t xml:space="preserve"> </w:t>
            </w:r>
          </w:p>
          <w:p w14:paraId="1C64F5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1.投标（响应）报价低于全部通过符合性审查供应商投标（响应）报价平均值65%的，即投标（响应）报价&lt;全部通过符合性审查供应商投标（响应）报价平均值×65%； </w:t>
            </w:r>
          </w:p>
          <w:p w14:paraId="526E2E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2.投标（响应）报价低于通过符合性审查的次低报价供应商投标（响应）报价65%的，即投标（响应）报价&lt;通过符合性审查的次低报价供应商投标（响应）报价×65%； </w:t>
            </w:r>
          </w:p>
          <w:p w14:paraId="34CEAE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3.投标（响应）报价低于采购项目最高限价65%的，即投标（响应）报价&lt;采购项目最高限价×65%； </w:t>
            </w:r>
          </w:p>
          <w:p w14:paraId="3C1643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 xml:space="preserve">4.评审委员会基于专业判断，认为供应商报价过低，有可能影响产品质量或者不能诚信履约的其他情形。 </w:t>
            </w:r>
          </w:p>
          <w:p w14:paraId="6B4582D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8E821E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leftChars="0" w:right="0" w:rightChars="0"/>
              <w:textAlignment w:val="auto"/>
              <w:rPr>
                <w:rFonts w:hint="eastAsia" w:ascii="宋体" w:hAnsi="宋体" w:eastAsia="宋体" w:cs="宋体"/>
                <w:color w:val="auto"/>
                <w:sz w:val="24"/>
                <w:highlight w:val="none"/>
                <w:lang w:val="zh-CN"/>
              </w:rPr>
            </w:pPr>
            <w:r>
              <w:rPr>
                <w:rFonts w:hint="eastAsia" w:ascii="宋体" w:hAnsi="宋体" w:eastAsia="宋体" w:cs="宋体"/>
                <w:b w:val="0"/>
                <w:bCs w:val="0"/>
                <w:color w:val="auto"/>
                <w:kern w:val="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 情况，对报价合理性进行判断。投标（响应）供应商不能提供书面说明、证明材料，或者提供的书面说明、证明材料不能证明其报价合理性的，评审委员会应当将其作为无效投标（响应）处理。</w:t>
            </w:r>
          </w:p>
        </w:tc>
      </w:tr>
    </w:tbl>
    <w:p w14:paraId="29042874">
      <w:pPr>
        <w:pStyle w:val="27"/>
        <w:tabs>
          <w:tab w:val="left" w:pos="4693"/>
        </w:tabs>
        <w:spacing w:before="78"/>
        <w:ind w:left="0" w:firstLine="0"/>
        <w:jc w:val="both"/>
        <w:rPr>
          <w:rFonts w:hint="eastAsia" w:ascii="宋体" w:hAnsi="宋体" w:eastAsia="宋体" w:cs="宋体"/>
          <w:b/>
          <w:color w:val="auto"/>
          <w:sz w:val="24"/>
          <w:szCs w:val="24"/>
          <w:highlight w:val="none"/>
        </w:rPr>
      </w:pPr>
      <w:bookmarkStart w:id="8" w:name="_bookmark3"/>
      <w:bookmarkEnd w:id="8"/>
      <w:r>
        <w:rPr>
          <w:rFonts w:hint="eastAsia" w:ascii="宋体" w:hAnsi="宋体" w:eastAsia="宋体" w:cs="宋体"/>
          <w:b/>
          <w:color w:val="auto"/>
          <w:sz w:val="24"/>
          <w:szCs w:val="24"/>
          <w:highlight w:val="none"/>
          <w:lang w:val="en-US"/>
        </w:rPr>
        <w:t xml:space="preserve">1 </w:t>
      </w:r>
      <w:r>
        <w:rPr>
          <w:rFonts w:hint="eastAsia" w:ascii="宋体" w:hAnsi="宋体" w:eastAsia="宋体" w:cs="宋体"/>
          <w:b/>
          <w:color w:val="auto"/>
          <w:sz w:val="24"/>
          <w:szCs w:val="24"/>
          <w:highlight w:val="none"/>
        </w:rPr>
        <w:t>总则</w:t>
      </w:r>
    </w:p>
    <w:p w14:paraId="02DC688D">
      <w:pPr>
        <w:pStyle w:val="5"/>
        <w:numPr>
          <w:ilvl w:val="1"/>
          <w:numId w:val="4"/>
        </w:numPr>
        <w:tabs>
          <w:tab w:val="left" w:pos="704"/>
        </w:tabs>
        <w:spacing w:before="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18850A39">
      <w:pPr>
        <w:pStyle w:val="27"/>
        <w:numPr>
          <w:ilvl w:val="2"/>
          <w:numId w:val="4"/>
        </w:numPr>
        <w:tabs>
          <w:tab w:val="left" w:pos="1270"/>
          <w:tab w:val="left" w:pos="9020"/>
        </w:tabs>
        <w:spacing w:before="185" w:line="357" w:lineRule="auto"/>
        <w:ind w:left="18" w:right="56" w:firstLine="62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根据《中华人民共和国</w:t>
      </w:r>
      <w:r>
        <w:rPr>
          <w:rFonts w:hint="eastAsia" w:ascii="宋体" w:hAnsi="宋体" w:eastAsia="宋体" w:cs="宋体"/>
          <w:color w:val="auto"/>
          <w:spacing w:val="-8"/>
          <w:sz w:val="24"/>
          <w:szCs w:val="24"/>
          <w:highlight w:val="none"/>
          <w:lang w:eastAsia="zh-CN"/>
        </w:rPr>
        <w:t>政府采购</w:t>
      </w:r>
      <w:r>
        <w:rPr>
          <w:rFonts w:hint="eastAsia" w:ascii="宋体" w:hAnsi="宋体" w:eastAsia="宋体" w:cs="宋体"/>
          <w:color w:val="auto"/>
          <w:spacing w:val="-8"/>
          <w:sz w:val="24"/>
          <w:szCs w:val="24"/>
          <w:highlight w:val="none"/>
        </w:rPr>
        <w:t>法》等有关法律、法规和规章的规定，本招标项目已具备</w:t>
      </w:r>
      <w:r>
        <w:rPr>
          <w:rFonts w:hint="eastAsia" w:ascii="宋体" w:hAnsi="宋体" w:eastAsia="宋体" w:cs="宋体"/>
          <w:color w:val="auto"/>
          <w:spacing w:val="-5"/>
          <w:sz w:val="24"/>
          <w:szCs w:val="24"/>
          <w:highlight w:val="none"/>
        </w:rPr>
        <w:t>招标条件，现对本项目的进行招标。</w:t>
      </w:r>
    </w:p>
    <w:p w14:paraId="5D5BCE6B">
      <w:pPr>
        <w:pStyle w:val="27"/>
        <w:numPr>
          <w:ilvl w:val="2"/>
          <w:numId w:val="4"/>
        </w:numPr>
        <w:tabs>
          <w:tab w:val="left" w:pos="1275"/>
        </w:tabs>
        <w:spacing w:before="63"/>
        <w:ind w:left="1274" w:hanging="63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本招标项目采购人：见投标人须知前附表。</w:t>
      </w:r>
    </w:p>
    <w:p w14:paraId="33DAF631">
      <w:pPr>
        <w:pStyle w:val="9"/>
        <w:spacing w:before="4"/>
        <w:rPr>
          <w:rFonts w:hint="eastAsia" w:ascii="宋体" w:hAnsi="宋体" w:eastAsia="宋体" w:cs="宋体"/>
          <w:color w:val="auto"/>
          <w:sz w:val="24"/>
          <w:szCs w:val="24"/>
          <w:highlight w:val="none"/>
        </w:rPr>
      </w:pPr>
    </w:p>
    <w:p w14:paraId="535985BB">
      <w:pPr>
        <w:pStyle w:val="27"/>
        <w:numPr>
          <w:ilvl w:val="2"/>
          <w:numId w:val="4"/>
        </w:numPr>
        <w:tabs>
          <w:tab w:val="left" w:pos="1275"/>
        </w:tabs>
        <w:ind w:left="1274" w:hanging="63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本招标项目招标代理机构：见投标人须知前附表。</w:t>
      </w:r>
    </w:p>
    <w:p w14:paraId="5494C733">
      <w:pPr>
        <w:pStyle w:val="9"/>
        <w:spacing w:before="2"/>
        <w:rPr>
          <w:rFonts w:hint="eastAsia" w:ascii="宋体" w:hAnsi="宋体" w:eastAsia="宋体" w:cs="宋体"/>
          <w:color w:val="auto"/>
          <w:sz w:val="24"/>
          <w:szCs w:val="24"/>
          <w:highlight w:val="none"/>
        </w:rPr>
      </w:pPr>
    </w:p>
    <w:p w14:paraId="211FCC54">
      <w:pPr>
        <w:pStyle w:val="27"/>
        <w:numPr>
          <w:ilvl w:val="2"/>
          <w:numId w:val="4"/>
        </w:numPr>
        <w:tabs>
          <w:tab w:val="left" w:pos="1275"/>
        </w:tabs>
        <w:ind w:left="1274" w:hanging="63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本招标项目名称：见投标人须知前附表。</w:t>
      </w:r>
    </w:p>
    <w:p w14:paraId="3B51C114">
      <w:pPr>
        <w:pStyle w:val="9"/>
        <w:spacing w:before="2"/>
        <w:rPr>
          <w:rFonts w:hint="eastAsia" w:ascii="宋体" w:hAnsi="宋体" w:eastAsia="宋体" w:cs="宋体"/>
          <w:color w:val="auto"/>
          <w:sz w:val="24"/>
          <w:szCs w:val="24"/>
          <w:highlight w:val="none"/>
        </w:rPr>
      </w:pPr>
    </w:p>
    <w:p w14:paraId="5B6B4E0E">
      <w:pPr>
        <w:pStyle w:val="27"/>
        <w:numPr>
          <w:ilvl w:val="2"/>
          <w:numId w:val="4"/>
        </w:numPr>
        <w:tabs>
          <w:tab w:val="left" w:pos="1275"/>
        </w:tabs>
        <w:ind w:left="1274" w:hanging="63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本招标项目交货地点：见投标人须知前附表。</w:t>
      </w:r>
    </w:p>
    <w:p w14:paraId="70A11087">
      <w:pPr>
        <w:pStyle w:val="5"/>
        <w:numPr>
          <w:ilvl w:val="1"/>
          <w:numId w:val="4"/>
        </w:numPr>
        <w:tabs>
          <w:tab w:val="left" w:pos="704"/>
        </w:tabs>
        <w:spacing w:before="1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资金来源和落实情况</w:t>
      </w:r>
    </w:p>
    <w:p w14:paraId="24787BB4">
      <w:pPr>
        <w:pStyle w:val="27"/>
        <w:numPr>
          <w:ilvl w:val="2"/>
          <w:numId w:val="4"/>
        </w:numPr>
        <w:tabs>
          <w:tab w:val="left" w:pos="1270"/>
        </w:tabs>
        <w:spacing w:before="186"/>
        <w:ind w:left="127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本招标项目的资金来源：见投标人须知前附表。</w:t>
      </w:r>
    </w:p>
    <w:p w14:paraId="3B48EA8A">
      <w:pPr>
        <w:pStyle w:val="9"/>
        <w:spacing w:before="4"/>
        <w:rPr>
          <w:rFonts w:hint="eastAsia" w:ascii="宋体" w:hAnsi="宋体" w:eastAsia="宋体" w:cs="宋体"/>
          <w:color w:val="auto"/>
          <w:sz w:val="24"/>
          <w:szCs w:val="24"/>
          <w:highlight w:val="none"/>
        </w:rPr>
      </w:pPr>
    </w:p>
    <w:p w14:paraId="6C29D1F4">
      <w:pPr>
        <w:pStyle w:val="27"/>
        <w:numPr>
          <w:ilvl w:val="2"/>
          <w:numId w:val="4"/>
        </w:numPr>
        <w:tabs>
          <w:tab w:val="left" w:pos="1270"/>
        </w:tabs>
        <w:ind w:left="127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本招标项目的资金落实情况：见投标人须知前附表。</w:t>
      </w:r>
    </w:p>
    <w:p w14:paraId="6A8034AB">
      <w:pPr>
        <w:pStyle w:val="5"/>
        <w:numPr>
          <w:ilvl w:val="1"/>
          <w:numId w:val="4"/>
        </w:numPr>
        <w:tabs>
          <w:tab w:val="left" w:pos="704"/>
        </w:tabs>
        <w:spacing w:before="1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招标内容和质量要求</w:t>
      </w:r>
    </w:p>
    <w:p w14:paraId="6ACAA6A0">
      <w:pPr>
        <w:pStyle w:val="27"/>
        <w:numPr>
          <w:ilvl w:val="2"/>
          <w:numId w:val="4"/>
        </w:numPr>
        <w:tabs>
          <w:tab w:val="left" w:pos="1270"/>
        </w:tabs>
        <w:spacing w:before="186"/>
        <w:ind w:left="127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本次招标内容：见投标人须知前附表。</w:t>
      </w:r>
    </w:p>
    <w:p w14:paraId="098D9FAF">
      <w:pPr>
        <w:pStyle w:val="27"/>
        <w:numPr>
          <w:ilvl w:val="2"/>
          <w:numId w:val="4"/>
        </w:numPr>
        <w:tabs>
          <w:tab w:val="left" w:pos="1270"/>
        </w:tabs>
        <w:spacing w:before="186"/>
        <w:ind w:left="127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本次招标的交货期：见投标人须知前附表。</w:t>
      </w:r>
    </w:p>
    <w:p w14:paraId="5AED49C0">
      <w:pPr>
        <w:pStyle w:val="27"/>
        <w:numPr>
          <w:ilvl w:val="2"/>
          <w:numId w:val="4"/>
        </w:numPr>
        <w:tabs>
          <w:tab w:val="left" w:pos="1270"/>
        </w:tabs>
        <w:spacing w:before="186"/>
        <w:ind w:left="127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本次招标的质量标准：见投标人须知前附表。</w:t>
      </w:r>
    </w:p>
    <w:p w14:paraId="1728498A">
      <w:pPr>
        <w:pStyle w:val="5"/>
        <w:numPr>
          <w:ilvl w:val="1"/>
          <w:numId w:val="4"/>
        </w:numPr>
        <w:tabs>
          <w:tab w:val="left" w:pos="704"/>
        </w:tabs>
        <w:spacing w:before="131"/>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投标人资格要求</w:t>
      </w:r>
    </w:p>
    <w:p w14:paraId="65E7A96F">
      <w:pPr>
        <w:pStyle w:val="5"/>
        <w:tabs>
          <w:tab w:val="left" w:pos="704"/>
        </w:tabs>
        <w:spacing w:before="131"/>
        <w:ind w:left="218" w:firstLine="468" w:firstLineChars="200"/>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rPr>
        <w:t>1.4.1</w:t>
      </w:r>
      <w:r>
        <w:rPr>
          <w:rFonts w:hint="eastAsia" w:ascii="宋体" w:hAnsi="宋体" w:eastAsia="宋体" w:cs="宋体"/>
          <w:b w:val="0"/>
          <w:bCs w:val="0"/>
          <w:color w:val="auto"/>
          <w:spacing w:val="-3"/>
          <w:sz w:val="24"/>
          <w:szCs w:val="24"/>
          <w:highlight w:val="none"/>
        </w:rPr>
        <w:t>投标人应具备的资质条件见投标人须知前附表；</w:t>
      </w:r>
    </w:p>
    <w:p w14:paraId="1AF71B20">
      <w:pPr>
        <w:pStyle w:val="5"/>
        <w:tabs>
          <w:tab w:val="left" w:pos="704"/>
        </w:tabs>
        <w:spacing w:before="131"/>
        <w:ind w:left="218" w:firstLine="468" w:firstLineChars="200"/>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rPr>
        <w:t xml:space="preserve">1.4.2 </w:t>
      </w:r>
      <w:r>
        <w:rPr>
          <w:rFonts w:hint="eastAsia" w:ascii="宋体" w:hAnsi="宋体" w:eastAsia="宋体" w:cs="宋体"/>
          <w:b w:val="0"/>
          <w:bCs w:val="0"/>
          <w:color w:val="auto"/>
          <w:spacing w:val="-3"/>
          <w:sz w:val="24"/>
          <w:szCs w:val="24"/>
          <w:highlight w:val="none"/>
        </w:rPr>
        <w:t>投标人不得存在下列情形之一：</w:t>
      </w:r>
    </w:p>
    <w:p w14:paraId="42A16FB9">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1</w:t>
      </w:r>
      <w:r>
        <w:rPr>
          <w:rFonts w:hint="eastAsia" w:ascii="宋体" w:hAnsi="宋体" w:eastAsia="宋体" w:cs="宋体"/>
          <w:color w:val="auto"/>
          <w:spacing w:val="-3"/>
          <w:sz w:val="24"/>
          <w:szCs w:val="24"/>
          <w:highlight w:val="none"/>
        </w:rPr>
        <w:t>）与采购人存在利害关系且可能影响招标公正性；</w:t>
      </w:r>
    </w:p>
    <w:p w14:paraId="743E4074">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2</w:t>
      </w:r>
      <w:r>
        <w:rPr>
          <w:rFonts w:hint="eastAsia" w:ascii="宋体" w:hAnsi="宋体" w:eastAsia="宋体" w:cs="宋体"/>
          <w:color w:val="auto"/>
          <w:spacing w:val="-3"/>
          <w:sz w:val="24"/>
          <w:szCs w:val="24"/>
          <w:highlight w:val="none"/>
        </w:rPr>
        <w:t>）与本招标项目的其他投标人为同一个单位负责人；</w:t>
      </w:r>
    </w:p>
    <w:p w14:paraId="5360BC1E">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3</w:t>
      </w:r>
      <w:r>
        <w:rPr>
          <w:rFonts w:hint="eastAsia" w:ascii="宋体" w:hAnsi="宋体" w:eastAsia="宋体" w:cs="宋体"/>
          <w:color w:val="auto"/>
          <w:spacing w:val="-3"/>
          <w:sz w:val="24"/>
          <w:szCs w:val="24"/>
          <w:highlight w:val="none"/>
        </w:rPr>
        <w:t>）与本招标项目的其他投标人存在控股、管理关系；</w:t>
      </w:r>
    </w:p>
    <w:p w14:paraId="140B5646">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4</w:t>
      </w:r>
      <w:r>
        <w:rPr>
          <w:rFonts w:hint="eastAsia" w:ascii="宋体" w:hAnsi="宋体" w:eastAsia="宋体" w:cs="宋体"/>
          <w:color w:val="auto"/>
          <w:spacing w:val="-3"/>
          <w:sz w:val="24"/>
          <w:szCs w:val="24"/>
          <w:highlight w:val="none"/>
        </w:rPr>
        <w:t>）为本招标项目的招标代理机构；</w:t>
      </w:r>
    </w:p>
    <w:p w14:paraId="205DC3D1">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5</w:t>
      </w:r>
      <w:r>
        <w:rPr>
          <w:rFonts w:hint="eastAsia" w:ascii="宋体" w:hAnsi="宋体" w:eastAsia="宋体" w:cs="宋体"/>
          <w:color w:val="auto"/>
          <w:spacing w:val="-3"/>
          <w:sz w:val="24"/>
          <w:szCs w:val="24"/>
          <w:highlight w:val="none"/>
        </w:rPr>
        <w:t>）与本招标项目的招标代理机构存在控股或参股关系；</w:t>
      </w:r>
    </w:p>
    <w:p w14:paraId="6BDDE11E">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6</w:t>
      </w:r>
      <w:r>
        <w:rPr>
          <w:rFonts w:hint="eastAsia" w:ascii="宋体" w:hAnsi="宋体" w:eastAsia="宋体" w:cs="宋体"/>
          <w:color w:val="auto"/>
          <w:spacing w:val="-3"/>
          <w:sz w:val="24"/>
          <w:szCs w:val="24"/>
          <w:highlight w:val="none"/>
        </w:rPr>
        <w:t>）被依法暂停或者取消投标资格；</w:t>
      </w:r>
    </w:p>
    <w:p w14:paraId="10C7244A">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7</w:t>
      </w:r>
      <w:r>
        <w:rPr>
          <w:rFonts w:hint="eastAsia" w:ascii="宋体" w:hAnsi="宋体" w:eastAsia="宋体" w:cs="宋体"/>
          <w:color w:val="auto"/>
          <w:spacing w:val="-3"/>
          <w:sz w:val="24"/>
          <w:szCs w:val="24"/>
          <w:highlight w:val="none"/>
        </w:rPr>
        <w:t>）被责令停产停业、暂扣或者吊销许可证、暂扣或者吊销执照；</w:t>
      </w:r>
    </w:p>
    <w:p w14:paraId="755203BC">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8</w:t>
      </w:r>
      <w:r>
        <w:rPr>
          <w:rFonts w:hint="eastAsia" w:ascii="宋体" w:hAnsi="宋体" w:eastAsia="宋体" w:cs="宋体"/>
          <w:color w:val="auto"/>
          <w:spacing w:val="-3"/>
          <w:sz w:val="24"/>
          <w:szCs w:val="24"/>
          <w:highlight w:val="none"/>
        </w:rPr>
        <w:t>）进入清算程序，或被宣告破产，或其他丧失履约能力的情形；</w:t>
      </w:r>
    </w:p>
    <w:p w14:paraId="3A00C237">
      <w:pPr>
        <w:pStyle w:val="27"/>
        <w:tabs>
          <w:tab w:val="left" w:pos="1270"/>
        </w:tabs>
        <w:spacing w:before="186"/>
        <w:ind w:left="63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9</w:t>
      </w:r>
      <w:r>
        <w:rPr>
          <w:rFonts w:hint="eastAsia" w:ascii="宋体" w:hAnsi="宋体" w:eastAsia="宋体" w:cs="宋体"/>
          <w:color w:val="auto"/>
          <w:spacing w:val="-3"/>
          <w:sz w:val="24"/>
          <w:szCs w:val="24"/>
          <w:highlight w:val="none"/>
        </w:rPr>
        <w:t>）法律法规或投标人须知前附表规定的其他情形。</w:t>
      </w:r>
    </w:p>
    <w:p w14:paraId="7B4E15A1">
      <w:pPr>
        <w:pStyle w:val="5"/>
        <w:numPr>
          <w:ilvl w:val="1"/>
          <w:numId w:val="4"/>
        </w:numPr>
        <w:tabs>
          <w:tab w:val="left" w:pos="704"/>
        </w:tabs>
        <w:spacing w:before="131"/>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费用承担</w:t>
      </w:r>
    </w:p>
    <w:p w14:paraId="256AEF90">
      <w:pPr>
        <w:pStyle w:val="27"/>
        <w:tabs>
          <w:tab w:val="left" w:pos="1330"/>
        </w:tabs>
        <w:spacing w:before="152" w:line="355" w:lineRule="auto"/>
        <w:ind w:left="238" w:right="56" w:firstLine="526" w:firstLineChars="225"/>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rPr>
        <w:t>投标人准备和参加投标活动发生的费用自理。中标人承担中标服务费，</w:t>
      </w:r>
      <w:r>
        <w:rPr>
          <w:rFonts w:hint="eastAsia" w:ascii="宋体" w:hAnsi="宋体" w:eastAsia="宋体" w:cs="宋体"/>
          <w:color w:val="auto"/>
          <w:spacing w:val="-3"/>
          <w:sz w:val="24"/>
          <w:szCs w:val="24"/>
          <w:highlight w:val="none"/>
          <w:lang w:val="en-US" w:eastAsia="zh-CN"/>
        </w:rPr>
        <w:t>收费标准详见投标人须知前附表。</w:t>
      </w:r>
    </w:p>
    <w:p w14:paraId="002B246C">
      <w:pPr>
        <w:pStyle w:val="5"/>
        <w:numPr>
          <w:ilvl w:val="1"/>
          <w:numId w:val="4"/>
        </w:numPr>
        <w:tabs>
          <w:tab w:val="left" w:pos="704"/>
        </w:tabs>
        <w:spacing w:before="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保密</w:t>
      </w:r>
    </w:p>
    <w:p w14:paraId="4B33CDAE">
      <w:pPr>
        <w:pStyle w:val="9"/>
        <w:spacing w:before="155" w:line="355" w:lineRule="auto"/>
        <w:ind w:left="218" w:right="-144"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参与招标投标活动的各方应对招标文件和投标文件中的商业和技术等秘密保密，违者应对由此造成的后果承担法律责任。</w:t>
      </w:r>
    </w:p>
    <w:p w14:paraId="686B54B3">
      <w:pPr>
        <w:pStyle w:val="5"/>
        <w:numPr>
          <w:ilvl w:val="1"/>
          <w:numId w:val="4"/>
        </w:numPr>
        <w:tabs>
          <w:tab w:val="left" w:pos="704"/>
        </w:tabs>
        <w:spacing w:line="2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语言文字</w:t>
      </w:r>
    </w:p>
    <w:p w14:paraId="42D0B2EB">
      <w:pPr>
        <w:pStyle w:val="9"/>
        <w:spacing w:before="142"/>
        <w:ind w:right="-105" w:rightChars="-50" w:firstLine="753" w:firstLineChars="3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除专用术语外，与招标投标有关的语言均使用中文。必要时专用术语应附有中文注释。</w:t>
      </w:r>
    </w:p>
    <w:p w14:paraId="542EE9D4">
      <w:pPr>
        <w:pStyle w:val="5"/>
        <w:numPr>
          <w:ilvl w:val="1"/>
          <w:numId w:val="4"/>
        </w:numPr>
        <w:tabs>
          <w:tab w:val="left" w:pos="420"/>
        </w:tabs>
        <w:spacing w:before="133"/>
        <w:ind w:hanging="4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计量单位</w:t>
      </w:r>
    </w:p>
    <w:p w14:paraId="528A07C6">
      <w:pPr>
        <w:pStyle w:val="9"/>
        <w:spacing w:before="155"/>
        <w:ind w:left="6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69CC35C9">
      <w:pPr>
        <w:pStyle w:val="5"/>
        <w:numPr>
          <w:ilvl w:val="1"/>
          <w:numId w:val="4"/>
        </w:numPr>
        <w:tabs>
          <w:tab w:val="left" w:pos="420"/>
        </w:tabs>
        <w:spacing w:before="130"/>
        <w:ind w:hanging="4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踏勘现场（本项目不组织，自行勘察）</w:t>
      </w:r>
    </w:p>
    <w:p w14:paraId="3C54F883">
      <w:pPr>
        <w:pStyle w:val="27"/>
        <w:numPr>
          <w:ilvl w:val="2"/>
          <w:numId w:val="4"/>
        </w:numPr>
        <w:tabs>
          <w:tab w:val="left" w:pos="1330"/>
        </w:tabs>
        <w:spacing w:before="152" w:line="355" w:lineRule="auto"/>
        <w:ind w:left="18" w:right="56" w:firstLine="6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投标人须知前附表规定组织踏勘现场的，采购人按投标人须知前附表规定的时间、地点组织投标人踏勘项目现场。</w:t>
      </w:r>
    </w:p>
    <w:p w14:paraId="1551E77C">
      <w:pPr>
        <w:pStyle w:val="27"/>
        <w:numPr>
          <w:ilvl w:val="2"/>
          <w:numId w:val="4"/>
        </w:numPr>
        <w:tabs>
          <w:tab w:val="left" w:pos="1330"/>
        </w:tabs>
        <w:spacing w:before="35"/>
        <w:ind w:left="133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投标人踏勘现场发生的费用自理。</w:t>
      </w:r>
    </w:p>
    <w:p w14:paraId="412670F6">
      <w:pPr>
        <w:pStyle w:val="27"/>
        <w:numPr>
          <w:ilvl w:val="2"/>
          <w:numId w:val="4"/>
        </w:numPr>
        <w:tabs>
          <w:tab w:val="left" w:pos="1330"/>
        </w:tabs>
        <w:spacing w:before="160"/>
        <w:ind w:left="133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除采购人的原因外，投标人自行负责在踏勘现场中所发生的人员伤亡和财产损</w:t>
      </w:r>
    </w:p>
    <w:p w14:paraId="4AD17BB0">
      <w:pPr>
        <w:pStyle w:val="27"/>
        <w:tabs>
          <w:tab w:val="left" w:pos="1330"/>
        </w:tabs>
        <w:spacing w:before="160"/>
        <w:ind w:left="0" w:firstLine="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失。</w:t>
      </w:r>
    </w:p>
    <w:p w14:paraId="59942EE0">
      <w:pPr>
        <w:pStyle w:val="27"/>
        <w:numPr>
          <w:ilvl w:val="2"/>
          <w:numId w:val="4"/>
        </w:numPr>
        <w:tabs>
          <w:tab w:val="left" w:pos="1330"/>
        </w:tabs>
        <w:spacing w:before="161" w:line="355" w:lineRule="auto"/>
        <w:ind w:left="18" w:right="56" w:firstLine="6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采购人在踏勘现场中介绍的工程场地和相关的周边环境情况，供投标人在编制投标文件时参考，采购人不对投标人据此作出的判断和决策负责。</w:t>
      </w:r>
    </w:p>
    <w:p w14:paraId="634BA711">
      <w:pPr>
        <w:pStyle w:val="5"/>
        <w:tabs>
          <w:tab w:val="left" w:pos="824"/>
        </w:tabs>
        <w:spacing w:line="304" w:lineRule="exact"/>
        <w:ind w:left="216" w:leftChars="103" w:firstLine="3"/>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1.10 投标预备会（本项目不召开）</w:t>
      </w:r>
    </w:p>
    <w:p w14:paraId="01553151">
      <w:pPr>
        <w:pStyle w:val="27"/>
        <w:tabs>
          <w:tab w:val="left" w:pos="1436"/>
        </w:tabs>
        <w:spacing w:before="152" w:line="355" w:lineRule="auto"/>
        <w:ind w:left="18" w:right="53" w:rightChars="25" w:firstLine="761" w:firstLineChars="34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rPr>
        <w:t xml:space="preserve">1.10.1 </w:t>
      </w:r>
      <w:r>
        <w:rPr>
          <w:rFonts w:hint="eastAsia" w:ascii="宋体" w:hAnsi="宋体" w:eastAsia="宋体" w:cs="宋体"/>
          <w:color w:val="auto"/>
          <w:spacing w:val="-3"/>
          <w:sz w:val="24"/>
          <w:szCs w:val="24"/>
          <w:highlight w:val="none"/>
        </w:rPr>
        <w:t>投标人须知前附表规定召开投标预备会的，采购人按投标人须知前附表规定的时间和地点召开投标预备会，澄清投标人提出的问题。</w:t>
      </w:r>
    </w:p>
    <w:p w14:paraId="6475AC53">
      <w:pPr>
        <w:pStyle w:val="27"/>
        <w:tabs>
          <w:tab w:val="left" w:pos="1436"/>
        </w:tabs>
        <w:spacing w:before="34" w:line="355" w:lineRule="auto"/>
        <w:ind w:left="18" w:right="-136" w:rightChars="-65" w:firstLine="761" w:firstLineChars="34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rPr>
        <w:t xml:space="preserve">1.10.2 </w:t>
      </w:r>
      <w:r>
        <w:rPr>
          <w:rFonts w:hint="eastAsia" w:ascii="宋体" w:hAnsi="宋体" w:eastAsia="宋体" w:cs="宋体"/>
          <w:color w:val="auto"/>
          <w:spacing w:val="-3"/>
          <w:sz w:val="24"/>
          <w:szCs w:val="24"/>
          <w:highlight w:val="none"/>
        </w:rPr>
        <w:t>投标人应在投标人须知前附表规定的时间前，通过平顶山市公共资源交易中心电子交易平台将提出的问题送达采购人，以便采购人在会议期间澄清。</w:t>
      </w:r>
    </w:p>
    <w:p w14:paraId="74A8E1CF">
      <w:pPr>
        <w:pStyle w:val="27"/>
        <w:tabs>
          <w:tab w:val="left" w:pos="1436"/>
        </w:tabs>
        <w:spacing w:before="35" w:line="357" w:lineRule="auto"/>
        <w:ind w:left="18" w:right="-155" w:rightChars="-74" w:firstLine="707" w:firstLineChars="340"/>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lang w:val="en-US"/>
        </w:rPr>
        <w:t xml:space="preserve">1.10.3 </w:t>
      </w:r>
      <w:r>
        <w:rPr>
          <w:rFonts w:hint="eastAsia" w:ascii="宋体" w:hAnsi="宋体" w:eastAsia="宋体" w:cs="宋体"/>
          <w:color w:val="auto"/>
          <w:spacing w:val="-3"/>
          <w:sz w:val="24"/>
          <w:szCs w:val="24"/>
          <w:highlight w:val="none"/>
        </w:rPr>
        <w:t>投标预备会后，采购人在投标人须知前附表规定的时间内，将对投标人所提问题的澄清，通过平顶山市公共资源交易中心电子交易平台通知所有下载招标文件的投标人。该澄清内容为招标文件的组成部分。</w:t>
      </w:r>
    </w:p>
    <w:p w14:paraId="54088556">
      <w:pPr>
        <w:pStyle w:val="5"/>
        <w:tabs>
          <w:tab w:val="left" w:pos="824"/>
        </w:tabs>
        <w:spacing w:line="304" w:lineRule="exact"/>
        <w:ind w:left="216" w:leftChars="103" w:firstLine="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1.11 </w:t>
      </w:r>
      <w:r>
        <w:rPr>
          <w:rFonts w:hint="eastAsia" w:ascii="宋体" w:hAnsi="宋体" w:eastAsia="宋体" w:cs="宋体"/>
          <w:color w:val="auto"/>
          <w:sz w:val="24"/>
          <w:szCs w:val="24"/>
          <w:highlight w:val="none"/>
        </w:rPr>
        <w:t>分包</w:t>
      </w:r>
    </w:p>
    <w:p w14:paraId="06950258">
      <w:pPr>
        <w:pStyle w:val="9"/>
        <w:spacing w:before="214"/>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本项目不允许分包。</w:t>
      </w:r>
    </w:p>
    <w:p w14:paraId="70850614">
      <w:pPr>
        <w:pStyle w:val="5"/>
        <w:tabs>
          <w:tab w:val="left" w:pos="824"/>
        </w:tabs>
        <w:spacing w:before="130"/>
        <w:ind w:left="216" w:leftChars="103" w:firstLine="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1.12 </w:t>
      </w:r>
      <w:r>
        <w:rPr>
          <w:rFonts w:hint="eastAsia" w:ascii="宋体" w:hAnsi="宋体" w:eastAsia="宋体" w:cs="宋体"/>
          <w:color w:val="auto"/>
          <w:sz w:val="24"/>
          <w:szCs w:val="24"/>
          <w:highlight w:val="none"/>
        </w:rPr>
        <w:t>偏离</w:t>
      </w:r>
    </w:p>
    <w:p w14:paraId="1523988B">
      <w:pPr>
        <w:pStyle w:val="9"/>
        <w:spacing w:before="155" w:line="355" w:lineRule="auto"/>
        <w:ind w:left="218" w:right="76" w:firstLine="480"/>
        <w:rPr>
          <w:rFonts w:hint="eastAsia" w:ascii="宋体" w:hAnsi="宋体" w:eastAsia="宋体" w:cs="宋体"/>
          <w:b/>
          <w:color w:val="auto"/>
          <w:sz w:val="24"/>
          <w:szCs w:val="24"/>
          <w:highlight w:val="none"/>
          <w:lang w:val="en-US"/>
        </w:rPr>
      </w:pPr>
      <w:r>
        <w:rPr>
          <w:rFonts w:hint="eastAsia" w:ascii="宋体" w:hAnsi="宋体" w:eastAsia="宋体" w:cs="宋体"/>
          <w:color w:val="auto"/>
          <w:sz w:val="24"/>
          <w:szCs w:val="24"/>
          <w:highlight w:val="none"/>
        </w:rPr>
        <w:t>偏离应当符合招标文件规定的偏离范围和幅度。</w:t>
      </w:r>
      <w:bookmarkStart w:id="9" w:name="_bookmark4"/>
      <w:bookmarkEnd w:id="9"/>
    </w:p>
    <w:p w14:paraId="01A734A1">
      <w:pPr>
        <w:pStyle w:val="27"/>
        <w:tabs>
          <w:tab w:val="left" w:pos="4413"/>
        </w:tabs>
        <w:ind w:left="36" w:leftChars="-100" w:hanging="246" w:hangingChars="1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2.</w:t>
      </w:r>
      <w:r>
        <w:rPr>
          <w:rFonts w:hint="eastAsia" w:ascii="宋体" w:hAnsi="宋体" w:eastAsia="宋体" w:cs="宋体"/>
          <w:b/>
          <w:color w:val="auto"/>
          <w:sz w:val="24"/>
          <w:szCs w:val="24"/>
          <w:highlight w:val="none"/>
        </w:rPr>
        <w:t>招标文件</w:t>
      </w:r>
    </w:p>
    <w:p w14:paraId="1FBFBC1A">
      <w:pPr>
        <w:pStyle w:val="5"/>
        <w:tabs>
          <w:tab w:val="left" w:pos="824"/>
        </w:tabs>
        <w:spacing w:before="130"/>
        <w:ind w:left="218" w:firstLine="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2.1招标文件的组成</w:t>
      </w:r>
    </w:p>
    <w:p w14:paraId="05421115">
      <w:pPr>
        <w:pStyle w:val="9"/>
        <w:spacing w:before="155"/>
        <w:ind w:left="6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本招标文件包括：</w:t>
      </w:r>
    </w:p>
    <w:p w14:paraId="6448FCAB">
      <w:pPr>
        <w:pStyle w:val="27"/>
        <w:numPr>
          <w:ilvl w:val="2"/>
          <w:numId w:val="5"/>
        </w:numPr>
        <w:tabs>
          <w:tab w:val="left" w:pos="1228"/>
        </w:tabs>
        <w:spacing w:before="16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招标公告</w:t>
      </w:r>
    </w:p>
    <w:p w14:paraId="72ABDFFB">
      <w:pPr>
        <w:pStyle w:val="27"/>
        <w:numPr>
          <w:ilvl w:val="2"/>
          <w:numId w:val="5"/>
        </w:numPr>
        <w:tabs>
          <w:tab w:val="left" w:pos="1228"/>
        </w:tabs>
        <w:spacing w:before="162"/>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投标人须知</w:t>
      </w:r>
    </w:p>
    <w:p w14:paraId="5258A745">
      <w:pPr>
        <w:pStyle w:val="27"/>
        <w:numPr>
          <w:ilvl w:val="2"/>
          <w:numId w:val="5"/>
        </w:numPr>
        <w:tabs>
          <w:tab w:val="left" w:pos="1228"/>
        </w:tabs>
        <w:spacing w:before="16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评标办法</w:t>
      </w:r>
    </w:p>
    <w:p w14:paraId="37D7CBA8">
      <w:pPr>
        <w:pStyle w:val="27"/>
        <w:numPr>
          <w:ilvl w:val="2"/>
          <w:numId w:val="5"/>
        </w:numPr>
        <w:tabs>
          <w:tab w:val="left" w:pos="1228"/>
        </w:tabs>
        <w:spacing w:before="16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合同条款及格式</w:t>
      </w:r>
    </w:p>
    <w:p w14:paraId="7EE13298">
      <w:pPr>
        <w:pStyle w:val="27"/>
        <w:numPr>
          <w:ilvl w:val="2"/>
          <w:numId w:val="5"/>
        </w:numPr>
        <w:tabs>
          <w:tab w:val="left" w:pos="1228"/>
        </w:tabs>
        <w:spacing w:before="16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采购内容及技术要求</w:t>
      </w:r>
    </w:p>
    <w:p w14:paraId="3DE7EC1E">
      <w:pPr>
        <w:pStyle w:val="27"/>
        <w:numPr>
          <w:ilvl w:val="2"/>
          <w:numId w:val="5"/>
        </w:numPr>
        <w:tabs>
          <w:tab w:val="left" w:pos="1228"/>
        </w:tabs>
        <w:spacing w:before="16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投标文件格式</w:t>
      </w:r>
    </w:p>
    <w:p w14:paraId="27C8166D">
      <w:pPr>
        <w:pStyle w:val="9"/>
        <w:spacing w:before="160" w:line="357" w:lineRule="auto"/>
        <w:ind w:left="218" w:right="-144"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根据本章招标文件所作的澄清、修改，构成招标文件的组成部分。</w:t>
      </w:r>
    </w:p>
    <w:p w14:paraId="37B8D992">
      <w:pPr>
        <w:pStyle w:val="5"/>
        <w:tabs>
          <w:tab w:val="left" w:pos="824"/>
        </w:tabs>
        <w:spacing w:before="31" w:beforeLines="10" w:after="115" w:afterLines="37"/>
        <w:ind w:left="59" w:leftChars="28" w:firstLine="241"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 </w:t>
      </w:r>
      <w:r>
        <w:rPr>
          <w:rFonts w:hint="eastAsia" w:ascii="宋体" w:hAnsi="宋体" w:eastAsia="宋体" w:cs="宋体"/>
          <w:color w:val="auto"/>
          <w:sz w:val="24"/>
          <w:szCs w:val="24"/>
          <w:highlight w:val="none"/>
        </w:rPr>
        <w:t>招标文件的澄清</w:t>
      </w:r>
    </w:p>
    <w:p w14:paraId="729310DE">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 xml:space="preserve">2.2.1 投标人应仔细阅读和检查招标文件的全部内容。如发现缺页或附件不全或者疑问，应在投标人须知前附表规定的时间前在电子交易系统中提出，并告知代理机构，要求采购人对招标文件予以澄清。      </w:t>
      </w:r>
    </w:p>
    <w:p w14:paraId="7DC10F48">
      <w:pPr>
        <w:pStyle w:val="27"/>
        <w:tabs>
          <w:tab w:val="left" w:pos="1270"/>
          <w:tab w:val="left" w:pos="8140"/>
        </w:tabs>
        <w:spacing w:line="360" w:lineRule="auto"/>
        <w:ind w:left="0" w:firstLine="514" w:firstLineChars="220"/>
        <w:jc w:val="both"/>
        <w:rPr>
          <w:rFonts w:hint="eastAsia" w:ascii="宋体" w:hAnsi="宋体" w:eastAsia="宋体" w:cs="宋体"/>
          <w:b/>
          <w:bCs/>
          <w:color w:val="auto"/>
          <w:sz w:val="24"/>
          <w:szCs w:val="24"/>
          <w:highlight w:val="none"/>
          <w:lang w:val="en-US"/>
        </w:rPr>
      </w:pPr>
      <w:r>
        <w:rPr>
          <w:rFonts w:hint="eastAsia" w:ascii="宋体" w:hAnsi="宋体" w:eastAsia="宋体" w:cs="宋体"/>
          <w:color w:val="auto"/>
          <w:spacing w:val="-3"/>
          <w:kern w:val="2"/>
          <w:sz w:val="24"/>
          <w:szCs w:val="24"/>
          <w:highlight w:val="none"/>
          <w:lang w:val="en-US"/>
        </w:rPr>
        <w:t>2.2.2 招标文件的澄清将在投标人须知前附表规定的投标截止时间15天前在电子交易系统中予以澄清形式公示给所有下载招标文件的投标人，但不指明澄清问题的来源。如果澄清发出的时间距投标截止时间不足</w:t>
      </w:r>
      <w:r>
        <w:rPr>
          <w:rFonts w:hint="eastAsia" w:ascii="宋体" w:hAnsi="宋体" w:eastAsia="宋体" w:cs="宋体"/>
          <w:color w:val="auto"/>
          <w:spacing w:val="-3"/>
          <w:sz w:val="24"/>
          <w:szCs w:val="24"/>
          <w:highlight w:val="none"/>
        </w:rPr>
        <w:t>15天的，相应延长投标截止时间。</w:t>
      </w:r>
    </w:p>
    <w:p w14:paraId="603F1C37">
      <w:pPr>
        <w:pStyle w:val="6"/>
        <w:tabs>
          <w:tab w:val="left" w:pos="704"/>
          <w:tab w:val="left" w:pos="8140"/>
        </w:tabs>
        <w:spacing w:before="93" w:beforeLines="30" w:after="93" w:afterLines="30"/>
        <w:ind w:left="0" w:firstLine="241" w:firstLineChars="10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2.3 招标文件的修改</w:t>
      </w:r>
    </w:p>
    <w:p w14:paraId="0B21BEE5">
      <w:pPr>
        <w:snapToGrid w:val="0"/>
        <w:spacing w:line="360" w:lineRule="auto"/>
        <w:ind w:firstLine="702" w:firstLineChars="3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2.3.1在投标截止日15天前，采购人或采购代理机构可以在电子交易系统中补充、修改招标文件，并公示给所有下载招标文件的投标人。如果修改招标文件的时间距投标截止时间不足15天的，相应延长投标截止时间。</w:t>
      </w:r>
    </w:p>
    <w:p w14:paraId="0B4D36DD">
      <w:pPr>
        <w:pStyle w:val="27"/>
        <w:tabs>
          <w:tab w:val="left" w:pos="1330"/>
        </w:tabs>
        <w:spacing w:before="29" w:line="355" w:lineRule="auto"/>
        <w:ind w:left="-22" w:leftChars="-100" w:right="-136" w:rightChars="-65" w:hanging="188" w:hangingChars="78"/>
        <w:jc w:val="both"/>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3.投标文件</w:t>
      </w:r>
    </w:p>
    <w:p w14:paraId="65D3C8DD">
      <w:pPr>
        <w:snapToGrid w:val="0"/>
        <w:spacing w:line="360" w:lineRule="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3.1 投标文件的组成：</w:t>
      </w:r>
    </w:p>
    <w:p w14:paraId="22700A28">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sz w:val="24"/>
          <w:szCs w:val="24"/>
          <w:highlight w:val="none"/>
        </w:rPr>
        <w:t>3.1.</w:t>
      </w:r>
      <w:r>
        <w:rPr>
          <w:rFonts w:hint="eastAsia" w:ascii="宋体" w:hAnsi="宋体" w:eastAsia="宋体" w:cs="宋体"/>
          <w:color w:val="auto"/>
          <w:spacing w:val="-3"/>
          <w:kern w:val="2"/>
          <w:sz w:val="24"/>
          <w:szCs w:val="24"/>
          <w:highlight w:val="none"/>
          <w:lang w:val="en-US"/>
        </w:rPr>
        <w:t>1 投标文件应包含下列内容：</w:t>
      </w:r>
    </w:p>
    <w:p w14:paraId="201C6FAD">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（1）投标函</w:t>
      </w:r>
    </w:p>
    <w:p w14:paraId="6C14DF1F">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（2）开标一览表</w:t>
      </w:r>
    </w:p>
    <w:p w14:paraId="1524009A">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（3）法定代表人身份证明及授权委托书</w:t>
      </w:r>
    </w:p>
    <w:p w14:paraId="34B1F488">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（4）投标分项报价表</w:t>
      </w:r>
    </w:p>
    <w:p w14:paraId="66632816">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（5）技术参数偏离表</w:t>
      </w:r>
    </w:p>
    <w:p w14:paraId="3318E9BB">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（6）类似业绩一览表</w:t>
      </w:r>
    </w:p>
    <w:p w14:paraId="377C8EEE">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（7）技术方案</w:t>
      </w:r>
    </w:p>
    <w:p w14:paraId="2568725B">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（8）资格审查资料</w:t>
      </w:r>
    </w:p>
    <w:p w14:paraId="6CA935F1">
      <w:pPr>
        <w:pStyle w:val="27"/>
        <w:tabs>
          <w:tab w:val="left" w:pos="1270"/>
          <w:tab w:val="left" w:pos="8140"/>
        </w:tabs>
        <w:spacing w:line="360" w:lineRule="auto"/>
        <w:ind w:left="0" w:firstLine="489" w:firstLineChars="209"/>
        <w:jc w:val="both"/>
        <w:rPr>
          <w:rFonts w:hint="eastAsia" w:ascii="宋体" w:hAnsi="宋体" w:eastAsia="宋体" w:cs="宋体"/>
          <w:color w:val="auto"/>
          <w:spacing w:val="-3"/>
          <w:kern w:val="2"/>
          <w:sz w:val="24"/>
          <w:szCs w:val="24"/>
          <w:highlight w:val="none"/>
          <w:lang w:val="en-US"/>
        </w:rPr>
      </w:pPr>
      <w:r>
        <w:rPr>
          <w:rFonts w:hint="eastAsia" w:ascii="宋体" w:hAnsi="宋体" w:eastAsia="宋体" w:cs="宋体"/>
          <w:color w:val="auto"/>
          <w:spacing w:val="-3"/>
          <w:kern w:val="2"/>
          <w:sz w:val="24"/>
          <w:szCs w:val="24"/>
          <w:highlight w:val="none"/>
          <w:lang w:val="en-US"/>
        </w:rPr>
        <w:t>（9）其它资料</w:t>
      </w:r>
    </w:p>
    <w:p w14:paraId="72771E5B">
      <w:pPr>
        <w:pStyle w:val="5"/>
        <w:tabs>
          <w:tab w:val="left" w:pos="704"/>
        </w:tabs>
        <w:spacing w:before="10" w:line="360" w:lineRule="auto"/>
        <w:ind w:left="0" w:right="-136" w:rightChars="-65" w:firstLine="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3.2 投标报价</w:t>
      </w:r>
    </w:p>
    <w:p w14:paraId="65E16647">
      <w:pPr>
        <w:tabs>
          <w:tab w:val="left" w:pos="1080"/>
        </w:tabs>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3.2.1投标报价由投标人根据自己的实际情况合理自主报价，但不得低于成本竞争。投标价格为含税及配送到招标单位，并安装验收合格后的落地价格。</w:t>
      </w:r>
    </w:p>
    <w:p w14:paraId="561E2548">
      <w:pPr>
        <w:tabs>
          <w:tab w:val="left" w:pos="1080"/>
        </w:tabs>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3.2.2投标报价应包含招标文件要求供应商承担的所有费用，包括所投产品的成本、税金、保险、运输、装卸费（货物到采购人指定到货地点）、安装、调试、验收、技术服务、培训、维护升级</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lang w:val="en-US" w:eastAsia="zh-CN"/>
        </w:rPr>
        <w:t>运输及二次搬运</w:t>
      </w:r>
      <w:r>
        <w:rPr>
          <w:rFonts w:hint="eastAsia" w:ascii="宋体" w:hAnsi="宋体" w:eastAsia="宋体" w:cs="宋体"/>
          <w:color w:val="auto"/>
          <w:spacing w:val="-3"/>
          <w:sz w:val="24"/>
          <w:szCs w:val="24"/>
          <w:highlight w:val="none"/>
        </w:rPr>
        <w:t>由此引起的费用增加等相关的伴随服务费、</w:t>
      </w:r>
      <w:r>
        <w:rPr>
          <w:rFonts w:hint="eastAsia" w:ascii="宋体" w:hAnsi="宋体" w:eastAsia="宋体" w:cs="宋体"/>
          <w:color w:val="auto"/>
          <w:spacing w:val="-3"/>
          <w:sz w:val="24"/>
          <w:szCs w:val="24"/>
          <w:highlight w:val="none"/>
          <w:lang w:eastAsia="zh-CN"/>
        </w:rPr>
        <w:t>以及</w:t>
      </w:r>
      <w:r>
        <w:rPr>
          <w:rFonts w:hint="eastAsia" w:ascii="宋体" w:hAnsi="宋体" w:eastAsia="宋体" w:cs="宋体"/>
          <w:color w:val="auto"/>
          <w:spacing w:val="-3"/>
          <w:sz w:val="24"/>
          <w:szCs w:val="24"/>
          <w:highlight w:val="none"/>
        </w:rPr>
        <w:t>所投产品在货到验收合格前产生的任何检验、检疫、监测与之相关的所有费用由中标人承担。</w:t>
      </w:r>
    </w:p>
    <w:p w14:paraId="65040AE2">
      <w:pPr>
        <w:pStyle w:val="27"/>
        <w:tabs>
          <w:tab w:val="left" w:pos="440"/>
        </w:tabs>
        <w:spacing w:line="360" w:lineRule="auto"/>
        <w:ind w:lef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rPr>
        <w:t xml:space="preserve">3.2.3 </w:t>
      </w:r>
      <w:r>
        <w:rPr>
          <w:rFonts w:hint="eastAsia" w:ascii="宋体" w:hAnsi="宋体" w:eastAsia="宋体" w:cs="宋体"/>
          <w:color w:val="auto"/>
          <w:spacing w:val="-3"/>
          <w:sz w:val="24"/>
          <w:szCs w:val="24"/>
          <w:highlight w:val="none"/>
        </w:rPr>
        <w:t>投标人应充分了解该项目的总体情况以及影响投标报价的其他要素。</w:t>
      </w:r>
    </w:p>
    <w:p w14:paraId="5A1933F0">
      <w:pPr>
        <w:pStyle w:val="27"/>
        <w:tabs>
          <w:tab w:val="left" w:pos="440"/>
        </w:tabs>
        <w:spacing w:line="360" w:lineRule="auto"/>
        <w:ind w:lef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rPr>
        <w:t xml:space="preserve">3.2.4 </w:t>
      </w:r>
      <w:r>
        <w:rPr>
          <w:rFonts w:hint="eastAsia" w:ascii="宋体" w:hAnsi="宋体" w:eastAsia="宋体" w:cs="宋体"/>
          <w:color w:val="auto"/>
          <w:spacing w:val="-3"/>
          <w:sz w:val="24"/>
          <w:szCs w:val="24"/>
          <w:highlight w:val="none"/>
        </w:rPr>
        <w:t>采购人设有最高投标限价的，投标人的投标报价不得超过最高投标限价，最高投标限价在投标人须知前附表中载明。</w:t>
      </w:r>
    </w:p>
    <w:p w14:paraId="48867761">
      <w:pPr>
        <w:pStyle w:val="27"/>
        <w:tabs>
          <w:tab w:val="left" w:pos="440"/>
        </w:tabs>
        <w:spacing w:line="360" w:lineRule="auto"/>
        <w:ind w:left="253" w:leftChars="-40" w:hanging="337" w:hangingChars="14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3.3 投标有效期</w:t>
      </w:r>
    </w:p>
    <w:p w14:paraId="679FAFF6">
      <w:pPr>
        <w:pStyle w:val="27"/>
        <w:tabs>
          <w:tab w:val="left" w:pos="1270"/>
        </w:tabs>
        <w:spacing w:line="360" w:lineRule="auto"/>
        <w:ind w:left="420"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rPr>
        <w:t xml:space="preserve">3.3.1 </w:t>
      </w:r>
      <w:r>
        <w:rPr>
          <w:rFonts w:hint="eastAsia" w:ascii="宋体" w:hAnsi="宋体" w:eastAsia="宋体" w:cs="宋体"/>
          <w:color w:val="auto"/>
          <w:spacing w:val="-3"/>
          <w:sz w:val="24"/>
          <w:szCs w:val="24"/>
          <w:highlight w:val="none"/>
        </w:rPr>
        <w:t>除投标人须知前附表另有规定外，投标有效期为</w:t>
      </w:r>
      <w:r>
        <w:rPr>
          <w:rFonts w:hint="eastAsia" w:ascii="宋体" w:hAnsi="宋体" w:eastAsia="宋体" w:cs="宋体"/>
          <w:color w:val="auto"/>
          <w:spacing w:val="-3"/>
          <w:sz w:val="24"/>
          <w:szCs w:val="24"/>
          <w:highlight w:val="none"/>
          <w:u w:val="single"/>
        </w:rPr>
        <w:t xml:space="preserve"> 90 </w:t>
      </w:r>
      <w:r>
        <w:rPr>
          <w:rFonts w:hint="eastAsia" w:ascii="宋体" w:hAnsi="宋体" w:eastAsia="宋体" w:cs="宋体"/>
          <w:color w:val="auto"/>
          <w:spacing w:val="-3"/>
          <w:sz w:val="24"/>
          <w:szCs w:val="24"/>
          <w:highlight w:val="none"/>
        </w:rPr>
        <w:t>天。</w:t>
      </w:r>
    </w:p>
    <w:p w14:paraId="1AF3EADA">
      <w:pPr>
        <w:pStyle w:val="27"/>
        <w:tabs>
          <w:tab w:val="left" w:pos="1270"/>
        </w:tabs>
        <w:spacing w:line="360" w:lineRule="auto"/>
        <w:ind w:left="420"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rPr>
        <w:t xml:space="preserve">3.3.2 </w:t>
      </w:r>
      <w:r>
        <w:rPr>
          <w:rFonts w:hint="eastAsia" w:ascii="宋体" w:hAnsi="宋体" w:eastAsia="宋体" w:cs="宋体"/>
          <w:color w:val="auto"/>
          <w:spacing w:val="-3"/>
          <w:sz w:val="24"/>
          <w:szCs w:val="24"/>
          <w:highlight w:val="none"/>
        </w:rPr>
        <w:t>在投标有效期内，投标人撤销投标文件的，应承担招标文件和法律规定的责任。</w:t>
      </w:r>
    </w:p>
    <w:p w14:paraId="583C17B5">
      <w:pPr>
        <w:pStyle w:val="27"/>
        <w:tabs>
          <w:tab w:val="left" w:pos="1270"/>
        </w:tabs>
        <w:spacing w:line="360" w:lineRule="auto"/>
        <w:ind w:left="0" w:right="53" w:rightChars="25" w:firstLine="489" w:firstLineChars="20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rPr>
        <w:t xml:space="preserve">3.3.3 </w:t>
      </w:r>
      <w:r>
        <w:rPr>
          <w:rFonts w:hint="eastAsia" w:ascii="宋体" w:hAnsi="宋体" w:eastAsia="宋体" w:cs="宋体"/>
          <w:color w:val="auto"/>
          <w:spacing w:val="-3"/>
          <w:sz w:val="24"/>
          <w:szCs w:val="24"/>
          <w:highlight w:val="none"/>
        </w:rPr>
        <w:t>出现特殊情况需要延长投标有效期的，采购人以书面形式通知所有投标人延长投标有效期。投标人应予以书面答复，同意延长的，应相应延长其投标保证金的有效期， 但不得要求或被允许修改其投标文件；投标人拒绝延长的，其投标失效。</w:t>
      </w:r>
    </w:p>
    <w:p w14:paraId="25FF2EFC">
      <w:pPr>
        <w:pStyle w:val="27"/>
        <w:tabs>
          <w:tab w:val="left" w:pos="440"/>
        </w:tabs>
        <w:spacing w:line="360" w:lineRule="auto"/>
        <w:ind w:left="253" w:leftChars="-40" w:hanging="337" w:hangingChars="14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3.4 投标保证金</w:t>
      </w:r>
    </w:p>
    <w:p w14:paraId="3AF2D6D2">
      <w:pPr>
        <w:pStyle w:val="27"/>
        <w:tabs>
          <w:tab w:val="left" w:pos="440"/>
        </w:tabs>
        <w:spacing w:line="360" w:lineRule="auto"/>
        <w:ind w:left="0" w:firstLine="514" w:firstLineChars="220"/>
        <w:rPr>
          <w:rFonts w:hint="eastAsia" w:ascii="宋体" w:hAnsi="宋体" w:eastAsia="宋体" w:cs="宋体"/>
          <w:color w:val="auto"/>
          <w:spacing w:val="-3"/>
          <w:sz w:val="24"/>
          <w:szCs w:val="24"/>
          <w:highlight w:val="none"/>
          <w:lang w:val="en-US"/>
        </w:rPr>
      </w:pPr>
      <w:r>
        <w:rPr>
          <w:rFonts w:hint="eastAsia" w:ascii="宋体" w:hAnsi="宋体" w:eastAsia="宋体" w:cs="宋体"/>
          <w:color w:val="auto"/>
          <w:spacing w:val="-3"/>
          <w:sz w:val="24"/>
          <w:szCs w:val="24"/>
          <w:highlight w:val="none"/>
          <w:lang w:val="en-US" w:eastAsia="zh-CN"/>
        </w:rPr>
        <w:t>不收取</w:t>
      </w:r>
      <w:r>
        <w:rPr>
          <w:rFonts w:hint="eastAsia" w:ascii="宋体" w:hAnsi="宋体" w:eastAsia="宋体" w:cs="宋体"/>
          <w:color w:val="auto"/>
          <w:spacing w:val="-3"/>
          <w:sz w:val="24"/>
          <w:szCs w:val="24"/>
          <w:highlight w:val="none"/>
          <w:lang w:val="en-US"/>
        </w:rPr>
        <w:t>。</w:t>
      </w:r>
    </w:p>
    <w:p w14:paraId="53DCD3F3">
      <w:pPr>
        <w:pStyle w:val="27"/>
        <w:tabs>
          <w:tab w:val="left" w:pos="440"/>
        </w:tabs>
        <w:spacing w:line="360" w:lineRule="auto"/>
        <w:ind w:left="253" w:leftChars="-40" w:hanging="337" w:hangingChars="14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3.5 资格审查资料</w:t>
      </w:r>
    </w:p>
    <w:p w14:paraId="2EDCF649">
      <w:pPr>
        <w:spacing w:line="360" w:lineRule="auto"/>
        <w:ind w:right="-136" w:rightChars="-65"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详见投标人须知前附表。</w:t>
      </w:r>
    </w:p>
    <w:p w14:paraId="2115F39D">
      <w:pPr>
        <w:pStyle w:val="27"/>
        <w:tabs>
          <w:tab w:val="left" w:pos="440"/>
        </w:tabs>
        <w:spacing w:line="360" w:lineRule="auto"/>
        <w:ind w:left="253" w:leftChars="-40" w:hanging="337" w:hangingChars="14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3.6 备选投标方案（不接受）</w:t>
      </w:r>
    </w:p>
    <w:p w14:paraId="7458BD45">
      <w:pPr>
        <w:pStyle w:val="27"/>
        <w:tabs>
          <w:tab w:val="left" w:pos="1270"/>
        </w:tabs>
        <w:spacing w:line="360" w:lineRule="auto"/>
        <w:ind w:left="0" w:firstLine="489" w:firstLineChars="20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14:paraId="6DFABB5D">
      <w:pPr>
        <w:pStyle w:val="27"/>
        <w:tabs>
          <w:tab w:val="left" w:pos="440"/>
        </w:tabs>
        <w:spacing w:line="360" w:lineRule="auto"/>
        <w:ind w:left="253" w:leftChars="-40" w:hanging="337" w:hangingChars="14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3.7 投标文件的编制</w:t>
      </w:r>
    </w:p>
    <w:p w14:paraId="08285488">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3.7.1 投标文件应按招标文件第六章“投标文件格式”要求进行编写，如有必要，可以增加附页作为投标文件的组成部分，但不修改投标文件格式，如修改招标文件中规定的“投标文件格式”视为不响应形式评审要求。</w:t>
      </w:r>
    </w:p>
    <w:p w14:paraId="38823920">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3.7.2 投标文件应当对招标文件有关交货期、投标有效期、招标范围等实质性内容响应。投标文件在满足招标文件实质性要求的基础上，可以提出比招标文件要求更有利于采购人的承诺。</w:t>
      </w:r>
    </w:p>
    <w:p w14:paraId="712F4673">
      <w:pPr>
        <w:widowControl/>
        <w:spacing w:line="360" w:lineRule="auto"/>
        <w:ind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3.7.3 投标文件应尽量避免涂改、行间插字或删除。如果出现上述情况，改动之处应加盖单位章。</w:t>
      </w:r>
    </w:p>
    <w:p w14:paraId="3779FD8A">
      <w:pPr>
        <w:pStyle w:val="27"/>
        <w:tabs>
          <w:tab w:val="left" w:pos="1330"/>
        </w:tabs>
        <w:spacing w:before="29" w:line="355" w:lineRule="auto"/>
        <w:ind w:left="-22" w:leftChars="-100" w:right="-136" w:rightChars="-65" w:hanging="188" w:hangingChars="78"/>
        <w:jc w:val="both"/>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4.投标</w:t>
      </w:r>
    </w:p>
    <w:p w14:paraId="7BB44BC0">
      <w:pPr>
        <w:pStyle w:val="5"/>
        <w:numPr>
          <w:ilvl w:val="1"/>
          <w:numId w:val="6"/>
        </w:numPr>
        <w:tabs>
          <w:tab w:val="left" w:pos="440"/>
        </w:tabs>
        <w:spacing w:before="11" w:line="360" w:lineRule="auto"/>
        <w:ind w:hanging="703"/>
        <w:rPr>
          <w:rFonts w:hint="eastAsia" w:ascii="宋体" w:hAnsi="宋体" w:eastAsia="宋体" w:cs="宋体"/>
          <w:b w:val="0"/>
          <w:bCs w:val="0"/>
          <w:color w:val="auto"/>
          <w:spacing w:val="-3"/>
          <w:kern w:val="2"/>
          <w:sz w:val="24"/>
          <w:szCs w:val="24"/>
          <w:highlight w:val="none"/>
          <w:lang w:val="en-US"/>
        </w:rPr>
      </w:pPr>
      <w:r>
        <w:rPr>
          <w:rFonts w:hint="eastAsia" w:ascii="宋体" w:hAnsi="宋体" w:eastAsia="宋体" w:cs="宋体"/>
          <w:color w:val="auto"/>
          <w:sz w:val="24"/>
          <w:szCs w:val="24"/>
          <w:highlight w:val="none"/>
        </w:rPr>
        <w:t>投标文件的递交</w:t>
      </w:r>
    </w:p>
    <w:p w14:paraId="3D69C868">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4.1.1投标人应在投标人须知前附表第19项规定的投标截止时间前将加密的电子投标文件成功上传提交至《全国公共资源交易平台（河南省.平顶山市）》公共资源交易系统，供应商应充分考虑并预留技术处理和上传数据所需的时间。</w:t>
      </w:r>
    </w:p>
    <w:p w14:paraId="460B1124">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4.1.2投标人递交投标文件的地点：见投标人须知前附表。</w:t>
      </w:r>
    </w:p>
    <w:p w14:paraId="7396D2F8">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4.1.3投标人所递交的投标文件不予退还。</w:t>
      </w:r>
    </w:p>
    <w:p w14:paraId="4F57681A">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4.1.4逾期上传的投标文件，采购人不予受理。</w:t>
      </w:r>
    </w:p>
    <w:p w14:paraId="1BBAA459">
      <w:pPr>
        <w:pStyle w:val="5"/>
        <w:numPr>
          <w:ilvl w:val="1"/>
          <w:numId w:val="6"/>
        </w:numPr>
        <w:tabs>
          <w:tab w:val="left" w:pos="440"/>
        </w:tabs>
        <w:spacing w:before="11"/>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投标文件的修改与撤回</w:t>
      </w:r>
    </w:p>
    <w:p w14:paraId="4FD6F445">
      <w:pPr>
        <w:pStyle w:val="27"/>
        <w:numPr>
          <w:ilvl w:val="2"/>
          <w:numId w:val="6"/>
        </w:numPr>
        <w:tabs>
          <w:tab w:val="left" w:pos="1060"/>
        </w:tabs>
        <w:spacing w:before="154" w:line="355" w:lineRule="auto"/>
        <w:ind w:left="18" w:right="-144" w:firstLine="40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在投标人须知前附表第</w:t>
      </w:r>
      <w:r>
        <w:rPr>
          <w:rFonts w:hint="eastAsia" w:ascii="宋体" w:hAnsi="宋体" w:eastAsia="宋体" w:cs="宋体"/>
          <w:color w:val="auto"/>
          <w:spacing w:val="-3"/>
          <w:kern w:val="2"/>
          <w:sz w:val="24"/>
          <w:szCs w:val="24"/>
          <w:highlight w:val="none"/>
          <w:lang w:val="en-US"/>
        </w:rPr>
        <w:t>19</w:t>
      </w:r>
      <w:r>
        <w:rPr>
          <w:rFonts w:hint="eastAsia" w:ascii="宋体" w:hAnsi="宋体" w:eastAsia="宋体" w:cs="宋体"/>
          <w:color w:val="auto"/>
          <w:spacing w:val="-3"/>
          <w:sz w:val="24"/>
          <w:szCs w:val="24"/>
          <w:highlight w:val="none"/>
        </w:rPr>
        <w:t>项规定的投标截止时间前，投标人可以修改或撤回已递交的电子投标文件。</w:t>
      </w:r>
    </w:p>
    <w:p w14:paraId="2C02AB1B">
      <w:pPr>
        <w:pStyle w:val="27"/>
        <w:tabs>
          <w:tab w:val="left" w:pos="1330"/>
        </w:tabs>
        <w:spacing w:before="29" w:line="355" w:lineRule="auto"/>
        <w:ind w:left="-22" w:leftChars="-100" w:right="-136" w:rightChars="-65" w:hanging="188" w:hangingChars="78"/>
        <w:jc w:val="both"/>
        <w:rPr>
          <w:rFonts w:hint="eastAsia" w:ascii="宋体" w:hAnsi="宋体" w:eastAsia="宋体" w:cs="宋体"/>
          <w:b/>
          <w:color w:val="auto"/>
          <w:sz w:val="24"/>
          <w:szCs w:val="24"/>
          <w:highlight w:val="none"/>
          <w:lang w:val="en-US"/>
        </w:rPr>
      </w:pPr>
      <w:bookmarkStart w:id="10" w:name="_bookmark7"/>
      <w:bookmarkEnd w:id="10"/>
      <w:r>
        <w:rPr>
          <w:rFonts w:hint="eastAsia" w:ascii="宋体" w:hAnsi="宋体" w:eastAsia="宋体" w:cs="宋体"/>
          <w:b/>
          <w:color w:val="auto"/>
          <w:sz w:val="24"/>
          <w:szCs w:val="24"/>
          <w:highlight w:val="none"/>
          <w:lang w:val="en-US"/>
        </w:rPr>
        <w:t>5.开标</w:t>
      </w:r>
    </w:p>
    <w:p w14:paraId="3581D15F">
      <w:pPr>
        <w:pStyle w:val="5"/>
        <w:numPr>
          <w:ilvl w:val="1"/>
          <w:numId w:val="7"/>
        </w:numPr>
        <w:tabs>
          <w:tab w:val="left" w:pos="440"/>
        </w:tabs>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p w14:paraId="1F62C47E">
      <w:pPr>
        <w:pStyle w:val="28"/>
        <w:spacing w:line="400" w:lineRule="exact"/>
        <w:ind w:right="168" w:rightChars="80" w:firstLine="468" w:firstLineChars="200"/>
        <w:jc w:val="both"/>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采购人在投标人须知前附表第</w:t>
      </w:r>
      <w:r>
        <w:rPr>
          <w:rFonts w:hint="eastAsia" w:ascii="宋体" w:hAnsi="宋体" w:eastAsia="宋体" w:cs="宋体"/>
          <w:color w:val="auto"/>
          <w:spacing w:val="-3"/>
          <w:sz w:val="24"/>
          <w:szCs w:val="24"/>
          <w:highlight w:val="none"/>
          <w:lang w:val="en-US"/>
        </w:rPr>
        <w:t>19</w:t>
      </w:r>
      <w:r>
        <w:rPr>
          <w:rFonts w:hint="eastAsia" w:ascii="宋体" w:hAnsi="宋体" w:eastAsia="宋体" w:cs="宋体"/>
          <w:color w:val="auto"/>
          <w:spacing w:val="-3"/>
          <w:sz w:val="24"/>
          <w:szCs w:val="24"/>
          <w:highlight w:val="none"/>
        </w:rPr>
        <w:t>项规定的投标截止时间（开标时间）和投标人须知前附表规定的地点公开开标。</w:t>
      </w:r>
    </w:p>
    <w:p w14:paraId="676C572E">
      <w:pPr>
        <w:pStyle w:val="5"/>
        <w:tabs>
          <w:tab w:val="left" w:pos="704"/>
        </w:tabs>
        <w:spacing w:before="131" w:line="360" w:lineRule="auto"/>
        <w:ind w:left="217" w:hanging="217" w:hangingChars="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5.2 </w:t>
      </w:r>
      <w:r>
        <w:rPr>
          <w:rFonts w:hint="eastAsia" w:ascii="宋体" w:hAnsi="宋体" w:eastAsia="宋体" w:cs="宋体"/>
          <w:color w:val="auto"/>
          <w:sz w:val="24"/>
          <w:szCs w:val="24"/>
          <w:highlight w:val="none"/>
        </w:rPr>
        <w:t>开标程序</w:t>
      </w:r>
    </w:p>
    <w:p w14:paraId="717254B6">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5.2.</w:t>
      </w:r>
      <w:r>
        <w:rPr>
          <w:rFonts w:hint="eastAsia" w:ascii="宋体" w:hAnsi="宋体" w:eastAsia="宋体" w:cs="宋体"/>
          <w:b/>
          <w:bCs/>
          <w:color w:val="auto"/>
          <w:spacing w:val="-3"/>
          <w:sz w:val="24"/>
          <w:szCs w:val="24"/>
          <w:highlight w:val="none"/>
        </w:rPr>
        <w:t>1</w:t>
      </w:r>
      <w:r>
        <w:rPr>
          <w:rFonts w:hint="eastAsia" w:ascii="宋体" w:hAnsi="宋体" w:eastAsia="宋体" w:cs="宋体"/>
          <w:b/>
          <w:bCs/>
          <w:color w:val="auto"/>
          <w:spacing w:val="-3"/>
          <w:sz w:val="24"/>
          <w:szCs w:val="24"/>
          <w:highlight w:val="none"/>
          <w:lang w:val="zh-CN"/>
        </w:rPr>
        <w:t>开标时，投标人采用网上远程异地解密时，请用 CA 证书登录平顶山市公共资源交易中心业务系统，进入本项目开标大厅点击解密来完成投标文件的解密工作。每位投标人的解密时间从投标截止时间起60 分钟内完成，超过规定时间解密的投标文件不予接收</w:t>
      </w:r>
      <w:r>
        <w:rPr>
          <w:rFonts w:hint="eastAsia" w:ascii="宋体" w:hAnsi="宋体" w:eastAsia="宋体" w:cs="宋体"/>
          <w:color w:val="auto"/>
          <w:spacing w:val="-3"/>
          <w:sz w:val="24"/>
          <w:szCs w:val="24"/>
          <w:highlight w:val="none"/>
        </w:rPr>
        <w:t>。</w:t>
      </w:r>
    </w:p>
    <w:p w14:paraId="7B76CA81">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5.2.2如出现投标人的电子投标文件无法解密的情况，投标人应及时联系</w:t>
      </w:r>
      <w:r>
        <w:rPr>
          <w:rFonts w:hint="eastAsia" w:ascii="宋体" w:hAnsi="宋体" w:eastAsia="宋体" w:cs="宋体"/>
          <w:color w:val="auto"/>
          <w:spacing w:val="-3"/>
          <w:sz w:val="24"/>
          <w:szCs w:val="24"/>
          <w:highlight w:val="none"/>
          <w:lang w:eastAsia="zh-CN"/>
        </w:rPr>
        <w:t>技术人员</w:t>
      </w:r>
      <w:r>
        <w:rPr>
          <w:rFonts w:hint="eastAsia" w:ascii="宋体" w:hAnsi="宋体" w:eastAsia="宋体" w:cs="宋体"/>
          <w:color w:val="auto"/>
          <w:spacing w:val="-3"/>
          <w:sz w:val="24"/>
          <w:szCs w:val="24"/>
          <w:highlight w:val="none"/>
        </w:rPr>
        <w:t>进行说明。投标文件解密异常，按以下步骤进行处理：</w:t>
      </w:r>
    </w:p>
    <w:p w14:paraId="59412B5F">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如果是投标文件自身问题导致投标文件无法解密的，该投标文件将不予接收、解密。</w:t>
      </w:r>
    </w:p>
    <w:p w14:paraId="312FDCFD">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如果是电子化交易系统问题造成投标文件无法解密的，将由技术人员进行排查处理。如短时间内问题无法解决的，将由</w:t>
      </w:r>
      <w:r>
        <w:rPr>
          <w:rFonts w:hint="eastAsia" w:ascii="宋体" w:hAnsi="宋体" w:eastAsia="宋体" w:cs="宋体"/>
          <w:color w:val="auto"/>
          <w:spacing w:val="-3"/>
          <w:sz w:val="24"/>
          <w:szCs w:val="24"/>
          <w:highlight w:val="none"/>
          <w:lang w:eastAsia="zh-CN"/>
        </w:rPr>
        <w:t>采购人</w:t>
      </w:r>
      <w:r>
        <w:rPr>
          <w:rFonts w:hint="eastAsia" w:ascii="宋体" w:hAnsi="宋体" w:eastAsia="宋体" w:cs="宋体"/>
          <w:color w:val="auto"/>
          <w:spacing w:val="-3"/>
          <w:sz w:val="24"/>
          <w:szCs w:val="24"/>
          <w:highlight w:val="none"/>
        </w:rPr>
        <w:t>（代理机构）联系监督部门申请暂停开标，待问题解决后继续开标。</w:t>
      </w:r>
    </w:p>
    <w:p w14:paraId="6CA5AF24">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5.2.3所有投标文件解密完成后，由代理机构操作，对开标结果进行公示。</w:t>
      </w:r>
    </w:p>
    <w:p w14:paraId="3AEC469F">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5.2.4投标人应保证在开标期间电话、电脑、网络等能够正常使用，投标人因停电、电脑病毒、网络堵塞等原因，未在规定的解密时间内对投标文件进行解密的，其投标文件不予接收。</w:t>
      </w:r>
    </w:p>
    <w:p w14:paraId="79EABA21">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5.2.5开标结束。</w:t>
      </w:r>
    </w:p>
    <w:p w14:paraId="3D938C0E">
      <w:pPr>
        <w:widowControl/>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5.2.6采购人或采购代理机构依法对投标人的资格进行审查。</w:t>
      </w:r>
    </w:p>
    <w:p w14:paraId="25B4D37E">
      <w:pPr>
        <w:pStyle w:val="27"/>
        <w:tabs>
          <w:tab w:val="left" w:pos="1330"/>
        </w:tabs>
        <w:spacing w:before="29" w:line="355" w:lineRule="auto"/>
        <w:ind w:left="-22" w:leftChars="-100" w:right="-136" w:rightChars="-65" w:hanging="188" w:hangingChars="78"/>
        <w:jc w:val="both"/>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6.评标</w:t>
      </w:r>
    </w:p>
    <w:p w14:paraId="7B01D65A">
      <w:pPr>
        <w:pStyle w:val="5"/>
        <w:numPr>
          <w:ilvl w:val="1"/>
          <w:numId w:val="8"/>
        </w:numPr>
        <w:tabs>
          <w:tab w:val="left" w:pos="440"/>
        </w:tabs>
        <w:spacing w:before="66"/>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w:t>
      </w:r>
    </w:p>
    <w:p w14:paraId="0D0D28F6">
      <w:pPr>
        <w:pStyle w:val="27"/>
        <w:tabs>
          <w:tab w:val="left" w:pos="1330"/>
        </w:tabs>
        <w:spacing w:before="163"/>
        <w:ind w:left="279" w:leftChars="133" w:right="-155" w:rightChars="-74" w:firstLine="161" w:firstLineChars="6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rPr>
        <w:t xml:space="preserve">6.1.1 </w:t>
      </w:r>
      <w:r>
        <w:rPr>
          <w:rFonts w:hint="eastAsia" w:ascii="宋体" w:hAnsi="宋体" w:eastAsia="宋体" w:cs="宋体"/>
          <w:color w:val="auto"/>
          <w:spacing w:val="-3"/>
          <w:sz w:val="24"/>
          <w:szCs w:val="24"/>
          <w:highlight w:val="none"/>
        </w:rPr>
        <w:t>评标由依法组建的评标委员会负责。评标委员会由采购人代表，以及有关技术、</w:t>
      </w:r>
      <w:r>
        <w:rPr>
          <w:rFonts w:hint="eastAsia" w:ascii="宋体" w:hAnsi="宋体" w:eastAsia="宋体" w:cs="宋体"/>
          <w:color w:val="auto"/>
          <w:spacing w:val="-3"/>
          <w:sz w:val="24"/>
          <w:szCs w:val="24"/>
          <w:highlight w:val="none"/>
          <w:lang w:val="en-US"/>
        </w:rPr>
        <w:t xml:space="preserve"> </w:t>
      </w:r>
      <w:r>
        <w:rPr>
          <w:rFonts w:hint="eastAsia" w:ascii="宋体" w:hAnsi="宋体" w:eastAsia="宋体" w:cs="宋体"/>
          <w:color w:val="auto"/>
          <w:spacing w:val="-3"/>
          <w:sz w:val="24"/>
          <w:szCs w:val="24"/>
          <w:highlight w:val="none"/>
        </w:rPr>
        <w:t>经</w:t>
      </w:r>
    </w:p>
    <w:p w14:paraId="030D83F8">
      <w:pPr>
        <w:pStyle w:val="27"/>
        <w:tabs>
          <w:tab w:val="left" w:pos="1330"/>
        </w:tabs>
        <w:spacing w:before="163"/>
        <w:ind w:right="-155" w:rightChars="-74"/>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济等方面的专家组成。评标委员会成员人数见投标人须知前附表。</w:t>
      </w:r>
    </w:p>
    <w:p w14:paraId="6180AD52">
      <w:pPr>
        <w:pStyle w:val="27"/>
        <w:tabs>
          <w:tab w:val="left" w:pos="1330"/>
        </w:tabs>
        <w:spacing w:before="163"/>
        <w:ind w:left="273" w:leftChars="130" w:firstLine="170" w:firstLineChars="73"/>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rPr>
        <w:t xml:space="preserve">6.1.2 </w:t>
      </w:r>
      <w:r>
        <w:rPr>
          <w:rFonts w:hint="eastAsia" w:ascii="宋体" w:hAnsi="宋体" w:eastAsia="宋体" w:cs="宋体"/>
          <w:color w:val="auto"/>
          <w:spacing w:val="-3"/>
          <w:sz w:val="24"/>
          <w:szCs w:val="24"/>
          <w:highlight w:val="none"/>
        </w:rPr>
        <w:t>评标委员会成员有下列情形之一的，应当回避：</w:t>
      </w:r>
    </w:p>
    <w:p w14:paraId="2A0F14C9">
      <w:pPr>
        <w:pStyle w:val="27"/>
        <w:tabs>
          <w:tab w:val="left" w:pos="1330"/>
        </w:tabs>
        <w:spacing w:before="163"/>
        <w:ind w:left="69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1</w:t>
      </w:r>
      <w:r>
        <w:rPr>
          <w:rFonts w:hint="eastAsia" w:ascii="宋体" w:hAnsi="宋体" w:eastAsia="宋体" w:cs="宋体"/>
          <w:color w:val="auto"/>
          <w:spacing w:val="-3"/>
          <w:sz w:val="24"/>
          <w:szCs w:val="24"/>
          <w:highlight w:val="none"/>
        </w:rPr>
        <w:t>）采购人或投标人的主要负责人的近亲属；</w:t>
      </w:r>
    </w:p>
    <w:p w14:paraId="4BF25F08">
      <w:pPr>
        <w:pStyle w:val="27"/>
        <w:tabs>
          <w:tab w:val="left" w:pos="1330"/>
        </w:tabs>
        <w:spacing w:before="163"/>
        <w:ind w:left="69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2</w:t>
      </w:r>
      <w:r>
        <w:rPr>
          <w:rFonts w:hint="eastAsia" w:ascii="宋体" w:hAnsi="宋体" w:eastAsia="宋体" w:cs="宋体"/>
          <w:color w:val="auto"/>
          <w:spacing w:val="-3"/>
          <w:sz w:val="24"/>
          <w:szCs w:val="24"/>
          <w:highlight w:val="none"/>
        </w:rPr>
        <w:t>）项目主管部门或者行政监督部门的人员；</w:t>
      </w:r>
    </w:p>
    <w:p w14:paraId="7FD064DC">
      <w:pPr>
        <w:pStyle w:val="27"/>
        <w:tabs>
          <w:tab w:val="left" w:pos="1330"/>
        </w:tabs>
        <w:spacing w:before="163"/>
        <w:ind w:left="69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3</w:t>
      </w:r>
      <w:r>
        <w:rPr>
          <w:rFonts w:hint="eastAsia" w:ascii="宋体" w:hAnsi="宋体" w:eastAsia="宋体" w:cs="宋体"/>
          <w:color w:val="auto"/>
          <w:spacing w:val="-3"/>
          <w:sz w:val="24"/>
          <w:szCs w:val="24"/>
          <w:highlight w:val="none"/>
        </w:rPr>
        <w:t>）与投标人有经济利益关系，可能影响对投标公正评审的；</w:t>
      </w:r>
    </w:p>
    <w:p w14:paraId="02DF6B33">
      <w:pPr>
        <w:pStyle w:val="27"/>
        <w:tabs>
          <w:tab w:val="left" w:pos="1330"/>
        </w:tabs>
        <w:spacing w:before="163"/>
        <w:ind w:left="698" w:firstLine="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rPr>
        <w:t>4</w:t>
      </w:r>
      <w:r>
        <w:rPr>
          <w:rFonts w:hint="eastAsia" w:ascii="宋体" w:hAnsi="宋体" w:eastAsia="宋体" w:cs="宋体"/>
          <w:color w:val="auto"/>
          <w:spacing w:val="-3"/>
          <w:sz w:val="24"/>
          <w:szCs w:val="24"/>
          <w:highlight w:val="none"/>
        </w:rPr>
        <w:t>）曾因在招标、评标以及其他与招标投标有关活动中从事违法行为而受过行政处</w:t>
      </w:r>
    </w:p>
    <w:p w14:paraId="0842E13A">
      <w:pPr>
        <w:pStyle w:val="27"/>
        <w:tabs>
          <w:tab w:val="left" w:pos="1330"/>
        </w:tabs>
        <w:spacing w:before="163"/>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罚或刑事处罚的。</w:t>
      </w:r>
    </w:p>
    <w:p w14:paraId="3488F9E4">
      <w:pPr>
        <w:pStyle w:val="5"/>
        <w:numPr>
          <w:ilvl w:val="1"/>
          <w:numId w:val="8"/>
        </w:numPr>
        <w:tabs>
          <w:tab w:val="left" w:pos="440"/>
        </w:tabs>
        <w:spacing w:before="66"/>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评标原则</w:t>
      </w:r>
    </w:p>
    <w:p w14:paraId="2274CA45">
      <w:pPr>
        <w:pStyle w:val="9"/>
        <w:spacing w:before="155"/>
        <w:ind w:left="698" w:right="-136" w:rightChars="-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评标活动遵循公平、公正、科学和择优的原则。</w:t>
      </w:r>
    </w:p>
    <w:p w14:paraId="21E64842">
      <w:pPr>
        <w:pStyle w:val="5"/>
        <w:numPr>
          <w:ilvl w:val="1"/>
          <w:numId w:val="8"/>
        </w:numPr>
        <w:tabs>
          <w:tab w:val="left" w:pos="440"/>
        </w:tabs>
        <w:spacing w:before="66"/>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w:t>
      </w:r>
    </w:p>
    <w:p w14:paraId="683B3196">
      <w:pPr>
        <w:pStyle w:val="5"/>
        <w:tabs>
          <w:tab w:val="left" w:pos="704"/>
        </w:tabs>
        <w:spacing w:before="66" w:line="360" w:lineRule="auto"/>
        <w:ind w:left="18" w:firstLine="712" w:firstLineChars="303"/>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rPr>
        <w:t xml:space="preserve">6.3.1 </w:t>
      </w:r>
      <w:r>
        <w:rPr>
          <w:rFonts w:hint="eastAsia" w:ascii="宋体" w:hAnsi="宋体" w:eastAsia="宋体" w:cs="宋体"/>
          <w:color w:val="auto"/>
          <w:spacing w:val="-3"/>
          <w:sz w:val="24"/>
          <w:szCs w:val="24"/>
          <w:highlight w:val="none"/>
        </w:rPr>
        <w:t>公开招标采购项目开标结束后，根据招标内容和特点按规定组建资格审查小组，其成员由采购代理机构专职人员</w:t>
      </w:r>
      <w:r>
        <w:rPr>
          <w:rFonts w:hint="eastAsia" w:ascii="宋体" w:hAnsi="宋体" w:eastAsia="宋体" w:cs="宋体"/>
          <w:color w:val="auto"/>
          <w:spacing w:val="-3"/>
          <w:sz w:val="24"/>
          <w:szCs w:val="24"/>
          <w:highlight w:val="none"/>
          <w:lang w:eastAsia="zh-CN"/>
        </w:rPr>
        <w:t>和</w:t>
      </w:r>
      <w:r>
        <w:rPr>
          <w:rFonts w:hint="eastAsia" w:ascii="宋体" w:hAnsi="宋体" w:eastAsia="宋体" w:cs="宋体"/>
          <w:color w:val="auto"/>
          <w:spacing w:val="-3"/>
          <w:sz w:val="24"/>
          <w:szCs w:val="24"/>
          <w:highlight w:val="none"/>
        </w:rPr>
        <w:t>采购人代表组成。资格审查小组依据第三章评标办法资格评审标准对投标文件进行资格审查，以确定投标人是否具备投标资格，有一项不符合评审标准的，资格审查小组应当认定其投标无效，合格投标人不足3家的，不得评标。</w:t>
      </w:r>
    </w:p>
    <w:p w14:paraId="454A0783">
      <w:pPr>
        <w:adjustRightInd w:val="0"/>
        <w:spacing w:line="360" w:lineRule="auto"/>
        <w:ind w:left="100" w:right="56" w:firstLine="681" w:firstLineChars="290"/>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6.3.2 评标委员会按照第三章“评标办法”规定的方法、评审因素、标准和程序对投标文件进行形式，符合性评审。第三章“评标办法”没有规定的方法、评审因素和标准，不作为评标依据。</w:t>
      </w:r>
    </w:p>
    <w:p w14:paraId="6AC5B4D6">
      <w:pPr>
        <w:widowControl/>
        <w:spacing w:line="360" w:lineRule="auto"/>
        <w:ind w:firstLine="705" w:firstLineChars="300"/>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6.3.3评标时，评标委员会对电子化投标文件有质疑的，将通过电子化交易系统对供应商发起质疑。质疑回复内容确认后，通过电子化交易系统提交至评标委员会。</w:t>
      </w:r>
    </w:p>
    <w:p w14:paraId="0D8C5A3C">
      <w:pPr>
        <w:pStyle w:val="27"/>
        <w:tabs>
          <w:tab w:val="left" w:pos="1330"/>
        </w:tabs>
        <w:spacing w:before="29" w:line="355" w:lineRule="auto"/>
        <w:ind w:left="-22" w:leftChars="-100" w:right="-136" w:rightChars="-65" w:hanging="188" w:hangingChars="78"/>
        <w:jc w:val="both"/>
        <w:rPr>
          <w:rFonts w:hint="eastAsia" w:ascii="宋体" w:hAnsi="宋体" w:eastAsia="宋体" w:cs="宋体"/>
          <w:b/>
          <w:color w:val="auto"/>
          <w:sz w:val="24"/>
          <w:szCs w:val="24"/>
          <w:highlight w:val="none"/>
          <w:lang w:val="en-US"/>
        </w:rPr>
      </w:pPr>
      <w:bookmarkStart w:id="11" w:name="_bookmark9"/>
      <w:bookmarkEnd w:id="11"/>
      <w:r>
        <w:rPr>
          <w:rFonts w:hint="eastAsia" w:ascii="宋体" w:hAnsi="宋体" w:eastAsia="宋体" w:cs="宋体"/>
          <w:b/>
          <w:color w:val="auto"/>
          <w:sz w:val="24"/>
          <w:szCs w:val="24"/>
          <w:highlight w:val="none"/>
          <w:lang w:val="en-US"/>
        </w:rPr>
        <w:t>7.合同授予</w:t>
      </w:r>
    </w:p>
    <w:p w14:paraId="5F8925E3">
      <w:pPr>
        <w:pStyle w:val="5"/>
        <w:numPr>
          <w:ilvl w:val="1"/>
          <w:numId w:val="9"/>
        </w:numPr>
        <w:tabs>
          <w:tab w:val="left" w:pos="440"/>
        </w:tabs>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定标方式</w:t>
      </w:r>
    </w:p>
    <w:p w14:paraId="72BCAA60">
      <w:pPr>
        <w:pStyle w:val="9"/>
        <w:spacing w:before="154" w:line="357" w:lineRule="auto"/>
        <w:ind w:left="18" w:right="-144" w:firstLine="6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除投标人须知前附表规定评标委员会直接确定中标人外，采购人依据评标委员会推荐的中标候选人确定中标人，评标委员会推荐中标候选人的人数见投标人须知前附表。原则上第一名为中标人，若排名第一的中标候选供应商因不可抗力放弃中标或因自身原因不能履行合同，采购人可以顺延排名第二的中标候选供应商为中标供应商或重新招标。</w:t>
      </w:r>
    </w:p>
    <w:p w14:paraId="08F0E412">
      <w:pPr>
        <w:pStyle w:val="5"/>
        <w:numPr>
          <w:ilvl w:val="1"/>
          <w:numId w:val="9"/>
        </w:numPr>
        <w:tabs>
          <w:tab w:val="left" w:pos="440"/>
        </w:tabs>
        <w:spacing w:before="4" w:line="440" w:lineRule="exact"/>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w:t>
      </w:r>
    </w:p>
    <w:p w14:paraId="54A18F86">
      <w:pPr>
        <w:spacing w:line="360" w:lineRule="auto"/>
        <w:ind w:firstLine="681" w:firstLineChars="29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在规定的时间内，</w:t>
      </w:r>
      <w:r>
        <w:rPr>
          <w:rFonts w:hint="eastAsia" w:ascii="宋体" w:hAnsi="宋体" w:eastAsia="宋体" w:cs="宋体"/>
          <w:color w:val="auto"/>
          <w:spacing w:val="-6"/>
          <w:sz w:val="24"/>
          <w:szCs w:val="24"/>
          <w:highlight w:val="none"/>
          <w:lang w:eastAsia="zh-CN"/>
        </w:rPr>
        <w:t>采购人</w:t>
      </w:r>
      <w:r>
        <w:rPr>
          <w:rFonts w:hint="eastAsia" w:ascii="宋体" w:hAnsi="宋体" w:eastAsia="宋体" w:cs="宋体"/>
          <w:color w:val="auto"/>
          <w:spacing w:val="-6"/>
          <w:sz w:val="24"/>
          <w:szCs w:val="24"/>
          <w:highlight w:val="none"/>
          <w:lang w:eastAsia="zh-CN"/>
        </w:rPr>
        <w:tab/>
      </w:r>
      <w:r>
        <w:rPr>
          <w:rFonts w:hint="eastAsia" w:ascii="宋体" w:hAnsi="宋体" w:eastAsia="宋体" w:cs="宋体"/>
          <w:color w:val="auto"/>
          <w:spacing w:val="-6"/>
          <w:sz w:val="24"/>
          <w:szCs w:val="24"/>
          <w:highlight w:val="none"/>
        </w:rPr>
        <w:t>以书面形式向中标供应商发出中标通知书，同时将中标结果通知未中标的投标人。中标供应商在收到通知书后，应予以书面确认与采购人签订合同；中标通知书将成为合同的组成部分。</w:t>
      </w:r>
    </w:p>
    <w:p w14:paraId="6D4E72B0">
      <w:pPr>
        <w:pStyle w:val="5"/>
        <w:numPr>
          <w:ilvl w:val="1"/>
          <w:numId w:val="9"/>
        </w:numPr>
        <w:tabs>
          <w:tab w:val="left" w:pos="440"/>
        </w:tabs>
        <w:spacing w:before="4" w:line="440" w:lineRule="exact"/>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p w14:paraId="531340FE">
      <w:pPr>
        <w:pStyle w:val="9"/>
        <w:spacing w:line="440" w:lineRule="exact"/>
        <w:ind w:left="15" w:right="-136" w:rightChars="-65" w:firstLine="690" w:firstLineChars="303"/>
        <w:rPr>
          <w:rFonts w:hint="eastAsia" w:ascii="宋体" w:hAnsi="宋体" w:eastAsia="宋体" w:cs="宋体"/>
          <w:color w:val="auto"/>
          <w:spacing w:val="-3"/>
          <w:sz w:val="24"/>
          <w:szCs w:val="24"/>
          <w:highlight w:val="none"/>
        </w:rPr>
      </w:pPr>
      <w:r>
        <w:rPr>
          <w:rFonts w:hint="eastAsia" w:ascii="宋体" w:hAnsi="宋体" w:eastAsia="宋体" w:cs="宋体"/>
          <w:color w:val="auto"/>
          <w:spacing w:val="-6"/>
          <w:kern w:val="2"/>
          <w:sz w:val="24"/>
          <w:szCs w:val="24"/>
          <w:highlight w:val="none"/>
          <w:lang w:val="en-US" w:eastAsia="zh-CN"/>
        </w:rPr>
        <w:t>不收取</w:t>
      </w:r>
      <w:r>
        <w:rPr>
          <w:rFonts w:hint="eastAsia" w:ascii="宋体" w:hAnsi="宋体" w:eastAsia="宋体" w:cs="宋体"/>
          <w:color w:val="auto"/>
          <w:spacing w:val="-6"/>
          <w:kern w:val="2"/>
          <w:sz w:val="24"/>
          <w:szCs w:val="24"/>
          <w:highlight w:val="none"/>
          <w:lang w:val="en-US"/>
        </w:rPr>
        <w:t>。</w:t>
      </w:r>
    </w:p>
    <w:p w14:paraId="01554BC3">
      <w:pPr>
        <w:pStyle w:val="5"/>
        <w:numPr>
          <w:ilvl w:val="1"/>
          <w:numId w:val="9"/>
        </w:numPr>
        <w:tabs>
          <w:tab w:val="left" w:pos="440"/>
        </w:tabs>
        <w:ind w:hanging="7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w:t>
      </w:r>
    </w:p>
    <w:p w14:paraId="526E15BC">
      <w:pPr>
        <w:pStyle w:val="27"/>
        <w:numPr>
          <w:ilvl w:val="2"/>
          <w:numId w:val="9"/>
        </w:numPr>
        <w:tabs>
          <w:tab w:val="left" w:pos="1330"/>
        </w:tabs>
        <w:spacing w:before="152" w:line="357" w:lineRule="auto"/>
        <w:ind w:left="18" w:right="-155" w:rightChars="-74" w:firstLine="6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采购人和中标人应当自中标通知书发出之日起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pacing w:val="-3"/>
          <w:sz w:val="24"/>
          <w:szCs w:val="24"/>
          <w:highlight w:val="none"/>
        </w:rPr>
        <w:t>天内，根据招标文件和中标人的投标文</w:t>
      </w:r>
      <w:r>
        <w:rPr>
          <w:rFonts w:hint="eastAsia" w:ascii="宋体" w:hAnsi="宋体" w:eastAsia="宋体" w:cs="宋体"/>
          <w:color w:val="auto"/>
          <w:spacing w:val="-7"/>
          <w:sz w:val="24"/>
          <w:szCs w:val="24"/>
          <w:highlight w:val="none"/>
        </w:rPr>
        <w:t>件订立书面合同。中标人无正当理由拒签合同的，采购人取消其中标资格</w:t>
      </w:r>
      <w:r>
        <w:rPr>
          <w:rFonts w:hint="eastAsia" w:ascii="宋体" w:hAnsi="宋体" w:eastAsia="宋体" w:cs="宋体"/>
          <w:color w:val="auto"/>
          <w:spacing w:val="-7"/>
          <w:sz w:val="24"/>
          <w:szCs w:val="24"/>
          <w:highlight w:val="none"/>
          <w:lang w:val="en-US"/>
        </w:rPr>
        <w:t>;</w:t>
      </w:r>
    </w:p>
    <w:p w14:paraId="55CAEC84">
      <w:pPr>
        <w:pStyle w:val="27"/>
        <w:tabs>
          <w:tab w:val="left" w:pos="1436"/>
        </w:tabs>
        <w:spacing w:before="28" w:line="355" w:lineRule="auto"/>
        <w:ind w:left="0" w:right="-155" w:rightChars="-74" w:firstLine="702" w:firstLineChars="3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rPr>
        <w:t xml:space="preserve">7.4.2 </w:t>
      </w:r>
      <w:r>
        <w:rPr>
          <w:rFonts w:hint="eastAsia" w:ascii="宋体" w:hAnsi="宋体" w:eastAsia="宋体" w:cs="宋体"/>
          <w:color w:val="auto"/>
          <w:spacing w:val="-3"/>
          <w:sz w:val="24"/>
          <w:szCs w:val="24"/>
          <w:highlight w:val="none"/>
        </w:rPr>
        <w:t>发出中标通知书后，采购人无正当理由拒签合同的， 给中标人造成损失的，也应当赔偿损失。</w:t>
      </w:r>
    </w:p>
    <w:p w14:paraId="306EB607">
      <w:pPr>
        <w:pStyle w:val="27"/>
        <w:tabs>
          <w:tab w:val="left" w:pos="1330"/>
        </w:tabs>
        <w:spacing w:before="29" w:line="355" w:lineRule="auto"/>
        <w:ind w:left="-22" w:leftChars="-100" w:right="-136" w:rightChars="-65" w:hanging="188" w:hangingChars="78"/>
        <w:jc w:val="both"/>
        <w:rPr>
          <w:rFonts w:hint="eastAsia" w:ascii="宋体" w:hAnsi="宋体" w:eastAsia="宋体" w:cs="宋体"/>
          <w:b/>
          <w:color w:val="auto"/>
          <w:sz w:val="24"/>
          <w:szCs w:val="24"/>
          <w:highlight w:val="none"/>
          <w:lang w:val="en-US"/>
        </w:rPr>
      </w:pPr>
      <w:bookmarkStart w:id="12" w:name="_Toc3894"/>
      <w:bookmarkStart w:id="13" w:name="_Toc291089224"/>
      <w:bookmarkStart w:id="14" w:name="_Toc247639880"/>
      <w:r>
        <w:rPr>
          <w:rFonts w:hint="eastAsia" w:ascii="宋体" w:hAnsi="宋体" w:eastAsia="宋体" w:cs="宋体"/>
          <w:b/>
          <w:color w:val="auto"/>
          <w:sz w:val="24"/>
          <w:szCs w:val="24"/>
          <w:highlight w:val="none"/>
          <w:lang w:val="en-US"/>
        </w:rPr>
        <w:t>8. 重新招标</w:t>
      </w:r>
      <w:bookmarkEnd w:id="12"/>
      <w:bookmarkEnd w:id="13"/>
      <w:bookmarkEnd w:id="14"/>
    </w:p>
    <w:p w14:paraId="7C0FB295">
      <w:pPr>
        <w:pStyle w:val="5"/>
        <w:tabs>
          <w:tab w:val="left" w:pos="704"/>
        </w:tabs>
        <w:spacing w:before="10" w:after="156" w:afterLines="50"/>
        <w:ind w:left="0" w:firstLine="0"/>
        <w:rPr>
          <w:rFonts w:hint="eastAsia" w:ascii="宋体" w:hAnsi="宋体" w:eastAsia="宋体" w:cs="宋体"/>
          <w:color w:val="auto"/>
          <w:sz w:val="24"/>
          <w:szCs w:val="24"/>
          <w:highlight w:val="none"/>
        </w:rPr>
      </w:pPr>
      <w:bookmarkStart w:id="15" w:name="_Toc247639881"/>
      <w:bookmarkStart w:id="16" w:name="_Toc48"/>
      <w:bookmarkStart w:id="17" w:name="_Toc291089225"/>
      <w:r>
        <w:rPr>
          <w:rFonts w:hint="eastAsia" w:ascii="宋体" w:hAnsi="宋体" w:eastAsia="宋体" w:cs="宋体"/>
          <w:color w:val="auto"/>
          <w:sz w:val="24"/>
          <w:szCs w:val="24"/>
          <w:highlight w:val="none"/>
          <w:lang w:val="en-US"/>
        </w:rPr>
        <w:t>8.1 重新招标</w:t>
      </w:r>
      <w:bookmarkEnd w:id="15"/>
      <w:bookmarkEnd w:id="16"/>
      <w:bookmarkEnd w:id="17"/>
    </w:p>
    <w:p w14:paraId="361B7D8B">
      <w:pPr>
        <w:adjustRightInd w:val="0"/>
        <w:spacing w:line="36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有下列情形之一的，采购人将重新招标：</w:t>
      </w:r>
    </w:p>
    <w:p w14:paraId="00A4F7BA">
      <w:pPr>
        <w:adjustRightInd w:val="0"/>
        <w:spacing w:line="360" w:lineRule="auto"/>
        <w:ind w:firstLine="351" w:firstLineChars="15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（1）投标截止时间止，供应商少于3个的；</w:t>
      </w:r>
    </w:p>
    <w:p w14:paraId="41BEA238">
      <w:pPr>
        <w:adjustRightInd w:val="0"/>
        <w:spacing w:line="360" w:lineRule="auto"/>
        <w:ind w:firstLine="351" w:firstLineChars="15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（2）经评标委员会评审后有效供应商少于3个的。</w:t>
      </w:r>
    </w:p>
    <w:p w14:paraId="3C188845">
      <w:pPr>
        <w:pStyle w:val="27"/>
        <w:tabs>
          <w:tab w:val="left" w:pos="1330"/>
        </w:tabs>
        <w:spacing w:before="29" w:line="355" w:lineRule="auto"/>
        <w:ind w:left="-22" w:leftChars="-100" w:right="-136" w:rightChars="-65" w:hanging="188" w:hangingChars="78"/>
        <w:jc w:val="both"/>
        <w:rPr>
          <w:rFonts w:hint="eastAsia" w:ascii="宋体" w:hAnsi="宋体" w:eastAsia="宋体" w:cs="宋体"/>
          <w:b/>
          <w:color w:val="auto"/>
          <w:sz w:val="24"/>
          <w:szCs w:val="24"/>
          <w:highlight w:val="none"/>
          <w:lang w:val="en-US"/>
        </w:rPr>
      </w:pPr>
      <w:bookmarkStart w:id="18" w:name="_bookmark10"/>
      <w:bookmarkEnd w:id="18"/>
      <w:r>
        <w:rPr>
          <w:rFonts w:hint="eastAsia" w:ascii="宋体" w:hAnsi="宋体" w:eastAsia="宋体" w:cs="宋体"/>
          <w:b/>
          <w:color w:val="auto"/>
          <w:sz w:val="24"/>
          <w:szCs w:val="24"/>
          <w:highlight w:val="none"/>
          <w:lang w:val="en-US"/>
        </w:rPr>
        <w:t>9.纪律和监督</w:t>
      </w:r>
    </w:p>
    <w:p w14:paraId="4C364BE7">
      <w:pPr>
        <w:pStyle w:val="27"/>
        <w:tabs>
          <w:tab w:val="left" w:pos="1330"/>
        </w:tabs>
        <w:spacing w:before="29" w:line="355" w:lineRule="auto"/>
        <w:ind w:left="267" w:leftChars="-46" w:right="-136" w:rightChars="-65" w:hanging="364" w:hangingChars="151"/>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9.1 </w:t>
      </w:r>
      <w:r>
        <w:rPr>
          <w:rFonts w:hint="eastAsia" w:ascii="宋体" w:hAnsi="宋体" w:eastAsia="宋体" w:cs="宋体"/>
          <w:b/>
          <w:bCs/>
          <w:color w:val="auto"/>
          <w:sz w:val="24"/>
          <w:szCs w:val="24"/>
          <w:highlight w:val="none"/>
        </w:rPr>
        <w:t>对采购人的纪律要求</w:t>
      </w:r>
    </w:p>
    <w:p w14:paraId="3D5C3E1F">
      <w:pPr>
        <w:pStyle w:val="27"/>
        <w:tabs>
          <w:tab w:val="left" w:pos="1330"/>
        </w:tabs>
        <w:spacing w:before="29" w:line="355" w:lineRule="auto"/>
        <w:ind w:left="8" w:leftChars="4" w:right="-136" w:rightChars="-65" w:firstLine="519" w:firstLineChars="222"/>
        <w:jc w:val="both"/>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采购人不得泄漏招标投标活动中应当保密的情况和资料，不得与投标人串通损害国家利益、社会公共利益或者他人合法权益。</w:t>
      </w:r>
    </w:p>
    <w:p w14:paraId="7DF7BB97">
      <w:pPr>
        <w:pStyle w:val="5"/>
        <w:tabs>
          <w:tab w:val="left" w:pos="704"/>
        </w:tabs>
        <w:spacing w:before="4"/>
        <w:ind w:left="0" w:right="-155" w:rightChars="-74"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9.2 </w:t>
      </w:r>
      <w:r>
        <w:rPr>
          <w:rFonts w:hint="eastAsia" w:ascii="宋体" w:hAnsi="宋体" w:eastAsia="宋体" w:cs="宋体"/>
          <w:color w:val="auto"/>
          <w:sz w:val="24"/>
          <w:szCs w:val="24"/>
          <w:highlight w:val="none"/>
        </w:rPr>
        <w:t>对投标人的纪律要求</w:t>
      </w:r>
    </w:p>
    <w:p w14:paraId="7F427F95">
      <w:pPr>
        <w:pStyle w:val="9"/>
        <w:spacing w:before="152" w:line="357" w:lineRule="auto"/>
        <w:ind w:left="18" w:right="-155" w:rightChars="-74" w:firstLine="680"/>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4008A37F">
      <w:pPr>
        <w:pStyle w:val="5"/>
        <w:tabs>
          <w:tab w:val="left" w:pos="704"/>
        </w:tabs>
        <w:spacing w:before="4"/>
        <w:ind w:left="0" w:right="-155" w:rightChars="-74" w:firstLine="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9.3 对评标委员会成员的纪律要求</w:t>
      </w:r>
    </w:p>
    <w:p w14:paraId="38B5B9BB">
      <w:pPr>
        <w:pStyle w:val="9"/>
        <w:spacing w:before="152" w:line="360" w:lineRule="auto"/>
        <w:ind w:firstLine="452" w:firstLineChars="2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 影响评标程序正常进行，不得使用第三章</w:t>
      </w:r>
      <w:r>
        <w:rPr>
          <w:rFonts w:hint="eastAsia" w:ascii="宋体" w:hAnsi="宋体" w:eastAsia="宋体" w:cs="宋体"/>
          <w:color w:val="auto"/>
          <w:spacing w:val="-7"/>
          <w:sz w:val="24"/>
          <w:szCs w:val="24"/>
          <w:highlight w:val="none"/>
          <w:lang w:val="en-US"/>
        </w:rPr>
        <w:t xml:space="preserve"> “</w:t>
      </w:r>
      <w:r>
        <w:rPr>
          <w:rFonts w:hint="eastAsia" w:ascii="宋体" w:hAnsi="宋体" w:eastAsia="宋体" w:cs="宋体"/>
          <w:color w:val="auto"/>
          <w:spacing w:val="-7"/>
          <w:sz w:val="24"/>
          <w:szCs w:val="24"/>
          <w:highlight w:val="none"/>
        </w:rPr>
        <w:t>评标办法</w:t>
      </w:r>
      <w:r>
        <w:rPr>
          <w:rFonts w:hint="eastAsia" w:ascii="宋体" w:hAnsi="宋体" w:eastAsia="宋体" w:cs="宋体"/>
          <w:color w:val="auto"/>
          <w:spacing w:val="-7"/>
          <w:sz w:val="24"/>
          <w:szCs w:val="24"/>
          <w:highlight w:val="none"/>
          <w:lang w:val="en-US"/>
        </w:rPr>
        <w:t>”</w:t>
      </w:r>
      <w:r>
        <w:rPr>
          <w:rFonts w:hint="eastAsia" w:ascii="宋体" w:hAnsi="宋体" w:eastAsia="宋体" w:cs="宋体"/>
          <w:color w:val="auto"/>
          <w:spacing w:val="-7"/>
          <w:sz w:val="24"/>
          <w:szCs w:val="24"/>
          <w:highlight w:val="none"/>
        </w:rPr>
        <w:t>没有规定的评审因素和标准进行评标。</w:t>
      </w:r>
    </w:p>
    <w:p w14:paraId="4AEA0F34">
      <w:pPr>
        <w:pStyle w:val="5"/>
        <w:tabs>
          <w:tab w:val="left" w:pos="704"/>
        </w:tabs>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9.4 </w:t>
      </w:r>
      <w:r>
        <w:rPr>
          <w:rFonts w:hint="eastAsia" w:ascii="宋体" w:hAnsi="宋体" w:eastAsia="宋体" w:cs="宋体"/>
          <w:color w:val="auto"/>
          <w:sz w:val="24"/>
          <w:szCs w:val="24"/>
          <w:highlight w:val="none"/>
        </w:rPr>
        <w:t>对与评标活动有关的工作人员的纪律要求</w:t>
      </w:r>
    </w:p>
    <w:p w14:paraId="0CF44942">
      <w:pPr>
        <w:pStyle w:val="9"/>
        <w:spacing w:before="47"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与评标活动有关的工作人员不得收受他人的财物或者其他好处，不得向他人透漏对投标 文件的评审和比较、中标候选人的推荐情况以及评标有关的其他情况。在评标活动中，与评标活动有关的工作人员不得擅离职守，影响评标程序正常进行。</w:t>
      </w:r>
    </w:p>
    <w:p w14:paraId="76427DCB">
      <w:pPr>
        <w:pStyle w:val="9"/>
        <w:spacing w:before="47" w:line="360" w:lineRule="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9.5 投诉</w:t>
      </w:r>
    </w:p>
    <w:p w14:paraId="7257CC0D">
      <w:pPr>
        <w:pStyle w:val="5"/>
        <w:tabs>
          <w:tab w:val="left" w:pos="704"/>
        </w:tabs>
        <w:spacing w:before="4" w:line="360" w:lineRule="auto"/>
        <w:ind w:left="0" w:firstLine="480" w:firstLineChars="200"/>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投标人和其他利害关系人认为本次招标活动违反法律、法规和规章规定的，有权向有关行政监督部门投诉。</w:t>
      </w:r>
    </w:p>
    <w:p w14:paraId="52A8D947">
      <w:pPr>
        <w:pStyle w:val="27"/>
        <w:tabs>
          <w:tab w:val="left" w:pos="1330"/>
        </w:tabs>
        <w:spacing w:before="29" w:line="355" w:lineRule="auto"/>
        <w:ind w:left="-22" w:leftChars="-100" w:right="-136" w:rightChars="-65" w:hanging="188" w:hangingChars="78"/>
        <w:jc w:val="both"/>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10 .需要补充的其他内容</w:t>
      </w:r>
    </w:p>
    <w:p w14:paraId="06B86329">
      <w:pPr>
        <w:pStyle w:val="9"/>
        <w:spacing w:before="47" w:line="360" w:lineRule="auto"/>
        <w:ind w:firstLine="240" w:firstLineChars="1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详见投标人须知前附表</w:t>
      </w:r>
    </w:p>
    <w:p w14:paraId="2F550D7A">
      <w:pPr>
        <w:pStyle w:val="19"/>
        <w:rPr>
          <w:rFonts w:hint="eastAsia" w:ascii="宋体" w:hAnsi="宋体" w:eastAsia="宋体" w:cs="宋体"/>
          <w:color w:val="auto"/>
          <w:sz w:val="24"/>
          <w:szCs w:val="24"/>
          <w:highlight w:val="none"/>
          <w:lang w:val="en-US"/>
        </w:rPr>
      </w:pPr>
    </w:p>
    <w:p w14:paraId="658D79C8">
      <w:pPr>
        <w:pStyle w:val="20"/>
        <w:rPr>
          <w:rFonts w:hint="eastAsia" w:ascii="宋体" w:hAnsi="宋体" w:eastAsia="宋体" w:cs="宋体"/>
          <w:color w:val="auto"/>
          <w:highlight w:val="none"/>
          <w:lang w:val="en-US"/>
        </w:rPr>
      </w:pPr>
    </w:p>
    <w:p w14:paraId="1884D782">
      <w:pPr>
        <w:pStyle w:val="7"/>
        <w:rPr>
          <w:rFonts w:hint="eastAsia" w:ascii="宋体" w:hAnsi="宋体" w:eastAsia="宋体" w:cs="宋体"/>
          <w:color w:val="auto"/>
          <w:highlight w:val="none"/>
          <w:lang w:val="en-US"/>
        </w:rPr>
      </w:pPr>
    </w:p>
    <w:p w14:paraId="2C6B1830">
      <w:pPr>
        <w:pStyle w:val="8"/>
        <w:rPr>
          <w:rFonts w:hint="eastAsia" w:ascii="宋体" w:hAnsi="宋体" w:eastAsia="宋体" w:cs="宋体"/>
          <w:color w:val="auto"/>
          <w:highlight w:val="none"/>
          <w:lang w:val="en-US"/>
        </w:rPr>
      </w:pPr>
    </w:p>
    <w:p w14:paraId="43100233">
      <w:pPr>
        <w:pStyle w:val="9"/>
        <w:rPr>
          <w:rFonts w:hint="eastAsia" w:ascii="宋体" w:hAnsi="宋体" w:eastAsia="宋体" w:cs="宋体"/>
          <w:color w:val="auto"/>
          <w:highlight w:val="none"/>
          <w:lang w:val="en-US"/>
        </w:rPr>
      </w:pPr>
    </w:p>
    <w:p w14:paraId="50DB7EFB">
      <w:pPr>
        <w:pStyle w:val="19"/>
        <w:rPr>
          <w:rFonts w:hint="eastAsia" w:ascii="宋体" w:hAnsi="宋体" w:eastAsia="宋体" w:cs="宋体"/>
          <w:color w:val="auto"/>
          <w:highlight w:val="none"/>
          <w:lang w:val="en-US"/>
        </w:rPr>
      </w:pPr>
    </w:p>
    <w:p w14:paraId="35E248AF">
      <w:pPr>
        <w:pStyle w:val="20"/>
        <w:rPr>
          <w:rFonts w:hint="eastAsia" w:ascii="宋体" w:hAnsi="宋体" w:eastAsia="宋体" w:cs="宋体"/>
          <w:color w:val="auto"/>
          <w:highlight w:val="none"/>
          <w:lang w:val="en-US"/>
        </w:rPr>
      </w:pPr>
    </w:p>
    <w:p w14:paraId="50009277">
      <w:pPr>
        <w:pStyle w:val="7"/>
        <w:rPr>
          <w:rFonts w:hint="eastAsia" w:ascii="宋体" w:hAnsi="宋体" w:eastAsia="宋体" w:cs="宋体"/>
          <w:color w:val="auto"/>
          <w:highlight w:val="none"/>
          <w:lang w:val="en-US"/>
        </w:rPr>
      </w:pPr>
    </w:p>
    <w:p w14:paraId="1A3E20AC">
      <w:pPr>
        <w:pStyle w:val="8"/>
        <w:rPr>
          <w:rFonts w:hint="eastAsia" w:ascii="宋体" w:hAnsi="宋体" w:eastAsia="宋体" w:cs="宋体"/>
          <w:color w:val="auto"/>
          <w:highlight w:val="none"/>
          <w:lang w:val="en-US"/>
        </w:rPr>
      </w:pPr>
    </w:p>
    <w:p w14:paraId="707D7E47">
      <w:pPr>
        <w:pStyle w:val="9"/>
        <w:rPr>
          <w:rFonts w:hint="eastAsia" w:ascii="宋体" w:hAnsi="宋体" w:eastAsia="宋体" w:cs="宋体"/>
          <w:color w:val="auto"/>
          <w:highlight w:val="none"/>
          <w:lang w:val="en-US"/>
        </w:rPr>
      </w:pPr>
    </w:p>
    <w:p w14:paraId="4236D0E3">
      <w:pPr>
        <w:pStyle w:val="19"/>
        <w:rPr>
          <w:rFonts w:hint="eastAsia" w:ascii="宋体" w:hAnsi="宋体" w:eastAsia="宋体" w:cs="宋体"/>
          <w:color w:val="auto"/>
          <w:highlight w:val="none"/>
          <w:lang w:val="en-US"/>
        </w:rPr>
      </w:pPr>
    </w:p>
    <w:p w14:paraId="257807E1">
      <w:pPr>
        <w:pStyle w:val="20"/>
        <w:rPr>
          <w:rFonts w:hint="eastAsia" w:ascii="宋体" w:hAnsi="宋体" w:eastAsia="宋体" w:cs="宋体"/>
          <w:color w:val="auto"/>
          <w:highlight w:val="none"/>
          <w:lang w:val="en-US"/>
        </w:rPr>
      </w:pPr>
    </w:p>
    <w:p w14:paraId="3230A0EC">
      <w:pPr>
        <w:pStyle w:val="3"/>
        <w:numPr>
          <w:ilvl w:val="0"/>
          <w:numId w:val="0"/>
        </w:numPr>
        <w:tabs>
          <w:tab w:val="left" w:pos="1284"/>
        </w:tabs>
        <w:spacing w:before="54"/>
        <w:ind w:right="18" w:rightChars="0"/>
        <w:jc w:val="center"/>
        <w:rPr>
          <w:rFonts w:hint="eastAsia" w:ascii="宋体" w:hAnsi="宋体" w:eastAsia="宋体" w:cs="宋体"/>
          <w:color w:val="auto"/>
          <w:highlight w:val="none"/>
        </w:rPr>
      </w:pPr>
      <w:bookmarkStart w:id="19" w:name="_bookmark11"/>
      <w:bookmarkEnd w:id="19"/>
      <w:bookmarkStart w:id="20" w:name="_Toc11551"/>
      <w:bookmarkStart w:id="21" w:name="_Toc25813"/>
      <w:bookmarkStart w:id="22" w:name="_Toc9793"/>
      <w:bookmarkStart w:id="23" w:name="_Toc12010"/>
      <w:r>
        <w:rPr>
          <w:rFonts w:hint="eastAsia" w:ascii="宋体" w:hAnsi="宋体" w:eastAsia="宋体" w:cs="Times New Roman"/>
          <w:b/>
          <w:bCs/>
          <w:color w:val="auto"/>
          <w:kern w:val="0"/>
          <w:sz w:val="32"/>
          <w:szCs w:val="32"/>
          <w:highlight w:val="none"/>
          <w:lang w:val="zh-CN" w:eastAsia="zh-CN" w:bidi="ar-SA"/>
        </w:rPr>
        <w:t>第三章</w:t>
      </w:r>
      <w:r>
        <w:rPr>
          <w:rFonts w:hint="eastAsia" w:ascii="宋体" w:hAnsi="宋体" w:eastAsia="宋体" w:cs="宋体"/>
          <w:color w:val="auto"/>
          <w:highlight w:val="none"/>
        </w:rPr>
        <w:t>评标办法</w:t>
      </w:r>
      <w:bookmarkEnd w:id="20"/>
      <w:bookmarkEnd w:id="21"/>
      <w:bookmarkEnd w:id="22"/>
      <w:bookmarkEnd w:id="23"/>
    </w:p>
    <w:p w14:paraId="78A96C01">
      <w:pPr>
        <w:ind w:right="16"/>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rPr>
        <w:t>评标办法前附表</w:t>
      </w:r>
    </w:p>
    <w:p w14:paraId="5D2BD75E">
      <w:pPr>
        <w:pStyle w:val="9"/>
        <w:spacing w:before="4"/>
        <w:rPr>
          <w:rFonts w:hint="eastAsia" w:ascii="宋体" w:hAnsi="宋体" w:eastAsia="宋体" w:cs="宋体"/>
          <w:b/>
          <w:color w:val="auto"/>
          <w:sz w:val="10"/>
          <w:highlight w:val="none"/>
        </w:rPr>
      </w:pPr>
    </w:p>
    <w:tbl>
      <w:tblPr>
        <w:tblStyle w:val="21"/>
        <w:tblW w:w="9040" w:type="dxa"/>
        <w:jc w:val="center"/>
        <w:tblLayout w:type="fixed"/>
        <w:tblCellMar>
          <w:top w:w="0" w:type="dxa"/>
          <w:left w:w="108" w:type="dxa"/>
          <w:bottom w:w="0" w:type="dxa"/>
          <w:right w:w="108" w:type="dxa"/>
        </w:tblCellMar>
      </w:tblPr>
      <w:tblGrid>
        <w:gridCol w:w="957"/>
        <w:gridCol w:w="1304"/>
        <w:gridCol w:w="2037"/>
        <w:gridCol w:w="4742"/>
      </w:tblGrid>
      <w:tr w14:paraId="32C0F155">
        <w:tblPrEx>
          <w:tblCellMar>
            <w:top w:w="0" w:type="dxa"/>
            <w:left w:w="108" w:type="dxa"/>
            <w:bottom w:w="0" w:type="dxa"/>
            <w:right w:w="108" w:type="dxa"/>
          </w:tblCellMar>
        </w:tblPrEx>
        <w:trPr>
          <w:trHeight w:val="543" w:hRule="atLeast"/>
          <w:jc w:val="center"/>
        </w:trPr>
        <w:tc>
          <w:tcPr>
            <w:tcW w:w="2261" w:type="dxa"/>
            <w:gridSpan w:val="2"/>
            <w:tcBorders>
              <w:top w:val="single" w:color="auto" w:sz="4" w:space="0"/>
              <w:left w:val="single" w:color="auto" w:sz="4" w:space="0"/>
              <w:bottom w:val="single" w:color="auto" w:sz="4" w:space="0"/>
              <w:right w:val="single" w:color="auto" w:sz="4" w:space="0"/>
            </w:tcBorders>
            <w:noWrap w:val="0"/>
            <w:vAlign w:val="center"/>
          </w:tcPr>
          <w:p w14:paraId="724E52C7">
            <w:pPr>
              <w:adjustRightInd w:val="0"/>
              <w:snapToGrid w:val="0"/>
              <w:spacing w:line="320" w:lineRule="exact"/>
              <w:jc w:val="center"/>
              <w:textAlignment w:val="baseline"/>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条款号</w:t>
            </w:r>
          </w:p>
        </w:tc>
        <w:tc>
          <w:tcPr>
            <w:tcW w:w="2037" w:type="dxa"/>
            <w:tcBorders>
              <w:top w:val="single" w:color="auto" w:sz="4" w:space="0"/>
              <w:left w:val="single" w:color="auto" w:sz="4" w:space="0"/>
              <w:bottom w:val="single" w:color="auto" w:sz="4" w:space="0"/>
              <w:right w:val="single" w:color="auto" w:sz="4" w:space="0"/>
            </w:tcBorders>
            <w:noWrap w:val="0"/>
            <w:vAlign w:val="center"/>
          </w:tcPr>
          <w:p w14:paraId="5DBACD6A">
            <w:pPr>
              <w:adjustRightInd w:val="0"/>
              <w:snapToGrid w:val="0"/>
              <w:spacing w:line="320" w:lineRule="exact"/>
              <w:jc w:val="center"/>
              <w:textAlignment w:val="baseline"/>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评审因素</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5BA2A94F">
            <w:pPr>
              <w:adjustRightInd w:val="0"/>
              <w:snapToGrid w:val="0"/>
              <w:spacing w:line="320" w:lineRule="exact"/>
              <w:jc w:val="center"/>
              <w:textAlignment w:val="baseline"/>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评审标准</w:t>
            </w:r>
          </w:p>
        </w:tc>
      </w:tr>
      <w:tr w14:paraId="45771A35">
        <w:tblPrEx>
          <w:tblCellMar>
            <w:top w:w="0" w:type="dxa"/>
            <w:left w:w="108" w:type="dxa"/>
            <w:bottom w:w="0" w:type="dxa"/>
            <w:right w:w="108" w:type="dxa"/>
          </w:tblCellMar>
        </w:tblPrEx>
        <w:trPr>
          <w:trHeight w:val="909" w:hRule="atLeast"/>
          <w:jc w:val="center"/>
        </w:trPr>
        <w:tc>
          <w:tcPr>
            <w:tcW w:w="957" w:type="dxa"/>
            <w:vMerge w:val="restart"/>
            <w:tcBorders>
              <w:top w:val="single" w:color="auto" w:sz="4" w:space="0"/>
              <w:left w:val="single" w:color="auto" w:sz="4" w:space="0"/>
              <w:bottom w:val="single" w:color="auto" w:sz="4" w:space="0"/>
              <w:right w:val="single" w:color="auto" w:sz="4" w:space="0"/>
            </w:tcBorders>
            <w:noWrap w:val="0"/>
            <w:vAlign w:val="center"/>
          </w:tcPr>
          <w:p w14:paraId="45392B0C">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2.1.1</w:t>
            </w:r>
          </w:p>
        </w:tc>
        <w:tc>
          <w:tcPr>
            <w:tcW w:w="1304" w:type="dxa"/>
            <w:vMerge w:val="restart"/>
            <w:tcBorders>
              <w:top w:val="single" w:color="auto" w:sz="4" w:space="0"/>
              <w:left w:val="single" w:color="auto" w:sz="4" w:space="0"/>
              <w:bottom w:val="single" w:color="auto" w:sz="4" w:space="0"/>
              <w:right w:val="single" w:color="auto" w:sz="4" w:space="0"/>
            </w:tcBorders>
            <w:noWrap w:val="0"/>
            <w:vAlign w:val="center"/>
          </w:tcPr>
          <w:p w14:paraId="16084B00">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形式评</w:t>
            </w:r>
          </w:p>
          <w:p w14:paraId="12F6F548">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审标准</w:t>
            </w:r>
          </w:p>
        </w:tc>
        <w:tc>
          <w:tcPr>
            <w:tcW w:w="2037" w:type="dxa"/>
            <w:tcBorders>
              <w:top w:val="single" w:color="auto" w:sz="4" w:space="0"/>
              <w:left w:val="single" w:color="auto" w:sz="4" w:space="0"/>
              <w:bottom w:val="single" w:color="auto" w:sz="4" w:space="0"/>
              <w:right w:val="single" w:color="auto" w:sz="4" w:space="0"/>
            </w:tcBorders>
            <w:noWrap w:val="0"/>
            <w:vAlign w:val="center"/>
          </w:tcPr>
          <w:p w14:paraId="6BDE0B31">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投标人名称</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23453782">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与营业执照、税务登记证、组织机构代码证</w:t>
            </w:r>
            <w:r>
              <w:rPr>
                <w:rFonts w:hint="eastAsia" w:ascii="宋体" w:hAnsi="宋体" w:eastAsia="宋体" w:cs="宋体"/>
                <w:color w:val="auto"/>
                <w:sz w:val="24"/>
                <w:szCs w:val="24"/>
                <w:highlight w:val="none"/>
              </w:rPr>
              <w:t>或</w:t>
            </w:r>
            <w:r>
              <w:rPr>
                <w:rFonts w:hint="eastAsia" w:ascii="宋体" w:hAnsi="宋体" w:eastAsia="宋体" w:cs="宋体"/>
                <w:color w:val="auto"/>
                <w:spacing w:val="20"/>
                <w:sz w:val="24"/>
                <w:szCs w:val="24"/>
                <w:highlight w:val="none"/>
              </w:rPr>
              <w:t>三证合一的营业执照一致</w:t>
            </w:r>
          </w:p>
        </w:tc>
      </w:tr>
      <w:tr w14:paraId="484DC7CE">
        <w:tblPrEx>
          <w:tblCellMar>
            <w:top w:w="0" w:type="dxa"/>
            <w:left w:w="108" w:type="dxa"/>
            <w:bottom w:w="0" w:type="dxa"/>
            <w:right w:w="108" w:type="dxa"/>
          </w:tblCellMar>
        </w:tblPrEx>
        <w:trPr>
          <w:trHeight w:val="691" w:hRule="exact"/>
          <w:jc w:val="center"/>
        </w:trPr>
        <w:tc>
          <w:tcPr>
            <w:tcW w:w="957" w:type="dxa"/>
            <w:vMerge w:val="continue"/>
            <w:tcBorders>
              <w:top w:val="single" w:color="auto" w:sz="4" w:space="0"/>
              <w:left w:val="single" w:color="auto" w:sz="4" w:space="0"/>
              <w:bottom w:val="single" w:color="auto" w:sz="4" w:space="0"/>
              <w:right w:val="single" w:color="auto" w:sz="4" w:space="0"/>
            </w:tcBorders>
            <w:noWrap w:val="0"/>
            <w:vAlign w:val="top"/>
          </w:tcPr>
          <w:p w14:paraId="7FF2057A">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1304" w:type="dxa"/>
            <w:vMerge w:val="continue"/>
            <w:tcBorders>
              <w:top w:val="single" w:color="auto" w:sz="4" w:space="0"/>
              <w:left w:val="single" w:color="auto" w:sz="4" w:space="0"/>
              <w:bottom w:val="single" w:color="auto" w:sz="4" w:space="0"/>
              <w:right w:val="single" w:color="auto" w:sz="4" w:space="0"/>
            </w:tcBorders>
            <w:noWrap w:val="0"/>
            <w:vAlign w:val="top"/>
          </w:tcPr>
          <w:p w14:paraId="02A1BEF5">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2037" w:type="dxa"/>
            <w:tcBorders>
              <w:top w:val="single" w:color="auto" w:sz="4" w:space="0"/>
              <w:left w:val="single" w:color="auto" w:sz="4" w:space="0"/>
              <w:bottom w:val="single" w:color="auto" w:sz="4" w:space="0"/>
              <w:right w:val="single" w:color="auto" w:sz="4" w:space="0"/>
            </w:tcBorders>
            <w:noWrap w:val="0"/>
            <w:vAlign w:val="center"/>
          </w:tcPr>
          <w:p w14:paraId="2CF23B40">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投标函电子签章</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0EB38100">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按照招标文件要求具有电子签章</w:t>
            </w:r>
          </w:p>
        </w:tc>
      </w:tr>
      <w:tr w14:paraId="099BE2D9">
        <w:tblPrEx>
          <w:tblCellMar>
            <w:top w:w="0" w:type="dxa"/>
            <w:left w:w="108" w:type="dxa"/>
            <w:bottom w:w="0" w:type="dxa"/>
            <w:right w:w="108" w:type="dxa"/>
          </w:tblCellMar>
        </w:tblPrEx>
        <w:trPr>
          <w:trHeight w:val="703" w:hRule="exact"/>
          <w:jc w:val="center"/>
        </w:trPr>
        <w:tc>
          <w:tcPr>
            <w:tcW w:w="957" w:type="dxa"/>
            <w:vMerge w:val="continue"/>
            <w:tcBorders>
              <w:top w:val="single" w:color="auto" w:sz="4" w:space="0"/>
              <w:left w:val="single" w:color="auto" w:sz="4" w:space="0"/>
              <w:bottom w:val="single" w:color="auto" w:sz="4" w:space="0"/>
              <w:right w:val="single" w:color="auto" w:sz="4" w:space="0"/>
            </w:tcBorders>
            <w:noWrap w:val="0"/>
            <w:vAlign w:val="top"/>
          </w:tcPr>
          <w:p w14:paraId="47798B79">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1304" w:type="dxa"/>
            <w:vMerge w:val="continue"/>
            <w:tcBorders>
              <w:top w:val="single" w:color="auto" w:sz="4" w:space="0"/>
              <w:left w:val="single" w:color="auto" w:sz="4" w:space="0"/>
              <w:bottom w:val="single" w:color="auto" w:sz="4" w:space="0"/>
              <w:right w:val="single" w:color="auto" w:sz="4" w:space="0"/>
            </w:tcBorders>
            <w:noWrap w:val="0"/>
            <w:vAlign w:val="top"/>
          </w:tcPr>
          <w:p w14:paraId="211E5143">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2037" w:type="dxa"/>
            <w:tcBorders>
              <w:top w:val="single" w:color="auto" w:sz="4" w:space="0"/>
              <w:left w:val="single" w:color="auto" w:sz="4" w:space="0"/>
              <w:bottom w:val="single" w:color="auto" w:sz="4" w:space="0"/>
              <w:right w:val="single" w:color="auto" w:sz="4" w:space="0"/>
            </w:tcBorders>
            <w:noWrap w:val="0"/>
            <w:vAlign w:val="center"/>
          </w:tcPr>
          <w:p w14:paraId="12FA814F">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投标文件格式</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0C4798ED">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符合“招标文件格式”的要求</w:t>
            </w:r>
          </w:p>
        </w:tc>
      </w:tr>
      <w:tr w14:paraId="64B13EF8">
        <w:tblPrEx>
          <w:tblCellMar>
            <w:top w:w="0" w:type="dxa"/>
            <w:left w:w="108" w:type="dxa"/>
            <w:bottom w:w="0" w:type="dxa"/>
            <w:right w:w="108" w:type="dxa"/>
          </w:tblCellMar>
        </w:tblPrEx>
        <w:trPr>
          <w:trHeight w:val="642" w:hRule="exact"/>
          <w:jc w:val="center"/>
        </w:trPr>
        <w:tc>
          <w:tcPr>
            <w:tcW w:w="957" w:type="dxa"/>
            <w:vMerge w:val="continue"/>
            <w:tcBorders>
              <w:top w:val="single" w:color="auto" w:sz="4" w:space="0"/>
              <w:left w:val="single" w:color="auto" w:sz="4" w:space="0"/>
              <w:bottom w:val="single" w:color="auto" w:sz="4" w:space="0"/>
              <w:right w:val="single" w:color="auto" w:sz="4" w:space="0"/>
            </w:tcBorders>
            <w:noWrap w:val="0"/>
            <w:vAlign w:val="top"/>
          </w:tcPr>
          <w:p w14:paraId="43867E82">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1304" w:type="dxa"/>
            <w:vMerge w:val="continue"/>
            <w:tcBorders>
              <w:top w:val="single" w:color="auto" w:sz="4" w:space="0"/>
              <w:left w:val="single" w:color="auto" w:sz="4" w:space="0"/>
              <w:bottom w:val="single" w:color="auto" w:sz="4" w:space="0"/>
              <w:right w:val="single" w:color="auto" w:sz="4" w:space="0"/>
            </w:tcBorders>
            <w:noWrap w:val="0"/>
            <w:vAlign w:val="top"/>
          </w:tcPr>
          <w:p w14:paraId="0BF74286">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2037" w:type="dxa"/>
            <w:tcBorders>
              <w:top w:val="single" w:color="auto" w:sz="4" w:space="0"/>
              <w:left w:val="single" w:color="auto" w:sz="4" w:space="0"/>
              <w:bottom w:val="single" w:color="auto" w:sz="4" w:space="0"/>
              <w:right w:val="single" w:color="auto" w:sz="4" w:space="0"/>
            </w:tcBorders>
            <w:noWrap w:val="0"/>
            <w:vAlign w:val="center"/>
          </w:tcPr>
          <w:p w14:paraId="7BAA89B6">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报价唯一</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7487F4D9">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符合“报价唯一”要求</w:t>
            </w:r>
          </w:p>
        </w:tc>
      </w:tr>
      <w:tr w14:paraId="3B0E9E8C">
        <w:tblPrEx>
          <w:tblCellMar>
            <w:top w:w="0" w:type="dxa"/>
            <w:left w:w="108" w:type="dxa"/>
            <w:bottom w:w="0" w:type="dxa"/>
            <w:right w:w="108" w:type="dxa"/>
          </w:tblCellMar>
        </w:tblPrEx>
        <w:trPr>
          <w:trHeight w:val="665" w:hRule="exact"/>
          <w:jc w:val="center"/>
        </w:trPr>
        <w:tc>
          <w:tcPr>
            <w:tcW w:w="957" w:type="dxa"/>
            <w:vMerge w:val="restart"/>
            <w:tcBorders>
              <w:top w:val="single" w:color="auto" w:sz="4" w:space="0"/>
              <w:left w:val="single" w:color="auto" w:sz="4" w:space="0"/>
              <w:right w:val="single" w:color="auto" w:sz="4" w:space="0"/>
            </w:tcBorders>
            <w:noWrap w:val="0"/>
            <w:vAlign w:val="center"/>
          </w:tcPr>
          <w:p w14:paraId="528795D5">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2.1.2</w:t>
            </w:r>
          </w:p>
        </w:tc>
        <w:tc>
          <w:tcPr>
            <w:tcW w:w="1304" w:type="dxa"/>
            <w:vMerge w:val="restart"/>
            <w:tcBorders>
              <w:top w:val="single" w:color="auto" w:sz="4" w:space="0"/>
              <w:left w:val="single" w:color="auto" w:sz="4" w:space="0"/>
              <w:right w:val="single" w:color="auto" w:sz="4" w:space="0"/>
            </w:tcBorders>
            <w:noWrap w:val="0"/>
            <w:vAlign w:val="center"/>
          </w:tcPr>
          <w:p w14:paraId="31CE1F3E">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资格评</w:t>
            </w:r>
          </w:p>
          <w:p w14:paraId="786094D1">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审标准</w:t>
            </w:r>
          </w:p>
        </w:tc>
        <w:tc>
          <w:tcPr>
            <w:tcW w:w="2037" w:type="dxa"/>
            <w:tcBorders>
              <w:top w:val="single" w:color="auto" w:sz="4" w:space="0"/>
              <w:left w:val="single" w:color="auto" w:sz="4" w:space="0"/>
              <w:right w:val="single" w:color="auto" w:sz="4" w:space="0"/>
            </w:tcBorders>
            <w:noWrap w:val="0"/>
            <w:vAlign w:val="center"/>
          </w:tcPr>
          <w:p w14:paraId="2648F680">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投标人资格要求</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48619689">
            <w:pPr>
              <w:pStyle w:val="12"/>
              <w:ind w:left="920" w:hanging="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符合第二章“投标人须知”第</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项规定</w:t>
            </w:r>
          </w:p>
        </w:tc>
      </w:tr>
      <w:tr w14:paraId="13B47358">
        <w:tblPrEx>
          <w:tblCellMar>
            <w:top w:w="0" w:type="dxa"/>
            <w:left w:w="108" w:type="dxa"/>
            <w:bottom w:w="0" w:type="dxa"/>
            <w:right w:w="108" w:type="dxa"/>
          </w:tblCellMar>
        </w:tblPrEx>
        <w:trPr>
          <w:trHeight w:val="90" w:hRule="atLeast"/>
          <w:jc w:val="center"/>
        </w:trPr>
        <w:tc>
          <w:tcPr>
            <w:tcW w:w="957" w:type="dxa"/>
            <w:vMerge w:val="restart"/>
            <w:tcBorders>
              <w:top w:val="single" w:color="auto" w:sz="4" w:space="0"/>
              <w:left w:val="single" w:color="auto" w:sz="4" w:space="0"/>
              <w:right w:val="single" w:color="auto" w:sz="4" w:space="0"/>
            </w:tcBorders>
            <w:noWrap w:val="0"/>
            <w:vAlign w:val="center"/>
          </w:tcPr>
          <w:p w14:paraId="16DB1039">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2.1.3</w:t>
            </w:r>
          </w:p>
        </w:tc>
        <w:tc>
          <w:tcPr>
            <w:tcW w:w="1304" w:type="dxa"/>
            <w:vMerge w:val="restart"/>
            <w:tcBorders>
              <w:top w:val="single" w:color="auto" w:sz="4" w:space="0"/>
              <w:left w:val="single" w:color="auto" w:sz="4" w:space="0"/>
              <w:right w:val="single" w:color="auto" w:sz="4" w:space="0"/>
            </w:tcBorders>
            <w:noWrap w:val="0"/>
            <w:vAlign w:val="center"/>
          </w:tcPr>
          <w:p w14:paraId="4479831C">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lang w:eastAsia="zh-CN"/>
              </w:rPr>
              <w:t>响应</w:t>
            </w:r>
            <w:r>
              <w:rPr>
                <w:rFonts w:hint="eastAsia" w:ascii="宋体" w:hAnsi="宋体" w:eastAsia="宋体" w:cs="宋体"/>
                <w:color w:val="auto"/>
                <w:spacing w:val="20"/>
                <w:sz w:val="24"/>
                <w:szCs w:val="24"/>
                <w:highlight w:val="none"/>
              </w:rPr>
              <w:t>性</w:t>
            </w:r>
          </w:p>
          <w:p w14:paraId="31E2627F">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评审</w:t>
            </w:r>
          </w:p>
          <w:p w14:paraId="166DEC3F">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标准</w:t>
            </w:r>
          </w:p>
        </w:tc>
        <w:tc>
          <w:tcPr>
            <w:tcW w:w="2037" w:type="dxa"/>
            <w:tcBorders>
              <w:top w:val="single" w:color="auto" w:sz="4" w:space="0"/>
              <w:left w:val="single" w:color="auto" w:sz="4" w:space="0"/>
              <w:right w:val="single" w:color="auto" w:sz="4" w:space="0"/>
            </w:tcBorders>
            <w:noWrap w:val="0"/>
            <w:vAlign w:val="center"/>
          </w:tcPr>
          <w:p w14:paraId="31AC1FA2">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投标报价</w:t>
            </w:r>
          </w:p>
        </w:tc>
        <w:tc>
          <w:tcPr>
            <w:tcW w:w="4742" w:type="dxa"/>
            <w:tcBorders>
              <w:top w:val="single" w:color="auto" w:sz="4" w:space="0"/>
              <w:left w:val="single" w:color="auto" w:sz="4" w:space="0"/>
              <w:right w:val="single" w:color="auto" w:sz="4" w:space="0"/>
            </w:tcBorders>
            <w:noWrap w:val="0"/>
            <w:vAlign w:val="center"/>
          </w:tcPr>
          <w:p w14:paraId="49773970">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符合第二章“投标须知前附表”第31项</w:t>
            </w:r>
          </w:p>
        </w:tc>
      </w:tr>
      <w:tr w14:paraId="740AA019">
        <w:tblPrEx>
          <w:tblCellMar>
            <w:top w:w="0" w:type="dxa"/>
            <w:left w:w="108" w:type="dxa"/>
            <w:bottom w:w="0" w:type="dxa"/>
            <w:right w:w="108" w:type="dxa"/>
          </w:tblCellMar>
        </w:tblPrEx>
        <w:trPr>
          <w:trHeight w:val="780" w:hRule="atLeast"/>
          <w:jc w:val="center"/>
        </w:trPr>
        <w:tc>
          <w:tcPr>
            <w:tcW w:w="957" w:type="dxa"/>
            <w:vMerge w:val="continue"/>
            <w:tcBorders>
              <w:left w:val="single" w:color="auto" w:sz="4" w:space="0"/>
              <w:bottom w:val="single" w:color="auto" w:sz="4" w:space="0"/>
              <w:right w:val="single" w:color="auto" w:sz="4" w:space="0"/>
            </w:tcBorders>
            <w:noWrap w:val="0"/>
            <w:vAlign w:val="center"/>
          </w:tcPr>
          <w:p w14:paraId="758ADAC8">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p>
        </w:tc>
        <w:tc>
          <w:tcPr>
            <w:tcW w:w="1304" w:type="dxa"/>
            <w:vMerge w:val="continue"/>
            <w:tcBorders>
              <w:left w:val="single" w:color="auto" w:sz="4" w:space="0"/>
              <w:bottom w:val="single" w:color="auto" w:sz="4" w:space="0"/>
              <w:right w:val="single" w:color="auto" w:sz="4" w:space="0"/>
            </w:tcBorders>
            <w:noWrap w:val="0"/>
            <w:vAlign w:val="center"/>
          </w:tcPr>
          <w:p w14:paraId="3002379F">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p>
        </w:tc>
        <w:tc>
          <w:tcPr>
            <w:tcW w:w="2037" w:type="dxa"/>
            <w:tcBorders>
              <w:top w:val="single" w:color="auto" w:sz="4" w:space="0"/>
              <w:left w:val="single" w:color="auto" w:sz="4" w:space="0"/>
              <w:bottom w:val="single" w:color="auto" w:sz="4" w:space="0"/>
              <w:right w:val="single" w:color="auto" w:sz="4" w:space="0"/>
            </w:tcBorders>
            <w:noWrap w:val="0"/>
            <w:vAlign w:val="center"/>
          </w:tcPr>
          <w:p w14:paraId="5C2C497D">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投标内容</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4F2C39D7">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符合第二章“投标须知前附表”第5项</w:t>
            </w:r>
          </w:p>
        </w:tc>
      </w:tr>
      <w:tr w14:paraId="52BD8BE9">
        <w:tblPrEx>
          <w:tblCellMar>
            <w:top w:w="0" w:type="dxa"/>
            <w:left w:w="108" w:type="dxa"/>
            <w:bottom w:w="0" w:type="dxa"/>
            <w:right w:w="108" w:type="dxa"/>
          </w:tblCellMar>
        </w:tblPrEx>
        <w:trPr>
          <w:trHeight w:val="799" w:hRule="atLeast"/>
          <w:jc w:val="center"/>
        </w:trPr>
        <w:tc>
          <w:tcPr>
            <w:tcW w:w="957" w:type="dxa"/>
            <w:vMerge w:val="continue"/>
            <w:tcBorders>
              <w:left w:val="single" w:color="auto" w:sz="4" w:space="0"/>
              <w:bottom w:val="single" w:color="auto" w:sz="4" w:space="0"/>
              <w:right w:val="single" w:color="auto" w:sz="4" w:space="0"/>
            </w:tcBorders>
            <w:noWrap w:val="0"/>
            <w:vAlign w:val="center"/>
          </w:tcPr>
          <w:p w14:paraId="49745019">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p>
        </w:tc>
        <w:tc>
          <w:tcPr>
            <w:tcW w:w="1304" w:type="dxa"/>
            <w:vMerge w:val="continue"/>
            <w:tcBorders>
              <w:left w:val="single" w:color="auto" w:sz="4" w:space="0"/>
              <w:bottom w:val="single" w:color="auto" w:sz="4" w:space="0"/>
              <w:right w:val="single" w:color="auto" w:sz="4" w:space="0"/>
            </w:tcBorders>
            <w:noWrap w:val="0"/>
            <w:vAlign w:val="center"/>
          </w:tcPr>
          <w:p w14:paraId="2690AE26">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p>
        </w:tc>
        <w:tc>
          <w:tcPr>
            <w:tcW w:w="2037" w:type="dxa"/>
            <w:tcBorders>
              <w:top w:val="single" w:color="auto" w:sz="4" w:space="0"/>
              <w:left w:val="single" w:color="auto" w:sz="4" w:space="0"/>
              <w:bottom w:val="single" w:color="auto" w:sz="4" w:space="0"/>
              <w:right w:val="single" w:color="auto" w:sz="4" w:space="0"/>
            </w:tcBorders>
            <w:noWrap w:val="0"/>
            <w:vAlign w:val="center"/>
          </w:tcPr>
          <w:p w14:paraId="40F096CB">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交货期</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7F96BE3A">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符合第二章“投标须知前附表”第9项</w:t>
            </w:r>
          </w:p>
        </w:tc>
      </w:tr>
      <w:tr w14:paraId="71C5D2C6">
        <w:tblPrEx>
          <w:tblCellMar>
            <w:top w:w="0" w:type="dxa"/>
            <w:left w:w="108" w:type="dxa"/>
            <w:bottom w:w="0" w:type="dxa"/>
            <w:right w:w="108" w:type="dxa"/>
          </w:tblCellMar>
        </w:tblPrEx>
        <w:trPr>
          <w:trHeight w:val="1000" w:hRule="exact"/>
          <w:jc w:val="center"/>
        </w:trPr>
        <w:tc>
          <w:tcPr>
            <w:tcW w:w="957" w:type="dxa"/>
            <w:vMerge w:val="continue"/>
            <w:tcBorders>
              <w:top w:val="single" w:color="auto" w:sz="4" w:space="0"/>
              <w:left w:val="single" w:color="auto" w:sz="4" w:space="0"/>
              <w:right w:val="single" w:color="auto" w:sz="4" w:space="0"/>
            </w:tcBorders>
            <w:noWrap w:val="0"/>
            <w:vAlign w:val="top"/>
          </w:tcPr>
          <w:p w14:paraId="3B412D90">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1304" w:type="dxa"/>
            <w:vMerge w:val="continue"/>
            <w:tcBorders>
              <w:top w:val="single" w:color="auto" w:sz="4" w:space="0"/>
              <w:left w:val="single" w:color="auto" w:sz="4" w:space="0"/>
              <w:right w:val="single" w:color="auto" w:sz="4" w:space="0"/>
            </w:tcBorders>
            <w:noWrap w:val="0"/>
            <w:vAlign w:val="top"/>
          </w:tcPr>
          <w:p w14:paraId="1F119902">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2037" w:type="dxa"/>
            <w:tcBorders>
              <w:top w:val="single" w:color="auto" w:sz="4" w:space="0"/>
              <w:left w:val="single" w:color="auto" w:sz="4" w:space="0"/>
              <w:bottom w:val="single" w:color="auto" w:sz="4" w:space="0"/>
              <w:right w:val="single" w:color="auto" w:sz="4" w:space="0"/>
            </w:tcBorders>
            <w:noWrap w:val="0"/>
            <w:vAlign w:val="center"/>
          </w:tcPr>
          <w:p w14:paraId="5EAB723B">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质量要求及</w:t>
            </w:r>
          </w:p>
          <w:p w14:paraId="79F750BF">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质保期</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789D5E16">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符合第二章“投标须知前附表”第11项</w:t>
            </w:r>
          </w:p>
        </w:tc>
      </w:tr>
      <w:tr w14:paraId="411B929D">
        <w:tblPrEx>
          <w:tblCellMar>
            <w:top w:w="0" w:type="dxa"/>
            <w:left w:w="108" w:type="dxa"/>
            <w:bottom w:w="0" w:type="dxa"/>
            <w:right w:w="108" w:type="dxa"/>
          </w:tblCellMar>
        </w:tblPrEx>
        <w:trPr>
          <w:trHeight w:val="803" w:hRule="exact"/>
          <w:jc w:val="center"/>
        </w:trPr>
        <w:tc>
          <w:tcPr>
            <w:tcW w:w="957" w:type="dxa"/>
            <w:vMerge w:val="continue"/>
            <w:tcBorders>
              <w:top w:val="single" w:color="auto" w:sz="4" w:space="0"/>
              <w:left w:val="single" w:color="auto" w:sz="4" w:space="0"/>
              <w:right w:val="single" w:color="auto" w:sz="4" w:space="0"/>
            </w:tcBorders>
            <w:noWrap w:val="0"/>
            <w:vAlign w:val="top"/>
          </w:tcPr>
          <w:p w14:paraId="3CA350BE">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1304" w:type="dxa"/>
            <w:vMerge w:val="continue"/>
            <w:tcBorders>
              <w:top w:val="single" w:color="auto" w:sz="4" w:space="0"/>
              <w:left w:val="single" w:color="auto" w:sz="4" w:space="0"/>
              <w:right w:val="single" w:color="auto" w:sz="4" w:space="0"/>
            </w:tcBorders>
            <w:noWrap w:val="0"/>
            <w:vAlign w:val="top"/>
          </w:tcPr>
          <w:p w14:paraId="033CB9F3">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2037" w:type="dxa"/>
            <w:tcBorders>
              <w:top w:val="single" w:color="auto" w:sz="4" w:space="0"/>
              <w:left w:val="single" w:color="auto" w:sz="4" w:space="0"/>
              <w:bottom w:val="single" w:color="auto" w:sz="4" w:space="0"/>
              <w:right w:val="single" w:color="auto" w:sz="4" w:space="0"/>
            </w:tcBorders>
            <w:noWrap w:val="0"/>
            <w:vAlign w:val="center"/>
          </w:tcPr>
          <w:p w14:paraId="369E888C">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投标有效期</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05CE8F18">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符合第二章“投标须知前附表”第20项</w:t>
            </w:r>
          </w:p>
        </w:tc>
      </w:tr>
      <w:tr w14:paraId="5BCB813E">
        <w:tblPrEx>
          <w:tblCellMar>
            <w:top w:w="0" w:type="dxa"/>
            <w:left w:w="108" w:type="dxa"/>
            <w:bottom w:w="0" w:type="dxa"/>
            <w:right w:w="108" w:type="dxa"/>
          </w:tblCellMar>
        </w:tblPrEx>
        <w:trPr>
          <w:trHeight w:val="915" w:hRule="exact"/>
          <w:jc w:val="center"/>
        </w:trPr>
        <w:tc>
          <w:tcPr>
            <w:tcW w:w="957" w:type="dxa"/>
            <w:vMerge w:val="continue"/>
            <w:tcBorders>
              <w:left w:val="single" w:color="auto" w:sz="4" w:space="0"/>
              <w:bottom w:val="single" w:color="auto" w:sz="4" w:space="0"/>
              <w:right w:val="single" w:color="auto" w:sz="4" w:space="0"/>
            </w:tcBorders>
            <w:noWrap w:val="0"/>
            <w:vAlign w:val="top"/>
          </w:tcPr>
          <w:p w14:paraId="278C899C">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1304" w:type="dxa"/>
            <w:vMerge w:val="continue"/>
            <w:tcBorders>
              <w:left w:val="single" w:color="auto" w:sz="4" w:space="0"/>
              <w:bottom w:val="single" w:color="auto" w:sz="4" w:space="0"/>
              <w:right w:val="single" w:color="auto" w:sz="4" w:space="0"/>
            </w:tcBorders>
            <w:noWrap w:val="0"/>
            <w:vAlign w:val="top"/>
          </w:tcPr>
          <w:p w14:paraId="2DB9F1C2">
            <w:pPr>
              <w:adjustRightInd w:val="0"/>
              <w:snapToGrid w:val="0"/>
              <w:spacing w:line="320" w:lineRule="exact"/>
              <w:textAlignment w:val="baseline"/>
              <w:rPr>
                <w:rFonts w:hint="eastAsia" w:ascii="宋体" w:hAnsi="宋体" w:eastAsia="宋体" w:cs="宋体"/>
                <w:color w:val="auto"/>
                <w:spacing w:val="20"/>
                <w:sz w:val="24"/>
                <w:szCs w:val="24"/>
                <w:highlight w:val="none"/>
              </w:rPr>
            </w:pPr>
          </w:p>
        </w:tc>
        <w:tc>
          <w:tcPr>
            <w:tcW w:w="2037" w:type="dxa"/>
            <w:tcBorders>
              <w:top w:val="single" w:color="auto" w:sz="4" w:space="0"/>
              <w:left w:val="single" w:color="auto" w:sz="4" w:space="0"/>
              <w:bottom w:val="single" w:color="auto" w:sz="4" w:space="0"/>
              <w:right w:val="single" w:color="auto" w:sz="4" w:space="0"/>
            </w:tcBorders>
            <w:noWrap w:val="0"/>
            <w:vAlign w:val="center"/>
          </w:tcPr>
          <w:p w14:paraId="298C8766">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其它实质性要求</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03CDCBDF">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符合法律、法规和招标文件中规定的其他实质性要求</w:t>
            </w:r>
          </w:p>
        </w:tc>
      </w:tr>
      <w:tr w14:paraId="060A546C">
        <w:tblPrEx>
          <w:tblCellMar>
            <w:top w:w="0" w:type="dxa"/>
            <w:left w:w="108" w:type="dxa"/>
            <w:bottom w:w="0" w:type="dxa"/>
            <w:right w:w="108" w:type="dxa"/>
          </w:tblCellMar>
        </w:tblPrEx>
        <w:trPr>
          <w:trHeight w:val="803" w:hRule="exact"/>
          <w:jc w:val="center"/>
        </w:trPr>
        <w:tc>
          <w:tcPr>
            <w:tcW w:w="957" w:type="dxa"/>
            <w:tcBorders>
              <w:top w:val="single" w:color="auto" w:sz="4" w:space="0"/>
              <w:left w:val="single" w:color="auto" w:sz="4" w:space="0"/>
              <w:bottom w:val="single" w:color="auto" w:sz="4" w:space="0"/>
              <w:right w:val="single" w:color="auto" w:sz="4" w:space="0"/>
            </w:tcBorders>
            <w:noWrap w:val="0"/>
            <w:vAlign w:val="center"/>
          </w:tcPr>
          <w:p w14:paraId="364D31CE">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b/>
                <w:color w:val="auto"/>
                <w:spacing w:val="20"/>
                <w:sz w:val="24"/>
                <w:szCs w:val="24"/>
                <w:highlight w:val="none"/>
              </w:rPr>
              <w:t>条款号</w:t>
            </w:r>
          </w:p>
        </w:tc>
        <w:tc>
          <w:tcPr>
            <w:tcW w:w="3341" w:type="dxa"/>
            <w:gridSpan w:val="2"/>
            <w:tcBorders>
              <w:top w:val="single" w:color="auto" w:sz="4" w:space="0"/>
              <w:left w:val="single" w:color="auto" w:sz="4" w:space="0"/>
              <w:bottom w:val="single" w:color="auto" w:sz="4" w:space="0"/>
              <w:right w:val="single" w:color="auto" w:sz="4" w:space="0"/>
            </w:tcBorders>
            <w:noWrap w:val="0"/>
            <w:vAlign w:val="center"/>
          </w:tcPr>
          <w:p w14:paraId="247DA453">
            <w:pPr>
              <w:adjustRightInd w:val="0"/>
              <w:snapToGrid w:val="0"/>
              <w:spacing w:line="32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条款内容</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3D730DC6">
            <w:pPr>
              <w:adjustRightInd w:val="0"/>
              <w:snapToGrid w:val="0"/>
              <w:spacing w:line="320" w:lineRule="exact"/>
              <w:jc w:val="center"/>
              <w:textAlignment w:val="baseline"/>
              <w:rPr>
                <w:rFonts w:hint="eastAsia" w:ascii="宋体" w:hAnsi="宋体" w:eastAsia="宋体" w:cs="宋体"/>
                <w:color w:val="auto"/>
                <w:spacing w:val="20"/>
                <w:sz w:val="24"/>
                <w:szCs w:val="24"/>
                <w:highlight w:val="none"/>
              </w:rPr>
            </w:pPr>
            <w:r>
              <w:rPr>
                <w:rFonts w:hint="eastAsia" w:ascii="宋体" w:hAnsi="宋体" w:eastAsia="宋体" w:cs="宋体"/>
                <w:b/>
                <w:color w:val="auto"/>
                <w:spacing w:val="20"/>
                <w:sz w:val="24"/>
                <w:szCs w:val="24"/>
                <w:highlight w:val="none"/>
              </w:rPr>
              <w:t>编列内容</w:t>
            </w:r>
          </w:p>
        </w:tc>
      </w:tr>
      <w:tr w14:paraId="741DAB7F">
        <w:tblPrEx>
          <w:tblCellMar>
            <w:top w:w="0" w:type="dxa"/>
            <w:left w:w="108" w:type="dxa"/>
            <w:bottom w:w="0" w:type="dxa"/>
            <w:right w:w="108" w:type="dxa"/>
          </w:tblCellMar>
        </w:tblPrEx>
        <w:trPr>
          <w:trHeight w:val="1551" w:hRule="exact"/>
          <w:jc w:val="center"/>
        </w:trPr>
        <w:tc>
          <w:tcPr>
            <w:tcW w:w="957" w:type="dxa"/>
            <w:tcBorders>
              <w:top w:val="single" w:color="auto" w:sz="4" w:space="0"/>
              <w:left w:val="single" w:color="auto" w:sz="4" w:space="0"/>
              <w:bottom w:val="single" w:color="auto" w:sz="4" w:space="0"/>
              <w:right w:val="single" w:color="auto" w:sz="4" w:space="0"/>
            </w:tcBorders>
            <w:noWrap w:val="0"/>
            <w:vAlign w:val="center"/>
          </w:tcPr>
          <w:p w14:paraId="68284970">
            <w:pPr>
              <w:adjustRightInd w:val="0"/>
              <w:snapToGrid w:val="0"/>
              <w:spacing w:line="320" w:lineRule="exact"/>
              <w:jc w:val="center"/>
              <w:textAlignment w:val="baseline"/>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2.2.1</w:t>
            </w:r>
          </w:p>
        </w:tc>
        <w:tc>
          <w:tcPr>
            <w:tcW w:w="3341" w:type="dxa"/>
            <w:gridSpan w:val="2"/>
            <w:tcBorders>
              <w:top w:val="single" w:color="auto" w:sz="4" w:space="0"/>
              <w:left w:val="single" w:color="auto" w:sz="4" w:space="0"/>
              <w:bottom w:val="single" w:color="auto" w:sz="4" w:space="0"/>
              <w:right w:val="single" w:color="auto" w:sz="4" w:space="0"/>
            </w:tcBorders>
            <w:noWrap w:val="0"/>
            <w:vAlign w:val="center"/>
          </w:tcPr>
          <w:p w14:paraId="1F28B5D6">
            <w:pPr>
              <w:adjustRightInd w:val="0"/>
              <w:snapToGrid w:val="0"/>
              <w:spacing w:line="360" w:lineRule="auto"/>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分值构成</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176C1FCA">
            <w:pPr>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投标报价</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40</w:t>
            </w:r>
            <w:r>
              <w:rPr>
                <w:rFonts w:hint="eastAsia" w:ascii="宋体" w:hAnsi="宋体" w:eastAsia="宋体" w:cs="宋体"/>
                <w:b/>
                <w:color w:val="auto"/>
                <w:sz w:val="24"/>
                <w:szCs w:val="24"/>
                <w:highlight w:val="none"/>
              </w:rPr>
              <w:t>分</w:t>
            </w:r>
          </w:p>
          <w:p w14:paraId="6AE25CE1">
            <w:pPr>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技术部分：</w:t>
            </w:r>
            <w:r>
              <w:rPr>
                <w:rFonts w:hint="eastAsia" w:ascii="宋体" w:hAnsi="宋体" w:eastAsia="宋体" w:cs="宋体"/>
                <w:b/>
                <w:color w:val="auto"/>
                <w:sz w:val="24"/>
                <w:szCs w:val="24"/>
                <w:highlight w:val="none"/>
                <w:lang w:val="en-US" w:eastAsia="zh-CN"/>
              </w:rPr>
              <w:t>40</w:t>
            </w:r>
            <w:r>
              <w:rPr>
                <w:rFonts w:hint="eastAsia" w:ascii="宋体" w:hAnsi="宋体" w:eastAsia="宋体" w:cs="宋体"/>
                <w:b/>
                <w:color w:val="auto"/>
                <w:sz w:val="24"/>
                <w:szCs w:val="24"/>
                <w:highlight w:val="none"/>
              </w:rPr>
              <w:t>分</w:t>
            </w:r>
          </w:p>
          <w:p w14:paraId="5226A7FD">
            <w:pPr>
              <w:snapToGrid w:val="0"/>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z w:val="24"/>
                <w:szCs w:val="24"/>
                <w:highlight w:val="none"/>
              </w:rPr>
              <w:t>综合部分：</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分</w:t>
            </w:r>
          </w:p>
        </w:tc>
      </w:tr>
    </w:tbl>
    <w:p w14:paraId="37125534">
      <w:pPr>
        <w:pStyle w:val="19"/>
        <w:ind w:firstLine="0" w:firstLineChars="0"/>
        <w:rPr>
          <w:rFonts w:hint="eastAsia" w:ascii="宋体" w:hAnsi="宋体" w:eastAsia="宋体" w:cs="宋体"/>
          <w:color w:val="auto"/>
          <w:highlight w:val="none"/>
        </w:rPr>
      </w:pPr>
    </w:p>
    <w:p w14:paraId="07B92CCA">
      <w:pPr>
        <w:pStyle w:val="20"/>
        <w:rPr>
          <w:rFonts w:hint="eastAsia" w:ascii="宋体" w:hAnsi="宋体" w:eastAsia="宋体" w:cs="宋体"/>
          <w:color w:val="auto"/>
          <w:highlight w:val="none"/>
        </w:rPr>
      </w:pPr>
    </w:p>
    <w:tbl>
      <w:tblPr>
        <w:tblStyle w:val="21"/>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826"/>
        <w:gridCol w:w="1102"/>
        <w:gridCol w:w="6475"/>
      </w:tblGrid>
      <w:tr w14:paraId="7E33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959" w:type="dxa"/>
            <w:noWrap w:val="0"/>
            <w:vAlign w:val="center"/>
          </w:tcPr>
          <w:p w14:paraId="2E49CE3D">
            <w:pPr>
              <w:snapToGrid w:val="0"/>
              <w:spacing w:line="360" w:lineRule="auto"/>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r>
              <w:rPr>
                <w:rFonts w:hint="eastAsia" w:ascii="宋体" w:hAnsi="宋体" w:eastAsia="宋体" w:cs="宋体"/>
                <w:b/>
                <w:color w:val="auto"/>
                <w:sz w:val="24"/>
                <w:szCs w:val="24"/>
                <w:highlight w:val="none"/>
                <w:lang w:val="en-US" w:eastAsia="zh-CN"/>
              </w:rPr>
              <w:t xml:space="preserve">                                  </w:t>
            </w:r>
          </w:p>
        </w:tc>
        <w:tc>
          <w:tcPr>
            <w:tcW w:w="8403" w:type="dxa"/>
            <w:gridSpan w:val="3"/>
            <w:noWrap w:val="0"/>
            <w:vAlign w:val="center"/>
          </w:tcPr>
          <w:p w14:paraId="3A62AAFF">
            <w:pPr>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784A2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7" w:hRule="atLeast"/>
          <w:jc w:val="center"/>
        </w:trPr>
        <w:tc>
          <w:tcPr>
            <w:tcW w:w="959" w:type="dxa"/>
            <w:tcBorders>
              <w:bottom w:val="single" w:color="auto" w:sz="4" w:space="0"/>
            </w:tcBorders>
            <w:noWrap w:val="0"/>
            <w:vAlign w:val="center"/>
          </w:tcPr>
          <w:p w14:paraId="48981B03">
            <w:pPr>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2.2.4（1）</w:t>
            </w:r>
          </w:p>
        </w:tc>
        <w:tc>
          <w:tcPr>
            <w:tcW w:w="1928" w:type="dxa"/>
            <w:gridSpan w:val="2"/>
            <w:tcBorders>
              <w:bottom w:val="single" w:color="auto" w:sz="4" w:space="0"/>
            </w:tcBorders>
            <w:noWrap w:val="0"/>
            <w:vAlign w:val="center"/>
          </w:tcPr>
          <w:p w14:paraId="481A6CE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投标报价</w:t>
            </w:r>
          </w:p>
          <w:p w14:paraId="7038EEE8">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40</w:t>
            </w:r>
            <w:r>
              <w:rPr>
                <w:rFonts w:hint="eastAsia" w:ascii="宋体" w:hAnsi="宋体" w:eastAsia="宋体" w:cs="宋体"/>
                <w:b/>
                <w:bCs/>
                <w:color w:val="auto"/>
                <w:sz w:val="24"/>
                <w:szCs w:val="24"/>
                <w:highlight w:val="none"/>
              </w:rPr>
              <w:t>分）</w:t>
            </w:r>
          </w:p>
        </w:tc>
        <w:tc>
          <w:tcPr>
            <w:tcW w:w="6475" w:type="dxa"/>
            <w:tcBorders>
              <w:bottom w:val="single" w:color="auto" w:sz="4" w:space="0"/>
            </w:tcBorders>
            <w:noWrap w:val="0"/>
            <w:vAlign w:val="center"/>
          </w:tcPr>
          <w:p w14:paraId="7C6C015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投标报价得分=(评标基准值／有效投标人的投标报价)×</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w:t>
            </w:r>
          </w:p>
          <w:p w14:paraId="161F1B2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2DBC590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1.投标人的报价超出招标控制价的，按无效标处理。</w:t>
            </w:r>
          </w:p>
          <w:p w14:paraId="5E5A1B2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2.评标基准值为所有投标人的最低有效投标报价，最低有效投标报价得满分</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p w14:paraId="1C6F125A">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评标委员会认为投标人的报价明显低于其他通过符合性审查投标人的报价，有可能影响产品质量或者不能诚信履约的，应当在电子交易系统中要求该供应商在合理的时间内作出说明，必要时提交相关证明材料；投标人不能证明其报价合理性的，评标委员会应当将其作为无效投标处理。</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sz w:val="24"/>
                <w:szCs w:val="24"/>
                <w:highlight w:val="none"/>
                <w:lang w:val="en-US" w:eastAsia="zh-CN"/>
              </w:rPr>
              <w:t>政府采购异常低价审查等相关规定）</w:t>
            </w:r>
          </w:p>
          <w:p w14:paraId="68F5733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4.根据财政部、工信部关于印发《政府采购促进中小企业发展管理办法》的通知（财库﹝2020﹞46 号文件）及《财政部关于进一步加大政府采购支持中小企业力度的通知》（财库【2022】19号）和《河南省财政厅关于进一步做好政府采购支持中小企业发展有关事项的通知》（豫财购【2022】5号）有关要求，对小型和微型企业的价格给予20%的扣除，用扣除后的价格参与评审。供应商须在响应文件中按照相关文件的要求出具《中小企业声明函》，否则不得享受相关中小企业扶持政策。</w:t>
            </w:r>
          </w:p>
          <w:p w14:paraId="733D892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根据财政部司法部《关于政府采购支持监狱企业发展有关问题的通知》（财库〔2014〕68号）规定，本项目对监狱企业作为供应商所提供的本企业生产的产品或服务的价格给予20%的扣除，用扣除后的价格参与评审。监狱企业是指由司法部认定的为罪犯、戒毒人员提供生产项目和劳动对象，且全部产权属于司法部监狱管理局、戒毒管理局、直属煤矿管理局，各省、自治区、直辖市监狱管理局、戒毒管理局，各地 (设区的市)监狱、强制隔离戒毒所、戒毒康复所，以及新疆生产建设兵团监狱管理局、戒毒管理局的企业。监狱企业投标提供由省级以上监狱管理局、戒毒管理局(含新疆生产建设兵团)出具的属于监狱企业的证明文件。</w:t>
            </w:r>
          </w:p>
          <w:p w14:paraId="0EF73D7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照《关于促进残疾人就业政府采购政策的通知》财库〔2017〕141号文件规定，对残疾人福利单位的价格给予20%的扣除，用扣除后的价格参与评审。符合条件的残疾人福利性单位在参加政府采购活动时，应当提供《残疾人福利性单位声明函》，并对声明的真实性负责。任何单位或者个人在政府采购活动中均不得要求残疾人福利性单位提供其他证明声明函内容的材料。</w:t>
            </w:r>
          </w:p>
          <w:p w14:paraId="42C844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7.残疾人福利性单位、监狱企业、属于小型、微型企业的，不重复享受政策。</w:t>
            </w:r>
          </w:p>
          <w:p w14:paraId="27130E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8.根据《国务院办公厅关于在政府采购中实施本国产品标准及相关政策的通知》（国办发 〔2025〕34 号）的规定，政府采购活动中既有本国产品又有非本国产品参与竞争的，依法对本国产品给予价格评审优惠，对本国产品的报价给予 20%的价格扣除，用扣除后的价格参与评审。供应商应按要求对其提供的产品出具《关于符合本国产品标准的声明函》或财政部会同有关部门规定的有关证明文件。对于仅有本国产品参与竞争的政府采购项目，本国产品不享受价格扣除评审优惠。</w:t>
            </w:r>
          </w:p>
          <w:p w14:paraId="6C7309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78665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79153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.根据上述要求计算得出的价格仅限于评标时使用，对中标价格没有任何影响。</w:t>
            </w:r>
          </w:p>
        </w:tc>
      </w:tr>
      <w:tr w14:paraId="2BE9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959" w:type="dxa"/>
            <w:vMerge w:val="restart"/>
            <w:tcBorders>
              <w:top w:val="single" w:color="auto" w:sz="4" w:space="0"/>
              <w:left w:val="single" w:color="auto" w:sz="4" w:space="0"/>
            </w:tcBorders>
            <w:noWrap w:val="0"/>
            <w:vAlign w:val="center"/>
          </w:tcPr>
          <w:p w14:paraId="2EEEC215">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2.2.4（2）</w:t>
            </w:r>
          </w:p>
        </w:tc>
        <w:tc>
          <w:tcPr>
            <w:tcW w:w="826" w:type="dxa"/>
            <w:vMerge w:val="restart"/>
            <w:tcBorders>
              <w:top w:val="single" w:color="auto" w:sz="4" w:space="0"/>
            </w:tcBorders>
            <w:noWrap w:val="0"/>
            <w:vAlign w:val="center"/>
          </w:tcPr>
          <w:p w14:paraId="2768B060">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w:t>
            </w:r>
          </w:p>
          <w:p w14:paraId="72CEB36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部分</w:t>
            </w:r>
          </w:p>
          <w:p w14:paraId="50E2CBF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40</w:t>
            </w:r>
            <w:r>
              <w:rPr>
                <w:rFonts w:hint="eastAsia" w:ascii="宋体" w:hAnsi="宋体" w:eastAsia="宋体" w:cs="宋体"/>
                <w:b/>
                <w:bCs/>
                <w:color w:val="auto"/>
                <w:sz w:val="24"/>
                <w:szCs w:val="24"/>
                <w:highlight w:val="none"/>
              </w:rPr>
              <w:t>分</w:t>
            </w:r>
          </w:p>
        </w:tc>
        <w:tc>
          <w:tcPr>
            <w:tcW w:w="1102" w:type="dxa"/>
            <w:tcBorders>
              <w:top w:val="single" w:color="auto" w:sz="4" w:space="0"/>
            </w:tcBorders>
            <w:noWrap w:val="0"/>
            <w:vAlign w:val="center"/>
          </w:tcPr>
          <w:p w14:paraId="0333B291">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技术</w:t>
            </w:r>
          </w:p>
          <w:p w14:paraId="646B0497">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参数</w:t>
            </w:r>
          </w:p>
          <w:p w14:paraId="2272B0F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分）</w:t>
            </w:r>
          </w:p>
        </w:tc>
        <w:tc>
          <w:tcPr>
            <w:tcW w:w="6475" w:type="dxa"/>
            <w:tcBorders>
              <w:top w:val="single" w:color="auto" w:sz="4" w:space="0"/>
              <w:right w:val="single" w:color="auto" w:sz="4" w:space="0"/>
            </w:tcBorders>
            <w:noWrap w:val="0"/>
            <w:vAlign w:val="center"/>
          </w:tcPr>
          <w:p w14:paraId="437623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投标产品技术参数及要求完全满足或优于招标文件技术参数及要求的得满分</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分。每有一项不满足（负偏离）扣1分，扣完为止。</w:t>
            </w:r>
          </w:p>
        </w:tc>
      </w:tr>
      <w:tr w14:paraId="4357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9" w:hRule="atLeast"/>
          <w:jc w:val="center"/>
        </w:trPr>
        <w:tc>
          <w:tcPr>
            <w:tcW w:w="959" w:type="dxa"/>
            <w:vMerge w:val="continue"/>
            <w:tcBorders>
              <w:left w:val="single" w:color="auto" w:sz="4" w:space="0"/>
            </w:tcBorders>
            <w:noWrap w:val="0"/>
            <w:vAlign w:val="center"/>
          </w:tcPr>
          <w:p w14:paraId="01869BF5">
            <w:pPr>
              <w:spacing w:line="360" w:lineRule="auto"/>
              <w:jc w:val="center"/>
              <w:rPr>
                <w:rFonts w:hint="eastAsia" w:ascii="宋体" w:hAnsi="宋体" w:eastAsia="宋体" w:cs="宋体"/>
                <w:b/>
                <w:bCs/>
                <w:color w:val="auto"/>
                <w:sz w:val="24"/>
                <w:szCs w:val="24"/>
                <w:highlight w:val="none"/>
              </w:rPr>
            </w:pPr>
          </w:p>
        </w:tc>
        <w:tc>
          <w:tcPr>
            <w:tcW w:w="826" w:type="dxa"/>
            <w:vMerge w:val="continue"/>
            <w:noWrap w:val="0"/>
            <w:vAlign w:val="center"/>
          </w:tcPr>
          <w:p w14:paraId="0CA28205">
            <w:pPr>
              <w:spacing w:line="360" w:lineRule="auto"/>
              <w:jc w:val="center"/>
              <w:rPr>
                <w:rFonts w:hint="eastAsia" w:ascii="宋体" w:hAnsi="宋体" w:eastAsia="宋体" w:cs="宋体"/>
                <w:b/>
                <w:bCs/>
                <w:color w:val="auto"/>
                <w:sz w:val="24"/>
                <w:szCs w:val="24"/>
                <w:highlight w:val="none"/>
                <w:lang w:val="en-US" w:eastAsia="zh-CN"/>
              </w:rPr>
            </w:pPr>
          </w:p>
        </w:tc>
        <w:tc>
          <w:tcPr>
            <w:tcW w:w="1102" w:type="dxa"/>
            <w:tcBorders>
              <w:top w:val="single" w:color="auto" w:sz="4" w:space="0"/>
            </w:tcBorders>
            <w:noWrap w:val="0"/>
            <w:vAlign w:val="center"/>
          </w:tcPr>
          <w:p w14:paraId="35F67715">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项目实施方案</w:t>
            </w:r>
          </w:p>
          <w:p w14:paraId="343C15D0">
            <w:pPr>
              <w:shd w:val="clear" w:color="auto" w:fill="auto"/>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c>
          <w:tcPr>
            <w:tcW w:w="6475" w:type="dxa"/>
            <w:tcBorders>
              <w:top w:val="single" w:color="auto" w:sz="4" w:space="0"/>
              <w:right w:val="single" w:color="auto" w:sz="4" w:space="0"/>
            </w:tcBorders>
            <w:noWrap w:val="0"/>
            <w:vAlign w:val="center"/>
          </w:tcPr>
          <w:p w14:paraId="474157AD">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投标人的实施方案（含运输、安装、调试等）</w:t>
            </w:r>
          </w:p>
          <w:p w14:paraId="731BFA25">
            <w:pPr>
              <w:shd w:val="clear" w:color="auto" w:fill="auto"/>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（1）实施方案（含运输、安装、调试等）</w:t>
            </w:r>
            <w:r>
              <w:rPr>
                <w:rFonts w:hint="eastAsia" w:ascii="宋体" w:hAnsi="宋体" w:eastAsia="宋体" w:cs="宋体"/>
                <w:color w:val="auto"/>
                <w:sz w:val="24"/>
                <w:szCs w:val="24"/>
                <w:highlight w:val="none"/>
                <w:lang w:val="en-US" w:eastAsia="zh-CN"/>
              </w:rPr>
              <w:t>内容完整详细、</w:t>
            </w:r>
            <w:r>
              <w:rPr>
                <w:rFonts w:hint="eastAsia" w:ascii="宋体" w:hAnsi="宋体" w:eastAsia="宋体" w:cs="宋体"/>
                <w:color w:val="auto"/>
                <w:sz w:val="24"/>
                <w:szCs w:val="24"/>
                <w:highlight w:val="none"/>
              </w:rPr>
              <w:t>合理、可行得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76A53E11">
            <w:pPr>
              <w:numPr>
                <w:ilvl w:val="0"/>
                <w:numId w:val="10"/>
              </w:num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实施方案（含运输、安装、调试等）</w:t>
            </w:r>
            <w:r>
              <w:rPr>
                <w:rFonts w:hint="eastAsia" w:ascii="宋体" w:hAnsi="宋体" w:eastAsia="宋体" w:cs="宋体"/>
                <w:color w:val="auto"/>
                <w:sz w:val="24"/>
                <w:szCs w:val="24"/>
                <w:highlight w:val="none"/>
                <w:lang w:val="en-US" w:eastAsia="zh-CN"/>
              </w:rPr>
              <w:t>内容完整、</w:t>
            </w:r>
            <w:r>
              <w:rPr>
                <w:rFonts w:hint="eastAsia" w:ascii="宋体" w:hAnsi="宋体" w:eastAsia="宋体" w:cs="宋体"/>
                <w:color w:val="auto"/>
                <w:sz w:val="24"/>
                <w:szCs w:val="24"/>
                <w:highlight w:val="none"/>
              </w:rPr>
              <w:t>基本合理、可行得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661FE929">
            <w:pPr>
              <w:numPr>
                <w:ilvl w:val="0"/>
                <w:numId w:val="10"/>
              </w:num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实施方案（含运输、安装、调试等）</w:t>
            </w:r>
            <w:r>
              <w:rPr>
                <w:rFonts w:hint="eastAsia" w:ascii="宋体" w:hAnsi="宋体" w:eastAsia="宋体" w:cs="宋体"/>
                <w:color w:val="auto"/>
                <w:sz w:val="24"/>
                <w:szCs w:val="24"/>
                <w:highlight w:val="none"/>
                <w:lang w:val="en-US" w:eastAsia="zh-CN"/>
              </w:rPr>
              <w:t>内容欠缺、</w:t>
            </w:r>
            <w:r>
              <w:rPr>
                <w:rFonts w:hint="eastAsia" w:ascii="宋体" w:hAnsi="宋体" w:eastAsia="宋体" w:cs="宋体"/>
                <w:color w:val="auto"/>
                <w:sz w:val="24"/>
                <w:szCs w:val="24"/>
                <w:highlight w:val="none"/>
              </w:rPr>
              <w:t>不够合理、可行得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36776369">
            <w:pPr>
              <w:shd w:val="clear" w:color="auto" w:fill="auto"/>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没有不得分。</w:t>
            </w:r>
          </w:p>
        </w:tc>
      </w:tr>
      <w:tr w14:paraId="69E2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0" w:hRule="atLeast"/>
          <w:jc w:val="center"/>
        </w:trPr>
        <w:tc>
          <w:tcPr>
            <w:tcW w:w="959" w:type="dxa"/>
            <w:vMerge w:val="continue"/>
            <w:tcBorders>
              <w:left w:val="single" w:color="auto" w:sz="4" w:space="0"/>
            </w:tcBorders>
            <w:noWrap w:val="0"/>
            <w:vAlign w:val="center"/>
          </w:tcPr>
          <w:p w14:paraId="757FC5C9">
            <w:pPr>
              <w:spacing w:line="360" w:lineRule="auto"/>
              <w:jc w:val="center"/>
              <w:rPr>
                <w:rFonts w:hint="eastAsia" w:ascii="宋体" w:hAnsi="宋体" w:eastAsia="宋体" w:cs="宋体"/>
                <w:b/>
                <w:bCs/>
                <w:color w:val="auto"/>
                <w:sz w:val="24"/>
                <w:szCs w:val="24"/>
                <w:highlight w:val="none"/>
              </w:rPr>
            </w:pPr>
          </w:p>
        </w:tc>
        <w:tc>
          <w:tcPr>
            <w:tcW w:w="826" w:type="dxa"/>
            <w:vMerge w:val="continue"/>
            <w:noWrap w:val="0"/>
            <w:vAlign w:val="center"/>
          </w:tcPr>
          <w:p w14:paraId="396A4AD2">
            <w:pPr>
              <w:spacing w:line="360" w:lineRule="auto"/>
              <w:jc w:val="center"/>
              <w:rPr>
                <w:rFonts w:hint="eastAsia" w:ascii="宋体" w:hAnsi="宋体" w:eastAsia="宋体" w:cs="宋体"/>
                <w:b/>
                <w:bCs/>
                <w:color w:val="auto"/>
                <w:sz w:val="24"/>
                <w:szCs w:val="24"/>
                <w:highlight w:val="none"/>
                <w:lang w:val="en-US" w:eastAsia="zh-CN"/>
              </w:rPr>
            </w:pPr>
          </w:p>
        </w:tc>
        <w:tc>
          <w:tcPr>
            <w:tcW w:w="1102" w:type="dxa"/>
            <w:tcBorders>
              <w:top w:val="single" w:color="auto" w:sz="4" w:space="0"/>
            </w:tcBorders>
            <w:noWrap w:val="0"/>
            <w:vAlign w:val="center"/>
          </w:tcPr>
          <w:p w14:paraId="1513327B">
            <w:pPr>
              <w:shd w:val="clear" w:color="auto" w:fill="auto"/>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rPr>
              <w:t>质量保证体系与措施（</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c>
          <w:tcPr>
            <w:tcW w:w="6475" w:type="dxa"/>
            <w:tcBorders>
              <w:top w:val="single" w:color="auto" w:sz="4" w:space="0"/>
              <w:right w:val="single" w:color="auto" w:sz="4" w:space="0"/>
            </w:tcBorders>
            <w:noWrap w:val="0"/>
            <w:vAlign w:val="center"/>
          </w:tcPr>
          <w:p w14:paraId="6BEDB96B">
            <w:pPr>
              <w:numPr>
                <w:ilvl w:val="0"/>
                <w:numId w:val="0"/>
              </w:numPr>
              <w:shd w:val="clear" w:color="auto" w:fill="auto"/>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投标人具有质量保证体系与措施</w:t>
            </w:r>
          </w:p>
          <w:p w14:paraId="5AC199B3">
            <w:pPr>
              <w:numPr>
                <w:ilvl w:val="0"/>
                <w:numId w:val="11"/>
              </w:num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w:t>
            </w:r>
            <w:r>
              <w:rPr>
                <w:rFonts w:hint="eastAsia" w:ascii="宋体" w:hAnsi="宋体" w:eastAsia="宋体" w:cs="宋体"/>
                <w:color w:val="auto"/>
                <w:kern w:val="0"/>
                <w:sz w:val="24"/>
                <w:szCs w:val="24"/>
                <w:highlight w:val="none"/>
              </w:rPr>
              <w:t>质量</w:t>
            </w:r>
            <w:r>
              <w:rPr>
                <w:rFonts w:hint="eastAsia" w:ascii="宋体" w:hAnsi="宋体" w:eastAsia="宋体" w:cs="宋体"/>
                <w:color w:val="auto"/>
                <w:sz w:val="24"/>
                <w:szCs w:val="24"/>
                <w:highlight w:val="none"/>
              </w:rPr>
              <w:t>保证体系明确、完备，措施合理得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1F53108F">
            <w:pPr>
              <w:numPr>
                <w:ilvl w:val="0"/>
                <w:numId w:val="11"/>
              </w:num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质量</w:t>
            </w:r>
            <w:r>
              <w:rPr>
                <w:rFonts w:hint="eastAsia" w:ascii="宋体" w:hAnsi="宋体" w:eastAsia="宋体" w:cs="宋体"/>
                <w:color w:val="auto"/>
                <w:sz w:val="24"/>
                <w:szCs w:val="24"/>
                <w:highlight w:val="none"/>
              </w:rPr>
              <w:t>保证体系基本明确、完备，措施基本合理得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07DA7F8A">
            <w:pPr>
              <w:numPr>
                <w:ilvl w:val="0"/>
                <w:numId w:val="11"/>
              </w:num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质量</w:t>
            </w:r>
            <w:r>
              <w:rPr>
                <w:rFonts w:hint="eastAsia" w:ascii="宋体" w:hAnsi="宋体" w:eastAsia="宋体" w:cs="宋体"/>
                <w:color w:val="auto"/>
                <w:sz w:val="24"/>
                <w:szCs w:val="24"/>
                <w:highlight w:val="none"/>
              </w:rPr>
              <w:t>保证体系基本明确、完备，措施不够合理得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5A91E8F0">
            <w:pPr>
              <w:shd w:val="clear" w:color="auto" w:fill="auto"/>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没有不得分。</w:t>
            </w:r>
          </w:p>
        </w:tc>
      </w:tr>
      <w:tr w14:paraId="547BE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0" w:hRule="atLeast"/>
          <w:jc w:val="center"/>
        </w:trPr>
        <w:tc>
          <w:tcPr>
            <w:tcW w:w="959" w:type="dxa"/>
            <w:vMerge w:val="continue"/>
            <w:tcBorders>
              <w:left w:val="single" w:color="auto" w:sz="4" w:space="0"/>
            </w:tcBorders>
            <w:noWrap w:val="0"/>
            <w:vAlign w:val="center"/>
          </w:tcPr>
          <w:p w14:paraId="2690B858">
            <w:pPr>
              <w:spacing w:line="360" w:lineRule="auto"/>
              <w:jc w:val="center"/>
              <w:rPr>
                <w:rFonts w:hint="eastAsia" w:ascii="宋体" w:hAnsi="宋体" w:eastAsia="宋体" w:cs="宋体"/>
                <w:b/>
                <w:bCs/>
                <w:color w:val="auto"/>
                <w:sz w:val="24"/>
                <w:szCs w:val="24"/>
                <w:highlight w:val="none"/>
              </w:rPr>
            </w:pPr>
          </w:p>
        </w:tc>
        <w:tc>
          <w:tcPr>
            <w:tcW w:w="826" w:type="dxa"/>
            <w:vMerge w:val="continue"/>
            <w:noWrap w:val="0"/>
            <w:vAlign w:val="center"/>
          </w:tcPr>
          <w:p w14:paraId="2C621327">
            <w:pPr>
              <w:spacing w:line="360" w:lineRule="auto"/>
              <w:jc w:val="center"/>
              <w:rPr>
                <w:rFonts w:hint="eastAsia" w:ascii="宋体" w:hAnsi="宋体" w:eastAsia="宋体" w:cs="宋体"/>
                <w:b/>
                <w:bCs/>
                <w:color w:val="auto"/>
                <w:sz w:val="24"/>
                <w:szCs w:val="24"/>
                <w:highlight w:val="none"/>
                <w:lang w:val="en-US" w:eastAsia="zh-CN"/>
              </w:rPr>
            </w:pPr>
          </w:p>
        </w:tc>
        <w:tc>
          <w:tcPr>
            <w:tcW w:w="1102" w:type="dxa"/>
            <w:tcBorders>
              <w:top w:val="single" w:color="auto" w:sz="4" w:space="0"/>
            </w:tcBorders>
            <w:noWrap w:val="0"/>
            <w:vAlign w:val="center"/>
          </w:tcPr>
          <w:p w14:paraId="0C5E2EC8">
            <w:pPr>
              <w:shd w:val="clear" w:color="auto" w:fill="auto"/>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技术支持及人员培训</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c>
          <w:tcPr>
            <w:tcW w:w="6475" w:type="dxa"/>
            <w:tcBorders>
              <w:top w:val="single" w:color="auto" w:sz="4" w:space="0"/>
              <w:right w:val="single" w:color="auto" w:sz="4" w:space="0"/>
            </w:tcBorders>
            <w:noWrap w:val="0"/>
            <w:vAlign w:val="center"/>
          </w:tcPr>
          <w:p w14:paraId="37CDEE5C">
            <w:pPr>
              <w:shd w:val="clear" w:color="auto" w:fill="auto"/>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投标人对所投设备</w:t>
            </w:r>
            <w:r>
              <w:rPr>
                <w:rFonts w:hint="eastAsia" w:ascii="宋体" w:hAnsi="宋体" w:eastAsia="宋体" w:cs="宋体"/>
                <w:color w:val="auto"/>
                <w:kern w:val="0"/>
                <w:sz w:val="24"/>
                <w:szCs w:val="24"/>
                <w:highlight w:val="none"/>
              </w:rPr>
              <w:t>在技术服务、培训等方面提供的技术支持</w:t>
            </w:r>
            <w:r>
              <w:rPr>
                <w:rFonts w:hint="eastAsia" w:ascii="宋体" w:hAnsi="宋体" w:eastAsia="宋体" w:cs="宋体"/>
                <w:color w:val="auto"/>
                <w:kern w:val="0"/>
                <w:sz w:val="24"/>
                <w:szCs w:val="24"/>
                <w:highlight w:val="none"/>
                <w:lang w:eastAsia="zh-CN"/>
              </w:rPr>
              <w:t>：</w:t>
            </w:r>
          </w:p>
          <w:p w14:paraId="0FAD1691">
            <w:pPr>
              <w:numPr>
                <w:ilvl w:val="0"/>
                <w:numId w:val="12"/>
              </w:num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技术服务、培训等方面提供的技术支持</w:t>
            </w:r>
            <w:r>
              <w:rPr>
                <w:rFonts w:hint="eastAsia" w:ascii="宋体" w:hAnsi="宋体" w:eastAsia="宋体" w:cs="宋体"/>
                <w:color w:val="auto"/>
                <w:kern w:val="0"/>
                <w:sz w:val="24"/>
                <w:szCs w:val="24"/>
                <w:highlight w:val="none"/>
              </w:rPr>
              <w:t>可靠、合理</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780D9960">
            <w:pPr>
              <w:numPr>
                <w:ilvl w:val="0"/>
                <w:numId w:val="12"/>
              </w:num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技术服务、培训等方面提供的技术支持</w:t>
            </w:r>
            <w:r>
              <w:rPr>
                <w:rFonts w:hint="eastAsia" w:ascii="宋体" w:hAnsi="宋体" w:eastAsia="宋体" w:cs="宋体"/>
                <w:color w:val="auto"/>
                <w:sz w:val="24"/>
                <w:szCs w:val="24"/>
                <w:highlight w:val="none"/>
              </w:rPr>
              <w:t>基本可靠、合理得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4CCC847C">
            <w:pPr>
              <w:numPr>
                <w:ilvl w:val="0"/>
                <w:numId w:val="12"/>
              </w:num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技术服务、培训等方面提供的技术支持</w:t>
            </w:r>
            <w:r>
              <w:rPr>
                <w:rFonts w:hint="eastAsia" w:ascii="宋体" w:hAnsi="宋体" w:eastAsia="宋体" w:cs="宋体"/>
                <w:color w:val="auto"/>
                <w:sz w:val="24"/>
                <w:szCs w:val="24"/>
                <w:highlight w:val="none"/>
              </w:rPr>
              <w:t>不够可靠、合理得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2F47A663">
            <w:pPr>
              <w:shd w:val="clear" w:color="auto" w:fill="auto"/>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没有不得分。</w:t>
            </w:r>
          </w:p>
        </w:tc>
      </w:tr>
      <w:tr w14:paraId="06EC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1" w:hRule="atLeast"/>
          <w:jc w:val="center"/>
        </w:trPr>
        <w:tc>
          <w:tcPr>
            <w:tcW w:w="959" w:type="dxa"/>
            <w:vMerge w:val="continue"/>
            <w:tcBorders>
              <w:left w:val="single" w:color="auto" w:sz="4" w:space="0"/>
            </w:tcBorders>
            <w:noWrap w:val="0"/>
            <w:vAlign w:val="center"/>
          </w:tcPr>
          <w:p w14:paraId="6B3CA216">
            <w:pPr>
              <w:spacing w:line="360" w:lineRule="auto"/>
              <w:jc w:val="center"/>
              <w:rPr>
                <w:rFonts w:hint="eastAsia" w:ascii="宋体" w:hAnsi="宋体" w:eastAsia="宋体" w:cs="宋体"/>
                <w:b/>
                <w:bCs/>
                <w:color w:val="auto"/>
                <w:sz w:val="24"/>
                <w:szCs w:val="24"/>
                <w:highlight w:val="none"/>
              </w:rPr>
            </w:pPr>
          </w:p>
        </w:tc>
        <w:tc>
          <w:tcPr>
            <w:tcW w:w="826" w:type="dxa"/>
            <w:vMerge w:val="continue"/>
            <w:noWrap w:val="0"/>
            <w:vAlign w:val="center"/>
          </w:tcPr>
          <w:p w14:paraId="2AA1D908">
            <w:pPr>
              <w:spacing w:line="360" w:lineRule="auto"/>
              <w:jc w:val="center"/>
              <w:rPr>
                <w:rFonts w:hint="eastAsia" w:ascii="宋体" w:hAnsi="宋体" w:eastAsia="宋体" w:cs="宋体"/>
                <w:b/>
                <w:bCs/>
                <w:color w:val="auto"/>
                <w:sz w:val="24"/>
                <w:szCs w:val="24"/>
                <w:highlight w:val="none"/>
                <w:lang w:val="en-US" w:eastAsia="zh-CN"/>
              </w:rPr>
            </w:pPr>
          </w:p>
        </w:tc>
        <w:tc>
          <w:tcPr>
            <w:tcW w:w="1102" w:type="dxa"/>
            <w:tcBorders>
              <w:top w:val="single" w:color="auto" w:sz="4" w:space="0"/>
            </w:tcBorders>
            <w:noWrap w:val="0"/>
            <w:vAlign w:val="center"/>
          </w:tcPr>
          <w:p w14:paraId="5429D9AD">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售后服务方案</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c>
          <w:tcPr>
            <w:tcW w:w="6475" w:type="dxa"/>
            <w:tcBorders>
              <w:top w:val="single" w:color="auto" w:sz="4" w:space="0"/>
              <w:right w:val="single" w:color="auto" w:sz="4" w:space="0"/>
            </w:tcBorders>
            <w:noWrap w:val="0"/>
            <w:vAlign w:val="center"/>
          </w:tcPr>
          <w:p w14:paraId="1EBE0718">
            <w:pPr>
              <w:shd w:val="clear" w:color="auto" w:fill="auto"/>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投标人的售后服务内容完善、故障响应</w:t>
            </w:r>
            <w:r>
              <w:rPr>
                <w:rFonts w:hint="eastAsia" w:ascii="宋体" w:hAnsi="宋体" w:eastAsia="宋体" w:cs="宋体"/>
                <w:color w:val="auto"/>
                <w:sz w:val="24"/>
                <w:szCs w:val="24"/>
                <w:highlight w:val="none"/>
                <w:lang w:val="en-US" w:eastAsia="zh-CN"/>
              </w:rPr>
              <w:t>迅速</w:t>
            </w:r>
            <w:r>
              <w:rPr>
                <w:rFonts w:hint="eastAsia" w:ascii="宋体" w:hAnsi="宋体" w:eastAsia="宋体" w:cs="宋体"/>
                <w:color w:val="auto"/>
                <w:sz w:val="24"/>
                <w:szCs w:val="24"/>
                <w:highlight w:val="none"/>
              </w:rPr>
              <w:t>、响应方式时间短、优惠条件</w:t>
            </w:r>
            <w:r>
              <w:rPr>
                <w:rFonts w:hint="eastAsia" w:ascii="宋体" w:hAnsi="宋体" w:eastAsia="宋体" w:cs="宋体"/>
                <w:color w:val="auto"/>
                <w:sz w:val="24"/>
                <w:szCs w:val="24"/>
                <w:highlight w:val="none"/>
                <w:lang w:val="en-US" w:eastAsia="zh-CN"/>
              </w:rPr>
              <w:t>合理可行</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5C892C44">
            <w:pPr>
              <w:shd w:val="clear" w:color="auto" w:fill="auto"/>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售后服务内容完善、故障响应时间</w:t>
            </w:r>
            <w:r>
              <w:rPr>
                <w:rFonts w:hint="eastAsia" w:ascii="宋体" w:hAnsi="宋体" w:eastAsia="宋体" w:cs="宋体"/>
                <w:color w:val="auto"/>
                <w:sz w:val="24"/>
                <w:szCs w:val="24"/>
                <w:highlight w:val="none"/>
                <w:lang w:val="en-US" w:eastAsia="zh-CN"/>
              </w:rPr>
              <w:t>基本可行</w:t>
            </w:r>
            <w:r>
              <w:rPr>
                <w:rFonts w:hint="eastAsia" w:ascii="宋体" w:hAnsi="宋体" w:eastAsia="宋体" w:cs="宋体"/>
                <w:color w:val="auto"/>
                <w:sz w:val="24"/>
                <w:szCs w:val="24"/>
                <w:highlight w:val="none"/>
              </w:rPr>
              <w:t>、响应方式时间短、优惠条件</w:t>
            </w:r>
            <w:r>
              <w:rPr>
                <w:rFonts w:hint="eastAsia" w:ascii="宋体" w:hAnsi="宋体" w:eastAsia="宋体" w:cs="宋体"/>
                <w:color w:val="auto"/>
                <w:sz w:val="24"/>
                <w:szCs w:val="24"/>
                <w:highlight w:val="none"/>
                <w:lang w:val="en-US" w:eastAsia="zh-CN"/>
              </w:rPr>
              <w:t>基本合理可行</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3FED8116">
            <w:pPr>
              <w:shd w:val="clear" w:color="auto" w:fill="auto"/>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售后服务内容基本完善、故障响应时间长、响应方式时间长、优惠条件的力度小得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35049A6A">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没有不得分。</w:t>
            </w:r>
          </w:p>
        </w:tc>
      </w:tr>
      <w:tr w14:paraId="4B65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jc w:val="center"/>
        </w:trPr>
        <w:tc>
          <w:tcPr>
            <w:tcW w:w="959" w:type="dxa"/>
            <w:vMerge w:val="restart"/>
            <w:tcBorders>
              <w:top w:val="single" w:color="auto" w:sz="4" w:space="0"/>
              <w:left w:val="single" w:color="auto" w:sz="4" w:space="0"/>
            </w:tcBorders>
            <w:noWrap w:val="0"/>
            <w:vAlign w:val="center"/>
          </w:tcPr>
          <w:p w14:paraId="2851C0B6">
            <w:pPr>
              <w:spacing w:line="360" w:lineRule="auto"/>
              <w:jc w:val="center"/>
              <w:rPr>
                <w:rFonts w:hint="eastAsia" w:ascii="宋体" w:hAnsi="宋体" w:eastAsia="宋体" w:cs="宋体"/>
                <w:b/>
                <w:bCs/>
                <w:color w:val="auto"/>
                <w:sz w:val="24"/>
                <w:szCs w:val="24"/>
                <w:highlight w:val="none"/>
              </w:rPr>
            </w:pPr>
          </w:p>
          <w:p w14:paraId="6F967D33">
            <w:pPr>
              <w:spacing w:line="360" w:lineRule="auto"/>
              <w:jc w:val="center"/>
              <w:rPr>
                <w:rFonts w:hint="eastAsia" w:ascii="宋体" w:hAnsi="宋体" w:eastAsia="宋体" w:cs="宋体"/>
                <w:b/>
                <w:bCs/>
                <w:color w:val="auto"/>
                <w:sz w:val="24"/>
                <w:szCs w:val="24"/>
                <w:highlight w:val="none"/>
              </w:rPr>
            </w:pPr>
          </w:p>
          <w:p w14:paraId="46A51256">
            <w:pPr>
              <w:spacing w:line="360" w:lineRule="auto"/>
              <w:jc w:val="center"/>
              <w:rPr>
                <w:rFonts w:hint="eastAsia" w:ascii="宋体" w:hAnsi="宋体" w:eastAsia="宋体" w:cs="宋体"/>
                <w:b/>
                <w:bCs/>
                <w:color w:val="auto"/>
                <w:sz w:val="24"/>
                <w:szCs w:val="24"/>
                <w:highlight w:val="none"/>
              </w:rPr>
            </w:pPr>
          </w:p>
          <w:p w14:paraId="428104C9">
            <w:pPr>
              <w:spacing w:line="360" w:lineRule="auto"/>
              <w:jc w:val="center"/>
              <w:rPr>
                <w:rFonts w:hint="eastAsia" w:ascii="宋体" w:hAnsi="宋体" w:eastAsia="宋体" w:cs="宋体"/>
                <w:b/>
                <w:bCs/>
                <w:color w:val="auto"/>
                <w:sz w:val="24"/>
                <w:szCs w:val="24"/>
                <w:highlight w:val="none"/>
              </w:rPr>
            </w:pPr>
          </w:p>
          <w:p w14:paraId="33E72AC1">
            <w:pPr>
              <w:spacing w:line="360" w:lineRule="auto"/>
              <w:jc w:val="center"/>
              <w:rPr>
                <w:rFonts w:hint="eastAsia" w:ascii="宋体" w:hAnsi="宋体" w:eastAsia="宋体" w:cs="宋体"/>
                <w:b/>
                <w:bCs/>
                <w:color w:val="auto"/>
                <w:sz w:val="24"/>
                <w:szCs w:val="24"/>
                <w:highlight w:val="none"/>
              </w:rPr>
            </w:pPr>
          </w:p>
          <w:p w14:paraId="6F9FC036">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2.2.4（3）</w:t>
            </w:r>
          </w:p>
          <w:p w14:paraId="23158210">
            <w:pPr>
              <w:pStyle w:val="4"/>
              <w:spacing w:line="360" w:lineRule="auto"/>
              <w:rPr>
                <w:rFonts w:hint="eastAsia" w:ascii="宋体" w:hAnsi="宋体" w:eastAsia="宋体" w:cs="宋体"/>
                <w:b/>
                <w:bCs/>
                <w:color w:val="auto"/>
                <w:sz w:val="24"/>
                <w:szCs w:val="24"/>
                <w:highlight w:val="none"/>
              </w:rPr>
            </w:pPr>
          </w:p>
          <w:p w14:paraId="43CECA4F">
            <w:pPr>
              <w:spacing w:line="360" w:lineRule="auto"/>
              <w:rPr>
                <w:rFonts w:hint="eastAsia" w:ascii="宋体" w:hAnsi="宋体" w:eastAsia="宋体" w:cs="宋体"/>
                <w:b/>
                <w:bCs/>
                <w:color w:val="auto"/>
                <w:sz w:val="24"/>
                <w:szCs w:val="24"/>
                <w:highlight w:val="none"/>
              </w:rPr>
            </w:pPr>
          </w:p>
          <w:p w14:paraId="2E88B50E">
            <w:pPr>
              <w:pStyle w:val="4"/>
              <w:spacing w:line="360" w:lineRule="auto"/>
              <w:rPr>
                <w:rFonts w:hint="eastAsia" w:ascii="宋体" w:hAnsi="宋体" w:eastAsia="宋体" w:cs="宋体"/>
                <w:b/>
                <w:bCs/>
                <w:color w:val="auto"/>
                <w:sz w:val="24"/>
                <w:szCs w:val="24"/>
                <w:highlight w:val="none"/>
              </w:rPr>
            </w:pPr>
          </w:p>
          <w:p w14:paraId="71903706">
            <w:pPr>
              <w:spacing w:line="360" w:lineRule="auto"/>
              <w:rPr>
                <w:rFonts w:hint="eastAsia" w:ascii="宋体" w:hAnsi="宋体" w:eastAsia="宋体" w:cs="宋体"/>
                <w:b/>
                <w:bCs/>
                <w:color w:val="auto"/>
                <w:sz w:val="24"/>
                <w:szCs w:val="24"/>
                <w:highlight w:val="none"/>
              </w:rPr>
            </w:pPr>
          </w:p>
          <w:p w14:paraId="28693DEE">
            <w:pPr>
              <w:pStyle w:val="4"/>
              <w:spacing w:line="360" w:lineRule="auto"/>
              <w:rPr>
                <w:rFonts w:hint="eastAsia" w:ascii="宋体" w:hAnsi="宋体" w:eastAsia="宋体" w:cs="宋体"/>
                <w:b/>
                <w:bCs/>
                <w:color w:val="auto"/>
                <w:sz w:val="24"/>
                <w:szCs w:val="24"/>
                <w:highlight w:val="none"/>
              </w:rPr>
            </w:pPr>
          </w:p>
          <w:p w14:paraId="58FF16FB">
            <w:pPr>
              <w:spacing w:line="360" w:lineRule="auto"/>
              <w:rPr>
                <w:rFonts w:hint="eastAsia" w:ascii="宋体" w:hAnsi="宋体" w:eastAsia="宋体" w:cs="宋体"/>
                <w:b/>
                <w:bCs/>
                <w:color w:val="auto"/>
                <w:sz w:val="24"/>
                <w:szCs w:val="24"/>
                <w:highlight w:val="none"/>
              </w:rPr>
            </w:pPr>
          </w:p>
          <w:p w14:paraId="24E8D0AC">
            <w:pPr>
              <w:pStyle w:val="4"/>
              <w:spacing w:line="360" w:lineRule="auto"/>
              <w:rPr>
                <w:rFonts w:hint="eastAsia" w:ascii="宋体" w:hAnsi="宋体" w:eastAsia="宋体" w:cs="宋体"/>
                <w:b/>
                <w:bCs/>
                <w:color w:val="auto"/>
                <w:sz w:val="24"/>
                <w:szCs w:val="24"/>
                <w:highlight w:val="none"/>
              </w:rPr>
            </w:pPr>
          </w:p>
          <w:p w14:paraId="17DA8B7A">
            <w:pPr>
              <w:spacing w:line="360" w:lineRule="auto"/>
              <w:rPr>
                <w:rFonts w:hint="eastAsia" w:ascii="宋体" w:hAnsi="宋体" w:eastAsia="宋体" w:cs="宋体"/>
                <w:b/>
                <w:bCs/>
                <w:color w:val="auto"/>
                <w:sz w:val="24"/>
                <w:szCs w:val="24"/>
                <w:highlight w:val="none"/>
              </w:rPr>
            </w:pPr>
          </w:p>
          <w:p w14:paraId="292E6252">
            <w:pPr>
              <w:pStyle w:val="4"/>
              <w:spacing w:line="360" w:lineRule="auto"/>
              <w:rPr>
                <w:rFonts w:hint="eastAsia" w:ascii="宋体" w:hAnsi="宋体" w:eastAsia="宋体" w:cs="宋体"/>
                <w:b/>
                <w:bCs/>
                <w:color w:val="auto"/>
                <w:sz w:val="24"/>
                <w:szCs w:val="24"/>
                <w:highlight w:val="none"/>
              </w:rPr>
            </w:pPr>
          </w:p>
          <w:p w14:paraId="393A95CE">
            <w:pPr>
              <w:spacing w:line="360" w:lineRule="auto"/>
              <w:rPr>
                <w:rFonts w:hint="eastAsia" w:ascii="宋体" w:hAnsi="宋体" w:eastAsia="宋体" w:cs="宋体"/>
                <w:b/>
                <w:bCs/>
                <w:color w:val="auto"/>
                <w:sz w:val="24"/>
                <w:szCs w:val="24"/>
                <w:highlight w:val="none"/>
              </w:rPr>
            </w:pPr>
          </w:p>
          <w:p w14:paraId="4625C4A8">
            <w:pPr>
              <w:pStyle w:val="4"/>
              <w:spacing w:line="360" w:lineRule="auto"/>
              <w:rPr>
                <w:rFonts w:hint="eastAsia" w:ascii="宋体" w:hAnsi="宋体" w:eastAsia="宋体" w:cs="宋体"/>
                <w:b/>
                <w:bCs/>
                <w:color w:val="auto"/>
                <w:sz w:val="24"/>
                <w:szCs w:val="24"/>
                <w:highlight w:val="none"/>
              </w:rPr>
            </w:pPr>
          </w:p>
          <w:p w14:paraId="00193DE1">
            <w:pPr>
              <w:spacing w:line="360" w:lineRule="auto"/>
              <w:rPr>
                <w:rFonts w:hint="eastAsia" w:ascii="宋体" w:hAnsi="宋体" w:eastAsia="宋体" w:cs="宋体"/>
                <w:b/>
                <w:bCs/>
                <w:color w:val="auto"/>
                <w:sz w:val="24"/>
                <w:szCs w:val="24"/>
                <w:highlight w:val="none"/>
              </w:rPr>
            </w:pPr>
          </w:p>
          <w:p w14:paraId="4112A7A2">
            <w:pPr>
              <w:pStyle w:val="4"/>
              <w:spacing w:line="360" w:lineRule="auto"/>
              <w:rPr>
                <w:rFonts w:hint="eastAsia" w:ascii="宋体" w:hAnsi="宋体" w:eastAsia="宋体" w:cs="宋体"/>
                <w:b/>
                <w:bCs/>
                <w:color w:val="auto"/>
                <w:sz w:val="24"/>
                <w:szCs w:val="24"/>
                <w:highlight w:val="none"/>
              </w:rPr>
            </w:pPr>
          </w:p>
          <w:p w14:paraId="2CCDCD00">
            <w:pPr>
              <w:spacing w:line="360" w:lineRule="auto"/>
              <w:rPr>
                <w:rFonts w:hint="eastAsia" w:ascii="宋体" w:hAnsi="宋体" w:eastAsia="宋体" w:cs="宋体"/>
                <w:b/>
                <w:bCs/>
                <w:color w:val="auto"/>
                <w:sz w:val="24"/>
                <w:szCs w:val="24"/>
                <w:highlight w:val="none"/>
              </w:rPr>
            </w:pPr>
          </w:p>
          <w:p w14:paraId="221F3911">
            <w:pPr>
              <w:pStyle w:val="4"/>
              <w:spacing w:line="360" w:lineRule="auto"/>
              <w:rPr>
                <w:rFonts w:hint="eastAsia" w:ascii="宋体" w:hAnsi="宋体" w:eastAsia="宋体" w:cs="宋体"/>
                <w:b/>
                <w:bCs/>
                <w:color w:val="auto"/>
                <w:sz w:val="24"/>
                <w:szCs w:val="24"/>
                <w:highlight w:val="none"/>
              </w:rPr>
            </w:pPr>
          </w:p>
          <w:p w14:paraId="07FE87B6">
            <w:pPr>
              <w:spacing w:line="360" w:lineRule="auto"/>
              <w:rPr>
                <w:rFonts w:hint="eastAsia" w:ascii="宋体" w:hAnsi="宋体" w:eastAsia="宋体" w:cs="宋体"/>
                <w:b/>
                <w:bCs/>
                <w:color w:val="auto"/>
                <w:sz w:val="24"/>
                <w:szCs w:val="24"/>
                <w:highlight w:val="none"/>
              </w:rPr>
            </w:pPr>
          </w:p>
          <w:p w14:paraId="383C5788">
            <w:pPr>
              <w:pStyle w:val="4"/>
              <w:spacing w:line="360" w:lineRule="auto"/>
              <w:rPr>
                <w:rFonts w:hint="eastAsia" w:ascii="宋体" w:hAnsi="宋体" w:eastAsia="宋体" w:cs="宋体"/>
                <w:color w:val="auto"/>
                <w:sz w:val="24"/>
                <w:szCs w:val="24"/>
                <w:highlight w:val="none"/>
              </w:rPr>
            </w:pPr>
          </w:p>
        </w:tc>
        <w:tc>
          <w:tcPr>
            <w:tcW w:w="826" w:type="dxa"/>
            <w:vMerge w:val="restart"/>
            <w:tcBorders>
              <w:top w:val="single" w:color="auto" w:sz="4" w:space="0"/>
            </w:tcBorders>
            <w:noWrap w:val="0"/>
            <w:vAlign w:val="center"/>
          </w:tcPr>
          <w:p w14:paraId="6758953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综合</w:t>
            </w:r>
          </w:p>
          <w:p w14:paraId="29A4012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部分</w:t>
            </w:r>
          </w:p>
          <w:p w14:paraId="155E0FF0">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tc>
        <w:tc>
          <w:tcPr>
            <w:tcW w:w="1102" w:type="dxa"/>
            <w:tcBorders>
              <w:top w:val="single" w:color="auto" w:sz="4" w:space="0"/>
            </w:tcBorders>
            <w:noWrap w:val="0"/>
            <w:vAlign w:val="center"/>
          </w:tcPr>
          <w:p w14:paraId="4D5A1065">
            <w:pPr>
              <w:shd w:val="clear" w:color="auto" w:fill="auto"/>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w:t>
            </w:r>
          </w:p>
          <w:p w14:paraId="66B85E18">
            <w:pPr>
              <w:shd w:val="clear" w:color="auto" w:fill="auto"/>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17CC894B">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6475" w:type="dxa"/>
            <w:tcBorders>
              <w:top w:val="single" w:color="auto" w:sz="4" w:space="0"/>
              <w:right w:val="single" w:color="auto" w:sz="4" w:space="0"/>
            </w:tcBorders>
            <w:noWrap w:val="0"/>
            <w:vAlign w:val="center"/>
          </w:tcPr>
          <w:p w14:paraId="00C83CCE">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年1月1日（以合同签订时间为准）以来类似</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业绩，每提供一份类似业绩得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E3C0742">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注：供应商须按照投标文件格式中“类似业绩一览表”填写类似业绩的相关内容，并同时提供合同原件扫描件或图片。</w:t>
            </w:r>
          </w:p>
        </w:tc>
      </w:tr>
      <w:tr w14:paraId="37C9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vMerge w:val="continue"/>
            <w:tcBorders>
              <w:left w:val="single" w:color="auto" w:sz="4" w:space="0"/>
            </w:tcBorders>
            <w:noWrap w:val="0"/>
            <w:vAlign w:val="center"/>
          </w:tcPr>
          <w:p w14:paraId="3D6BD43E">
            <w:pPr>
              <w:pStyle w:val="4"/>
              <w:spacing w:line="360" w:lineRule="auto"/>
              <w:rPr>
                <w:rFonts w:hint="eastAsia" w:ascii="宋体" w:hAnsi="宋体" w:eastAsia="宋体" w:cs="宋体"/>
                <w:color w:val="auto"/>
                <w:sz w:val="24"/>
                <w:szCs w:val="24"/>
                <w:highlight w:val="none"/>
              </w:rPr>
            </w:pPr>
          </w:p>
        </w:tc>
        <w:tc>
          <w:tcPr>
            <w:tcW w:w="826" w:type="dxa"/>
            <w:vMerge w:val="continue"/>
            <w:noWrap w:val="0"/>
            <w:vAlign w:val="center"/>
          </w:tcPr>
          <w:p w14:paraId="2D22DDBF">
            <w:pPr>
              <w:spacing w:line="360" w:lineRule="auto"/>
              <w:jc w:val="center"/>
              <w:rPr>
                <w:rFonts w:hint="eastAsia" w:ascii="宋体" w:hAnsi="宋体" w:eastAsia="宋体" w:cs="宋体"/>
                <w:b/>
                <w:bCs/>
                <w:color w:val="auto"/>
                <w:sz w:val="24"/>
                <w:szCs w:val="24"/>
                <w:highlight w:val="none"/>
              </w:rPr>
            </w:pPr>
          </w:p>
        </w:tc>
        <w:tc>
          <w:tcPr>
            <w:tcW w:w="1102" w:type="dxa"/>
            <w:tcBorders>
              <w:top w:val="single" w:color="auto" w:sz="4" w:space="0"/>
            </w:tcBorders>
            <w:noWrap w:val="0"/>
            <w:vAlign w:val="center"/>
          </w:tcPr>
          <w:p w14:paraId="3695DD19">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w:t>
            </w:r>
          </w:p>
          <w:p w14:paraId="10787147">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475" w:type="dxa"/>
            <w:tcBorders>
              <w:top w:val="single" w:color="auto" w:sz="4" w:space="0"/>
              <w:right w:val="single" w:color="auto" w:sz="4" w:space="0"/>
            </w:tcBorders>
            <w:noWrap w:val="0"/>
            <w:vAlign w:val="center"/>
          </w:tcPr>
          <w:p w14:paraId="4A15E2AA">
            <w:pPr>
              <w:shd w:val="clear" w:color="auto" w:fill="auto"/>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评标委员会根据投标供应商提供的售后服务方案[</w:t>
            </w:r>
            <w:r>
              <w:rPr>
                <w:rFonts w:hint="eastAsia" w:ascii="宋体" w:hAnsi="宋体" w:eastAsia="宋体" w:cs="宋体"/>
                <w:color w:val="auto"/>
                <w:sz w:val="24"/>
                <w:szCs w:val="24"/>
                <w:highlight w:val="none"/>
              </w:rPr>
              <w:t>包含但不限于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质保期内及质保期外售后服务内容及方式、售后服务机构网点情况、售后服务人员安排情况、应急维修时间安排（响应及到达时间、维修地点、地址、联系电话及联系人员）、维修服务收费方式、主要零配件及易耗品价格、其它服务承诺等］进行评审：</w:t>
            </w:r>
          </w:p>
          <w:p w14:paraId="701E3FAD">
            <w:pPr>
              <w:shd w:val="clear" w:color="auto" w:fill="auto"/>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售后服务方案内容详实完善、考虑周全、</w:t>
            </w:r>
            <w:r>
              <w:rPr>
                <w:rFonts w:hint="eastAsia" w:ascii="宋体" w:hAnsi="宋体" w:eastAsia="宋体" w:cs="宋体"/>
                <w:color w:val="auto"/>
                <w:sz w:val="24"/>
                <w:szCs w:val="24"/>
                <w:highlight w:val="none"/>
                <w:lang w:val="zh-CN" w:eastAsia="zh-CN"/>
              </w:rPr>
              <w:t>条理清晰、售后服务技术人员配备齐全、维修维护响应时间短、</w:t>
            </w:r>
            <w:r>
              <w:rPr>
                <w:rFonts w:hint="eastAsia" w:ascii="宋体" w:hAnsi="宋体" w:eastAsia="宋体" w:cs="宋体"/>
                <w:color w:val="auto"/>
                <w:sz w:val="24"/>
                <w:szCs w:val="24"/>
                <w:highlight w:val="none"/>
                <w:lang w:val="en-US" w:eastAsia="zh-CN"/>
              </w:rPr>
              <w:t>零配件及易耗品定价合理、</w:t>
            </w:r>
            <w:r>
              <w:rPr>
                <w:rFonts w:hint="eastAsia" w:ascii="宋体" w:hAnsi="宋体" w:eastAsia="宋体" w:cs="宋体"/>
                <w:color w:val="auto"/>
                <w:sz w:val="24"/>
                <w:szCs w:val="24"/>
                <w:highlight w:val="none"/>
                <w:lang w:val="zh-CN" w:eastAsia="zh-CN"/>
              </w:rPr>
              <w:t>其它</w:t>
            </w:r>
            <w:r>
              <w:rPr>
                <w:rFonts w:hint="eastAsia" w:ascii="宋体" w:hAnsi="宋体" w:eastAsia="宋体" w:cs="宋体"/>
                <w:color w:val="auto"/>
                <w:sz w:val="24"/>
                <w:szCs w:val="24"/>
                <w:highlight w:val="none"/>
                <w:lang w:val="en-US" w:eastAsia="zh-CN"/>
              </w:rPr>
              <w:t>服务承</w:t>
            </w:r>
            <w:r>
              <w:rPr>
                <w:rFonts w:hint="eastAsia" w:ascii="宋体" w:hAnsi="宋体" w:eastAsia="宋体" w:cs="宋体"/>
                <w:color w:val="auto"/>
                <w:sz w:val="24"/>
                <w:szCs w:val="24"/>
                <w:highlight w:val="none"/>
                <w:lang w:val="zh-CN" w:eastAsia="zh-CN"/>
              </w:rPr>
              <w:t>诺优、</w:t>
            </w:r>
            <w:r>
              <w:rPr>
                <w:rFonts w:hint="eastAsia" w:ascii="宋体" w:hAnsi="宋体" w:eastAsia="宋体" w:cs="宋体"/>
                <w:color w:val="auto"/>
                <w:sz w:val="24"/>
                <w:szCs w:val="24"/>
                <w:highlight w:val="none"/>
                <w:lang w:val="en-US" w:eastAsia="zh-CN"/>
              </w:rPr>
              <w:t>完全能够满足项目实际需要得6分；</w:t>
            </w:r>
          </w:p>
          <w:p w14:paraId="6BD4B718">
            <w:pPr>
              <w:shd w:val="clear" w:color="auto" w:fill="auto"/>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售后服务方案</w:t>
            </w:r>
            <w:r>
              <w:rPr>
                <w:rFonts w:hint="eastAsia" w:ascii="宋体" w:hAnsi="宋体" w:eastAsia="宋体" w:cs="宋体"/>
                <w:color w:val="auto"/>
                <w:sz w:val="24"/>
                <w:szCs w:val="24"/>
                <w:highlight w:val="none"/>
                <w:lang w:val="zh-CN" w:eastAsia="zh-CN"/>
              </w:rPr>
              <w:t>内容较详实完善</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条理较清晰</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售后服务人员配备较齐全、维修维护响应时间较短、</w:t>
            </w:r>
            <w:r>
              <w:rPr>
                <w:rFonts w:hint="eastAsia" w:ascii="宋体" w:hAnsi="宋体" w:eastAsia="宋体" w:cs="宋体"/>
                <w:color w:val="auto"/>
                <w:sz w:val="24"/>
                <w:szCs w:val="24"/>
                <w:highlight w:val="none"/>
                <w:lang w:val="en-US" w:eastAsia="zh-CN"/>
              </w:rPr>
              <w:t>零配件及易耗品价格较合理、</w:t>
            </w:r>
            <w:r>
              <w:rPr>
                <w:rFonts w:hint="eastAsia" w:ascii="宋体" w:hAnsi="宋体" w:eastAsia="宋体" w:cs="宋体"/>
                <w:color w:val="auto"/>
                <w:sz w:val="24"/>
                <w:szCs w:val="24"/>
                <w:highlight w:val="none"/>
                <w:lang w:val="zh-CN" w:eastAsia="zh-CN"/>
              </w:rPr>
              <w:t>其它</w:t>
            </w:r>
            <w:r>
              <w:rPr>
                <w:rFonts w:hint="eastAsia" w:ascii="宋体" w:hAnsi="宋体" w:eastAsia="宋体" w:cs="宋体"/>
                <w:color w:val="auto"/>
                <w:sz w:val="24"/>
                <w:szCs w:val="24"/>
                <w:highlight w:val="none"/>
                <w:lang w:val="en-US" w:eastAsia="zh-CN"/>
              </w:rPr>
              <w:t>服务承</w:t>
            </w:r>
            <w:r>
              <w:rPr>
                <w:rFonts w:hint="eastAsia" w:ascii="宋体" w:hAnsi="宋体" w:eastAsia="宋体" w:cs="宋体"/>
                <w:color w:val="auto"/>
                <w:sz w:val="24"/>
                <w:szCs w:val="24"/>
                <w:highlight w:val="none"/>
                <w:lang w:val="zh-CN" w:eastAsia="zh-CN"/>
              </w:rPr>
              <w:t>诺较好、比较</w:t>
            </w:r>
            <w:r>
              <w:rPr>
                <w:rFonts w:hint="eastAsia" w:ascii="宋体" w:hAnsi="宋体" w:eastAsia="宋体" w:cs="宋体"/>
                <w:color w:val="auto"/>
                <w:sz w:val="24"/>
                <w:szCs w:val="24"/>
                <w:highlight w:val="none"/>
                <w:lang w:val="en-US" w:eastAsia="zh-CN"/>
              </w:rPr>
              <w:t>能够满足项目实际需要得3分；</w:t>
            </w:r>
          </w:p>
          <w:p w14:paraId="460B360F">
            <w:pPr>
              <w:shd w:val="clear" w:color="auto" w:fill="auto"/>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售后服务方案</w:t>
            </w:r>
            <w:r>
              <w:rPr>
                <w:rFonts w:hint="eastAsia" w:ascii="宋体" w:hAnsi="宋体" w:eastAsia="宋体" w:cs="宋体"/>
                <w:color w:val="auto"/>
                <w:sz w:val="24"/>
                <w:szCs w:val="24"/>
                <w:highlight w:val="none"/>
                <w:lang w:val="zh-CN" w:eastAsia="zh-CN"/>
              </w:rPr>
              <w:t>内容粗略、针对性较差、售后服务人员配备基本齐全、维修维护响应时间较长、</w:t>
            </w:r>
            <w:r>
              <w:rPr>
                <w:rFonts w:hint="eastAsia" w:ascii="宋体" w:hAnsi="宋体" w:eastAsia="宋体" w:cs="宋体"/>
                <w:color w:val="auto"/>
                <w:sz w:val="24"/>
                <w:szCs w:val="24"/>
                <w:highlight w:val="none"/>
                <w:lang w:val="en-US" w:eastAsia="zh-CN"/>
              </w:rPr>
              <w:t>零配件及易耗品价格基本合理、</w:t>
            </w:r>
            <w:r>
              <w:rPr>
                <w:rFonts w:hint="eastAsia" w:ascii="宋体" w:hAnsi="宋体" w:eastAsia="宋体" w:cs="宋体"/>
                <w:color w:val="auto"/>
                <w:sz w:val="24"/>
                <w:szCs w:val="24"/>
                <w:highlight w:val="none"/>
                <w:lang w:val="zh-CN" w:eastAsia="zh-CN"/>
              </w:rPr>
              <w:t>其它</w:t>
            </w:r>
            <w:r>
              <w:rPr>
                <w:rFonts w:hint="eastAsia" w:ascii="宋体" w:hAnsi="宋体" w:eastAsia="宋体" w:cs="宋体"/>
                <w:color w:val="auto"/>
                <w:sz w:val="24"/>
                <w:szCs w:val="24"/>
                <w:highlight w:val="none"/>
                <w:lang w:val="en-US" w:eastAsia="zh-CN"/>
              </w:rPr>
              <w:t>服务承</w:t>
            </w:r>
            <w:r>
              <w:rPr>
                <w:rFonts w:hint="eastAsia" w:ascii="宋体" w:hAnsi="宋体" w:eastAsia="宋体" w:cs="宋体"/>
                <w:color w:val="auto"/>
                <w:sz w:val="24"/>
                <w:szCs w:val="24"/>
                <w:highlight w:val="none"/>
                <w:lang w:val="zh-CN" w:eastAsia="zh-CN"/>
              </w:rPr>
              <w:t>诺一般、不</w:t>
            </w:r>
            <w:r>
              <w:rPr>
                <w:rFonts w:hint="eastAsia" w:ascii="宋体" w:hAnsi="宋体" w:eastAsia="宋体" w:cs="宋体"/>
                <w:color w:val="auto"/>
                <w:sz w:val="24"/>
                <w:szCs w:val="24"/>
                <w:highlight w:val="none"/>
                <w:lang w:val="en-US" w:eastAsia="zh-CN"/>
              </w:rPr>
              <w:t>能够满足项目实际需要的得1分；</w:t>
            </w:r>
          </w:p>
          <w:p w14:paraId="16506F64">
            <w:pPr>
              <w:shd w:val="clear" w:color="auto" w:fill="auto"/>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缺项或未提供不得分。</w:t>
            </w:r>
          </w:p>
        </w:tc>
      </w:tr>
      <w:tr w14:paraId="1963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vMerge w:val="continue"/>
            <w:tcBorders>
              <w:left w:val="single" w:color="auto" w:sz="4" w:space="0"/>
            </w:tcBorders>
            <w:noWrap w:val="0"/>
            <w:vAlign w:val="center"/>
          </w:tcPr>
          <w:p w14:paraId="3BEDD887">
            <w:pPr>
              <w:pStyle w:val="4"/>
              <w:spacing w:line="360" w:lineRule="auto"/>
              <w:rPr>
                <w:rFonts w:hint="eastAsia" w:ascii="宋体" w:hAnsi="宋体" w:eastAsia="宋体" w:cs="宋体"/>
                <w:color w:val="auto"/>
                <w:sz w:val="24"/>
                <w:szCs w:val="24"/>
                <w:highlight w:val="none"/>
              </w:rPr>
            </w:pPr>
          </w:p>
        </w:tc>
        <w:tc>
          <w:tcPr>
            <w:tcW w:w="826" w:type="dxa"/>
            <w:vMerge w:val="continue"/>
            <w:noWrap w:val="0"/>
            <w:vAlign w:val="center"/>
          </w:tcPr>
          <w:p w14:paraId="208AE04B">
            <w:pPr>
              <w:spacing w:line="360" w:lineRule="auto"/>
              <w:jc w:val="center"/>
              <w:rPr>
                <w:rFonts w:hint="eastAsia" w:ascii="宋体" w:hAnsi="宋体" w:eastAsia="宋体" w:cs="宋体"/>
                <w:b/>
                <w:bCs/>
                <w:color w:val="auto"/>
                <w:sz w:val="24"/>
                <w:szCs w:val="24"/>
                <w:highlight w:val="none"/>
              </w:rPr>
            </w:pPr>
          </w:p>
        </w:tc>
        <w:tc>
          <w:tcPr>
            <w:tcW w:w="1102" w:type="dxa"/>
            <w:tcBorders>
              <w:top w:val="single" w:color="auto" w:sz="4" w:space="0"/>
            </w:tcBorders>
            <w:noWrap w:val="0"/>
            <w:vAlign w:val="center"/>
          </w:tcPr>
          <w:p w14:paraId="6796257A">
            <w:pPr>
              <w:pStyle w:val="29"/>
              <w:keepNext w:val="0"/>
              <w:keepLines w:val="0"/>
              <w:suppressLineNumbers w:val="0"/>
              <w:spacing w:beforeAutospacing="0" w:afterAutospacing="0" w:line="360" w:lineRule="auto"/>
              <w:ind w:left="0" w:leftChars="0" w:right="0" w:firstLine="0" w:firstLineChars="0"/>
              <w:rPr>
                <w:rFonts w:hint="eastAsia" w:ascii="宋体" w:hAnsi="宋体" w:eastAsia="宋体" w:cs="宋体"/>
                <w:b w:val="0"/>
                <w:bCs w:val="0"/>
                <w:color w:val="auto"/>
                <w:sz w:val="24"/>
                <w:szCs w:val="24"/>
                <w:highlight w:val="none"/>
                <w:lang w:val="zh-TW" w:eastAsia="zh-CN"/>
              </w:rPr>
            </w:pPr>
          </w:p>
          <w:p w14:paraId="6932878A">
            <w:pPr>
              <w:pStyle w:val="29"/>
              <w:keepNext w:val="0"/>
              <w:keepLines w:val="0"/>
              <w:suppressLineNumbers w:val="0"/>
              <w:spacing w:beforeAutospacing="0" w:afterAutospacing="0" w:line="360" w:lineRule="auto"/>
              <w:ind w:left="0" w:leftChars="0" w:right="0" w:firstLine="0" w:firstLineChars="0"/>
              <w:rPr>
                <w:rFonts w:hint="eastAsia" w:ascii="宋体" w:hAnsi="宋体" w:eastAsia="宋体" w:cs="宋体"/>
                <w:b w:val="0"/>
                <w:bCs w:val="0"/>
                <w:color w:val="auto"/>
                <w:sz w:val="24"/>
                <w:szCs w:val="24"/>
                <w:highlight w:val="none"/>
                <w:lang w:val="zh-TW" w:eastAsia="zh-CN"/>
              </w:rPr>
            </w:pPr>
          </w:p>
          <w:p w14:paraId="30E66256">
            <w:pPr>
              <w:pStyle w:val="29"/>
              <w:keepNext w:val="0"/>
              <w:keepLines w:val="0"/>
              <w:pageBreakBefore w:val="0"/>
              <w:widowControl w:val="0"/>
              <w:suppressLineNumbers w:val="0"/>
              <w:kinsoku/>
              <w:wordWrap/>
              <w:overflowPunct/>
              <w:topLinePunct w:val="0"/>
              <w:autoSpaceDE/>
              <w:autoSpaceDN/>
              <w:bidi w:val="0"/>
              <w:adjustRightInd/>
              <w:spacing w:beforeAutospacing="0" w:afterAutospacing="0" w:line="360" w:lineRule="auto"/>
              <w:ind w:left="0" w:leftChars="0" w:right="0" w:firstLine="0" w:firstLineChars="0"/>
              <w:jc w:val="center"/>
              <w:textAlignment w:val="auto"/>
              <w:rPr>
                <w:rFonts w:hint="eastAsia" w:ascii="宋体" w:hAnsi="宋体" w:eastAsia="宋体" w:cs="宋体"/>
                <w:b w:val="0"/>
                <w:bCs w:val="0"/>
                <w:color w:val="auto"/>
                <w:sz w:val="24"/>
                <w:szCs w:val="24"/>
                <w:highlight w:val="none"/>
                <w:lang w:val="zh-TW" w:eastAsia="zh-CN"/>
              </w:rPr>
            </w:pPr>
            <w:r>
              <w:rPr>
                <w:rFonts w:hint="eastAsia" w:ascii="宋体" w:hAnsi="宋体" w:eastAsia="宋体" w:cs="宋体"/>
                <w:b w:val="0"/>
                <w:bCs w:val="0"/>
                <w:color w:val="auto"/>
                <w:sz w:val="24"/>
                <w:szCs w:val="24"/>
                <w:highlight w:val="none"/>
                <w:lang w:val="zh-TW" w:eastAsia="zh-CN"/>
              </w:rPr>
              <w:t>应急</w:t>
            </w:r>
            <w:r>
              <w:rPr>
                <w:rFonts w:hint="eastAsia" w:ascii="宋体" w:hAnsi="宋体" w:eastAsia="宋体" w:cs="宋体"/>
                <w:b w:val="0"/>
                <w:bCs w:val="0"/>
                <w:color w:val="auto"/>
                <w:spacing w:val="0"/>
                <w:sz w:val="24"/>
                <w:szCs w:val="24"/>
                <w:highlight w:val="none"/>
                <w:lang w:val="zh-CN" w:eastAsia="zh-CN" w:bidi="ar-SA"/>
              </w:rPr>
              <w:t>预案</w:t>
            </w:r>
            <w:r>
              <w:rPr>
                <w:rFonts w:hint="eastAsia" w:ascii="宋体" w:hAnsi="宋体" w:eastAsia="宋体" w:cs="宋体"/>
                <w:b w:val="0"/>
                <w:bCs w:val="0"/>
                <w:color w:val="auto"/>
                <w:sz w:val="24"/>
                <w:szCs w:val="24"/>
                <w:highlight w:val="none"/>
                <w:lang w:val="zh-TW" w:eastAsia="zh-CN"/>
              </w:rPr>
              <w:t>与措施</w:t>
            </w:r>
          </w:p>
          <w:p w14:paraId="348327CA">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rPr>
              <w:t>分）</w:t>
            </w:r>
          </w:p>
          <w:p w14:paraId="1F19BFF3">
            <w:pPr>
              <w:pStyle w:val="29"/>
              <w:keepNext w:val="0"/>
              <w:keepLines w:val="0"/>
              <w:suppressLineNumbers w:val="0"/>
              <w:spacing w:beforeAutospacing="0" w:afterAutospacing="0" w:line="360" w:lineRule="auto"/>
              <w:ind w:left="0" w:right="0"/>
              <w:rPr>
                <w:rFonts w:hint="eastAsia" w:ascii="宋体" w:hAnsi="宋体" w:eastAsia="宋体" w:cs="宋体"/>
                <w:b w:val="0"/>
                <w:bCs w:val="0"/>
                <w:color w:val="auto"/>
                <w:sz w:val="24"/>
                <w:szCs w:val="24"/>
                <w:highlight w:val="none"/>
                <w:lang w:val="zh-TW"/>
              </w:rPr>
            </w:pPr>
          </w:p>
          <w:p w14:paraId="5C3EF349">
            <w:pPr>
              <w:pStyle w:val="29"/>
              <w:keepNext w:val="0"/>
              <w:keepLines w:val="0"/>
              <w:suppressLineNumbers w:val="0"/>
              <w:spacing w:beforeAutospacing="0" w:afterAutospacing="0" w:line="360" w:lineRule="auto"/>
              <w:ind w:left="0" w:leftChars="0" w:right="0" w:rightChars="0" w:firstLine="520" w:firstLineChars="200"/>
              <w:rPr>
                <w:rFonts w:hint="eastAsia" w:ascii="宋体" w:hAnsi="宋体" w:eastAsia="宋体" w:cs="宋体"/>
                <w:b w:val="0"/>
                <w:bCs w:val="0"/>
                <w:color w:val="auto"/>
                <w:sz w:val="24"/>
                <w:szCs w:val="24"/>
                <w:highlight w:val="none"/>
              </w:rPr>
            </w:pPr>
          </w:p>
        </w:tc>
        <w:tc>
          <w:tcPr>
            <w:tcW w:w="6475" w:type="dxa"/>
            <w:tcBorders>
              <w:top w:val="single" w:color="auto" w:sz="4" w:space="0"/>
              <w:right w:val="single" w:color="auto" w:sz="4" w:space="0"/>
            </w:tcBorders>
            <w:noWrap w:val="0"/>
            <w:vAlign w:val="center"/>
          </w:tcPr>
          <w:p w14:paraId="689FEF22">
            <w:pPr>
              <w:spacing w:line="360" w:lineRule="auto"/>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根据供应商针对各环节可能出现的突发情况，提出的应急方案与措施内容进行打分：</w:t>
            </w:r>
          </w:p>
          <w:p w14:paraId="14F5BBF1">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（1）内容详实完整，预案科学合理、安全，考虑周全，针对性强，完全能够满足项目的需求，得5分；</w:t>
            </w:r>
          </w:p>
          <w:p w14:paraId="5E493FD4">
            <w:pPr>
              <w:spacing w:line="360" w:lineRule="auto"/>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en-US" w:eastAsia="zh-CN"/>
              </w:rPr>
              <w:t>（2）内容较完整，预案较科学合理、安全，考虑较周全，针对性较强，较能满足项目的需求，得3分；</w:t>
            </w:r>
          </w:p>
          <w:p w14:paraId="08EDF67C">
            <w:pPr>
              <w:spacing w:line="360" w:lineRule="auto"/>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en-US" w:eastAsia="zh-CN"/>
              </w:rPr>
              <w:t>（3）内容基本完整，预案合理、安全性及针对性一般，虽然能够基本满足项目的需求，但有些方面需要进一步完善，得1分；</w:t>
            </w:r>
          </w:p>
          <w:p w14:paraId="085DE0B1">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不提供不得分。</w:t>
            </w:r>
          </w:p>
        </w:tc>
      </w:tr>
      <w:tr w14:paraId="39DC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vMerge w:val="continue"/>
            <w:tcBorders>
              <w:left w:val="single" w:color="auto" w:sz="4" w:space="0"/>
            </w:tcBorders>
            <w:noWrap w:val="0"/>
            <w:vAlign w:val="center"/>
          </w:tcPr>
          <w:p w14:paraId="53BDE8A4">
            <w:pPr>
              <w:pStyle w:val="4"/>
              <w:spacing w:line="360" w:lineRule="auto"/>
              <w:rPr>
                <w:rFonts w:hint="eastAsia" w:ascii="宋体" w:hAnsi="宋体" w:eastAsia="宋体" w:cs="宋体"/>
                <w:color w:val="auto"/>
                <w:sz w:val="24"/>
                <w:szCs w:val="24"/>
                <w:highlight w:val="none"/>
              </w:rPr>
            </w:pPr>
          </w:p>
        </w:tc>
        <w:tc>
          <w:tcPr>
            <w:tcW w:w="826" w:type="dxa"/>
            <w:vMerge w:val="continue"/>
            <w:noWrap w:val="0"/>
            <w:vAlign w:val="center"/>
          </w:tcPr>
          <w:p w14:paraId="5B4CB362">
            <w:pPr>
              <w:spacing w:line="360" w:lineRule="auto"/>
              <w:jc w:val="center"/>
              <w:rPr>
                <w:rFonts w:hint="eastAsia" w:ascii="宋体" w:hAnsi="宋体" w:eastAsia="宋体" w:cs="宋体"/>
                <w:b/>
                <w:bCs/>
                <w:color w:val="auto"/>
                <w:sz w:val="24"/>
                <w:szCs w:val="24"/>
                <w:highlight w:val="none"/>
              </w:rPr>
            </w:pPr>
          </w:p>
        </w:tc>
        <w:tc>
          <w:tcPr>
            <w:tcW w:w="1102" w:type="dxa"/>
            <w:tcBorders>
              <w:top w:val="single" w:color="auto" w:sz="4" w:space="0"/>
            </w:tcBorders>
            <w:noWrap w:val="0"/>
            <w:vAlign w:val="center"/>
          </w:tcPr>
          <w:p w14:paraId="350ED2F9">
            <w:pPr>
              <w:shd w:val="clear" w:color="auto" w:fill="auto"/>
              <w:spacing w:line="360" w:lineRule="auto"/>
              <w:jc w:val="center"/>
              <w:rPr>
                <w:rFonts w:hint="eastAsia" w:ascii="宋体" w:hAnsi="宋体" w:eastAsia="宋体" w:cs="宋体"/>
                <w:spacing w:val="14"/>
                <w:sz w:val="24"/>
                <w:szCs w:val="24"/>
                <w:highlight w:val="none"/>
              </w:rPr>
            </w:pPr>
            <w:r>
              <w:rPr>
                <w:rFonts w:hint="eastAsia" w:ascii="宋体" w:hAnsi="宋体" w:eastAsia="宋体" w:cs="宋体"/>
                <w:spacing w:val="14"/>
                <w:sz w:val="24"/>
                <w:szCs w:val="24"/>
                <w:highlight w:val="none"/>
              </w:rPr>
              <w:t>优惠</w:t>
            </w:r>
          </w:p>
          <w:p w14:paraId="3AE67E41">
            <w:pPr>
              <w:shd w:val="clear" w:color="auto" w:fill="auto"/>
              <w:spacing w:line="360" w:lineRule="auto"/>
              <w:jc w:val="center"/>
              <w:rPr>
                <w:rFonts w:hint="eastAsia" w:ascii="宋体" w:hAnsi="宋体" w:eastAsia="宋体" w:cs="宋体"/>
                <w:spacing w:val="14"/>
                <w:sz w:val="24"/>
                <w:szCs w:val="24"/>
                <w:highlight w:val="none"/>
                <w:lang w:eastAsia="zh-CN"/>
              </w:rPr>
            </w:pPr>
            <w:r>
              <w:rPr>
                <w:rFonts w:hint="eastAsia" w:ascii="宋体" w:hAnsi="宋体" w:eastAsia="宋体" w:cs="宋体"/>
                <w:spacing w:val="14"/>
                <w:sz w:val="24"/>
                <w:szCs w:val="24"/>
                <w:highlight w:val="none"/>
                <w:lang w:eastAsia="zh-CN"/>
              </w:rPr>
              <w:t>服务</w:t>
            </w:r>
          </w:p>
          <w:p w14:paraId="022F4224">
            <w:pPr>
              <w:shd w:val="clear" w:color="auto" w:fill="auto"/>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tc>
        <w:tc>
          <w:tcPr>
            <w:tcW w:w="6475" w:type="dxa"/>
            <w:tcBorders>
              <w:top w:val="single" w:color="auto" w:sz="4" w:space="0"/>
              <w:right w:val="single" w:color="auto" w:sz="4" w:space="0"/>
            </w:tcBorders>
            <w:noWrap w:val="0"/>
            <w:vAlign w:val="center"/>
          </w:tcPr>
          <w:p w14:paraId="608088A5">
            <w:pPr>
              <w:shd w:val="clear" w:color="auto" w:fill="auto"/>
              <w:spacing w:line="360" w:lineRule="auto"/>
              <w:rPr>
                <w:rFonts w:hint="eastAsia" w:ascii="宋体" w:hAnsi="宋体" w:eastAsia="宋体" w:cs="宋体"/>
                <w:spacing w:val="14"/>
                <w:sz w:val="24"/>
                <w:szCs w:val="24"/>
                <w:highlight w:val="none"/>
                <w:lang w:eastAsia="zh-CN"/>
              </w:rPr>
            </w:pPr>
            <w:r>
              <w:rPr>
                <w:rFonts w:hint="eastAsia" w:ascii="宋体" w:hAnsi="宋体" w:eastAsia="宋体" w:cs="宋体"/>
                <w:spacing w:val="14"/>
                <w:sz w:val="24"/>
                <w:szCs w:val="24"/>
                <w:highlight w:val="none"/>
                <w:lang w:eastAsia="zh-CN"/>
              </w:rPr>
              <w:t>根据投标人</w:t>
            </w:r>
            <w:r>
              <w:rPr>
                <w:rFonts w:hint="eastAsia" w:ascii="宋体" w:hAnsi="宋体" w:eastAsia="宋体" w:cs="宋体"/>
                <w:spacing w:val="14"/>
                <w:sz w:val="24"/>
                <w:szCs w:val="24"/>
                <w:highlight w:val="none"/>
              </w:rPr>
              <w:t>提供</w:t>
            </w:r>
            <w:r>
              <w:rPr>
                <w:rFonts w:hint="eastAsia" w:ascii="宋体" w:hAnsi="宋体" w:eastAsia="宋体" w:cs="宋体"/>
                <w:spacing w:val="14"/>
                <w:sz w:val="24"/>
                <w:szCs w:val="24"/>
                <w:highlight w:val="none"/>
                <w:lang w:eastAsia="zh-CN"/>
              </w:rPr>
              <w:t>的</w:t>
            </w:r>
            <w:r>
              <w:rPr>
                <w:rFonts w:hint="eastAsia" w:ascii="宋体" w:hAnsi="宋体" w:eastAsia="宋体" w:cs="宋体"/>
                <w:spacing w:val="14"/>
                <w:sz w:val="24"/>
                <w:szCs w:val="24"/>
                <w:highlight w:val="none"/>
              </w:rPr>
              <w:t>其他优惠条件或增值服务</w:t>
            </w:r>
            <w:r>
              <w:rPr>
                <w:rFonts w:hint="eastAsia" w:ascii="宋体" w:hAnsi="宋体" w:eastAsia="宋体" w:cs="宋体"/>
                <w:spacing w:val="14"/>
                <w:sz w:val="24"/>
                <w:szCs w:val="24"/>
                <w:highlight w:val="none"/>
                <w:lang w:eastAsia="zh-CN"/>
              </w:rPr>
              <w:t>。</w:t>
            </w:r>
          </w:p>
          <w:p w14:paraId="041CE56D">
            <w:pPr>
              <w:numPr>
                <w:ilvl w:val="0"/>
                <w:numId w:val="0"/>
              </w:numPr>
              <w:shd w:val="clear" w:color="auto" w:fill="auto"/>
              <w:spacing w:line="360" w:lineRule="auto"/>
              <w:rPr>
                <w:rFonts w:hint="eastAsia" w:ascii="宋体" w:hAnsi="宋体" w:eastAsia="宋体" w:cs="宋体"/>
                <w:spacing w:val="14"/>
                <w:sz w:val="24"/>
                <w:szCs w:val="24"/>
                <w:highlight w:val="none"/>
                <w:lang w:val="en-US" w:eastAsia="zh-CN"/>
              </w:rPr>
            </w:pPr>
            <w:r>
              <w:rPr>
                <w:rFonts w:hint="eastAsia" w:ascii="宋体" w:hAnsi="宋体" w:eastAsia="宋体" w:cs="宋体"/>
                <w:spacing w:val="14"/>
                <w:kern w:val="2"/>
                <w:sz w:val="24"/>
                <w:szCs w:val="24"/>
                <w:highlight w:val="none"/>
                <w:lang w:val="en-US" w:eastAsia="zh-CN" w:bidi="ar-SA"/>
              </w:rPr>
              <w:t>（1）</w:t>
            </w:r>
            <w:r>
              <w:rPr>
                <w:rFonts w:hint="eastAsia" w:ascii="宋体" w:hAnsi="宋体" w:eastAsia="宋体" w:cs="宋体"/>
                <w:spacing w:val="14"/>
                <w:sz w:val="24"/>
                <w:szCs w:val="24"/>
                <w:highlight w:val="none"/>
                <w:lang w:eastAsia="zh-CN"/>
              </w:rPr>
              <w:t>优惠条件或增值服务详尽、全面、合理</w:t>
            </w:r>
            <w:r>
              <w:rPr>
                <w:rFonts w:hint="eastAsia" w:ascii="宋体" w:hAnsi="宋体" w:eastAsia="宋体" w:cs="宋体"/>
                <w:spacing w:val="14"/>
                <w:sz w:val="24"/>
                <w:szCs w:val="24"/>
                <w:highlight w:val="none"/>
                <w:lang w:val="en-US" w:eastAsia="zh-CN"/>
              </w:rPr>
              <w:t>3分；</w:t>
            </w:r>
          </w:p>
          <w:p w14:paraId="309600CF">
            <w:pPr>
              <w:numPr>
                <w:ilvl w:val="0"/>
                <w:numId w:val="0"/>
              </w:numPr>
              <w:shd w:val="clear" w:color="auto" w:fill="auto"/>
              <w:spacing w:line="360" w:lineRule="auto"/>
              <w:rPr>
                <w:rFonts w:hint="eastAsia" w:ascii="宋体" w:hAnsi="宋体" w:eastAsia="宋体" w:cs="宋体"/>
                <w:spacing w:val="14"/>
                <w:sz w:val="24"/>
                <w:szCs w:val="24"/>
                <w:highlight w:val="none"/>
                <w:lang w:eastAsia="zh-CN"/>
              </w:rPr>
            </w:pPr>
            <w:r>
              <w:rPr>
                <w:rFonts w:hint="eastAsia" w:ascii="宋体" w:hAnsi="宋体" w:eastAsia="宋体" w:cs="宋体"/>
                <w:kern w:val="2"/>
                <w:sz w:val="24"/>
                <w:szCs w:val="24"/>
                <w:highlight w:val="none"/>
                <w:lang w:val="zh-CN" w:eastAsia="zh-CN" w:bidi="ar-SA"/>
              </w:rPr>
              <w:t>（2）</w:t>
            </w:r>
            <w:r>
              <w:rPr>
                <w:rFonts w:hint="eastAsia" w:ascii="宋体" w:hAnsi="宋体" w:eastAsia="宋体" w:cs="宋体"/>
                <w:spacing w:val="14"/>
                <w:sz w:val="24"/>
                <w:szCs w:val="24"/>
                <w:highlight w:val="none"/>
                <w:lang w:eastAsia="zh-CN"/>
              </w:rPr>
              <w:t>优惠条件或增值服务</w:t>
            </w:r>
            <w:r>
              <w:rPr>
                <w:rFonts w:hint="eastAsia" w:ascii="宋体" w:hAnsi="宋体" w:eastAsia="宋体" w:cs="宋体"/>
                <w:spacing w:val="14"/>
                <w:sz w:val="24"/>
                <w:szCs w:val="24"/>
                <w:highlight w:val="none"/>
                <w:lang w:val="en-US" w:eastAsia="zh-CN"/>
              </w:rPr>
              <w:t>较</w:t>
            </w:r>
            <w:r>
              <w:rPr>
                <w:rFonts w:hint="eastAsia" w:ascii="宋体" w:hAnsi="宋体" w:eastAsia="宋体" w:cs="宋体"/>
                <w:spacing w:val="14"/>
                <w:sz w:val="24"/>
                <w:szCs w:val="24"/>
                <w:highlight w:val="none"/>
                <w:lang w:eastAsia="zh-CN"/>
              </w:rPr>
              <w:t>详尽、全面、合理的得</w:t>
            </w:r>
            <w:r>
              <w:rPr>
                <w:rFonts w:hint="eastAsia" w:ascii="宋体" w:hAnsi="宋体" w:eastAsia="宋体" w:cs="宋体"/>
                <w:spacing w:val="14"/>
                <w:sz w:val="24"/>
                <w:szCs w:val="24"/>
                <w:highlight w:val="none"/>
                <w:lang w:val="en-US" w:eastAsia="zh-CN"/>
              </w:rPr>
              <w:t>2分</w:t>
            </w:r>
            <w:r>
              <w:rPr>
                <w:rFonts w:hint="eastAsia" w:ascii="宋体" w:hAnsi="宋体" w:eastAsia="宋体" w:cs="宋体"/>
                <w:spacing w:val="14"/>
                <w:sz w:val="24"/>
                <w:szCs w:val="24"/>
                <w:highlight w:val="none"/>
                <w:lang w:eastAsia="zh-CN"/>
              </w:rPr>
              <w:t>；</w:t>
            </w:r>
          </w:p>
          <w:p w14:paraId="562BD598">
            <w:pPr>
              <w:numPr>
                <w:ilvl w:val="0"/>
                <w:numId w:val="0"/>
              </w:numPr>
              <w:shd w:val="clear" w:color="auto" w:fill="auto"/>
              <w:spacing w:line="360" w:lineRule="auto"/>
              <w:rPr>
                <w:rFonts w:hint="eastAsia" w:ascii="宋体" w:hAnsi="宋体" w:eastAsia="宋体" w:cs="宋体"/>
                <w:spacing w:val="14"/>
                <w:sz w:val="24"/>
                <w:szCs w:val="24"/>
                <w:highlight w:val="none"/>
                <w:lang w:eastAsia="zh-CN"/>
              </w:rPr>
            </w:pPr>
            <w:r>
              <w:rPr>
                <w:rFonts w:hint="eastAsia" w:ascii="宋体" w:hAnsi="宋体" w:eastAsia="宋体" w:cs="宋体"/>
                <w:kern w:val="2"/>
                <w:sz w:val="24"/>
                <w:szCs w:val="24"/>
                <w:highlight w:val="none"/>
                <w:lang w:val="zh-CN" w:eastAsia="zh-CN" w:bidi="ar-SA"/>
              </w:rPr>
              <w:t>（</w:t>
            </w:r>
            <w:r>
              <w:rPr>
                <w:rFonts w:hint="eastAsia" w:ascii="宋体" w:hAnsi="宋体" w:eastAsia="宋体" w:cs="宋体"/>
                <w:kern w:val="2"/>
                <w:sz w:val="24"/>
                <w:szCs w:val="24"/>
                <w:highlight w:val="none"/>
                <w:lang w:val="en-US" w:eastAsia="zh-CN" w:bidi="ar-SA"/>
              </w:rPr>
              <w:t>3</w:t>
            </w:r>
            <w:r>
              <w:rPr>
                <w:rFonts w:hint="eastAsia" w:ascii="宋体" w:hAnsi="宋体" w:eastAsia="宋体" w:cs="宋体"/>
                <w:kern w:val="2"/>
                <w:sz w:val="24"/>
                <w:szCs w:val="24"/>
                <w:highlight w:val="none"/>
                <w:lang w:val="zh-CN" w:eastAsia="zh-CN" w:bidi="ar-SA"/>
              </w:rPr>
              <w:t>）</w:t>
            </w:r>
            <w:r>
              <w:rPr>
                <w:rFonts w:hint="eastAsia" w:ascii="宋体" w:hAnsi="宋体" w:eastAsia="宋体" w:cs="宋体"/>
                <w:spacing w:val="14"/>
                <w:sz w:val="24"/>
                <w:szCs w:val="24"/>
                <w:highlight w:val="none"/>
                <w:lang w:eastAsia="zh-CN"/>
              </w:rPr>
              <w:t>优惠条件或增值服务</w:t>
            </w:r>
            <w:r>
              <w:rPr>
                <w:rFonts w:hint="eastAsia" w:ascii="宋体" w:hAnsi="宋体" w:eastAsia="宋体" w:cs="宋体"/>
                <w:spacing w:val="14"/>
                <w:sz w:val="24"/>
                <w:szCs w:val="24"/>
                <w:highlight w:val="none"/>
                <w:lang w:val="en-US" w:eastAsia="zh-CN"/>
              </w:rPr>
              <w:t>不够</w:t>
            </w:r>
            <w:r>
              <w:rPr>
                <w:rFonts w:hint="eastAsia" w:ascii="宋体" w:hAnsi="宋体" w:eastAsia="宋体" w:cs="宋体"/>
                <w:spacing w:val="14"/>
                <w:sz w:val="24"/>
                <w:szCs w:val="24"/>
                <w:highlight w:val="none"/>
                <w:lang w:eastAsia="zh-CN"/>
              </w:rPr>
              <w:t>详尽、全面、合理的得</w:t>
            </w:r>
            <w:r>
              <w:rPr>
                <w:rFonts w:hint="eastAsia" w:ascii="宋体" w:hAnsi="宋体" w:eastAsia="宋体" w:cs="宋体"/>
                <w:spacing w:val="14"/>
                <w:sz w:val="24"/>
                <w:szCs w:val="24"/>
                <w:highlight w:val="none"/>
                <w:lang w:val="en-US" w:eastAsia="zh-CN"/>
              </w:rPr>
              <w:t>1分</w:t>
            </w:r>
            <w:r>
              <w:rPr>
                <w:rFonts w:hint="eastAsia" w:ascii="宋体" w:hAnsi="宋体" w:eastAsia="宋体" w:cs="宋体"/>
                <w:spacing w:val="14"/>
                <w:sz w:val="24"/>
                <w:szCs w:val="24"/>
                <w:highlight w:val="none"/>
                <w:lang w:eastAsia="zh-CN"/>
              </w:rPr>
              <w:t>；</w:t>
            </w:r>
          </w:p>
          <w:p w14:paraId="48B74FF2">
            <w:pPr>
              <w:numPr>
                <w:ilvl w:val="0"/>
                <w:numId w:val="0"/>
              </w:numPr>
              <w:shd w:val="clear" w:color="auto" w:fill="auto"/>
              <w:spacing w:line="360" w:lineRule="auto"/>
              <w:ind w:left="0" w:leftChars="0" w:firstLine="0" w:firstLineChars="0"/>
              <w:rPr>
                <w:rFonts w:hint="eastAsia" w:ascii="宋体" w:hAnsi="宋体" w:eastAsia="宋体" w:cs="宋体"/>
                <w:color w:val="auto"/>
                <w:sz w:val="24"/>
                <w:szCs w:val="24"/>
                <w:highlight w:val="none"/>
                <w:lang w:val="zh-TW" w:eastAsia="zh-CN"/>
              </w:rPr>
            </w:pPr>
            <w:r>
              <w:rPr>
                <w:rFonts w:hint="eastAsia" w:ascii="宋体" w:hAnsi="宋体" w:eastAsia="宋体" w:cs="宋体"/>
                <w:b w:val="0"/>
                <w:bCs/>
                <w:sz w:val="24"/>
                <w:szCs w:val="24"/>
                <w:highlight w:val="none"/>
                <w:lang w:val="zh-CN"/>
              </w:rPr>
              <w:t>缺项不得分。</w:t>
            </w:r>
          </w:p>
        </w:tc>
      </w:tr>
      <w:tr w14:paraId="4D4D2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959" w:type="dxa"/>
            <w:vMerge w:val="continue"/>
            <w:tcBorders>
              <w:left w:val="single" w:color="auto" w:sz="4" w:space="0"/>
            </w:tcBorders>
            <w:noWrap w:val="0"/>
            <w:vAlign w:val="center"/>
          </w:tcPr>
          <w:p w14:paraId="08F93A10">
            <w:pPr>
              <w:spacing w:line="360" w:lineRule="auto"/>
              <w:jc w:val="center"/>
              <w:rPr>
                <w:rFonts w:hint="eastAsia" w:ascii="宋体" w:hAnsi="宋体" w:eastAsia="宋体" w:cs="宋体"/>
                <w:b/>
                <w:bCs/>
                <w:color w:val="auto"/>
                <w:sz w:val="24"/>
                <w:szCs w:val="24"/>
                <w:highlight w:val="none"/>
              </w:rPr>
            </w:pPr>
          </w:p>
        </w:tc>
        <w:tc>
          <w:tcPr>
            <w:tcW w:w="826" w:type="dxa"/>
            <w:vMerge w:val="continue"/>
            <w:noWrap w:val="0"/>
            <w:vAlign w:val="center"/>
          </w:tcPr>
          <w:p w14:paraId="0BDEC632">
            <w:pPr>
              <w:spacing w:line="360" w:lineRule="auto"/>
              <w:jc w:val="center"/>
              <w:rPr>
                <w:rFonts w:hint="eastAsia" w:ascii="宋体" w:hAnsi="宋体" w:eastAsia="宋体" w:cs="宋体"/>
                <w:b/>
                <w:bCs/>
                <w:color w:val="auto"/>
                <w:sz w:val="24"/>
                <w:szCs w:val="24"/>
                <w:highlight w:val="none"/>
              </w:rPr>
            </w:pPr>
          </w:p>
        </w:tc>
        <w:tc>
          <w:tcPr>
            <w:tcW w:w="1102" w:type="dxa"/>
            <w:tcBorders>
              <w:top w:val="single" w:color="auto" w:sz="4" w:space="0"/>
            </w:tcBorders>
            <w:noWrap w:val="0"/>
            <w:vAlign w:val="center"/>
          </w:tcPr>
          <w:p w14:paraId="24B7765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绿色产品认证</w:t>
            </w:r>
          </w:p>
          <w:p w14:paraId="57B7F34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（2分）</w:t>
            </w:r>
          </w:p>
        </w:tc>
        <w:tc>
          <w:tcPr>
            <w:tcW w:w="6475" w:type="dxa"/>
            <w:tcBorders>
              <w:top w:val="single" w:color="auto" w:sz="4" w:space="0"/>
              <w:bottom w:val="single" w:color="auto" w:sz="4" w:space="0"/>
              <w:right w:val="single" w:color="auto" w:sz="4" w:space="0"/>
            </w:tcBorders>
            <w:noWrap w:val="0"/>
            <w:vAlign w:val="center"/>
          </w:tcPr>
          <w:p w14:paraId="00110C5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1、投标人所投货物在节能产品政府采购品目清单内的，提供具有国家确定的认证机构出具的、处于有效期之内的节能产品认证证书原件扫描件的得1分，如没有不得分。 </w:t>
            </w:r>
          </w:p>
          <w:p w14:paraId="5761BD9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2、投标人所投货物在环境标志产品品目清单内的，提供具有国家确定的认证机构出具的、处于有效期之内的环境标志产品认证证书原件扫描件的得1 分，如没有不得分。</w:t>
            </w:r>
          </w:p>
          <w:p w14:paraId="20681F0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（提供任意一个投标产品的相关认证证书即可)</w:t>
            </w:r>
          </w:p>
        </w:tc>
      </w:tr>
      <w:tr w14:paraId="25190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62" w:type="dxa"/>
            <w:gridSpan w:val="4"/>
            <w:tcBorders>
              <w:top w:val="single" w:color="auto" w:sz="4" w:space="0"/>
            </w:tcBorders>
            <w:noWrap w:val="0"/>
            <w:vAlign w:val="center"/>
          </w:tcPr>
          <w:p w14:paraId="54733971">
            <w:pPr>
              <w:autoSpaceDE w:val="0"/>
              <w:autoSpaceDN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注：本项目所涉及到的各种证明材料等须在投标文件中提供证明文件扫描件</w:t>
            </w:r>
            <w:r>
              <w:rPr>
                <w:rFonts w:hint="eastAsia" w:ascii="宋体" w:hAnsi="宋体" w:eastAsia="宋体" w:cs="宋体"/>
                <w:b/>
                <w:bCs/>
                <w:color w:val="auto"/>
                <w:sz w:val="24"/>
                <w:szCs w:val="24"/>
                <w:highlight w:val="none"/>
                <w:lang w:val="en-US" w:eastAsia="zh-CN"/>
              </w:rPr>
              <w:t>或图片</w:t>
            </w:r>
            <w:r>
              <w:rPr>
                <w:rFonts w:hint="eastAsia" w:ascii="宋体" w:hAnsi="宋体" w:eastAsia="宋体" w:cs="宋体"/>
                <w:b/>
                <w:bCs/>
                <w:color w:val="auto"/>
                <w:sz w:val="24"/>
                <w:szCs w:val="24"/>
                <w:highlight w:val="none"/>
              </w:rPr>
              <w:t>，因证明材料不清晰造成的后果，投标人自负。</w:t>
            </w:r>
          </w:p>
        </w:tc>
      </w:tr>
    </w:tbl>
    <w:p w14:paraId="73D29FBE">
      <w:pPr>
        <w:pStyle w:val="5"/>
        <w:tabs>
          <w:tab w:val="left" w:pos="704"/>
        </w:tabs>
        <w:spacing w:line="440" w:lineRule="exact"/>
        <w:ind w:left="0" w:firstLine="0"/>
        <w:rPr>
          <w:rFonts w:hint="eastAsia" w:ascii="宋体" w:hAnsi="宋体" w:eastAsia="宋体" w:cs="宋体"/>
          <w:color w:val="auto"/>
          <w:sz w:val="28"/>
          <w:szCs w:val="28"/>
          <w:highlight w:val="none"/>
          <w:lang w:val="en-US"/>
        </w:rPr>
      </w:pPr>
      <w:bookmarkStart w:id="24" w:name="_Toc19420"/>
      <w:bookmarkStart w:id="25" w:name="_Toc4306"/>
      <w:r>
        <w:rPr>
          <w:rFonts w:hint="eastAsia" w:ascii="宋体" w:hAnsi="宋体" w:eastAsia="宋体" w:cs="宋体"/>
          <w:color w:val="auto"/>
          <w:sz w:val="28"/>
          <w:szCs w:val="28"/>
          <w:highlight w:val="none"/>
          <w:lang w:val="en-US"/>
        </w:rPr>
        <w:t>1.评标方法</w:t>
      </w:r>
    </w:p>
    <w:p w14:paraId="4825DA67">
      <w:pPr>
        <w:pStyle w:val="9"/>
        <w:adjustRightInd w:val="0"/>
        <w:snapToGrid w:val="0"/>
        <w:spacing w:line="440" w:lineRule="exact"/>
        <w:ind w:firstLine="396" w:firstLineChars="200"/>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本次评</w:t>
      </w:r>
      <w:r>
        <w:rPr>
          <w:rFonts w:hint="eastAsia" w:ascii="宋体" w:hAnsi="宋体" w:eastAsia="宋体" w:cs="宋体"/>
          <w:color w:val="auto"/>
          <w:highlight w:val="none"/>
        </w:rPr>
        <w:t>标采用综合评估</w:t>
      </w:r>
      <w:r>
        <w:rPr>
          <w:rFonts w:hint="eastAsia" w:ascii="宋体" w:hAnsi="宋体" w:eastAsia="宋体" w:cs="宋体"/>
          <w:color w:val="auto"/>
          <w:spacing w:val="-6"/>
          <w:highlight w:val="none"/>
        </w:rPr>
        <w:t>法。评标委员会对满足招标文件实质性要求的投标文件，按照本章规定的评分标准进行打分，并按得分由高到低顺序推荐</w:t>
      </w:r>
      <w:r>
        <w:rPr>
          <w:rFonts w:hint="eastAsia" w:ascii="宋体" w:hAnsi="宋体" w:eastAsia="宋体" w:cs="宋体"/>
          <w:color w:val="auto"/>
          <w:spacing w:val="-6"/>
          <w:highlight w:val="none"/>
          <w:u w:val="single"/>
        </w:rPr>
        <w:t xml:space="preserve"> 3 </w:t>
      </w:r>
      <w:r>
        <w:rPr>
          <w:rFonts w:hint="eastAsia" w:ascii="宋体" w:hAnsi="宋体" w:eastAsia="宋体" w:cs="宋体"/>
          <w:color w:val="auto"/>
          <w:spacing w:val="-6"/>
          <w:highlight w:val="none"/>
        </w:rPr>
        <w:t>名中标候选人，但投标报价低于其成本的除外。综合评分相等时，按投标报价由低到高顺序排列；得分且投标报价相同的并列，投标文件满足招标文件全部实质性要求，且按照评审因素的量化指标评审得分最高的投标人为排名第一的中标候选人。</w:t>
      </w:r>
    </w:p>
    <w:p w14:paraId="2016603D">
      <w:pPr>
        <w:pStyle w:val="5"/>
        <w:tabs>
          <w:tab w:val="left" w:pos="704"/>
        </w:tabs>
        <w:spacing w:line="440" w:lineRule="exact"/>
        <w:ind w:left="0" w:firstLine="0"/>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rPr>
        <w:t>2.评审标准</w:t>
      </w:r>
    </w:p>
    <w:p w14:paraId="454032A5">
      <w:pPr>
        <w:pStyle w:val="5"/>
        <w:tabs>
          <w:tab w:val="left" w:pos="911"/>
        </w:tabs>
        <w:adjustRightInd w:val="0"/>
        <w:snapToGrid w:val="0"/>
        <w:spacing w:line="440" w:lineRule="exact"/>
        <w:ind w:left="0" w:firstLine="42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2.1 </w:t>
      </w:r>
      <w:r>
        <w:rPr>
          <w:rFonts w:hint="eastAsia" w:ascii="宋体" w:hAnsi="宋体" w:eastAsia="宋体" w:cs="宋体"/>
          <w:color w:val="auto"/>
          <w:sz w:val="21"/>
          <w:szCs w:val="21"/>
          <w:highlight w:val="none"/>
        </w:rPr>
        <w:t>初步评审标准</w:t>
      </w:r>
    </w:p>
    <w:p w14:paraId="7C2DA511">
      <w:pPr>
        <w:pStyle w:val="27"/>
        <w:tabs>
          <w:tab w:val="left" w:pos="1436"/>
        </w:tabs>
        <w:adjustRightInd w:val="0"/>
        <w:snapToGrid w:val="0"/>
        <w:spacing w:line="440" w:lineRule="exact"/>
        <w:ind w:left="0"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rPr>
        <w:t>2.1.1</w:t>
      </w:r>
      <w:r>
        <w:rPr>
          <w:rFonts w:hint="eastAsia" w:ascii="宋体" w:hAnsi="宋体" w:eastAsia="宋体" w:cs="宋体"/>
          <w:color w:val="auto"/>
          <w:spacing w:val="-6"/>
          <w:sz w:val="21"/>
          <w:szCs w:val="21"/>
          <w:highlight w:val="none"/>
        </w:rPr>
        <w:t>形式评审标准：见评标办法前附表</w:t>
      </w:r>
    </w:p>
    <w:p w14:paraId="3FA6EBB7">
      <w:pPr>
        <w:pStyle w:val="27"/>
        <w:tabs>
          <w:tab w:val="left" w:pos="1436"/>
        </w:tabs>
        <w:adjustRightInd w:val="0"/>
        <w:snapToGrid w:val="0"/>
        <w:spacing w:line="440" w:lineRule="exact"/>
        <w:ind w:left="0"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rPr>
        <w:t>2.1.2</w:t>
      </w:r>
      <w:r>
        <w:rPr>
          <w:rFonts w:hint="eastAsia" w:ascii="宋体" w:hAnsi="宋体" w:eastAsia="宋体" w:cs="宋体"/>
          <w:color w:val="auto"/>
          <w:spacing w:val="-6"/>
          <w:sz w:val="21"/>
          <w:szCs w:val="21"/>
          <w:highlight w:val="none"/>
        </w:rPr>
        <w:t>资格评审标准：见评标办法前附表</w:t>
      </w:r>
    </w:p>
    <w:p w14:paraId="25CCF237">
      <w:pPr>
        <w:pStyle w:val="27"/>
        <w:tabs>
          <w:tab w:val="left" w:pos="1436"/>
        </w:tabs>
        <w:adjustRightInd w:val="0"/>
        <w:snapToGrid w:val="0"/>
        <w:spacing w:line="440" w:lineRule="exact"/>
        <w:ind w:left="0"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rPr>
        <w:t>2.1.3</w:t>
      </w:r>
      <w:r>
        <w:rPr>
          <w:rFonts w:hint="eastAsia" w:ascii="宋体" w:hAnsi="宋体" w:eastAsia="宋体" w:cs="宋体"/>
          <w:color w:val="auto"/>
          <w:spacing w:val="-6"/>
          <w:sz w:val="21"/>
          <w:szCs w:val="21"/>
          <w:highlight w:val="none"/>
        </w:rPr>
        <w:t>符合性评审标准：见评标办法前附表</w:t>
      </w:r>
    </w:p>
    <w:p w14:paraId="3346FEA7">
      <w:pPr>
        <w:pStyle w:val="5"/>
        <w:tabs>
          <w:tab w:val="left" w:pos="911"/>
        </w:tabs>
        <w:adjustRightInd w:val="0"/>
        <w:snapToGrid w:val="0"/>
        <w:spacing w:line="440" w:lineRule="exact"/>
        <w:ind w:left="0" w:firstLine="42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2.2 </w:t>
      </w:r>
      <w:r>
        <w:rPr>
          <w:rFonts w:hint="eastAsia" w:ascii="宋体" w:hAnsi="宋体" w:eastAsia="宋体" w:cs="宋体"/>
          <w:color w:val="auto"/>
          <w:sz w:val="21"/>
          <w:szCs w:val="21"/>
          <w:highlight w:val="none"/>
        </w:rPr>
        <w:t>分值构成与评分标准</w:t>
      </w:r>
    </w:p>
    <w:p w14:paraId="22F8A84D">
      <w:pPr>
        <w:pStyle w:val="5"/>
        <w:tabs>
          <w:tab w:val="left" w:pos="911"/>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2.2.1</w:t>
      </w:r>
      <w:r>
        <w:rPr>
          <w:rFonts w:hint="eastAsia" w:ascii="宋体" w:hAnsi="宋体" w:eastAsia="宋体" w:cs="宋体"/>
          <w:b w:val="0"/>
          <w:bCs w:val="0"/>
          <w:color w:val="auto"/>
          <w:sz w:val="21"/>
          <w:szCs w:val="21"/>
          <w:highlight w:val="none"/>
        </w:rPr>
        <w:t>分值构成</w:t>
      </w:r>
    </w:p>
    <w:p w14:paraId="529688A4">
      <w:pPr>
        <w:pStyle w:val="5"/>
        <w:tabs>
          <w:tab w:val="left" w:pos="911"/>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rPr>
        <w:t>1</w:t>
      </w:r>
      <w:r>
        <w:rPr>
          <w:rFonts w:hint="eastAsia" w:ascii="宋体" w:hAnsi="宋体" w:eastAsia="宋体" w:cs="宋体"/>
          <w:b w:val="0"/>
          <w:bCs w:val="0"/>
          <w:color w:val="auto"/>
          <w:sz w:val="21"/>
          <w:szCs w:val="21"/>
          <w:highlight w:val="none"/>
        </w:rPr>
        <w:t>）商务部分：见评标办法前附表</w:t>
      </w:r>
    </w:p>
    <w:p w14:paraId="23854A4B">
      <w:pPr>
        <w:pStyle w:val="5"/>
        <w:tabs>
          <w:tab w:val="left" w:pos="911"/>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rPr>
        <w:t>2</w:t>
      </w:r>
      <w:r>
        <w:rPr>
          <w:rFonts w:hint="eastAsia" w:ascii="宋体" w:hAnsi="宋体" w:eastAsia="宋体" w:cs="宋体"/>
          <w:b w:val="0"/>
          <w:bCs w:val="0"/>
          <w:color w:val="auto"/>
          <w:sz w:val="21"/>
          <w:szCs w:val="21"/>
          <w:highlight w:val="none"/>
        </w:rPr>
        <w:t>）技术部分：见评标办法前附表</w:t>
      </w:r>
    </w:p>
    <w:p w14:paraId="01C59AB8">
      <w:pPr>
        <w:pStyle w:val="5"/>
        <w:tabs>
          <w:tab w:val="left" w:pos="911"/>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rPr>
        <w:t>3</w:t>
      </w:r>
      <w:r>
        <w:rPr>
          <w:rFonts w:hint="eastAsia" w:ascii="宋体" w:hAnsi="宋体" w:eastAsia="宋体" w:cs="宋体"/>
          <w:b w:val="0"/>
          <w:bCs w:val="0"/>
          <w:color w:val="auto"/>
          <w:sz w:val="21"/>
          <w:szCs w:val="21"/>
          <w:highlight w:val="none"/>
        </w:rPr>
        <w:t>）综合部分：见评标办法前附表</w:t>
      </w:r>
    </w:p>
    <w:p w14:paraId="051E824B">
      <w:pPr>
        <w:pStyle w:val="5"/>
        <w:tabs>
          <w:tab w:val="left" w:pos="911"/>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2.2.2</w:t>
      </w:r>
      <w:r>
        <w:rPr>
          <w:rFonts w:hint="eastAsia" w:ascii="宋体" w:hAnsi="宋体" w:eastAsia="宋体" w:cs="宋体"/>
          <w:b w:val="0"/>
          <w:bCs w:val="0"/>
          <w:color w:val="auto"/>
          <w:sz w:val="21"/>
          <w:szCs w:val="21"/>
          <w:highlight w:val="none"/>
        </w:rPr>
        <w:t>评标基准价计算</w:t>
      </w:r>
    </w:p>
    <w:p w14:paraId="6863B9AA">
      <w:pPr>
        <w:pStyle w:val="5"/>
        <w:tabs>
          <w:tab w:val="left" w:pos="911"/>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评标基准价计算方法：见评标办法前附表</w:t>
      </w:r>
    </w:p>
    <w:p w14:paraId="2D7D5A6A">
      <w:pPr>
        <w:pStyle w:val="5"/>
        <w:tabs>
          <w:tab w:val="left" w:pos="911"/>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2.2.3</w:t>
      </w:r>
      <w:r>
        <w:rPr>
          <w:rFonts w:hint="eastAsia" w:ascii="宋体" w:hAnsi="宋体" w:eastAsia="宋体" w:cs="宋体"/>
          <w:b w:val="0"/>
          <w:bCs w:val="0"/>
          <w:color w:val="auto"/>
          <w:sz w:val="21"/>
          <w:szCs w:val="21"/>
          <w:highlight w:val="none"/>
        </w:rPr>
        <w:t>评分标准</w:t>
      </w:r>
    </w:p>
    <w:p w14:paraId="3D72FD68">
      <w:pPr>
        <w:pStyle w:val="5"/>
        <w:numPr>
          <w:ilvl w:val="0"/>
          <w:numId w:val="13"/>
        </w:numPr>
        <w:tabs>
          <w:tab w:val="left" w:pos="911"/>
          <w:tab w:val="clear" w:pos="312"/>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商务部分评分标准：见评标办法前附表</w:t>
      </w:r>
    </w:p>
    <w:p w14:paraId="204035A7">
      <w:pPr>
        <w:pStyle w:val="5"/>
        <w:numPr>
          <w:ilvl w:val="0"/>
          <w:numId w:val="13"/>
        </w:numPr>
        <w:tabs>
          <w:tab w:val="left" w:pos="911"/>
          <w:tab w:val="clear" w:pos="312"/>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技术部分评分标准：见评标办法前附表</w:t>
      </w:r>
    </w:p>
    <w:p w14:paraId="5BA35519">
      <w:pPr>
        <w:pStyle w:val="5"/>
        <w:numPr>
          <w:ilvl w:val="0"/>
          <w:numId w:val="13"/>
        </w:numPr>
        <w:tabs>
          <w:tab w:val="left" w:pos="911"/>
          <w:tab w:val="clear" w:pos="312"/>
        </w:tabs>
        <w:adjustRightInd w:val="0"/>
        <w:snapToGrid w:val="0"/>
        <w:spacing w:line="440" w:lineRule="exact"/>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综合部分评分标准：见评标办法前附表</w:t>
      </w:r>
    </w:p>
    <w:p w14:paraId="1ED7BFED">
      <w:pPr>
        <w:pStyle w:val="5"/>
        <w:tabs>
          <w:tab w:val="left" w:pos="704"/>
        </w:tabs>
        <w:spacing w:line="440" w:lineRule="exact"/>
        <w:ind w:left="0" w:firstLine="0"/>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rPr>
        <w:t>3.评标程序</w:t>
      </w:r>
    </w:p>
    <w:p w14:paraId="6F3A0AC4">
      <w:pPr>
        <w:pStyle w:val="5"/>
        <w:tabs>
          <w:tab w:val="left" w:pos="911"/>
        </w:tabs>
        <w:adjustRightInd w:val="0"/>
        <w:snapToGrid w:val="0"/>
        <w:spacing w:line="420" w:lineRule="exact"/>
        <w:ind w:left="0" w:firstLine="42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3.1 </w:t>
      </w:r>
      <w:r>
        <w:rPr>
          <w:rFonts w:hint="eastAsia" w:ascii="宋体" w:hAnsi="宋体" w:eastAsia="宋体" w:cs="宋体"/>
          <w:color w:val="auto"/>
          <w:sz w:val="21"/>
          <w:szCs w:val="21"/>
          <w:highlight w:val="none"/>
        </w:rPr>
        <w:t>初步评审</w:t>
      </w:r>
    </w:p>
    <w:p w14:paraId="0416D723">
      <w:pPr>
        <w:pStyle w:val="6"/>
        <w:tabs>
          <w:tab w:val="left" w:pos="911"/>
        </w:tabs>
        <w:adjustRightInd w:val="0"/>
        <w:snapToGrid w:val="0"/>
        <w:spacing w:before="0" w:line="42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3.1.1</w:t>
      </w:r>
      <w:r>
        <w:rPr>
          <w:rFonts w:hint="eastAsia" w:ascii="宋体" w:hAnsi="宋体" w:eastAsia="宋体" w:cs="宋体"/>
          <w:color w:val="auto"/>
          <w:sz w:val="21"/>
          <w:szCs w:val="21"/>
          <w:highlight w:val="none"/>
        </w:rPr>
        <w:t>资格审查小组根据投标人提交的第二章“投标人须知前附表</w:t>
      </w:r>
      <w:r>
        <w:rPr>
          <w:rFonts w:hint="eastAsia" w:ascii="宋体" w:hAnsi="宋体" w:eastAsia="宋体" w:cs="宋体"/>
          <w:color w:val="auto"/>
          <w:sz w:val="21"/>
          <w:szCs w:val="21"/>
          <w:highlight w:val="none"/>
          <w:lang w:val="en-US"/>
        </w:rPr>
        <w:t>12项</w:t>
      </w:r>
      <w:r>
        <w:rPr>
          <w:rFonts w:hint="eastAsia" w:ascii="宋体" w:hAnsi="宋体" w:eastAsia="宋体" w:cs="宋体"/>
          <w:color w:val="auto"/>
          <w:sz w:val="21"/>
          <w:szCs w:val="21"/>
          <w:highlight w:val="none"/>
        </w:rPr>
        <w:t>”规定的有关证明材料，审查其资格。评标委员会依据本章第2.1款初步评审标准中形式评审标准、符合性评审标准对投标文件进行评审，具体评审标准详见评标办法前附表2.1.1、2.1.</w:t>
      </w:r>
      <w:r>
        <w:rPr>
          <w:rFonts w:hint="eastAsia" w:ascii="宋体" w:hAnsi="宋体" w:eastAsia="宋体" w:cs="宋体"/>
          <w:color w:val="auto"/>
          <w:sz w:val="21"/>
          <w:szCs w:val="21"/>
          <w:highlight w:val="none"/>
          <w:lang w:val="en-US"/>
        </w:rPr>
        <w:t>3</w:t>
      </w:r>
      <w:r>
        <w:rPr>
          <w:rFonts w:hint="eastAsia" w:ascii="宋体" w:hAnsi="宋体" w:eastAsia="宋体" w:cs="宋体"/>
          <w:color w:val="auto"/>
          <w:sz w:val="21"/>
          <w:szCs w:val="21"/>
          <w:highlight w:val="none"/>
        </w:rPr>
        <w:t>，投标文件有一项不符合评审标准的，则不再进行下一步评审。</w:t>
      </w:r>
    </w:p>
    <w:p w14:paraId="62849ED3">
      <w:pPr>
        <w:pStyle w:val="27"/>
        <w:tabs>
          <w:tab w:val="left" w:pos="1435"/>
        </w:tabs>
        <w:adjustRightInd w:val="0"/>
        <w:snapToGrid w:val="0"/>
        <w:spacing w:line="420" w:lineRule="exact"/>
        <w:ind w:left="420" w:leftChars="200" w:firstLine="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3.1.2 参与同一个标段（包）的供应商存在下列情形之一的，投标文件无效：</w:t>
      </w:r>
    </w:p>
    <w:p w14:paraId="0DDE61A9">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z w:val="21"/>
          <w:szCs w:val="21"/>
          <w:highlight w:val="none"/>
        </w:rPr>
        <w:t>第二章“</w:t>
      </w:r>
      <w:r>
        <w:rPr>
          <w:rFonts w:hint="eastAsia" w:ascii="宋体" w:hAnsi="宋体" w:eastAsia="宋体" w:cs="宋体"/>
          <w:b/>
          <w:bCs/>
          <w:color w:val="auto"/>
          <w:sz w:val="21"/>
          <w:szCs w:val="21"/>
          <w:highlight w:val="none"/>
          <w:lang w:val="en-US"/>
        </w:rPr>
        <w:t>1 总则</w:t>
      </w:r>
      <w:r>
        <w:rPr>
          <w:rFonts w:hint="eastAsia" w:ascii="宋体" w:hAnsi="宋体" w:eastAsia="宋体" w:cs="宋体"/>
          <w:b/>
          <w:bCs/>
          <w:color w:val="auto"/>
          <w:sz w:val="21"/>
          <w:szCs w:val="21"/>
          <w:highlight w:val="none"/>
        </w:rPr>
        <w:t>”第1.4.</w:t>
      </w:r>
      <w:r>
        <w:rPr>
          <w:rFonts w:hint="eastAsia" w:ascii="宋体" w:hAnsi="宋体" w:eastAsia="宋体" w:cs="宋体"/>
          <w:b/>
          <w:bCs/>
          <w:color w:val="auto"/>
          <w:sz w:val="21"/>
          <w:szCs w:val="21"/>
          <w:highlight w:val="none"/>
          <w:lang w:val="en-US"/>
        </w:rPr>
        <w:t>2</w:t>
      </w:r>
      <w:r>
        <w:rPr>
          <w:rFonts w:hint="eastAsia" w:ascii="宋体" w:hAnsi="宋体" w:eastAsia="宋体" w:cs="宋体"/>
          <w:b/>
          <w:bCs/>
          <w:color w:val="auto"/>
          <w:sz w:val="21"/>
          <w:szCs w:val="21"/>
          <w:highlight w:val="none"/>
        </w:rPr>
        <w:t>项规定的任何一种情形的；</w:t>
      </w:r>
    </w:p>
    <w:p w14:paraId="33D9666E">
      <w:pPr>
        <w:pStyle w:val="27"/>
        <w:numPr>
          <w:ilvl w:val="0"/>
          <w:numId w:val="14"/>
        </w:numPr>
        <w:tabs>
          <w:tab w:val="left" w:pos="1435"/>
        </w:tabs>
        <w:adjustRightInd w:val="0"/>
        <w:snapToGrid w:val="0"/>
        <w:spacing w:line="420" w:lineRule="exact"/>
        <w:ind w:left="0" w:firstLine="410" w:firstLineChars="200"/>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串通投标或弄虚作假或有其他违法行为的；</w:t>
      </w:r>
    </w:p>
    <w:p w14:paraId="7F49C312">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投标文件（投标书）无投标人电子签章；</w:t>
      </w:r>
    </w:p>
    <w:p w14:paraId="35B630D4">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rPr>
        <w:t>投标人递交两份或多份内容不同的投标文件，或在一份投标文件中对同一招标项目报有两个或多个报价，且未声明哪一个有效的；</w:t>
      </w:r>
    </w:p>
    <w:p w14:paraId="0F6D051B">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不同供应商的电子投标文件上传计算机的网卡MAC地址、CPU序列号和硬盘序列号等硬件信息相同的；</w:t>
      </w:r>
    </w:p>
    <w:p w14:paraId="7BA9705E">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不同供应商的投标文件由同一电子设备编制、打印加密或者上传。</w:t>
      </w:r>
    </w:p>
    <w:p w14:paraId="6EE64D68">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不同供应商的投标文件由同一电子设备打印、复印；</w:t>
      </w:r>
    </w:p>
    <w:p w14:paraId="324DB51B">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不同供应商联系人为同一人或不同联系人的联系电话一致的；</w:t>
      </w:r>
    </w:p>
    <w:p w14:paraId="7779C2C4">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不同供应商的投标文件的内容存在两处以上细节错误一致；</w:t>
      </w:r>
    </w:p>
    <w:p w14:paraId="4C37F6DA">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不同供应商的法定代表人、委托代理人、项目经理、项目负责人等由同一单位缴纳社会保险或者领取报酬的；</w:t>
      </w:r>
    </w:p>
    <w:p w14:paraId="2D40B06F">
      <w:pPr>
        <w:pStyle w:val="27"/>
        <w:numPr>
          <w:ilvl w:val="0"/>
          <w:numId w:val="14"/>
        </w:numPr>
        <w:tabs>
          <w:tab w:val="left" w:pos="1435"/>
        </w:tabs>
        <w:adjustRightInd w:val="0"/>
        <w:snapToGrid w:val="0"/>
        <w:spacing w:line="420" w:lineRule="exact"/>
        <w:ind w:left="0" w:firstLine="422"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不同供应商投标文件中法定代表人或者负责人签字出自同一人之手；</w:t>
      </w:r>
    </w:p>
    <w:p w14:paraId="7BF28C48">
      <w:pPr>
        <w:pStyle w:val="27"/>
        <w:numPr>
          <w:ilvl w:val="0"/>
          <w:numId w:val="14"/>
        </w:numPr>
        <w:tabs>
          <w:tab w:val="left" w:pos="1435"/>
        </w:tabs>
        <w:adjustRightInd w:val="0"/>
        <w:snapToGrid w:val="0"/>
        <w:spacing w:line="400" w:lineRule="exact"/>
        <w:ind w:lef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招标文件中规定的其他情形。</w:t>
      </w:r>
    </w:p>
    <w:p w14:paraId="35AA971B">
      <w:pPr>
        <w:pStyle w:val="27"/>
        <w:tabs>
          <w:tab w:val="left" w:pos="1435"/>
        </w:tabs>
        <w:adjustRightInd w:val="0"/>
        <w:snapToGrid w:val="0"/>
        <w:spacing w:line="40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3.1.3</w:t>
      </w:r>
      <w:r>
        <w:rPr>
          <w:rFonts w:hint="eastAsia" w:ascii="宋体" w:hAnsi="宋体" w:eastAsia="宋体" w:cs="宋体"/>
          <w:color w:val="auto"/>
          <w:sz w:val="21"/>
          <w:szCs w:val="21"/>
          <w:highlight w:val="none"/>
        </w:rPr>
        <w:t>投标报价有算术错误的，评标委员会按以下原则对投标报价进行修正，修正的价格经投标人书面确认后具有约束力。投标人不接受修正价格的，否决其投标。</w:t>
      </w:r>
    </w:p>
    <w:p w14:paraId="18EC956B">
      <w:pPr>
        <w:pStyle w:val="27"/>
        <w:tabs>
          <w:tab w:val="left" w:pos="1435"/>
        </w:tabs>
        <w:adjustRightInd w:val="0"/>
        <w:snapToGrid w:val="0"/>
        <w:spacing w:line="40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1</w:t>
      </w:r>
      <w:r>
        <w:rPr>
          <w:rFonts w:hint="eastAsia" w:ascii="宋体" w:hAnsi="宋体" w:eastAsia="宋体" w:cs="宋体"/>
          <w:color w:val="auto"/>
          <w:sz w:val="21"/>
          <w:szCs w:val="21"/>
          <w:highlight w:val="none"/>
        </w:rPr>
        <w:t>）投标文件中开标一览表（报价表）内容与投标文件中相应内容不一致的，以开标一览表（报价表）为准。</w:t>
      </w:r>
    </w:p>
    <w:p w14:paraId="7562145B">
      <w:pPr>
        <w:pStyle w:val="5"/>
        <w:tabs>
          <w:tab w:val="left" w:pos="911"/>
        </w:tabs>
        <w:adjustRightInd w:val="0"/>
        <w:snapToGrid w:val="0"/>
        <w:spacing w:line="400" w:lineRule="exact"/>
        <w:ind w:left="420" w:leftChars="200"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rPr>
        <w:t>2</w:t>
      </w:r>
      <w:r>
        <w:rPr>
          <w:rFonts w:hint="eastAsia" w:ascii="宋体" w:hAnsi="宋体" w:eastAsia="宋体" w:cs="宋体"/>
          <w:b w:val="0"/>
          <w:bCs w:val="0"/>
          <w:color w:val="auto"/>
          <w:sz w:val="21"/>
          <w:szCs w:val="21"/>
          <w:highlight w:val="none"/>
        </w:rPr>
        <w:t>）投标文件中的大写金额与小写金额不一致的，以大写金额为准；</w:t>
      </w:r>
    </w:p>
    <w:p w14:paraId="50CB9EA4">
      <w:pPr>
        <w:pStyle w:val="5"/>
        <w:tabs>
          <w:tab w:val="left" w:pos="911"/>
        </w:tabs>
        <w:adjustRightInd w:val="0"/>
        <w:snapToGrid w:val="0"/>
        <w:spacing w:line="400" w:lineRule="exact"/>
        <w:ind w:left="0" w:firstLine="420" w:firstLineChars="200"/>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rPr>
        <w:t>3</w:t>
      </w:r>
      <w:r>
        <w:rPr>
          <w:rFonts w:hint="eastAsia" w:ascii="宋体" w:hAnsi="宋体" w:eastAsia="宋体" w:cs="宋体"/>
          <w:b w:val="0"/>
          <w:bCs w:val="0"/>
          <w:color w:val="auto"/>
          <w:sz w:val="21"/>
          <w:szCs w:val="21"/>
          <w:highlight w:val="none"/>
        </w:rPr>
        <w:t>）总价金额与按单价汇总金额不一致的，以单价金额计算结果为准。单价金额小数点或者百分比有明显错位的，以开标一览表（投标函）的总价为准，并修改单价。</w:t>
      </w:r>
    </w:p>
    <w:p w14:paraId="72BC6D7A">
      <w:pPr>
        <w:pStyle w:val="5"/>
        <w:tabs>
          <w:tab w:val="left" w:pos="911"/>
        </w:tabs>
        <w:adjustRightInd w:val="0"/>
        <w:snapToGrid w:val="0"/>
        <w:spacing w:line="400" w:lineRule="exact"/>
        <w:ind w:left="0" w:firstLine="420" w:firstLineChars="200"/>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szCs w:val="21"/>
          <w:highlight w:val="none"/>
          <w:lang w:val="en-US"/>
        </w:rPr>
        <w:t>（4）如果分项报价</w:t>
      </w:r>
      <w:r>
        <w:rPr>
          <w:rFonts w:hint="eastAsia" w:ascii="宋体" w:hAnsi="宋体" w:eastAsia="宋体" w:cs="宋体"/>
          <w:b w:val="0"/>
          <w:bCs w:val="0"/>
          <w:color w:val="auto"/>
          <w:spacing w:val="-3"/>
          <w:sz w:val="21"/>
          <w:highlight w:val="none"/>
        </w:rPr>
        <w:t>中存在缺漏项，则视为缺漏项价格已包含在其他分项报价之中。</w:t>
      </w:r>
    </w:p>
    <w:p w14:paraId="0AAF78D7">
      <w:pPr>
        <w:pStyle w:val="5"/>
        <w:tabs>
          <w:tab w:val="left" w:pos="911"/>
        </w:tabs>
        <w:adjustRightInd w:val="0"/>
        <w:snapToGrid w:val="0"/>
        <w:spacing w:line="400" w:lineRule="exact"/>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3.2 </w:t>
      </w:r>
      <w:r>
        <w:rPr>
          <w:rFonts w:hint="eastAsia" w:ascii="宋体" w:hAnsi="宋体" w:eastAsia="宋体" w:cs="宋体"/>
          <w:color w:val="auto"/>
          <w:sz w:val="21"/>
          <w:szCs w:val="21"/>
          <w:highlight w:val="none"/>
        </w:rPr>
        <w:t>详细评审</w:t>
      </w:r>
    </w:p>
    <w:p w14:paraId="6E6D6B69">
      <w:pPr>
        <w:pStyle w:val="5"/>
        <w:tabs>
          <w:tab w:val="left" w:pos="911"/>
        </w:tabs>
        <w:adjustRightInd w:val="0"/>
        <w:snapToGrid w:val="0"/>
        <w:spacing w:line="400" w:lineRule="exact"/>
        <w:ind w:left="0" w:firstLine="400" w:firstLineChars="200"/>
        <w:rPr>
          <w:rFonts w:hint="eastAsia" w:ascii="宋体" w:hAnsi="宋体" w:eastAsia="宋体" w:cs="宋体"/>
          <w:b w:val="0"/>
          <w:bCs w:val="0"/>
          <w:color w:val="auto"/>
          <w:spacing w:val="-7"/>
          <w:sz w:val="21"/>
          <w:szCs w:val="21"/>
          <w:highlight w:val="none"/>
        </w:rPr>
      </w:pPr>
      <w:r>
        <w:rPr>
          <w:rFonts w:hint="eastAsia" w:ascii="宋体" w:hAnsi="宋体" w:eastAsia="宋体" w:cs="宋体"/>
          <w:b w:val="0"/>
          <w:bCs w:val="0"/>
          <w:color w:val="auto"/>
          <w:spacing w:val="-5"/>
          <w:sz w:val="21"/>
          <w:szCs w:val="21"/>
          <w:highlight w:val="none"/>
          <w:lang w:val="en-US"/>
        </w:rPr>
        <w:t>3.2.1</w:t>
      </w:r>
      <w:r>
        <w:rPr>
          <w:rFonts w:hint="eastAsia" w:ascii="宋体" w:hAnsi="宋体" w:eastAsia="宋体" w:cs="宋体"/>
          <w:b w:val="0"/>
          <w:bCs w:val="0"/>
          <w:color w:val="auto"/>
          <w:spacing w:val="-5"/>
          <w:sz w:val="21"/>
          <w:szCs w:val="21"/>
          <w:highlight w:val="none"/>
        </w:rPr>
        <w:t>评标委员会按招标文件要求对所有投标文件进行检查，并进行综合比较与独立评分</w:t>
      </w:r>
      <w:r>
        <w:rPr>
          <w:rFonts w:hint="eastAsia" w:ascii="宋体" w:hAnsi="宋体" w:eastAsia="宋体" w:cs="宋体"/>
          <w:b w:val="0"/>
          <w:bCs w:val="0"/>
          <w:color w:val="auto"/>
          <w:spacing w:val="-5"/>
          <w:sz w:val="21"/>
          <w:szCs w:val="21"/>
          <w:highlight w:val="none"/>
          <w:lang w:val="en-US"/>
        </w:rPr>
        <w:t>并</w:t>
      </w:r>
      <w:r>
        <w:rPr>
          <w:rFonts w:hint="eastAsia" w:ascii="宋体" w:hAnsi="宋体" w:eastAsia="宋体" w:cs="宋体"/>
          <w:b w:val="0"/>
          <w:bCs w:val="0"/>
          <w:color w:val="auto"/>
          <w:spacing w:val="-5"/>
          <w:sz w:val="21"/>
          <w:szCs w:val="21"/>
          <w:highlight w:val="none"/>
        </w:rPr>
        <w:t xml:space="preserve">按本章第 </w:t>
      </w:r>
      <w:r>
        <w:rPr>
          <w:rFonts w:hint="eastAsia" w:ascii="宋体" w:hAnsi="宋体" w:eastAsia="宋体" w:cs="宋体"/>
          <w:b w:val="0"/>
          <w:bCs w:val="0"/>
          <w:color w:val="auto"/>
          <w:sz w:val="21"/>
          <w:szCs w:val="21"/>
          <w:highlight w:val="none"/>
        </w:rPr>
        <w:t>2.2</w:t>
      </w:r>
      <w:r>
        <w:rPr>
          <w:rFonts w:hint="eastAsia" w:ascii="宋体" w:hAnsi="宋体" w:eastAsia="宋体" w:cs="宋体"/>
          <w:b w:val="0"/>
          <w:bCs w:val="0"/>
          <w:color w:val="auto"/>
          <w:spacing w:val="-7"/>
          <w:sz w:val="21"/>
          <w:szCs w:val="21"/>
          <w:highlight w:val="none"/>
        </w:rPr>
        <w:t xml:space="preserve"> 款</w:t>
      </w:r>
      <w:r>
        <w:rPr>
          <w:rFonts w:hint="eastAsia" w:ascii="宋体" w:hAnsi="宋体" w:eastAsia="宋体" w:cs="宋体"/>
          <w:b w:val="0"/>
          <w:bCs w:val="0"/>
          <w:color w:val="auto"/>
          <w:sz w:val="21"/>
          <w:szCs w:val="21"/>
          <w:highlight w:val="none"/>
        </w:rPr>
        <w:t>分值构成与评分标准中</w:t>
      </w:r>
      <w:r>
        <w:rPr>
          <w:rFonts w:hint="eastAsia" w:ascii="宋体" w:hAnsi="宋体" w:eastAsia="宋体" w:cs="宋体"/>
          <w:b w:val="0"/>
          <w:bCs w:val="0"/>
          <w:color w:val="auto"/>
          <w:spacing w:val="-7"/>
          <w:sz w:val="21"/>
          <w:szCs w:val="21"/>
          <w:highlight w:val="none"/>
        </w:rPr>
        <w:t>规定的量化因素和分值进行打分，计算出综合评估得分。中标价和合同签约价仍以其投标文件中的一次报价为准。</w:t>
      </w:r>
    </w:p>
    <w:p w14:paraId="41DD633F">
      <w:pPr>
        <w:pStyle w:val="27"/>
        <w:tabs>
          <w:tab w:val="left" w:pos="1701"/>
        </w:tabs>
        <w:adjustRightInd w:val="0"/>
        <w:snapToGrid w:val="0"/>
        <w:spacing w:line="400" w:lineRule="exact"/>
        <w:ind w:left="0" w:firstLine="408"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w:t>
      </w:r>
      <w:r>
        <w:rPr>
          <w:rFonts w:hint="eastAsia" w:ascii="宋体" w:hAnsi="宋体" w:eastAsia="宋体" w:cs="宋体"/>
          <w:color w:val="auto"/>
          <w:spacing w:val="-3"/>
          <w:sz w:val="21"/>
          <w:szCs w:val="21"/>
          <w:highlight w:val="none"/>
          <w:lang w:val="en-US"/>
        </w:rPr>
        <w:t>1</w:t>
      </w:r>
      <w:r>
        <w:rPr>
          <w:rFonts w:hint="eastAsia" w:ascii="宋体" w:hAnsi="宋体" w:eastAsia="宋体" w:cs="宋体"/>
          <w:color w:val="auto"/>
          <w:spacing w:val="-3"/>
          <w:sz w:val="21"/>
          <w:szCs w:val="21"/>
          <w:highlight w:val="none"/>
        </w:rPr>
        <w:t xml:space="preserve">）按本章规定的评审因素和分值对商务部分计算出得分 </w:t>
      </w:r>
      <w:r>
        <w:rPr>
          <w:rFonts w:hint="eastAsia" w:ascii="宋体" w:hAnsi="宋体" w:eastAsia="宋体" w:cs="宋体"/>
          <w:color w:val="auto"/>
          <w:sz w:val="21"/>
          <w:szCs w:val="21"/>
          <w:highlight w:val="none"/>
        </w:rPr>
        <w:t>A；</w:t>
      </w:r>
    </w:p>
    <w:p w14:paraId="3AD4D1CB">
      <w:pPr>
        <w:pStyle w:val="27"/>
        <w:tabs>
          <w:tab w:val="left" w:pos="1582"/>
        </w:tabs>
        <w:adjustRightInd w:val="0"/>
        <w:snapToGrid w:val="0"/>
        <w:spacing w:line="400" w:lineRule="exact"/>
        <w:ind w:left="0" w:firstLine="408"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w:t>
      </w:r>
      <w:r>
        <w:rPr>
          <w:rFonts w:hint="eastAsia" w:ascii="宋体" w:hAnsi="宋体" w:eastAsia="宋体" w:cs="宋体"/>
          <w:color w:val="auto"/>
          <w:spacing w:val="-3"/>
          <w:sz w:val="21"/>
          <w:szCs w:val="21"/>
          <w:highlight w:val="none"/>
          <w:lang w:val="en-US"/>
        </w:rPr>
        <w:t>2</w:t>
      </w:r>
      <w:r>
        <w:rPr>
          <w:rFonts w:hint="eastAsia" w:ascii="宋体" w:hAnsi="宋体" w:eastAsia="宋体" w:cs="宋体"/>
          <w:color w:val="auto"/>
          <w:spacing w:val="-3"/>
          <w:sz w:val="21"/>
          <w:szCs w:val="21"/>
          <w:highlight w:val="none"/>
        </w:rPr>
        <w:t xml:space="preserve">）按本章规定的评审因素和分值对技术部分计算出得分 </w:t>
      </w:r>
      <w:r>
        <w:rPr>
          <w:rFonts w:hint="eastAsia" w:ascii="宋体" w:hAnsi="宋体" w:eastAsia="宋体" w:cs="宋体"/>
          <w:color w:val="auto"/>
          <w:sz w:val="21"/>
          <w:szCs w:val="21"/>
          <w:highlight w:val="none"/>
        </w:rPr>
        <w:t>B；</w:t>
      </w:r>
    </w:p>
    <w:p w14:paraId="763094B1">
      <w:pPr>
        <w:pStyle w:val="27"/>
        <w:tabs>
          <w:tab w:val="left" w:pos="1582"/>
        </w:tabs>
        <w:adjustRightInd w:val="0"/>
        <w:snapToGrid w:val="0"/>
        <w:spacing w:line="400" w:lineRule="exact"/>
        <w:ind w:left="0" w:firstLine="408"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w:t>
      </w:r>
      <w:r>
        <w:rPr>
          <w:rFonts w:hint="eastAsia" w:ascii="宋体" w:hAnsi="宋体" w:eastAsia="宋体" w:cs="宋体"/>
          <w:color w:val="auto"/>
          <w:spacing w:val="-3"/>
          <w:sz w:val="21"/>
          <w:szCs w:val="21"/>
          <w:highlight w:val="none"/>
          <w:lang w:val="en-US"/>
        </w:rPr>
        <w:t>3</w:t>
      </w:r>
      <w:r>
        <w:rPr>
          <w:rFonts w:hint="eastAsia" w:ascii="宋体" w:hAnsi="宋体" w:eastAsia="宋体" w:cs="宋体"/>
          <w:color w:val="auto"/>
          <w:spacing w:val="-3"/>
          <w:sz w:val="21"/>
          <w:szCs w:val="21"/>
          <w:highlight w:val="none"/>
        </w:rPr>
        <w:t xml:space="preserve">）按本章规定的评审因素和分值对综合部分计算出得分 </w:t>
      </w:r>
      <w:r>
        <w:rPr>
          <w:rFonts w:hint="eastAsia" w:ascii="宋体" w:hAnsi="宋体" w:eastAsia="宋体" w:cs="宋体"/>
          <w:color w:val="auto"/>
          <w:sz w:val="21"/>
          <w:szCs w:val="21"/>
          <w:highlight w:val="none"/>
        </w:rPr>
        <w:t>C；</w:t>
      </w:r>
    </w:p>
    <w:p w14:paraId="17C6DAB5">
      <w:pPr>
        <w:pStyle w:val="27"/>
        <w:tabs>
          <w:tab w:val="left" w:pos="1701"/>
        </w:tabs>
        <w:adjustRightInd w:val="0"/>
        <w:snapToGrid w:val="0"/>
        <w:spacing w:line="40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4</w:t>
      </w:r>
      <w:r>
        <w:rPr>
          <w:rFonts w:hint="eastAsia" w:ascii="宋体" w:hAnsi="宋体" w:eastAsia="宋体" w:cs="宋体"/>
          <w:color w:val="auto"/>
          <w:sz w:val="21"/>
          <w:szCs w:val="21"/>
          <w:highlight w:val="none"/>
        </w:rPr>
        <w:t>）评分分值计算保留小数点后两位，小数点后第三位“四舍五入”。</w:t>
      </w:r>
    </w:p>
    <w:p w14:paraId="778037CB">
      <w:pPr>
        <w:pStyle w:val="27"/>
        <w:tabs>
          <w:tab w:val="left" w:pos="1701"/>
        </w:tabs>
        <w:adjustRightInd w:val="0"/>
        <w:snapToGrid w:val="0"/>
        <w:spacing w:line="40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5</w:t>
      </w:r>
      <w:r>
        <w:rPr>
          <w:rFonts w:hint="eastAsia" w:ascii="宋体" w:hAnsi="宋体" w:eastAsia="宋体" w:cs="宋体"/>
          <w:color w:val="auto"/>
          <w:sz w:val="21"/>
          <w:szCs w:val="21"/>
          <w:highlight w:val="none"/>
        </w:rPr>
        <w:t>）投标人得分=A+B+C。</w:t>
      </w:r>
    </w:p>
    <w:p w14:paraId="1CDA0032">
      <w:pPr>
        <w:pStyle w:val="27"/>
        <w:tabs>
          <w:tab w:val="left" w:pos="1701"/>
        </w:tabs>
        <w:adjustRightInd w:val="0"/>
        <w:snapToGrid w:val="0"/>
        <w:spacing w:line="40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6</w:t>
      </w:r>
      <w:r>
        <w:rPr>
          <w:rFonts w:hint="eastAsia" w:ascii="宋体" w:hAnsi="宋体" w:eastAsia="宋体" w:cs="宋体"/>
          <w:color w:val="auto"/>
          <w:sz w:val="21"/>
          <w:szCs w:val="21"/>
          <w:highlight w:val="none"/>
        </w:rPr>
        <w:t>）投标人最终得分：最终得分为各评委打分之和的算术平均值。</w:t>
      </w:r>
    </w:p>
    <w:p w14:paraId="0F4AC555">
      <w:pPr>
        <w:pStyle w:val="27"/>
        <w:tabs>
          <w:tab w:val="left" w:pos="1701"/>
        </w:tabs>
        <w:adjustRightInd w:val="0"/>
        <w:snapToGrid w:val="0"/>
        <w:spacing w:line="40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7</w:t>
      </w:r>
      <w:r>
        <w:rPr>
          <w:rFonts w:hint="eastAsia" w:ascii="宋体" w:hAnsi="宋体" w:eastAsia="宋体" w:cs="宋体"/>
          <w:color w:val="auto"/>
          <w:sz w:val="21"/>
          <w:szCs w:val="21"/>
          <w:highlight w:val="none"/>
        </w:rPr>
        <w:t>）评标委员会发现投标人的报价明显低于其他投标报价，或者在设有标底时明显低于标底，使得其投标报价可能低于其个别成本的，应当要求该投标人作出说明并提供相应的证明材料。投标人不能合理说明或者不能提供相应证明材料的，由评标委员会认定该投标人以低于成本报价竞标，其投标将被否决。</w:t>
      </w:r>
    </w:p>
    <w:p w14:paraId="3545A6A3">
      <w:pPr>
        <w:pStyle w:val="5"/>
        <w:tabs>
          <w:tab w:val="left" w:pos="911"/>
        </w:tabs>
        <w:adjustRightInd w:val="0"/>
        <w:snapToGrid w:val="0"/>
        <w:spacing w:line="400" w:lineRule="exact"/>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3.3 </w:t>
      </w:r>
      <w:r>
        <w:rPr>
          <w:rFonts w:hint="eastAsia" w:ascii="宋体" w:hAnsi="宋体" w:eastAsia="宋体" w:cs="宋体"/>
          <w:color w:val="auto"/>
          <w:sz w:val="21"/>
          <w:szCs w:val="21"/>
          <w:highlight w:val="none"/>
        </w:rPr>
        <w:t>投标文件的澄清和补正</w:t>
      </w:r>
    </w:p>
    <w:p w14:paraId="3C2ED668">
      <w:pPr>
        <w:pStyle w:val="27"/>
        <w:tabs>
          <w:tab w:val="left" w:pos="1701"/>
        </w:tabs>
        <w:adjustRightInd w:val="0"/>
        <w:snapToGrid w:val="0"/>
        <w:spacing w:line="40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3.3.1</w:t>
      </w:r>
      <w:r>
        <w:rPr>
          <w:rFonts w:hint="eastAsia" w:ascii="宋体" w:hAnsi="宋体" w:eastAsia="宋体" w:cs="宋体"/>
          <w:color w:val="auto"/>
          <w:sz w:val="21"/>
          <w:szCs w:val="21"/>
          <w:highlight w:val="none"/>
        </w:rPr>
        <w:t>在评标过程中，评标委员会可以在电子交易系统中要求投标人对所提交投标文件中不明确的内容进行澄清或说明，或者对细微偏差进行补正。评标委员会不接受投标人主动提出的澄清、说明或补正。</w:t>
      </w:r>
    </w:p>
    <w:p w14:paraId="0515BAC9">
      <w:pPr>
        <w:pStyle w:val="27"/>
        <w:tabs>
          <w:tab w:val="left" w:pos="1701"/>
        </w:tabs>
        <w:adjustRightInd w:val="0"/>
        <w:snapToGrid w:val="0"/>
        <w:spacing w:line="40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3.3.2</w:t>
      </w:r>
      <w:r>
        <w:rPr>
          <w:rFonts w:hint="eastAsia" w:ascii="宋体" w:hAnsi="宋体" w:eastAsia="宋体" w:cs="宋体"/>
          <w:color w:val="auto"/>
          <w:sz w:val="21"/>
          <w:szCs w:val="21"/>
          <w:highlight w:val="none"/>
        </w:rPr>
        <w:t>澄清、说明和补正不得改变投标文件的实质性内容（算术性错误修正的除外）。投标人的澄清、说明和补正属于投标文件的组成部分。</w:t>
      </w:r>
    </w:p>
    <w:p w14:paraId="62383E18">
      <w:pPr>
        <w:pStyle w:val="27"/>
        <w:tabs>
          <w:tab w:val="left" w:pos="1701"/>
        </w:tabs>
        <w:adjustRightInd w:val="0"/>
        <w:snapToGrid w:val="0"/>
        <w:spacing w:line="40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3.3.3</w:t>
      </w:r>
      <w:r>
        <w:rPr>
          <w:rFonts w:hint="eastAsia" w:ascii="宋体" w:hAnsi="宋体" w:eastAsia="宋体" w:cs="宋体"/>
          <w:color w:val="auto"/>
          <w:sz w:val="21"/>
          <w:szCs w:val="21"/>
          <w:highlight w:val="none"/>
        </w:rPr>
        <w:t>评标委员会对投标人提交的澄清、说明或补正有疑问的，可以要求投标人进一步澄清、说明或补正，直至满足评标委员会的要求。</w:t>
      </w:r>
    </w:p>
    <w:p w14:paraId="7707DDF3">
      <w:pPr>
        <w:pStyle w:val="5"/>
        <w:tabs>
          <w:tab w:val="left" w:pos="704"/>
        </w:tabs>
        <w:spacing w:line="400" w:lineRule="exact"/>
        <w:ind w:left="0" w:firstLine="0"/>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rPr>
        <w:t>3.4 评标结果</w:t>
      </w:r>
    </w:p>
    <w:p w14:paraId="41822954">
      <w:pPr>
        <w:pStyle w:val="27"/>
        <w:tabs>
          <w:tab w:val="left" w:pos="1641"/>
        </w:tabs>
        <w:adjustRightInd w:val="0"/>
        <w:snapToGrid w:val="0"/>
        <w:spacing w:line="400" w:lineRule="exact"/>
        <w:ind w:left="0"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lang w:val="en-US"/>
        </w:rPr>
        <w:t>3.4.1</w:t>
      </w:r>
      <w:r>
        <w:rPr>
          <w:rFonts w:hint="eastAsia" w:ascii="宋体" w:hAnsi="宋体" w:eastAsia="宋体" w:cs="宋体"/>
          <w:color w:val="auto"/>
          <w:spacing w:val="-4"/>
          <w:sz w:val="21"/>
          <w:szCs w:val="21"/>
          <w:highlight w:val="none"/>
        </w:rPr>
        <w:t>评标委员会按照得分由高到低的顺序推荐</w:t>
      </w:r>
      <w:r>
        <w:rPr>
          <w:rFonts w:hint="eastAsia" w:ascii="宋体" w:hAnsi="宋体" w:eastAsia="宋体" w:cs="宋体"/>
          <w:color w:val="auto"/>
          <w:sz w:val="21"/>
          <w:szCs w:val="21"/>
          <w:highlight w:val="none"/>
        </w:rPr>
        <w:t>3</w:t>
      </w:r>
      <w:r>
        <w:rPr>
          <w:rFonts w:hint="eastAsia" w:ascii="宋体" w:hAnsi="宋体" w:eastAsia="宋体" w:cs="宋体"/>
          <w:color w:val="auto"/>
          <w:spacing w:val="-60"/>
          <w:sz w:val="21"/>
          <w:szCs w:val="21"/>
          <w:highlight w:val="none"/>
        </w:rPr>
        <w:t xml:space="preserve"> </w:t>
      </w:r>
      <w:r>
        <w:rPr>
          <w:rFonts w:hint="eastAsia" w:ascii="宋体" w:hAnsi="宋体" w:eastAsia="宋体" w:cs="宋体"/>
          <w:color w:val="auto"/>
          <w:sz w:val="21"/>
          <w:szCs w:val="21"/>
          <w:highlight w:val="none"/>
        </w:rPr>
        <w:t>名中标候选人。</w:t>
      </w:r>
    </w:p>
    <w:p w14:paraId="04147EF1">
      <w:pPr>
        <w:pStyle w:val="27"/>
        <w:tabs>
          <w:tab w:val="left" w:pos="1761"/>
        </w:tabs>
        <w:adjustRightInd w:val="0"/>
        <w:snapToGrid w:val="0"/>
        <w:spacing w:line="420" w:lineRule="exact"/>
        <w:ind w:left="0" w:firstLine="420" w:firstLineChars="200"/>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rPr>
        <w:t>3.4.2</w:t>
      </w:r>
      <w:r>
        <w:rPr>
          <w:rFonts w:hint="eastAsia" w:ascii="宋体" w:hAnsi="宋体" w:eastAsia="宋体" w:cs="宋体"/>
          <w:color w:val="auto"/>
          <w:sz w:val="21"/>
          <w:szCs w:val="21"/>
          <w:highlight w:val="none"/>
        </w:rPr>
        <w:t>评标委员会完成评标后，应当向采购人提交书面评标报告。</w:t>
      </w:r>
      <w:bookmarkStart w:id="26" w:name="_bookmark12"/>
      <w:bookmarkEnd w:id="26"/>
    </w:p>
    <w:p w14:paraId="37D66C23">
      <w:pPr>
        <w:pStyle w:val="3"/>
        <w:tabs>
          <w:tab w:val="left" w:pos="4513"/>
        </w:tabs>
        <w:spacing w:before="55"/>
        <w:ind w:right="0"/>
        <w:rPr>
          <w:rFonts w:hint="eastAsia" w:ascii="宋体" w:hAnsi="宋体" w:eastAsia="宋体" w:cs="宋体"/>
          <w:color w:val="auto"/>
          <w:highlight w:val="none"/>
        </w:rPr>
      </w:pPr>
      <w:bookmarkStart w:id="27" w:name="_Toc31506"/>
      <w:bookmarkStart w:id="28" w:name="_Toc15842"/>
    </w:p>
    <w:p w14:paraId="1A23AD41">
      <w:pPr>
        <w:rPr>
          <w:rFonts w:hint="eastAsia" w:ascii="宋体" w:hAnsi="宋体" w:eastAsia="宋体" w:cs="宋体"/>
          <w:color w:val="auto"/>
          <w:highlight w:val="none"/>
        </w:rPr>
      </w:pPr>
    </w:p>
    <w:p w14:paraId="2C7A932F">
      <w:pPr>
        <w:rPr>
          <w:rFonts w:hint="eastAsia" w:ascii="宋体" w:hAnsi="宋体" w:eastAsia="宋体" w:cs="宋体"/>
          <w:color w:val="auto"/>
          <w:highlight w:val="none"/>
        </w:rPr>
      </w:pPr>
    </w:p>
    <w:p w14:paraId="27E9B7FD">
      <w:pPr>
        <w:rPr>
          <w:rFonts w:hint="eastAsia" w:ascii="宋体" w:hAnsi="宋体" w:eastAsia="宋体" w:cs="宋体"/>
          <w:color w:val="auto"/>
          <w:highlight w:val="none"/>
        </w:rPr>
      </w:pPr>
    </w:p>
    <w:p w14:paraId="2DEC1DCD">
      <w:pPr>
        <w:rPr>
          <w:rFonts w:hint="eastAsia" w:ascii="宋体" w:hAnsi="宋体" w:eastAsia="宋体" w:cs="宋体"/>
          <w:color w:val="auto"/>
          <w:highlight w:val="none"/>
        </w:rPr>
      </w:pPr>
    </w:p>
    <w:p w14:paraId="428D4D40">
      <w:pPr>
        <w:rPr>
          <w:rFonts w:hint="eastAsia" w:ascii="宋体" w:hAnsi="宋体" w:eastAsia="宋体" w:cs="宋体"/>
          <w:color w:val="auto"/>
          <w:highlight w:val="none"/>
        </w:rPr>
      </w:pPr>
    </w:p>
    <w:p w14:paraId="55CFE043">
      <w:pPr>
        <w:rPr>
          <w:rFonts w:hint="eastAsia" w:ascii="宋体" w:hAnsi="宋体" w:eastAsia="宋体" w:cs="宋体"/>
          <w:color w:val="auto"/>
          <w:highlight w:val="none"/>
        </w:rPr>
      </w:pPr>
    </w:p>
    <w:p w14:paraId="3545353E">
      <w:pPr>
        <w:rPr>
          <w:rFonts w:hint="eastAsia" w:ascii="宋体" w:hAnsi="宋体" w:eastAsia="宋体" w:cs="宋体"/>
          <w:color w:val="auto"/>
          <w:highlight w:val="none"/>
        </w:rPr>
      </w:pPr>
    </w:p>
    <w:p w14:paraId="378B5BB0">
      <w:pPr>
        <w:rPr>
          <w:rFonts w:hint="eastAsia" w:ascii="宋体" w:hAnsi="宋体" w:eastAsia="宋体" w:cs="宋体"/>
          <w:color w:val="auto"/>
          <w:highlight w:val="none"/>
        </w:rPr>
      </w:pPr>
    </w:p>
    <w:p w14:paraId="6D45C88B">
      <w:pPr>
        <w:rPr>
          <w:rFonts w:hint="eastAsia" w:ascii="宋体" w:hAnsi="宋体" w:eastAsia="宋体" w:cs="宋体"/>
          <w:color w:val="auto"/>
          <w:highlight w:val="none"/>
        </w:rPr>
      </w:pPr>
    </w:p>
    <w:p w14:paraId="7827E74A">
      <w:pPr>
        <w:rPr>
          <w:rFonts w:hint="eastAsia" w:ascii="宋体" w:hAnsi="宋体" w:eastAsia="宋体" w:cs="宋体"/>
          <w:color w:val="auto"/>
          <w:highlight w:val="none"/>
        </w:rPr>
      </w:pPr>
    </w:p>
    <w:p w14:paraId="6F2DA986">
      <w:pPr>
        <w:rPr>
          <w:rFonts w:hint="eastAsia" w:ascii="宋体" w:hAnsi="宋体" w:eastAsia="宋体" w:cs="宋体"/>
          <w:color w:val="auto"/>
          <w:highlight w:val="none"/>
        </w:rPr>
      </w:pPr>
    </w:p>
    <w:p w14:paraId="2D65B3A2">
      <w:pPr>
        <w:rPr>
          <w:rFonts w:hint="eastAsia" w:ascii="宋体" w:hAnsi="宋体" w:eastAsia="宋体" w:cs="宋体"/>
          <w:color w:val="auto"/>
          <w:highlight w:val="none"/>
        </w:rPr>
      </w:pPr>
    </w:p>
    <w:p w14:paraId="1939026B">
      <w:pPr>
        <w:rPr>
          <w:rFonts w:hint="eastAsia" w:ascii="宋体" w:hAnsi="宋体" w:eastAsia="宋体" w:cs="宋体"/>
          <w:color w:val="auto"/>
          <w:highlight w:val="none"/>
        </w:rPr>
      </w:pPr>
    </w:p>
    <w:p w14:paraId="52ABFBB4">
      <w:pPr>
        <w:rPr>
          <w:rFonts w:hint="eastAsia" w:ascii="宋体" w:hAnsi="宋体" w:eastAsia="宋体" w:cs="宋体"/>
          <w:color w:val="auto"/>
          <w:highlight w:val="none"/>
        </w:rPr>
      </w:pPr>
    </w:p>
    <w:p w14:paraId="7B7CF5EC">
      <w:pPr>
        <w:pStyle w:val="3"/>
        <w:tabs>
          <w:tab w:val="left" w:pos="4513"/>
        </w:tabs>
        <w:spacing w:before="55"/>
        <w:ind w:right="0"/>
        <w:rPr>
          <w:rFonts w:hint="eastAsia" w:ascii="宋体" w:hAnsi="宋体" w:eastAsia="宋体" w:cs="宋体"/>
          <w:color w:val="auto"/>
          <w:highlight w:val="none"/>
        </w:rPr>
      </w:pPr>
      <w:r>
        <w:rPr>
          <w:rFonts w:hint="eastAsia" w:ascii="宋体" w:hAnsi="宋体" w:eastAsia="宋体" w:cs="宋体"/>
          <w:color w:val="auto"/>
          <w:highlight w:val="none"/>
        </w:rPr>
        <w:t>第四章</w:t>
      </w:r>
      <w:r>
        <w:rPr>
          <w:rFonts w:hint="eastAsia" w:ascii="宋体" w:hAnsi="宋体" w:eastAsia="宋体" w:cs="宋体"/>
          <w:color w:val="auto"/>
          <w:highlight w:val="none"/>
          <w:lang w:val="en-US"/>
        </w:rPr>
        <w:t xml:space="preserve"> </w:t>
      </w:r>
      <w:r>
        <w:rPr>
          <w:rFonts w:hint="eastAsia" w:ascii="宋体" w:hAnsi="宋体" w:eastAsia="宋体" w:cs="宋体"/>
          <w:color w:val="auto"/>
          <w:highlight w:val="none"/>
        </w:rPr>
        <w:t>合同条款及格式</w:t>
      </w:r>
      <w:bookmarkEnd w:id="24"/>
      <w:bookmarkEnd w:id="25"/>
      <w:bookmarkEnd w:id="27"/>
      <w:bookmarkEnd w:id="28"/>
    </w:p>
    <w:p w14:paraId="6FA71946">
      <w:pPr>
        <w:spacing w:line="5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(参考模板）</w:t>
      </w:r>
    </w:p>
    <w:p w14:paraId="32D75E82">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平顶山学院</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项目合同</w:t>
      </w:r>
    </w:p>
    <w:p w14:paraId="09E7C449">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w:t>
      </w:r>
      <w:r>
        <w:rPr>
          <w:rFonts w:hint="eastAsia" w:ascii="宋体" w:hAnsi="宋体" w:eastAsia="宋体" w:cs="宋体"/>
          <w:b/>
          <w:bCs/>
          <w:color w:val="000000"/>
          <w:sz w:val="24"/>
          <w:szCs w:val="24"/>
          <w:highlight w:val="none"/>
          <w:u w:val="single"/>
        </w:rPr>
        <w:t>平顶山学院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（采购方）</w:t>
      </w:r>
    </w:p>
    <w:p w14:paraId="4F540A4E">
      <w:pPr>
        <w:keepNext w:val="0"/>
        <w:keepLines w:val="0"/>
        <w:pageBreakBefore w:val="0"/>
        <w:widowControl w:val="0"/>
        <w:kinsoku/>
        <w:wordWrap/>
        <w:overflowPunct/>
        <w:topLinePunct w:val="0"/>
        <w:bidi w:val="0"/>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（供货方）</w:t>
      </w:r>
    </w:p>
    <w:p w14:paraId="58B58F80">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经过</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，甲乙双方充分协商，特订立本合同，以便共同遵守。</w:t>
      </w:r>
    </w:p>
    <w:p w14:paraId="56F630F0">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一、合同标的 </w:t>
      </w:r>
    </w:p>
    <w:p w14:paraId="7D30E80E">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双方根据招标文件及其补充文件、成交供应商的投标响应文件及其澄清文件和甲方政府采购项目明细表等确定合同标的（清单附后，甲乙双方须在清单上盖章）。</w:t>
      </w:r>
    </w:p>
    <w:p w14:paraId="0598F4AE">
      <w:pPr>
        <w:keepNext w:val="0"/>
        <w:keepLines w:val="0"/>
        <w:pageBreakBefore w:val="0"/>
        <w:widowControl w:val="0"/>
        <w:kinsoku/>
        <w:wordWrap/>
        <w:overflowPunct/>
        <w:topLinePunct w:val="0"/>
        <w:bidi w:val="0"/>
        <w:adjustRightInd w:val="0"/>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二、合同价格</w:t>
      </w:r>
    </w:p>
    <w:p w14:paraId="3508B7C7">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大写人民币：</w:t>
      </w:r>
      <w:r>
        <w:rPr>
          <w:rFonts w:hint="eastAsia" w:ascii="宋体" w:hAnsi="宋体" w:eastAsia="宋体" w:cs="宋体"/>
          <w:b/>
          <w:color w:val="000000"/>
          <w:sz w:val="24"/>
          <w:szCs w:val="24"/>
          <w:highlight w:val="none"/>
          <w:u w:val="single"/>
        </w:rPr>
        <w:t xml:space="preserve">          元整</w:t>
      </w:r>
    </w:p>
    <w:p w14:paraId="4A84D2F3">
      <w:pPr>
        <w:keepNext w:val="0"/>
        <w:keepLines w:val="0"/>
        <w:pageBreakBefore w:val="0"/>
        <w:widowControl w:val="0"/>
        <w:kinsoku/>
        <w:wordWrap/>
        <w:overflowPunct/>
        <w:topLinePunct w:val="0"/>
        <w:bidi w:val="0"/>
        <w:adjustRightInd w:val="0"/>
        <w:snapToGrid w:val="0"/>
        <w:spacing w:line="360" w:lineRule="auto"/>
        <w:ind w:firstLine="480" w:firstLineChars="200"/>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小写人民币</w:t>
      </w: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u w:val="single"/>
        </w:rPr>
        <w:t xml:space="preserve">¥             </w:t>
      </w:r>
    </w:p>
    <w:p w14:paraId="1DE94FD2">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三、交货时间及地点</w:t>
      </w:r>
    </w:p>
    <w:p w14:paraId="15174483">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1.乙方在签订合同后</w:t>
      </w:r>
      <w:r>
        <w:rPr>
          <w:rFonts w:hint="eastAsia" w:ascii="宋体" w:hAnsi="宋体" w:eastAsia="宋体" w:cs="宋体"/>
          <w:color w:val="000000"/>
          <w:sz w:val="24"/>
          <w:szCs w:val="24"/>
          <w:highlight w:val="none"/>
          <w:lang w:val="en-US" w:eastAsia="zh-CN"/>
        </w:rPr>
        <w:t>N</w:t>
      </w:r>
      <w:r>
        <w:rPr>
          <w:rFonts w:hint="eastAsia" w:ascii="宋体" w:hAnsi="宋体" w:eastAsia="宋体" w:cs="宋体"/>
          <w:color w:val="000000"/>
          <w:sz w:val="24"/>
          <w:szCs w:val="24"/>
          <w:highlight w:val="none"/>
        </w:rPr>
        <w:t>日历天内按照合同约定产品的功能、数量及甲方的需求送达甲方指定地点安装、调试并培训完毕，完成</w:t>
      </w:r>
      <w:r>
        <w:rPr>
          <w:rFonts w:hint="eastAsia" w:ascii="宋体" w:hAnsi="宋体" w:eastAsia="宋体" w:cs="宋体"/>
          <w:color w:val="000000"/>
          <w:sz w:val="24"/>
          <w:szCs w:val="24"/>
          <w:highlight w:val="none"/>
          <w:lang w:eastAsia="zh-CN"/>
        </w:rPr>
        <w:t>安装、</w:t>
      </w:r>
      <w:r>
        <w:rPr>
          <w:rFonts w:hint="eastAsia" w:ascii="宋体" w:hAnsi="宋体" w:eastAsia="宋体" w:cs="宋体"/>
          <w:color w:val="000000"/>
          <w:sz w:val="24"/>
          <w:szCs w:val="24"/>
          <w:highlight w:val="none"/>
        </w:rPr>
        <w:t>调试时乙方应提前与甲方联系。</w:t>
      </w:r>
    </w:p>
    <w:p w14:paraId="60E28F5A">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2.乙方自定运输方式，自付费用自担风险将合同标的送达甲方指定地点并完成安装调试。</w:t>
      </w:r>
    </w:p>
    <w:p w14:paraId="751F6000">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设备安装过程中的安装风险由乙方承担；</w:t>
      </w:r>
    </w:p>
    <w:p w14:paraId="33DD7C0B">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本项目价格包含设备费用及安装过程中所需的配套材料、安装施工和垃圾清运等费用。</w:t>
      </w:r>
    </w:p>
    <w:p w14:paraId="003D4727">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四、技术规格</w:t>
      </w:r>
    </w:p>
    <w:p w14:paraId="0B6B9771">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1.乙方依据甲方招标技术要求，并满足标的清单中的规定，为甲方开发软件产品，乙方提供的产品的技术规格有国家标准的应符</w:t>
      </w:r>
      <w:r>
        <w:rPr>
          <w:rFonts w:hint="eastAsia" w:ascii="宋体" w:hAnsi="宋体" w:eastAsia="宋体" w:cs="宋体"/>
          <w:color w:val="000000"/>
          <w:sz w:val="24"/>
          <w:szCs w:val="24"/>
          <w:highlight w:val="none"/>
          <w:lang w:val="en-US" w:eastAsia="zh-CN"/>
        </w:rPr>
        <w:t>合</w:t>
      </w:r>
      <w:r>
        <w:rPr>
          <w:rFonts w:hint="eastAsia" w:ascii="宋体" w:hAnsi="宋体" w:eastAsia="宋体" w:cs="宋体"/>
          <w:color w:val="000000"/>
          <w:sz w:val="24"/>
          <w:szCs w:val="24"/>
          <w:highlight w:val="none"/>
        </w:rPr>
        <w:t>现行国家标准，无国家标准的应符合部颁标准或行业标准，依据甲方招标技术要求，满足招标响应文件中的参数偏离承诺，满足甲方正常教学科研使用需求。</w:t>
      </w:r>
    </w:p>
    <w:p w14:paraId="4EE4B59B">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2.乙方保证提供的产品是最新且稳定的正品，软件安装符合有关标准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交付材料应包含</w:t>
      </w:r>
      <w:r>
        <w:rPr>
          <w:rFonts w:hint="eastAsia" w:ascii="宋体" w:hAnsi="宋体" w:eastAsia="宋体" w:cs="宋体"/>
          <w:color w:val="000000"/>
          <w:sz w:val="24"/>
          <w:szCs w:val="24"/>
          <w:highlight w:val="none"/>
          <w:lang w:eastAsia="zh-CN"/>
        </w:rPr>
        <w:t>产品</w:t>
      </w:r>
      <w:r>
        <w:rPr>
          <w:rFonts w:hint="eastAsia" w:ascii="宋体" w:hAnsi="宋体" w:eastAsia="宋体" w:cs="宋体"/>
          <w:color w:val="000000"/>
          <w:sz w:val="24"/>
          <w:szCs w:val="24"/>
          <w:highlight w:val="none"/>
        </w:rPr>
        <w:t>清</w:t>
      </w:r>
      <w:r>
        <w:rPr>
          <w:rFonts w:hint="eastAsia" w:ascii="宋体" w:hAnsi="宋体" w:eastAsia="宋体" w:cs="宋体"/>
          <w:sz w:val="24"/>
          <w:szCs w:val="24"/>
          <w:highlight w:val="none"/>
        </w:rPr>
        <w:t>单、软件安装介质和安装指南、软件著</w:t>
      </w:r>
      <w:r>
        <w:rPr>
          <w:rFonts w:hint="eastAsia" w:ascii="宋体" w:hAnsi="宋体" w:eastAsia="宋体" w:cs="宋体"/>
          <w:color w:val="000000"/>
          <w:sz w:val="24"/>
          <w:szCs w:val="24"/>
          <w:highlight w:val="none"/>
        </w:rPr>
        <w:t>作权证书、质量合格证、保修卡、软件操作和使用说明书等一系列保证产品质量和正常使用的全套中文使用</w:t>
      </w:r>
      <w:r>
        <w:rPr>
          <w:rFonts w:hint="eastAsia" w:ascii="宋体" w:hAnsi="宋体" w:eastAsia="宋体" w:cs="宋体"/>
          <w:color w:val="000000"/>
          <w:sz w:val="24"/>
          <w:szCs w:val="24"/>
          <w:highlight w:val="none"/>
          <w:lang w:eastAsia="zh-CN"/>
        </w:rPr>
        <w:t>及</w:t>
      </w:r>
      <w:r>
        <w:rPr>
          <w:rFonts w:hint="eastAsia" w:ascii="宋体" w:hAnsi="宋体" w:eastAsia="宋体" w:cs="宋体"/>
          <w:color w:val="000000"/>
          <w:sz w:val="24"/>
          <w:szCs w:val="24"/>
          <w:highlight w:val="none"/>
        </w:rPr>
        <w:t>维护手册。</w:t>
      </w:r>
    </w:p>
    <w:p w14:paraId="42BECDBD">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3.根据应用系统的业务特点及学校需求，建立应用系统全面指标化的可视化数据分析大屏，能够根据不同角色展示不同的数据内容，且支持多级数据下钻特性。</w:t>
      </w:r>
    </w:p>
    <w:p w14:paraId="7C497F20">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五、施工要求</w:t>
      </w:r>
    </w:p>
    <w:p w14:paraId="0ADCE09B">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本项目属交钥匙工程，乙方负责甲方</w:t>
      </w:r>
      <w:r>
        <w:rPr>
          <w:rFonts w:hint="eastAsia" w:ascii="宋体" w:hAnsi="宋体" w:eastAsia="宋体" w:cs="宋体"/>
          <w:color w:val="000000"/>
          <w:sz w:val="24"/>
          <w:szCs w:val="24"/>
          <w:highlight w:val="none"/>
          <w:lang w:val="en-US" w:eastAsia="zh-CN"/>
        </w:rPr>
        <w:t>相关实验室</w:t>
      </w:r>
      <w:r>
        <w:rPr>
          <w:rFonts w:hint="eastAsia" w:ascii="宋体" w:hAnsi="宋体" w:eastAsia="宋体" w:cs="宋体"/>
          <w:color w:val="000000"/>
          <w:sz w:val="24"/>
          <w:szCs w:val="24"/>
          <w:highlight w:val="none"/>
        </w:rPr>
        <w:t>的环境改造。项目施工辅材辅料应按以下相关要求提供：</w:t>
      </w:r>
    </w:p>
    <w:p w14:paraId="55E380F1">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1.所有电源线均为绝缘阻燃包覆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铜芯。小功率</w:t>
      </w:r>
      <w:r>
        <w:rPr>
          <w:rFonts w:hint="eastAsia" w:ascii="宋体" w:hAnsi="宋体" w:eastAsia="宋体" w:cs="宋体"/>
          <w:color w:val="000000"/>
          <w:sz w:val="24"/>
          <w:szCs w:val="24"/>
          <w:highlight w:val="none"/>
          <w:lang w:eastAsia="zh-CN"/>
        </w:rPr>
        <w:t>线</w:t>
      </w:r>
      <w:r>
        <w:rPr>
          <w:rFonts w:hint="eastAsia" w:ascii="宋体" w:hAnsi="宋体" w:eastAsia="宋体" w:cs="宋体"/>
          <w:color w:val="000000"/>
          <w:sz w:val="24"/>
          <w:szCs w:val="24"/>
          <w:highlight w:val="none"/>
        </w:rPr>
        <w:t>芯不低于2平方铜线、</w:t>
      </w:r>
      <w:r>
        <w:rPr>
          <w:rFonts w:hint="eastAsia" w:ascii="宋体" w:hAnsi="宋体" w:eastAsia="宋体" w:cs="宋体"/>
          <w:color w:val="000000"/>
          <w:sz w:val="24"/>
          <w:szCs w:val="24"/>
          <w:highlight w:val="none"/>
          <w:lang w:eastAsia="zh-CN"/>
        </w:rPr>
        <w:t>单</w:t>
      </w:r>
      <w:r>
        <w:rPr>
          <w:rFonts w:hint="eastAsia" w:ascii="宋体" w:hAnsi="宋体" w:eastAsia="宋体" w:cs="宋体"/>
          <w:color w:val="000000"/>
          <w:sz w:val="24"/>
          <w:szCs w:val="24"/>
          <w:highlight w:val="none"/>
        </w:rPr>
        <w:t>芯；大功率</w:t>
      </w:r>
      <w:r>
        <w:rPr>
          <w:rFonts w:hint="eastAsia" w:ascii="宋体" w:hAnsi="宋体" w:eastAsia="宋体" w:cs="宋体"/>
          <w:color w:val="000000"/>
          <w:sz w:val="24"/>
          <w:szCs w:val="24"/>
          <w:highlight w:val="none"/>
          <w:lang w:eastAsia="zh-CN"/>
        </w:rPr>
        <w:t>线</w:t>
      </w:r>
      <w:r>
        <w:rPr>
          <w:rFonts w:hint="eastAsia" w:ascii="宋体" w:hAnsi="宋体" w:eastAsia="宋体" w:cs="宋体"/>
          <w:color w:val="000000"/>
          <w:sz w:val="24"/>
          <w:szCs w:val="24"/>
          <w:highlight w:val="none"/>
        </w:rPr>
        <w:t>芯根据实际情况使用</w:t>
      </w:r>
      <w:r>
        <w:rPr>
          <w:rFonts w:hint="eastAsia" w:ascii="宋体" w:hAnsi="宋体" w:eastAsia="宋体" w:cs="宋体"/>
          <w:color w:val="000000"/>
          <w:sz w:val="24"/>
          <w:szCs w:val="24"/>
          <w:highlight w:val="none"/>
          <w:lang w:val="en-US" w:eastAsia="zh-CN"/>
        </w:rPr>
        <w:t>不低于</w:t>
      </w:r>
      <w:r>
        <w:rPr>
          <w:rFonts w:hint="eastAsia" w:ascii="宋体" w:hAnsi="宋体" w:eastAsia="宋体" w:cs="宋体"/>
          <w:color w:val="000000"/>
          <w:sz w:val="24"/>
          <w:szCs w:val="24"/>
          <w:highlight w:val="none"/>
        </w:rPr>
        <w:t>6平方</w:t>
      </w:r>
      <w:r>
        <w:rPr>
          <w:rFonts w:hint="eastAsia" w:ascii="宋体" w:hAnsi="宋体" w:eastAsia="宋体" w:cs="宋体"/>
          <w:color w:val="000000"/>
          <w:sz w:val="24"/>
          <w:szCs w:val="24"/>
          <w:highlight w:val="none"/>
          <w:lang w:eastAsia="zh-CN"/>
        </w:rPr>
        <w:t>单</w:t>
      </w:r>
      <w:r>
        <w:rPr>
          <w:rFonts w:hint="eastAsia" w:ascii="宋体" w:hAnsi="宋体" w:eastAsia="宋体" w:cs="宋体"/>
          <w:color w:val="000000"/>
          <w:sz w:val="24"/>
          <w:szCs w:val="24"/>
          <w:highlight w:val="none"/>
        </w:rPr>
        <w:t>芯铜线；超大功率使用多股铜芯电缆；电源线不允许通过接线延长。</w:t>
      </w:r>
    </w:p>
    <w:p w14:paraId="0C2CD1AB">
      <w:pPr>
        <w:keepNext w:val="0"/>
        <w:keepLines w:val="0"/>
        <w:pageBreakBefore w:val="0"/>
        <w:widowControl w:val="0"/>
        <w:kinsoku/>
        <w:wordWrap/>
        <w:overflowPunct/>
        <w:topLinePunct w:val="0"/>
        <w:autoSpaceDE/>
        <w:autoSpaceDN/>
        <w:bidi w:val="0"/>
        <w:adjustRightInd w:val="0"/>
        <w:snapToGrid w:val="0"/>
        <w:spacing w:line="360" w:lineRule="auto"/>
        <w:ind w:firstLine="55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2.墙插、排插等辅材外壳为绝缘阻燃材料，内置导电接触金属片均为铜质；地插等类似辅材均为绝缘防水型。所有墙插、排插等要求均不低于国家标准</w:t>
      </w:r>
      <w:r>
        <w:rPr>
          <w:rFonts w:hint="eastAsia" w:ascii="宋体" w:hAnsi="宋体" w:eastAsia="宋体" w:cs="宋体"/>
          <w:color w:val="000000"/>
          <w:sz w:val="24"/>
          <w:szCs w:val="24"/>
          <w:highlight w:val="none"/>
          <w:lang w:val="en-US" w:eastAsia="zh-CN"/>
        </w:rPr>
        <w:t>(GB 1002-2024)</w:t>
      </w:r>
      <w:r>
        <w:rPr>
          <w:rFonts w:hint="eastAsia" w:ascii="宋体" w:hAnsi="宋体" w:eastAsia="宋体" w:cs="宋体"/>
          <w:color w:val="000000"/>
          <w:sz w:val="24"/>
          <w:szCs w:val="24"/>
          <w:highlight w:val="none"/>
        </w:rPr>
        <w:t>或行业标准。</w:t>
      </w:r>
    </w:p>
    <w:p w14:paraId="545427B2">
      <w:pPr>
        <w:keepNext w:val="0"/>
        <w:keepLines w:val="0"/>
        <w:pageBreakBefore w:val="0"/>
        <w:widowControl w:val="0"/>
        <w:kinsoku/>
        <w:wordWrap/>
        <w:overflowPunct/>
        <w:topLinePunct w:val="0"/>
        <w:autoSpaceDE/>
        <w:autoSpaceDN/>
        <w:bidi w:val="0"/>
        <w:adjustRightInd w:val="0"/>
        <w:snapToGrid w:val="0"/>
        <w:spacing w:line="360" w:lineRule="auto"/>
        <w:ind w:firstLine="55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3.所有网线不低于国标六类无氧铜网线。</w:t>
      </w:r>
    </w:p>
    <w:p w14:paraId="6121F902">
      <w:pPr>
        <w:keepNext w:val="0"/>
        <w:keepLines w:val="0"/>
        <w:pageBreakBefore w:val="0"/>
        <w:widowControl w:val="0"/>
        <w:kinsoku/>
        <w:wordWrap/>
        <w:overflowPunct/>
        <w:topLinePunct w:val="0"/>
        <w:autoSpaceDE/>
        <w:autoSpaceDN/>
        <w:bidi w:val="0"/>
        <w:adjustRightInd w:val="0"/>
        <w:snapToGrid w:val="0"/>
        <w:spacing w:line="360" w:lineRule="auto"/>
        <w:ind w:firstLine="55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4.所有穿线管、屏蔽管等辅材要求均不低于国家或行业标准。</w:t>
      </w:r>
    </w:p>
    <w:p w14:paraId="7A535724">
      <w:pPr>
        <w:keepNext w:val="0"/>
        <w:keepLines w:val="0"/>
        <w:pageBreakBefore w:val="0"/>
        <w:widowControl w:val="0"/>
        <w:kinsoku/>
        <w:wordWrap/>
        <w:overflowPunct/>
        <w:topLinePunct w:val="0"/>
        <w:autoSpaceDE/>
        <w:autoSpaceDN/>
        <w:bidi w:val="0"/>
        <w:adjustRightInd w:val="0"/>
        <w:snapToGrid w:val="0"/>
        <w:spacing w:line="360" w:lineRule="auto"/>
        <w:ind w:firstLine="55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5.HDMI高清线为双屏蔽且信号传输速率不低于4K/30Hz，超过25米时使用光纤HDMI高清线。</w:t>
      </w:r>
    </w:p>
    <w:p w14:paraId="50C5D7FD">
      <w:pPr>
        <w:keepNext w:val="0"/>
        <w:keepLines w:val="0"/>
        <w:pageBreakBefore w:val="0"/>
        <w:widowControl w:val="0"/>
        <w:kinsoku/>
        <w:wordWrap/>
        <w:overflowPunct/>
        <w:topLinePunct w:val="0"/>
        <w:autoSpaceDE/>
        <w:autoSpaceDN/>
        <w:bidi w:val="0"/>
        <w:adjustRightInd w:val="0"/>
        <w:snapToGrid w:val="0"/>
        <w:spacing w:line="360" w:lineRule="auto"/>
        <w:ind w:firstLine="55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6.所有信号线、外置电源线均要穿管安装。</w:t>
      </w:r>
    </w:p>
    <w:p w14:paraId="553BC423">
      <w:pPr>
        <w:keepNext w:val="0"/>
        <w:keepLines w:val="0"/>
        <w:pageBreakBefore w:val="0"/>
        <w:widowControl w:val="0"/>
        <w:kinsoku/>
        <w:wordWrap/>
        <w:overflowPunct/>
        <w:topLinePunct w:val="0"/>
        <w:autoSpaceDE/>
        <w:autoSpaceDN/>
        <w:bidi w:val="0"/>
        <w:adjustRightInd w:val="0"/>
        <w:snapToGrid w:val="0"/>
        <w:spacing w:line="360" w:lineRule="auto"/>
        <w:ind w:firstLine="55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7.所有音频线等相关线材均需穿管，管材必须为绝缘电磁屏蔽管。</w:t>
      </w:r>
    </w:p>
    <w:p w14:paraId="4D8D375A">
      <w:pPr>
        <w:keepNext w:val="0"/>
        <w:keepLines w:val="0"/>
        <w:pageBreakBefore w:val="0"/>
        <w:widowControl w:val="0"/>
        <w:kinsoku/>
        <w:wordWrap/>
        <w:overflowPunct/>
        <w:topLinePunct w:val="0"/>
        <w:autoSpaceDE/>
        <w:autoSpaceDN/>
        <w:bidi w:val="0"/>
        <w:adjustRightInd w:val="0"/>
        <w:snapToGrid w:val="0"/>
        <w:spacing w:line="360" w:lineRule="auto"/>
        <w:ind w:firstLine="55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8.所有线材、辅材入场施工前，</w:t>
      </w:r>
      <w:r>
        <w:rPr>
          <w:rFonts w:hint="eastAsia" w:ascii="宋体" w:hAnsi="宋体" w:eastAsia="宋体" w:cs="宋体"/>
          <w:color w:val="000000"/>
          <w:sz w:val="24"/>
          <w:szCs w:val="24"/>
          <w:highlight w:val="none"/>
          <w:lang w:eastAsia="zh-CN"/>
        </w:rPr>
        <w:t>须经</w:t>
      </w:r>
      <w:r>
        <w:rPr>
          <w:rFonts w:hint="eastAsia" w:ascii="宋体" w:hAnsi="宋体" w:eastAsia="宋体" w:cs="宋体"/>
          <w:color w:val="000000"/>
          <w:sz w:val="24"/>
          <w:szCs w:val="24"/>
          <w:highlight w:val="none"/>
        </w:rPr>
        <w:t>甲方确认后方可施工</w:t>
      </w:r>
      <w:r>
        <w:rPr>
          <w:rFonts w:hint="eastAsia" w:ascii="宋体" w:hAnsi="宋体" w:eastAsia="宋体" w:cs="宋体"/>
          <w:color w:val="000000"/>
          <w:sz w:val="24"/>
          <w:szCs w:val="24"/>
          <w:highlight w:val="none"/>
          <w:lang w:eastAsia="zh-CN"/>
        </w:rPr>
        <w:t>；所有用电设备无明确要求不接地的需要全部接地</w:t>
      </w:r>
      <w:r>
        <w:rPr>
          <w:rFonts w:hint="eastAsia" w:ascii="宋体" w:hAnsi="宋体" w:eastAsia="宋体" w:cs="宋体"/>
          <w:color w:val="000000"/>
          <w:sz w:val="24"/>
          <w:szCs w:val="24"/>
          <w:highlight w:val="none"/>
        </w:rPr>
        <w:t>。</w:t>
      </w:r>
    </w:p>
    <w:p w14:paraId="1C2974E5">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9.乙方负责清理因施工产生的垃圾至市政指定清运点或学校方圆5公里之外合法倾倒点。</w:t>
      </w:r>
    </w:p>
    <w:p w14:paraId="5BD63FBA">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10.所用材料应不低于国家规定环保标准（无国家标准的应不低于行业相关环保），且无毒无味。</w:t>
      </w:r>
    </w:p>
    <w:p w14:paraId="1FAFCC31">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、附件、配件</w:t>
      </w:r>
    </w:p>
    <w:p w14:paraId="2C497D4B">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按产品所附使用说明书及清单执行；包括在促销等特别期间承诺提供</w:t>
      </w:r>
      <w:r>
        <w:rPr>
          <w:rFonts w:hint="eastAsia" w:ascii="宋体" w:hAnsi="宋体" w:eastAsia="宋体" w:cs="宋体"/>
          <w:sz w:val="24"/>
          <w:szCs w:val="24"/>
          <w:highlight w:val="none"/>
        </w:rPr>
        <w:t>的附件、配件。</w:t>
      </w:r>
    </w:p>
    <w:p w14:paraId="2E9ED2AB">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七</w:t>
      </w:r>
      <w:r>
        <w:rPr>
          <w:rFonts w:hint="eastAsia" w:ascii="宋体" w:hAnsi="宋体" w:eastAsia="宋体" w:cs="宋体"/>
          <w:b/>
          <w:color w:val="000000"/>
          <w:sz w:val="24"/>
          <w:szCs w:val="24"/>
          <w:highlight w:val="none"/>
        </w:rPr>
        <w:t>、售后服务</w:t>
      </w:r>
    </w:p>
    <w:p w14:paraId="5ACEA253">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1.质量：质保期</w:t>
      </w:r>
      <w:r>
        <w:rPr>
          <w:rFonts w:hint="eastAsia" w:ascii="宋体" w:hAnsi="宋体" w:eastAsia="宋体" w:cs="宋体"/>
          <w:b/>
          <w:bCs/>
          <w:color w:val="000000"/>
          <w:sz w:val="24"/>
          <w:szCs w:val="24"/>
          <w:highlight w:val="none"/>
        </w:rPr>
        <w:t>N</w:t>
      </w:r>
      <w:r>
        <w:rPr>
          <w:rFonts w:hint="eastAsia" w:ascii="宋体" w:hAnsi="宋体" w:eastAsia="宋体" w:cs="宋体"/>
          <w:color w:val="000000"/>
          <w:sz w:val="24"/>
          <w:szCs w:val="24"/>
          <w:highlight w:val="none"/>
        </w:rPr>
        <w:t>年，自验收合格签字之日起计算。</w:t>
      </w:r>
      <w:r>
        <w:rPr>
          <w:rFonts w:hint="eastAsia" w:ascii="宋体" w:hAnsi="宋体" w:eastAsia="宋体" w:cs="宋体"/>
          <w:sz w:val="24"/>
          <w:szCs w:val="24"/>
          <w:highlight w:val="none"/>
        </w:rPr>
        <w:t>质保期内乙方</w:t>
      </w:r>
      <w:r>
        <w:rPr>
          <w:rFonts w:hint="eastAsia" w:ascii="宋体" w:hAnsi="宋体" w:eastAsia="宋体" w:cs="宋体"/>
          <w:color w:val="000000"/>
          <w:sz w:val="24"/>
          <w:szCs w:val="24"/>
          <w:highlight w:val="none"/>
        </w:rPr>
        <w:t>免费维修、更换设备零配件，</w:t>
      </w:r>
      <w:r>
        <w:rPr>
          <w:rFonts w:hint="eastAsia" w:ascii="宋体" w:hAnsi="宋体" w:eastAsia="宋体" w:cs="宋体"/>
          <w:sz w:val="24"/>
          <w:szCs w:val="24"/>
          <w:highlight w:val="none"/>
        </w:rPr>
        <w:t>免费对软件维护（修复、优化、升级、调试）、二次开发等，且保证维护期间软件能够正常使用；每学期不少于1次</w:t>
      </w:r>
      <w:r>
        <w:rPr>
          <w:rFonts w:hint="eastAsia" w:ascii="宋体" w:hAnsi="宋体" w:eastAsia="宋体" w:cs="宋体"/>
          <w:sz w:val="24"/>
          <w:szCs w:val="24"/>
          <w:highlight w:val="none"/>
          <w:lang w:val="en-US" w:eastAsia="zh-CN"/>
        </w:rPr>
        <w:t>主动</w:t>
      </w:r>
      <w:r>
        <w:rPr>
          <w:rFonts w:hint="eastAsia" w:ascii="宋体" w:hAnsi="宋体" w:eastAsia="宋体" w:cs="宋体"/>
          <w:sz w:val="24"/>
          <w:szCs w:val="24"/>
          <w:highlight w:val="none"/>
        </w:rPr>
        <w:t>上门进行技术支持与维护。未按约定完成上门进行技术支持与维护义务的，质保期相应顺延，缺一次顺延六个月，以此类推，顺延期间乙方照常承担全部质保责任。质保期外</w:t>
      </w:r>
      <w:r>
        <w:rPr>
          <w:rFonts w:hint="eastAsia" w:ascii="宋体" w:hAnsi="宋体" w:eastAsia="宋体" w:cs="宋体"/>
          <w:color w:val="000000"/>
          <w:sz w:val="24"/>
          <w:szCs w:val="24"/>
          <w:highlight w:val="none"/>
        </w:rPr>
        <w:t>维修只收取零配件成本费用，不收维修费；</w:t>
      </w:r>
      <w:r>
        <w:rPr>
          <w:rFonts w:hint="eastAsia" w:ascii="宋体" w:hAnsi="宋体" w:eastAsia="宋体" w:cs="宋体"/>
          <w:sz w:val="24"/>
          <w:szCs w:val="24"/>
          <w:highlight w:val="none"/>
        </w:rPr>
        <w:t>免费对软件维护（含功能错误修正或修改、修复系统安全漏洞），免费提供电话及网上在线服务和技术支持。软件终身免费升级。终身免费</w:t>
      </w:r>
      <w:r>
        <w:rPr>
          <w:rFonts w:hint="eastAsia" w:ascii="宋体" w:hAnsi="宋体" w:eastAsia="宋体" w:cs="宋体"/>
          <w:color w:val="000000"/>
          <w:sz w:val="24"/>
          <w:szCs w:val="24"/>
          <w:highlight w:val="none"/>
        </w:rPr>
        <w:t>提供系统全生命周期内的BUG及安全漏洞消除、相关库（包含但不限于病毒库、各种特征库等）的升级与服务。</w:t>
      </w:r>
    </w:p>
    <w:p w14:paraId="6C73C8B6">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技术培训：按照招标文件中要求及投标响应文件中承诺，乙方免费对甲方（不限人次数）进行技术培训，保证甲方人员能够熟练独立操作，主要内容包括但不限于产品的原理及功能、操作使用、维护、保养、常见问题及解决办法等内容。培训结束后，乙方要对被培训人员考核，同时发放培训合格证。</w:t>
      </w:r>
    </w:p>
    <w:p w14:paraId="610E47D0">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3.对于产品出现的问题，乙方在接到甲方通知后0.5小时内响应，24小时内排除故障；软件系统安全缺陷要求20分钟响应，12小时内解决问题。一切费用由乙方承担。</w:t>
      </w:r>
    </w:p>
    <w:p w14:paraId="4885FC95">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4.根据甲方的要求终身免费提供全量数据和接口；终身免费提供与相关系统对接，并保证对接系统的正常使用；甲方在使用乙方所供软件产品中出现问题需乙方指导解决时，乙方应及时给予解决。</w:t>
      </w:r>
    </w:p>
    <w:p w14:paraId="2D34BF05">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5.质保期内重大故障无法及时排除时，乙方在20分钟内提供备品备件供甲方使用，且每发生一次，其质保期相应延长30天。如给甲方带来重大损失的，乙方承担损失费用。</w:t>
      </w:r>
    </w:p>
    <w:p w14:paraId="19EF938D">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八</w:t>
      </w:r>
      <w:r>
        <w:rPr>
          <w:rFonts w:hint="eastAsia" w:ascii="宋体" w:hAnsi="宋体" w:eastAsia="宋体" w:cs="宋体"/>
          <w:b/>
          <w:color w:val="000000"/>
          <w:sz w:val="24"/>
          <w:szCs w:val="24"/>
          <w:highlight w:val="none"/>
        </w:rPr>
        <w:t>、验收及异议</w:t>
      </w:r>
    </w:p>
    <w:p w14:paraId="3FEA3086">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1.乙方供货、安装调试完毕，甲方经过试用后根据实际验收情况签发验收报告，验收时甲方可邀请第三方参与验收过程；</w:t>
      </w:r>
    </w:p>
    <w:p w14:paraId="164F651E">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甲方在验收中，如果发现有与合同规定不符的，应在3天内向乙方提出书面异议，不签发验收报告；并同时将该书面异议送达有关部门；甲方未按规定期限提出书面异议并且签发验收报告的，视为甲方放弃自己的权利。乙方在接到甲方书面异议后，应在3天内予以纠正，并对纠正情况以书面形式告知有关部门，否则视为无效。乙方在纠正过程中产生的费用由乙方承担。乙方不积极按照甲方要求予以纠正的，甲方有权解除合同，并不支</w:t>
      </w:r>
      <w:r>
        <w:rPr>
          <w:rFonts w:hint="eastAsia" w:ascii="宋体" w:hAnsi="宋体" w:eastAsia="宋体" w:cs="宋体"/>
          <w:sz w:val="24"/>
          <w:szCs w:val="24"/>
          <w:highlight w:val="none"/>
        </w:rPr>
        <w:t>付任何费用。</w:t>
      </w:r>
    </w:p>
    <w:p w14:paraId="5FE2142A">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九</w:t>
      </w:r>
      <w:r>
        <w:rPr>
          <w:rFonts w:hint="eastAsia" w:ascii="宋体" w:hAnsi="宋体" w:eastAsia="宋体" w:cs="宋体"/>
          <w:b/>
          <w:bCs/>
          <w:sz w:val="24"/>
          <w:szCs w:val="24"/>
          <w:highlight w:val="none"/>
        </w:rPr>
        <w:t>、付款方式</w:t>
      </w:r>
    </w:p>
    <w:p w14:paraId="1AA4AC71">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乙方在供货安装调试完毕后，向甲方提交合同总金额 5%（¥*****.**元）的银行履约保函，保函有效期自履约保函开具之日起至质保期满后3个月止，担保范围涵盖本合同项下全部售后服务及质量保证责任。甲方试用无质量问题且验收合格后，乙方开具增值税专用发票，甲方支付100% 货款。在保函有效期满且双方无异议后退还保函。</w:t>
      </w:r>
    </w:p>
    <w:p w14:paraId="6F7C6AD5">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十</w:t>
      </w:r>
      <w:r>
        <w:rPr>
          <w:rFonts w:hint="eastAsia" w:ascii="宋体" w:hAnsi="宋体" w:eastAsia="宋体" w:cs="宋体"/>
          <w:b/>
          <w:bCs/>
          <w:sz w:val="24"/>
          <w:szCs w:val="24"/>
          <w:highlight w:val="none"/>
        </w:rPr>
        <w:t>、违约责任</w:t>
      </w:r>
    </w:p>
    <w:p w14:paraId="0AFA0362">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不能在合同约定的时间内按照甲方的要求完成设备、软件的开发和安装(含提供全量数据和数据字典等)、调试（含系统对接和安全漏洞修复等）和培训的或因不可抗力的原因不能按时全部按照甲方的要求完成设备、软件开发、安装(含提供全量数据和数据字典等)、调试（含系统对接和安全漏洞修复等）和培训的，且未能在不可抗力发生后提供书面证明材料的，10日以内按照合同金额的0.5%每日向甲方支付违约金，超过10日按合同金额的1%每日向甲方支付违约金，超过20日未完成供货者，甲方除了有权要求乙方支付违约金之外，且有权解除合同，并向乙方索赔由此造成的损失。</w:t>
      </w:r>
    </w:p>
    <w:p w14:paraId="06B69F24">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2.乙方所交标的功能、品牌、型号、规格、质量等不符合合同规定的，甲方有权拒绝接收，并按违约处理，同时按照超期完成项目缴纳违约金，且承担由此给甲方带来的损失，甲方有权解除合同。</w:t>
      </w:r>
    </w:p>
    <w:p w14:paraId="2BDAD483">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3.甲方验收合格后应及时办理付款手续并向乙方支付货款。</w:t>
      </w:r>
    </w:p>
    <w:p w14:paraId="79C86E50">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甲乙双方的任何一方由于不可抗力的原因导致无法履行合同的，应在不可抗力发生后及时向对方通报不能履行或不能完全履行的理由，并提供相应的证明材料。允许延期履行、部分履行或者不履行合同，并根据情况可部分或全部免予承担违约责任。</w:t>
      </w:r>
    </w:p>
    <w:p w14:paraId="730CF0C1">
      <w:pPr>
        <w:pStyle w:val="19"/>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5.乙方若未按照合同约定进行售后服务，甲方有权通知银行进行索赔。</w:t>
      </w:r>
    </w:p>
    <w:p w14:paraId="1A453F04">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一</w:t>
      </w:r>
      <w:r>
        <w:rPr>
          <w:rFonts w:hint="eastAsia" w:ascii="宋体" w:hAnsi="宋体" w:eastAsia="宋体" w:cs="宋体"/>
          <w:b/>
          <w:color w:val="000000"/>
          <w:sz w:val="24"/>
          <w:szCs w:val="24"/>
          <w:highlight w:val="none"/>
        </w:rPr>
        <w:t>、其他</w:t>
      </w:r>
    </w:p>
    <w:p w14:paraId="743DF04C">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FF0000"/>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color w:val="000000"/>
          <w:sz w:val="24"/>
          <w:szCs w:val="24"/>
          <w:highlight w:val="none"/>
        </w:rPr>
        <w:t>本合同如发生纠纷，甲乙双方协商解决，协商不成时，约定由平顶山仲裁委员会仲裁。</w:t>
      </w:r>
    </w:p>
    <w:p w14:paraId="659E0CA1">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本合同自签章之日起生效，甲乙双方均不得随意变更或解除合同。</w:t>
      </w:r>
    </w:p>
    <w:p w14:paraId="24532B1F">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标的软件产品需部署到甲方本地服务器；软件产品甲方有权永久免费使用、迁移、安装，乙方须免费提供技术支持；承担对甲方的保密义务，包括但不限于对系统架构、部署情况、数据、策略、参数等的保密义务。规范操作甲方数据，不得越权或越界操作；乙方未经授权不得查询、获取、存储、传输用户方数据，不得向第三方泄露用户方数据。</w:t>
      </w:r>
    </w:p>
    <w:p w14:paraId="686BA35E">
      <w:pPr>
        <w:pStyle w:val="37"/>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软件产品调试、运行过程中，乙方应根据甲方需求及时纠正不符合本合同参数要求和国家、行业标准要求的部分，实施升级完善；按照甲方需求实现与现有信息化相关子系统或数据的对接，并承担与第三方对接合作的费用。</w:t>
      </w:r>
    </w:p>
    <w:p w14:paraId="6E285E0E">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系统中使用的软件产品或组件必须符合国家有关知识产权的相关法律法规。乙方保证提供甲方使用的软件不侵犯第三方的知识产权，不影响甲方的正常使用。因侵犯第三方知识产权所发生的纠纷及法律责任全部由乙方承担，因此导致影响甲方使用或造成甲方损失的，乙方应当赔偿甲方。</w:t>
      </w:r>
    </w:p>
    <w:p w14:paraId="4DAD132D">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6.根据等保相关政策，配合甲方完成有等保测评需要的项目的主要系统的等级保护定级与测评。</w:t>
      </w:r>
    </w:p>
    <w:p w14:paraId="0EDEBB4A">
      <w:pPr>
        <w:keepNext w:val="0"/>
        <w:keepLines w:val="0"/>
        <w:pageBreakBefore w:val="0"/>
        <w:widowControl w:val="0"/>
        <w:kinsoku/>
        <w:wordWrap/>
        <w:overflowPunct/>
        <w:topLinePunct w:val="0"/>
        <w:bidi w:val="0"/>
        <w:adjustRightInd w:val="0"/>
        <w:snapToGrid w:val="0"/>
        <w:spacing w:line="360" w:lineRule="auto"/>
        <w:ind w:firstLine="5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本合同自签订之日起生效，合同执行期间，甲乙双方均不得随意变更或解除合同。合同如有未尽事宜，须经双方共同协商，</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补充规定，补充规定与本合同具有同等效力。本合同一式六份，甲方四份，乙方两份。</w:t>
      </w:r>
    </w:p>
    <w:tbl>
      <w:tblPr>
        <w:tblStyle w:val="21"/>
        <w:tblW w:w="9105" w:type="dxa"/>
        <w:tblInd w:w="0" w:type="dxa"/>
        <w:tblLayout w:type="fixed"/>
        <w:tblCellMar>
          <w:top w:w="57" w:type="dxa"/>
          <w:left w:w="108" w:type="dxa"/>
          <w:bottom w:w="57" w:type="dxa"/>
          <w:right w:w="108" w:type="dxa"/>
        </w:tblCellMar>
      </w:tblPr>
      <w:tblGrid>
        <w:gridCol w:w="4260"/>
        <w:gridCol w:w="4845"/>
      </w:tblGrid>
      <w:tr w14:paraId="6BC8EF90">
        <w:tblPrEx>
          <w:tblCellMar>
            <w:top w:w="57" w:type="dxa"/>
            <w:left w:w="108" w:type="dxa"/>
            <w:bottom w:w="57" w:type="dxa"/>
            <w:right w:w="108" w:type="dxa"/>
          </w:tblCellMar>
        </w:tblPrEx>
        <w:tc>
          <w:tcPr>
            <w:tcW w:w="4260" w:type="dxa"/>
            <w:noWrap w:val="0"/>
            <w:vAlign w:val="top"/>
          </w:tcPr>
          <w:p w14:paraId="6DB6012E">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需方（甲方）：（合同章）</w:t>
            </w:r>
          </w:p>
        </w:tc>
        <w:tc>
          <w:tcPr>
            <w:tcW w:w="4845" w:type="dxa"/>
            <w:noWrap w:val="0"/>
            <w:vAlign w:val="top"/>
          </w:tcPr>
          <w:p w14:paraId="71FAB903">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供方（乙方）：（合同章）</w:t>
            </w:r>
          </w:p>
        </w:tc>
      </w:tr>
      <w:tr w14:paraId="54FB3FB0">
        <w:tblPrEx>
          <w:tblCellMar>
            <w:top w:w="57" w:type="dxa"/>
            <w:left w:w="108" w:type="dxa"/>
            <w:bottom w:w="57" w:type="dxa"/>
            <w:right w:w="108" w:type="dxa"/>
          </w:tblCellMar>
        </w:tblPrEx>
        <w:trPr>
          <w:trHeight w:val="837" w:hRule="atLeast"/>
        </w:trPr>
        <w:tc>
          <w:tcPr>
            <w:tcW w:w="4260" w:type="dxa"/>
            <w:noWrap w:val="0"/>
            <w:vAlign w:val="top"/>
          </w:tcPr>
          <w:p w14:paraId="6DF38CC8">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代表人：（签字）</w:t>
            </w:r>
          </w:p>
        </w:tc>
        <w:tc>
          <w:tcPr>
            <w:tcW w:w="4845" w:type="dxa"/>
            <w:noWrap w:val="0"/>
            <w:vAlign w:val="top"/>
          </w:tcPr>
          <w:p w14:paraId="63DFFFC1">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代表人：（签字）</w:t>
            </w:r>
          </w:p>
        </w:tc>
      </w:tr>
      <w:tr w14:paraId="795E4010">
        <w:tblPrEx>
          <w:tblCellMar>
            <w:top w:w="57" w:type="dxa"/>
            <w:left w:w="108" w:type="dxa"/>
            <w:bottom w:w="57" w:type="dxa"/>
            <w:right w:w="108" w:type="dxa"/>
          </w:tblCellMar>
        </w:tblPrEx>
        <w:trPr>
          <w:trHeight w:val="90" w:hRule="atLeast"/>
        </w:trPr>
        <w:tc>
          <w:tcPr>
            <w:tcW w:w="4260" w:type="dxa"/>
            <w:noWrap w:val="0"/>
            <w:vAlign w:val="top"/>
          </w:tcPr>
          <w:p w14:paraId="4126012B">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址：河南省平顶山市新城区未来路</w:t>
            </w:r>
          </w:p>
          <w:p w14:paraId="6A3858EA">
            <w:pPr>
              <w:keepNext w:val="0"/>
              <w:keepLines w:val="0"/>
              <w:pageBreakBefore w:val="0"/>
              <w:widowControl w:val="0"/>
              <w:kinsoku/>
              <w:wordWrap/>
              <w:overflowPunct/>
              <w:topLinePunct w:val="0"/>
              <w:bidi w:val="0"/>
              <w:adjustRightInd w:val="0"/>
              <w:snapToGrid w:val="0"/>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南段</w:t>
            </w:r>
          </w:p>
        </w:tc>
        <w:tc>
          <w:tcPr>
            <w:tcW w:w="4845" w:type="dxa"/>
            <w:noWrap w:val="0"/>
            <w:vAlign w:val="top"/>
          </w:tcPr>
          <w:p w14:paraId="7FB47B14">
            <w:pPr>
              <w:keepNext w:val="0"/>
              <w:keepLines w:val="0"/>
              <w:pageBreakBefore w:val="0"/>
              <w:widowControl w:val="0"/>
              <w:kinsoku/>
              <w:wordWrap/>
              <w:overflowPunct/>
              <w:topLinePunct w:val="0"/>
              <w:autoSpaceDE w:val="0"/>
              <w:autoSpaceDN w:val="0"/>
              <w:bidi w:val="0"/>
              <w:adjustRightInd w:val="0"/>
              <w:snapToGrid w:val="0"/>
              <w:spacing w:line="360" w:lineRule="auto"/>
              <w:ind w:left="840" w:hanging="960" w:hanging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p>
        </w:tc>
      </w:tr>
      <w:tr w14:paraId="1F4E7699">
        <w:tblPrEx>
          <w:tblCellMar>
            <w:top w:w="57" w:type="dxa"/>
            <w:left w:w="108" w:type="dxa"/>
            <w:bottom w:w="57" w:type="dxa"/>
            <w:right w:w="108" w:type="dxa"/>
          </w:tblCellMar>
        </w:tblPrEx>
        <w:tc>
          <w:tcPr>
            <w:tcW w:w="4260" w:type="dxa"/>
            <w:noWrap w:val="0"/>
            <w:vAlign w:val="top"/>
          </w:tcPr>
          <w:p w14:paraId="1B9E3B16">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开户银行：中国银行平顶山分行营业部</w:t>
            </w:r>
          </w:p>
        </w:tc>
        <w:tc>
          <w:tcPr>
            <w:tcW w:w="4845" w:type="dxa"/>
            <w:noWrap w:val="0"/>
            <w:vAlign w:val="top"/>
          </w:tcPr>
          <w:p w14:paraId="35293D28">
            <w:pPr>
              <w:keepNext w:val="0"/>
              <w:keepLines w:val="0"/>
              <w:pageBreakBefore w:val="0"/>
              <w:widowControl w:val="0"/>
              <w:kinsoku/>
              <w:wordWrap/>
              <w:overflowPunct/>
              <w:topLinePunct w:val="0"/>
              <w:bidi w:val="0"/>
              <w:adjustRightInd w:val="0"/>
              <w:snapToGrid w:val="0"/>
              <w:spacing w:line="360" w:lineRule="auto"/>
              <w:ind w:left="1200"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2930296A">
        <w:tblPrEx>
          <w:tblCellMar>
            <w:top w:w="57" w:type="dxa"/>
            <w:left w:w="108" w:type="dxa"/>
            <w:bottom w:w="57" w:type="dxa"/>
            <w:right w:w="108" w:type="dxa"/>
          </w:tblCellMar>
        </w:tblPrEx>
        <w:tc>
          <w:tcPr>
            <w:tcW w:w="4260" w:type="dxa"/>
            <w:noWrap w:val="0"/>
            <w:vAlign w:val="top"/>
          </w:tcPr>
          <w:p w14:paraId="38068A52">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号：257290314413</w:t>
            </w:r>
          </w:p>
          <w:p w14:paraId="7A7F79B5">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纳税人识别号：124100004168469074</w:t>
            </w:r>
          </w:p>
        </w:tc>
        <w:tc>
          <w:tcPr>
            <w:tcW w:w="4845" w:type="dxa"/>
            <w:noWrap w:val="0"/>
            <w:vAlign w:val="top"/>
          </w:tcPr>
          <w:p w14:paraId="365C5C1E">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b/>
                <w:color w:val="auto"/>
                <w:sz w:val="24"/>
                <w:szCs w:val="24"/>
                <w:highlight w:val="none"/>
              </w:rPr>
              <w:t xml:space="preserve"> </w:t>
            </w:r>
          </w:p>
          <w:p w14:paraId="3B91883E">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纳税人识别号：</w:t>
            </w:r>
          </w:p>
        </w:tc>
      </w:tr>
      <w:tr w14:paraId="2DEF7A42">
        <w:tblPrEx>
          <w:tblCellMar>
            <w:top w:w="57" w:type="dxa"/>
            <w:left w:w="108" w:type="dxa"/>
            <w:bottom w:w="57" w:type="dxa"/>
            <w:right w:w="108" w:type="dxa"/>
          </w:tblCellMar>
        </w:tblPrEx>
        <w:tc>
          <w:tcPr>
            <w:tcW w:w="4260" w:type="dxa"/>
            <w:noWrap w:val="0"/>
            <w:vAlign w:val="top"/>
          </w:tcPr>
          <w:p w14:paraId="46CE7FB4">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话：0375-2657656</w:t>
            </w:r>
          </w:p>
        </w:tc>
        <w:tc>
          <w:tcPr>
            <w:tcW w:w="4845" w:type="dxa"/>
            <w:noWrap w:val="0"/>
            <w:vAlign w:val="top"/>
          </w:tcPr>
          <w:p w14:paraId="35E19A73">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p>
        </w:tc>
      </w:tr>
      <w:tr w14:paraId="15B0A5FB">
        <w:tblPrEx>
          <w:tblCellMar>
            <w:top w:w="57" w:type="dxa"/>
            <w:left w:w="108" w:type="dxa"/>
            <w:bottom w:w="57" w:type="dxa"/>
            <w:right w:w="108" w:type="dxa"/>
          </w:tblCellMar>
        </w:tblPrEx>
        <w:tc>
          <w:tcPr>
            <w:tcW w:w="4260" w:type="dxa"/>
            <w:noWrap w:val="0"/>
            <w:vAlign w:val="top"/>
          </w:tcPr>
          <w:p w14:paraId="376EAB23">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tc>
        <w:tc>
          <w:tcPr>
            <w:tcW w:w="4845" w:type="dxa"/>
            <w:noWrap w:val="0"/>
            <w:vAlign w:val="top"/>
          </w:tcPr>
          <w:p w14:paraId="7417DAC3">
            <w:pPr>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tc>
      </w:tr>
    </w:tbl>
    <w:p w14:paraId="60BB7304">
      <w:pPr>
        <w:spacing w:line="520" w:lineRule="exact"/>
        <w:rPr>
          <w:rFonts w:hint="eastAsia" w:ascii="宋体" w:hAnsi="宋体" w:eastAsia="宋体" w:cs="宋体"/>
          <w:color w:val="auto"/>
          <w:sz w:val="24"/>
          <w:szCs w:val="24"/>
          <w:highlight w:val="none"/>
        </w:rPr>
      </w:pPr>
      <w:bookmarkStart w:id="29" w:name="_Toc16106"/>
    </w:p>
    <w:p w14:paraId="0288FCD3">
      <w:pPr>
        <w:spacing w:line="520" w:lineRule="exact"/>
        <w:rPr>
          <w:rFonts w:hint="eastAsia" w:ascii="宋体" w:hAnsi="宋体" w:eastAsia="宋体" w:cs="宋体"/>
          <w:color w:val="auto"/>
          <w:sz w:val="28"/>
          <w:szCs w:val="28"/>
          <w:highlight w:val="none"/>
        </w:rPr>
      </w:pPr>
    </w:p>
    <w:p w14:paraId="425F35E5">
      <w:pPr>
        <w:pStyle w:val="2"/>
        <w:rPr>
          <w:rFonts w:hint="eastAsia" w:ascii="宋体" w:hAnsi="宋体" w:eastAsia="宋体" w:cs="宋体"/>
          <w:color w:val="auto"/>
          <w:sz w:val="28"/>
          <w:szCs w:val="28"/>
          <w:highlight w:val="none"/>
        </w:rPr>
      </w:pPr>
    </w:p>
    <w:p w14:paraId="16B99D69">
      <w:pPr>
        <w:pStyle w:val="2"/>
        <w:rPr>
          <w:rFonts w:hint="eastAsia" w:ascii="宋体" w:hAnsi="宋体" w:eastAsia="宋体" w:cs="宋体"/>
          <w:color w:val="auto"/>
          <w:sz w:val="28"/>
          <w:szCs w:val="28"/>
          <w:highlight w:val="none"/>
        </w:rPr>
      </w:pPr>
    </w:p>
    <w:p w14:paraId="36FC5552">
      <w:pPr>
        <w:pStyle w:val="2"/>
        <w:rPr>
          <w:rFonts w:hint="eastAsia" w:ascii="宋体" w:hAnsi="宋体" w:eastAsia="宋体" w:cs="宋体"/>
          <w:color w:val="auto"/>
          <w:sz w:val="28"/>
          <w:szCs w:val="28"/>
          <w:highlight w:val="none"/>
        </w:rPr>
      </w:pPr>
    </w:p>
    <w:p w14:paraId="4D271962">
      <w:pPr>
        <w:pStyle w:val="2"/>
        <w:rPr>
          <w:rFonts w:hint="eastAsia" w:ascii="宋体" w:hAnsi="宋体" w:eastAsia="宋体" w:cs="宋体"/>
          <w:color w:val="auto"/>
          <w:sz w:val="28"/>
          <w:szCs w:val="28"/>
          <w:highlight w:val="none"/>
        </w:rPr>
      </w:pPr>
    </w:p>
    <w:p w14:paraId="63C70690">
      <w:pPr>
        <w:pStyle w:val="2"/>
        <w:rPr>
          <w:rFonts w:hint="eastAsia" w:ascii="宋体" w:hAnsi="宋体" w:eastAsia="宋体" w:cs="宋体"/>
          <w:color w:val="auto"/>
          <w:sz w:val="28"/>
          <w:szCs w:val="28"/>
          <w:highlight w:val="none"/>
        </w:rPr>
      </w:pPr>
    </w:p>
    <w:p w14:paraId="67198B9C">
      <w:pPr>
        <w:pStyle w:val="2"/>
        <w:rPr>
          <w:rFonts w:hint="eastAsia" w:ascii="宋体" w:hAnsi="宋体" w:eastAsia="宋体" w:cs="宋体"/>
          <w:color w:val="auto"/>
          <w:sz w:val="28"/>
          <w:szCs w:val="28"/>
          <w:highlight w:val="none"/>
        </w:rPr>
      </w:pPr>
    </w:p>
    <w:p w14:paraId="43280EB1">
      <w:pPr>
        <w:pStyle w:val="2"/>
        <w:rPr>
          <w:rFonts w:hint="eastAsia" w:ascii="宋体" w:hAnsi="宋体" w:eastAsia="宋体" w:cs="宋体"/>
          <w:color w:val="auto"/>
          <w:sz w:val="28"/>
          <w:szCs w:val="28"/>
          <w:highlight w:val="none"/>
        </w:rPr>
      </w:pPr>
    </w:p>
    <w:p w14:paraId="0ECA60D1">
      <w:pPr>
        <w:pStyle w:val="2"/>
        <w:rPr>
          <w:rFonts w:hint="eastAsia" w:ascii="宋体" w:hAnsi="宋体" w:eastAsia="宋体" w:cs="宋体"/>
          <w:color w:val="auto"/>
          <w:sz w:val="28"/>
          <w:szCs w:val="28"/>
          <w:highlight w:val="none"/>
        </w:rPr>
      </w:pPr>
    </w:p>
    <w:p w14:paraId="0D6E0A4E">
      <w:pPr>
        <w:pStyle w:val="2"/>
        <w:rPr>
          <w:rFonts w:hint="eastAsia" w:ascii="宋体" w:hAnsi="宋体" w:eastAsia="宋体" w:cs="宋体"/>
          <w:color w:val="auto"/>
          <w:sz w:val="28"/>
          <w:szCs w:val="28"/>
          <w:highlight w:val="none"/>
        </w:rPr>
      </w:pPr>
    </w:p>
    <w:p w14:paraId="3E287F47">
      <w:pPr>
        <w:rPr>
          <w:rFonts w:hint="eastAsia" w:ascii="宋体" w:hAnsi="宋体" w:eastAsia="宋体" w:cs="宋体"/>
          <w:b/>
          <w:color w:val="auto"/>
          <w:highlight w:val="none"/>
        </w:rPr>
      </w:pPr>
      <w:r>
        <w:rPr>
          <w:rFonts w:hint="eastAsia" w:ascii="宋体" w:hAnsi="宋体" w:eastAsia="宋体" w:cs="宋体"/>
          <w:b/>
          <w:color w:val="auto"/>
          <w:highlight w:val="none"/>
        </w:rPr>
        <w:t>附件1.</w:t>
      </w:r>
      <w:r>
        <w:rPr>
          <w:rFonts w:hint="eastAsia" w:ascii="宋体" w:hAnsi="宋体" w:eastAsia="宋体" w:cs="宋体"/>
          <w:b/>
          <w:color w:val="auto"/>
          <w:highlight w:val="none"/>
          <w:lang w:eastAsia="zh-CN"/>
        </w:rPr>
        <w:t>产品</w:t>
      </w:r>
      <w:r>
        <w:rPr>
          <w:rFonts w:hint="eastAsia" w:ascii="宋体" w:hAnsi="宋体" w:eastAsia="宋体" w:cs="宋体"/>
          <w:b/>
          <w:color w:val="auto"/>
          <w:highlight w:val="none"/>
        </w:rPr>
        <w:t>清单</w:t>
      </w:r>
    </w:p>
    <w:tbl>
      <w:tblPr>
        <w:tblStyle w:val="21"/>
        <w:tblpPr w:leftFromText="180" w:rightFromText="180" w:vertAnchor="text" w:horzAnchor="page" w:tblpXSpec="center" w:tblpY="122"/>
        <w:tblOverlap w:val="never"/>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2258"/>
        <w:gridCol w:w="518"/>
        <w:gridCol w:w="728"/>
        <w:gridCol w:w="942"/>
        <w:gridCol w:w="858"/>
        <w:gridCol w:w="869"/>
        <w:gridCol w:w="763"/>
        <w:gridCol w:w="822"/>
        <w:gridCol w:w="727"/>
      </w:tblGrid>
      <w:tr w14:paraId="55FCA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6" w:hRule="atLeast"/>
          <w:jc w:val="center"/>
        </w:trPr>
        <w:tc>
          <w:tcPr>
            <w:tcW w:w="511" w:type="dxa"/>
            <w:tcBorders>
              <w:top w:val="single" w:color="000000" w:sz="4" w:space="0"/>
              <w:left w:val="single" w:color="000000" w:sz="4" w:space="0"/>
              <w:bottom w:val="single" w:color="000000" w:sz="4" w:space="0"/>
              <w:right w:val="single" w:color="000000" w:sz="4" w:space="0"/>
            </w:tcBorders>
            <w:noWrap w:val="0"/>
            <w:vAlign w:val="center"/>
          </w:tcPr>
          <w:p w14:paraId="4E0B3EE3">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序号</w:t>
            </w:r>
          </w:p>
        </w:tc>
        <w:tc>
          <w:tcPr>
            <w:tcW w:w="2258" w:type="dxa"/>
            <w:tcBorders>
              <w:top w:val="single" w:color="000000" w:sz="4" w:space="0"/>
              <w:left w:val="single" w:color="000000" w:sz="4" w:space="0"/>
              <w:bottom w:val="single" w:color="000000" w:sz="4" w:space="0"/>
              <w:right w:val="single" w:color="000000" w:sz="4" w:space="0"/>
            </w:tcBorders>
            <w:noWrap w:val="0"/>
            <w:vAlign w:val="center"/>
          </w:tcPr>
          <w:p w14:paraId="0C57D245">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货物名称</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14:paraId="51876CA7">
            <w:pPr>
              <w:spacing w:line="360" w:lineRule="auto"/>
              <w:jc w:val="center"/>
              <w:rPr>
                <w:rStyle w:val="31"/>
                <w:rFonts w:hint="eastAsia" w:ascii="宋体" w:hAnsi="宋体" w:eastAsia="宋体" w:cs="宋体"/>
                <w:b/>
                <w:bCs/>
                <w:color w:val="auto"/>
                <w:szCs w:val="21"/>
                <w:highlight w:val="none"/>
              </w:rPr>
            </w:pPr>
            <w:r>
              <w:rPr>
                <w:rStyle w:val="31"/>
                <w:rFonts w:hint="eastAsia" w:ascii="宋体" w:hAnsi="宋体" w:eastAsia="宋体" w:cs="宋体"/>
                <w:b/>
                <w:color w:val="auto"/>
                <w:szCs w:val="21"/>
                <w:highlight w:val="none"/>
              </w:rPr>
              <w:t>品牌</w:t>
            </w:r>
          </w:p>
        </w:tc>
        <w:tc>
          <w:tcPr>
            <w:tcW w:w="728" w:type="dxa"/>
            <w:tcBorders>
              <w:top w:val="single" w:color="000000" w:sz="4" w:space="0"/>
              <w:left w:val="single" w:color="000000" w:sz="4" w:space="0"/>
              <w:bottom w:val="single" w:color="000000" w:sz="4" w:space="0"/>
              <w:right w:val="single" w:color="000000" w:sz="4" w:space="0"/>
            </w:tcBorders>
            <w:noWrap w:val="0"/>
            <w:vAlign w:val="top"/>
          </w:tcPr>
          <w:p w14:paraId="5484E0B9">
            <w:pPr>
              <w:spacing w:line="360" w:lineRule="auto"/>
              <w:jc w:val="center"/>
              <w:rPr>
                <w:rStyle w:val="31"/>
                <w:rFonts w:hint="eastAsia" w:ascii="宋体" w:hAnsi="宋体" w:eastAsia="宋体" w:cs="宋体"/>
                <w:b/>
                <w:color w:val="auto"/>
                <w:szCs w:val="21"/>
                <w:highlight w:val="none"/>
              </w:rPr>
            </w:pPr>
          </w:p>
          <w:p w14:paraId="472453BD">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规格</w:t>
            </w:r>
          </w:p>
          <w:p w14:paraId="72C55C21">
            <w:pPr>
              <w:spacing w:line="360" w:lineRule="auto"/>
              <w:jc w:val="center"/>
              <w:rPr>
                <w:rStyle w:val="31"/>
                <w:rFonts w:hint="eastAsia" w:ascii="宋体" w:hAnsi="宋体" w:eastAsia="宋体" w:cs="宋体"/>
                <w:b/>
                <w:bCs/>
                <w:color w:val="auto"/>
                <w:szCs w:val="21"/>
                <w:highlight w:val="none"/>
              </w:rPr>
            </w:pPr>
            <w:r>
              <w:rPr>
                <w:rStyle w:val="31"/>
                <w:rFonts w:hint="eastAsia" w:ascii="宋体" w:hAnsi="宋体" w:eastAsia="宋体" w:cs="宋体"/>
                <w:b/>
                <w:color w:val="auto"/>
                <w:szCs w:val="21"/>
                <w:highlight w:val="none"/>
              </w:rPr>
              <w:t>型号</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13922B2A">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生产厂家</w:t>
            </w:r>
          </w:p>
        </w:tc>
        <w:tc>
          <w:tcPr>
            <w:tcW w:w="858" w:type="dxa"/>
            <w:tcBorders>
              <w:top w:val="single" w:color="000000" w:sz="4" w:space="0"/>
              <w:left w:val="single" w:color="000000" w:sz="4" w:space="0"/>
              <w:bottom w:val="single" w:color="000000" w:sz="4" w:space="0"/>
              <w:right w:val="single" w:color="000000" w:sz="4" w:space="0"/>
            </w:tcBorders>
            <w:noWrap w:val="0"/>
            <w:vAlign w:val="top"/>
          </w:tcPr>
          <w:p w14:paraId="349C786B">
            <w:pPr>
              <w:spacing w:line="360" w:lineRule="auto"/>
              <w:jc w:val="center"/>
              <w:rPr>
                <w:rStyle w:val="31"/>
                <w:rFonts w:hint="eastAsia" w:ascii="宋体" w:hAnsi="宋体" w:eastAsia="宋体" w:cs="宋体"/>
                <w:b/>
                <w:color w:val="auto"/>
                <w:szCs w:val="21"/>
                <w:highlight w:val="none"/>
              </w:rPr>
            </w:pPr>
          </w:p>
          <w:p w14:paraId="6CE5C7A2">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产地</w:t>
            </w:r>
          </w:p>
        </w:tc>
        <w:tc>
          <w:tcPr>
            <w:tcW w:w="869" w:type="dxa"/>
            <w:tcBorders>
              <w:top w:val="single" w:color="000000" w:sz="4" w:space="0"/>
              <w:left w:val="single" w:color="000000" w:sz="4" w:space="0"/>
              <w:bottom w:val="single" w:color="000000" w:sz="4" w:space="0"/>
              <w:right w:val="single" w:color="000000" w:sz="4" w:space="0"/>
            </w:tcBorders>
            <w:noWrap w:val="0"/>
            <w:vAlign w:val="center"/>
          </w:tcPr>
          <w:p w14:paraId="5C4624D9">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数量</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40B6F07E">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单位</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0998A66">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单价（元）</w:t>
            </w: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55C81037">
            <w:pPr>
              <w:spacing w:line="360" w:lineRule="auto"/>
              <w:jc w:val="center"/>
              <w:rPr>
                <w:rStyle w:val="31"/>
                <w:rFonts w:hint="eastAsia" w:ascii="宋体" w:hAnsi="宋体" w:eastAsia="宋体" w:cs="宋体"/>
                <w:b/>
                <w:color w:val="auto"/>
                <w:szCs w:val="21"/>
                <w:highlight w:val="none"/>
                <w:lang w:eastAsia="zh-CN"/>
              </w:rPr>
            </w:pPr>
            <w:r>
              <w:rPr>
                <w:rStyle w:val="31"/>
                <w:rFonts w:hint="eastAsia" w:ascii="宋体" w:hAnsi="宋体" w:eastAsia="宋体" w:cs="宋体"/>
                <w:b/>
                <w:color w:val="auto"/>
                <w:szCs w:val="21"/>
                <w:highlight w:val="none"/>
                <w:lang w:eastAsia="zh-CN"/>
              </w:rPr>
              <w:t>合价（元</w:t>
            </w:r>
            <w:r>
              <w:rPr>
                <w:rFonts w:hint="eastAsia" w:ascii="宋体" w:hAnsi="宋体" w:eastAsia="宋体" w:cs="宋体"/>
                <w:color w:val="auto"/>
                <w:highlight w:val="none"/>
                <w:lang w:eastAsia="zh-CN"/>
              </w:rPr>
              <w:t>）</w:t>
            </w:r>
          </w:p>
        </w:tc>
      </w:tr>
      <w:tr w14:paraId="4D79B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jc w:val="center"/>
        </w:trPr>
        <w:tc>
          <w:tcPr>
            <w:tcW w:w="511" w:type="dxa"/>
            <w:tcBorders>
              <w:top w:val="single" w:color="000000" w:sz="4" w:space="0"/>
              <w:left w:val="single" w:color="000000" w:sz="4" w:space="0"/>
              <w:bottom w:val="single" w:color="000000" w:sz="4" w:space="0"/>
              <w:right w:val="single" w:color="000000" w:sz="4" w:space="0"/>
            </w:tcBorders>
            <w:noWrap w:val="0"/>
            <w:vAlign w:val="center"/>
          </w:tcPr>
          <w:p w14:paraId="41BA9086">
            <w:pPr>
              <w:spacing w:line="300" w:lineRule="exact"/>
              <w:jc w:val="center"/>
              <w:rPr>
                <w:rStyle w:val="31"/>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w:t>
            </w:r>
          </w:p>
        </w:tc>
        <w:tc>
          <w:tcPr>
            <w:tcW w:w="2258" w:type="dxa"/>
            <w:tcBorders>
              <w:top w:val="single" w:color="000000" w:sz="4" w:space="0"/>
              <w:left w:val="single" w:color="000000" w:sz="4" w:space="0"/>
              <w:bottom w:val="single" w:color="000000" w:sz="4" w:space="0"/>
              <w:right w:val="single" w:color="000000" w:sz="4" w:space="0"/>
            </w:tcBorders>
            <w:noWrap w:val="0"/>
            <w:vAlign w:val="center"/>
          </w:tcPr>
          <w:p w14:paraId="3A68FF5F">
            <w:pPr>
              <w:spacing w:line="300" w:lineRule="exact"/>
              <w:rPr>
                <w:rFonts w:hint="eastAsia" w:ascii="宋体" w:hAnsi="宋体" w:eastAsia="宋体" w:cs="宋体"/>
                <w:color w:val="auto"/>
                <w:szCs w:val="21"/>
                <w:highlight w:val="none"/>
              </w:rPr>
            </w:pPr>
          </w:p>
        </w:tc>
        <w:tc>
          <w:tcPr>
            <w:tcW w:w="518" w:type="dxa"/>
            <w:tcBorders>
              <w:top w:val="single" w:color="000000" w:sz="4" w:space="0"/>
              <w:left w:val="single" w:color="000000" w:sz="4" w:space="0"/>
              <w:bottom w:val="single" w:color="000000" w:sz="4" w:space="0"/>
              <w:right w:val="single" w:color="000000" w:sz="4" w:space="0"/>
            </w:tcBorders>
            <w:noWrap w:val="0"/>
            <w:vAlign w:val="center"/>
          </w:tcPr>
          <w:p w14:paraId="05DB4E55">
            <w:pPr>
              <w:snapToGrid w:val="0"/>
              <w:spacing w:line="400" w:lineRule="exact"/>
              <w:jc w:val="center"/>
              <w:rPr>
                <w:rStyle w:val="31"/>
                <w:rFonts w:hint="eastAsia" w:ascii="宋体" w:hAnsi="宋体" w:eastAsia="宋体" w:cs="宋体"/>
                <w:color w:val="auto"/>
                <w:szCs w:val="21"/>
                <w:highlight w:val="none"/>
              </w:rPr>
            </w:pP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623E006">
            <w:pPr>
              <w:snapToGrid w:val="0"/>
              <w:spacing w:line="400" w:lineRule="exact"/>
              <w:jc w:val="center"/>
              <w:rPr>
                <w:rStyle w:val="31"/>
                <w:rFonts w:hint="eastAsia" w:ascii="宋体" w:hAnsi="宋体" w:eastAsia="宋体" w:cs="宋体"/>
                <w:color w:val="auto"/>
                <w:szCs w:val="21"/>
                <w:highlight w:val="none"/>
              </w:rPr>
            </w:pP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413E66C4">
            <w:pPr>
              <w:spacing w:line="300" w:lineRule="exact"/>
              <w:jc w:val="center"/>
              <w:rPr>
                <w:rFonts w:hint="eastAsia" w:ascii="宋体" w:hAnsi="宋体" w:eastAsia="宋体" w:cs="宋体"/>
                <w:color w:val="auto"/>
                <w:kern w:val="0"/>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0977C422">
            <w:pPr>
              <w:spacing w:line="300" w:lineRule="exact"/>
              <w:jc w:val="center"/>
              <w:rPr>
                <w:rFonts w:hint="eastAsia" w:ascii="宋体" w:hAnsi="宋体" w:eastAsia="宋体" w:cs="宋体"/>
                <w:color w:val="auto"/>
                <w:kern w:val="0"/>
                <w:szCs w:val="21"/>
                <w:highlight w:val="none"/>
              </w:rPr>
            </w:pPr>
          </w:p>
        </w:tc>
        <w:tc>
          <w:tcPr>
            <w:tcW w:w="869" w:type="dxa"/>
            <w:tcBorders>
              <w:top w:val="single" w:color="000000" w:sz="4" w:space="0"/>
              <w:left w:val="single" w:color="000000" w:sz="4" w:space="0"/>
              <w:bottom w:val="single" w:color="000000" w:sz="4" w:space="0"/>
              <w:right w:val="single" w:color="000000" w:sz="4" w:space="0"/>
            </w:tcBorders>
            <w:noWrap w:val="0"/>
            <w:vAlign w:val="center"/>
          </w:tcPr>
          <w:p w14:paraId="2F6F36C4">
            <w:pPr>
              <w:spacing w:line="300" w:lineRule="exact"/>
              <w:jc w:val="center"/>
              <w:rPr>
                <w:rFonts w:hint="eastAsia" w:ascii="宋体" w:hAnsi="宋体" w:eastAsia="宋体" w:cs="宋体"/>
                <w:color w:val="auto"/>
                <w:kern w:val="0"/>
                <w:szCs w:val="21"/>
                <w:highlight w:val="none"/>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646CC87C">
            <w:pPr>
              <w:snapToGrid w:val="0"/>
              <w:spacing w:line="400" w:lineRule="exact"/>
              <w:jc w:val="center"/>
              <w:rPr>
                <w:rFonts w:hint="eastAsia" w:ascii="宋体" w:hAnsi="宋体" w:eastAsia="宋体" w:cs="宋体"/>
                <w:color w:val="auto"/>
                <w:szCs w:val="21"/>
                <w:highlight w:val="none"/>
              </w:rPr>
            </w:pP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EE8DDE8">
            <w:pPr>
              <w:snapToGrid w:val="0"/>
              <w:spacing w:line="400" w:lineRule="exact"/>
              <w:jc w:val="center"/>
              <w:rPr>
                <w:rFonts w:hint="eastAsia" w:ascii="宋体" w:hAnsi="宋体" w:eastAsia="宋体" w:cs="宋体"/>
                <w:color w:val="auto"/>
                <w:szCs w:val="21"/>
                <w:highlight w:val="none"/>
              </w:rPr>
            </w:pP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09B87AAA">
            <w:pPr>
              <w:spacing w:line="360" w:lineRule="auto"/>
              <w:jc w:val="center"/>
              <w:rPr>
                <w:rStyle w:val="31"/>
                <w:rFonts w:hint="eastAsia" w:ascii="宋体" w:hAnsi="宋体" w:eastAsia="宋体" w:cs="宋体"/>
                <w:color w:val="auto"/>
                <w:szCs w:val="21"/>
                <w:highlight w:val="none"/>
              </w:rPr>
            </w:pPr>
          </w:p>
        </w:tc>
      </w:tr>
      <w:tr w14:paraId="791E6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jc w:val="center"/>
        </w:trPr>
        <w:tc>
          <w:tcPr>
            <w:tcW w:w="511" w:type="dxa"/>
            <w:tcBorders>
              <w:top w:val="single" w:color="000000" w:sz="4" w:space="0"/>
              <w:left w:val="single" w:color="000000" w:sz="4" w:space="0"/>
              <w:bottom w:val="single" w:color="000000" w:sz="4" w:space="0"/>
              <w:right w:val="single" w:color="000000" w:sz="4" w:space="0"/>
            </w:tcBorders>
            <w:noWrap w:val="0"/>
            <w:vAlign w:val="center"/>
          </w:tcPr>
          <w:p w14:paraId="37BCA07C">
            <w:pPr>
              <w:spacing w:line="300" w:lineRule="exact"/>
              <w:jc w:val="center"/>
              <w:rPr>
                <w:rStyle w:val="31"/>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2</w:t>
            </w:r>
          </w:p>
        </w:tc>
        <w:tc>
          <w:tcPr>
            <w:tcW w:w="2258" w:type="dxa"/>
            <w:tcBorders>
              <w:top w:val="single" w:color="000000" w:sz="4" w:space="0"/>
              <w:left w:val="single" w:color="000000" w:sz="4" w:space="0"/>
              <w:bottom w:val="single" w:color="000000" w:sz="4" w:space="0"/>
              <w:right w:val="single" w:color="000000" w:sz="4" w:space="0"/>
            </w:tcBorders>
            <w:noWrap w:val="0"/>
            <w:vAlign w:val="center"/>
          </w:tcPr>
          <w:p w14:paraId="442071DF">
            <w:pPr>
              <w:spacing w:line="300" w:lineRule="exact"/>
              <w:jc w:val="center"/>
              <w:rPr>
                <w:rFonts w:hint="eastAsia" w:ascii="宋体" w:hAnsi="宋体" w:eastAsia="宋体" w:cs="宋体"/>
                <w:color w:val="auto"/>
                <w:szCs w:val="21"/>
                <w:highlight w:val="none"/>
              </w:rPr>
            </w:pPr>
          </w:p>
        </w:tc>
        <w:tc>
          <w:tcPr>
            <w:tcW w:w="518" w:type="dxa"/>
            <w:tcBorders>
              <w:top w:val="single" w:color="000000" w:sz="4" w:space="0"/>
              <w:left w:val="single" w:color="000000" w:sz="4" w:space="0"/>
              <w:bottom w:val="single" w:color="000000" w:sz="4" w:space="0"/>
              <w:right w:val="single" w:color="000000" w:sz="4" w:space="0"/>
            </w:tcBorders>
            <w:noWrap w:val="0"/>
            <w:vAlign w:val="center"/>
          </w:tcPr>
          <w:p w14:paraId="4099E3FA">
            <w:pPr>
              <w:snapToGrid w:val="0"/>
              <w:spacing w:line="400" w:lineRule="exact"/>
              <w:jc w:val="center"/>
              <w:rPr>
                <w:rStyle w:val="31"/>
                <w:rFonts w:hint="eastAsia" w:ascii="宋体" w:hAnsi="宋体" w:eastAsia="宋体" w:cs="宋体"/>
                <w:color w:val="auto"/>
                <w:szCs w:val="21"/>
                <w:highlight w:val="none"/>
              </w:rPr>
            </w:pP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E6AE1DE">
            <w:pPr>
              <w:snapToGrid w:val="0"/>
              <w:spacing w:line="400" w:lineRule="exact"/>
              <w:jc w:val="center"/>
              <w:rPr>
                <w:rStyle w:val="31"/>
                <w:rFonts w:hint="eastAsia" w:ascii="宋体" w:hAnsi="宋体" w:eastAsia="宋体" w:cs="宋体"/>
                <w:color w:val="auto"/>
                <w:szCs w:val="21"/>
                <w:highlight w:val="none"/>
              </w:rPr>
            </w:pP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5EF495C0">
            <w:pPr>
              <w:spacing w:line="300" w:lineRule="exact"/>
              <w:jc w:val="center"/>
              <w:rPr>
                <w:rFonts w:hint="eastAsia" w:ascii="宋体" w:hAnsi="宋体" w:eastAsia="宋体" w:cs="宋体"/>
                <w:color w:val="auto"/>
                <w:kern w:val="0"/>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0A4A8D1D">
            <w:pPr>
              <w:spacing w:line="300" w:lineRule="exact"/>
              <w:jc w:val="center"/>
              <w:rPr>
                <w:rFonts w:hint="eastAsia" w:ascii="宋体" w:hAnsi="宋体" w:eastAsia="宋体" w:cs="宋体"/>
                <w:color w:val="auto"/>
                <w:kern w:val="0"/>
                <w:szCs w:val="21"/>
                <w:highlight w:val="none"/>
              </w:rPr>
            </w:pPr>
          </w:p>
        </w:tc>
        <w:tc>
          <w:tcPr>
            <w:tcW w:w="869" w:type="dxa"/>
            <w:tcBorders>
              <w:top w:val="single" w:color="000000" w:sz="4" w:space="0"/>
              <w:left w:val="single" w:color="000000" w:sz="4" w:space="0"/>
              <w:bottom w:val="single" w:color="000000" w:sz="4" w:space="0"/>
              <w:right w:val="single" w:color="000000" w:sz="4" w:space="0"/>
            </w:tcBorders>
            <w:noWrap w:val="0"/>
            <w:vAlign w:val="center"/>
          </w:tcPr>
          <w:p w14:paraId="1CCA114C">
            <w:pPr>
              <w:spacing w:line="300" w:lineRule="exact"/>
              <w:jc w:val="center"/>
              <w:rPr>
                <w:rFonts w:hint="eastAsia" w:ascii="宋体" w:hAnsi="宋体" w:eastAsia="宋体" w:cs="宋体"/>
                <w:color w:val="auto"/>
                <w:kern w:val="0"/>
                <w:szCs w:val="21"/>
                <w:highlight w:val="none"/>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34B94FC3">
            <w:pPr>
              <w:snapToGrid w:val="0"/>
              <w:spacing w:line="400" w:lineRule="exact"/>
              <w:jc w:val="center"/>
              <w:rPr>
                <w:rFonts w:hint="eastAsia" w:ascii="宋体" w:hAnsi="宋体" w:eastAsia="宋体" w:cs="宋体"/>
                <w:color w:val="auto"/>
                <w:szCs w:val="21"/>
                <w:highlight w:val="none"/>
              </w:rPr>
            </w:pP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70FFA67">
            <w:pPr>
              <w:snapToGrid w:val="0"/>
              <w:spacing w:line="400" w:lineRule="exact"/>
              <w:jc w:val="center"/>
              <w:rPr>
                <w:rFonts w:hint="eastAsia" w:ascii="宋体" w:hAnsi="宋体" w:eastAsia="宋体" w:cs="宋体"/>
                <w:color w:val="auto"/>
                <w:szCs w:val="21"/>
                <w:highlight w:val="none"/>
              </w:rPr>
            </w:pP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77E63750">
            <w:pPr>
              <w:spacing w:line="360" w:lineRule="auto"/>
              <w:jc w:val="center"/>
              <w:rPr>
                <w:rStyle w:val="31"/>
                <w:rFonts w:hint="eastAsia" w:ascii="宋体" w:hAnsi="宋体" w:eastAsia="宋体" w:cs="宋体"/>
                <w:color w:val="auto"/>
                <w:szCs w:val="21"/>
                <w:highlight w:val="none"/>
              </w:rPr>
            </w:pPr>
          </w:p>
        </w:tc>
      </w:tr>
      <w:tr w14:paraId="1928D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jc w:val="center"/>
        </w:trPr>
        <w:tc>
          <w:tcPr>
            <w:tcW w:w="511" w:type="dxa"/>
            <w:tcBorders>
              <w:top w:val="single" w:color="000000" w:sz="4" w:space="0"/>
              <w:left w:val="single" w:color="000000" w:sz="4" w:space="0"/>
              <w:bottom w:val="single" w:color="000000" w:sz="4" w:space="0"/>
              <w:right w:val="single" w:color="000000" w:sz="4" w:space="0"/>
            </w:tcBorders>
            <w:noWrap w:val="0"/>
            <w:vAlign w:val="center"/>
          </w:tcPr>
          <w:p w14:paraId="5B6F098B">
            <w:pPr>
              <w:spacing w:line="300" w:lineRule="exact"/>
              <w:jc w:val="center"/>
              <w:rPr>
                <w:rStyle w:val="31"/>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3</w:t>
            </w:r>
          </w:p>
        </w:tc>
        <w:tc>
          <w:tcPr>
            <w:tcW w:w="2258" w:type="dxa"/>
            <w:tcBorders>
              <w:top w:val="single" w:color="000000" w:sz="4" w:space="0"/>
              <w:left w:val="single" w:color="000000" w:sz="4" w:space="0"/>
              <w:bottom w:val="single" w:color="000000" w:sz="4" w:space="0"/>
              <w:right w:val="single" w:color="000000" w:sz="4" w:space="0"/>
            </w:tcBorders>
            <w:noWrap w:val="0"/>
            <w:vAlign w:val="center"/>
          </w:tcPr>
          <w:p w14:paraId="2892A33B">
            <w:pPr>
              <w:spacing w:line="300" w:lineRule="exact"/>
              <w:jc w:val="center"/>
              <w:rPr>
                <w:rFonts w:hint="eastAsia" w:ascii="宋体" w:hAnsi="宋体" w:eastAsia="宋体" w:cs="宋体"/>
                <w:color w:val="auto"/>
                <w:szCs w:val="21"/>
                <w:highlight w:val="none"/>
              </w:rPr>
            </w:pPr>
          </w:p>
        </w:tc>
        <w:tc>
          <w:tcPr>
            <w:tcW w:w="518" w:type="dxa"/>
            <w:tcBorders>
              <w:top w:val="single" w:color="000000" w:sz="4" w:space="0"/>
              <w:left w:val="single" w:color="000000" w:sz="4" w:space="0"/>
              <w:bottom w:val="single" w:color="000000" w:sz="4" w:space="0"/>
              <w:right w:val="single" w:color="000000" w:sz="4" w:space="0"/>
            </w:tcBorders>
            <w:noWrap w:val="0"/>
            <w:vAlign w:val="center"/>
          </w:tcPr>
          <w:p w14:paraId="27E59B37">
            <w:pPr>
              <w:snapToGrid w:val="0"/>
              <w:spacing w:line="400" w:lineRule="exact"/>
              <w:jc w:val="center"/>
              <w:rPr>
                <w:rStyle w:val="31"/>
                <w:rFonts w:hint="eastAsia" w:ascii="宋体" w:hAnsi="宋体" w:eastAsia="宋体" w:cs="宋体"/>
                <w:color w:val="auto"/>
                <w:szCs w:val="21"/>
                <w:highlight w:val="none"/>
              </w:rPr>
            </w:pP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E0F6278">
            <w:pPr>
              <w:snapToGrid w:val="0"/>
              <w:spacing w:line="400" w:lineRule="exact"/>
              <w:jc w:val="center"/>
              <w:rPr>
                <w:rStyle w:val="31"/>
                <w:rFonts w:hint="eastAsia" w:ascii="宋体" w:hAnsi="宋体" w:eastAsia="宋体" w:cs="宋体"/>
                <w:color w:val="auto"/>
                <w:szCs w:val="21"/>
                <w:highlight w:val="none"/>
              </w:rPr>
            </w:pP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799447DB">
            <w:pPr>
              <w:spacing w:line="300" w:lineRule="exact"/>
              <w:jc w:val="center"/>
              <w:rPr>
                <w:rFonts w:hint="eastAsia" w:ascii="宋体" w:hAnsi="宋体" w:eastAsia="宋体" w:cs="宋体"/>
                <w:color w:val="auto"/>
                <w:kern w:val="0"/>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51D34168">
            <w:pPr>
              <w:spacing w:line="300" w:lineRule="exact"/>
              <w:jc w:val="center"/>
              <w:rPr>
                <w:rFonts w:hint="eastAsia" w:ascii="宋体" w:hAnsi="宋体" w:eastAsia="宋体" w:cs="宋体"/>
                <w:color w:val="auto"/>
                <w:kern w:val="0"/>
                <w:szCs w:val="21"/>
                <w:highlight w:val="none"/>
              </w:rPr>
            </w:pPr>
          </w:p>
        </w:tc>
        <w:tc>
          <w:tcPr>
            <w:tcW w:w="869" w:type="dxa"/>
            <w:tcBorders>
              <w:top w:val="single" w:color="000000" w:sz="4" w:space="0"/>
              <w:left w:val="single" w:color="000000" w:sz="4" w:space="0"/>
              <w:bottom w:val="single" w:color="000000" w:sz="4" w:space="0"/>
              <w:right w:val="single" w:color="000000" w:sz="4" w:space="0"/>
            </w:tcBorders>
            <w:noWrap w:val="0"/>
            <w:vAlign w:val="center"/>
          </w:tcPr>
          <w:p w14:paraId="29C373EF">
            <w:pPr>
              <w:spacing w:line="300" w:lineRule="exact"/>
              <w:jc w:val="center"/>
              <w:rPr>
                <w:rFonts w:hint="eastAsia" w:ascii="宋体" w:hAnsi="宋体" w:eastAsia="宋体" w:cs="宋体"/>
                <w:color w:val="auto"/>
                <w:kern w:val="0"/>
                <w:szCs w:val="21"/>
                <w:highlight w:val="none"/>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FFE4986">
            <w:pPr>
              <w:snapToGrid w:val="0"/>
              <w:spacing w:line="400" w:lineRule="exact"/>
              <w:jc w:val="center"/>
              <w:rPr>
                <w:rFonts w:hint="eastAsia" w:ascii="宋体" w:hAnsi="宋体" w:eastAsia="宋体" w:cs="宋体"/>
                <w:color w:val="auto"/>
                <w:szCs w:val="21"/>
                <w:highlight w:val="none"/>
              </w:rPr>
            </w:pP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7D4F7E2D">
            <w:pPr>
              <w:snapToGrid w:val="0"/>
              <w:spacing w:line="400" w:lineRule="exact"/>
              <w:jc w:val="center"/>
              <w:rPr>
                <w:rFonts w:hint="eastAsia" w:ascii="宋体" w:hAnsi="宋体" w:eastAsia="宋体" w:cs="宋体"/>
                <w:color w:val="auto"/>
                <w:szCs w:val="21"/>
                <w:highlight w:val="none"/>
              </w:rPr>
            </w:pP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58BAF1B0">
            <w:pPr>
              <w:spacing w:line="360" w:lineRule="auto"/>
              <w:jc w:val="center"/>
              <w:rPr>
                <w:rStyle w:val="31"/>
                <w:rFonts w:hint="eastAsia" w:ascii="宋体" w:hAnsi="宋体" w:eastAsia="宋体" w:cs="宋体"/>
                <w:color w:val="auto"/>
                <w:szCs w:val="21"/>
                <w:highlight w:val="none"/>
              </w:rPr>
            </w:pPr>
          </w:p>
        </w:tc>
      </w:tr>
      <w:tr w14:paraId="28375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jc w:val="center"/>
        </w:trPr>
        <w:tc>
          <w:tcPr>
            <w:tcW w:w="511" w:type="dxa"/>
            <w:tcBorders>
              <w:top w:val="single" w:color="000000" w:sz="4" w:space="0"/>
              <w:left w:val="single" w:color="000000" w:sz="4" w:space="0"/>
              <w:bottom w:val="single" w:color="000000" w:sz="4" w:space="0"/>
              <w:right w:val="single" w:color="000000" w:sz="4" w:space="0"/>
            </w:tcBorders>
            <w:noWrap w:val="0"/>
            <w:vAlign w:val="center"/>
          </w:tcPr>
          <w:p w14:paraId="3B259624">
            <w:pPr>
              <w:spacing w:line="300" w:lineRule="exact"/>
              <w:jc w:val="center"/>
              <w:rPr>
                <w:rStyle w:val="31"/>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4</w:t>
            </w:r>
          </w:p>
        </w:tc>
        <w:tc>
          <w:tcPr>
            <w:tcW w:w="2258" w:type="dxa"/>
            <w:tcBorders>
              <w:top w:val="single" w:color="000000" w:sz="4" w:space="0"/>
              <w:left w:val="single" w:color="000000" w:sz="4" w:space="0"/>
              <w:bottom w:val="single" w:color="000000" w:sz="4" w:space="0"/>
              <w:right w:val="single" w:color="000000" w:sz="4" w:space="0"/>
            </w:tcBorders>
            <w:noWrap w:val="0"/>
            <w:vAlign w:val="center"/>
          </w:tcPr>
          <w:p w14:paraId="1EB9F2FC">
            <w:pPr>
              <w:spacing w:line="300" w:lineRule="exact"/>
              <w:jc w:val="center"/>
              <w:rPr>
                <w:rFonts w:hint="eastAsia" w:ascii="宋体" w:hAnsi="宋体" w:eastAsia="宋体" w:cs="宋体"/>
                <w:color w:val="auto"/>
                <w:szCs w:val="21"/>
                <w:highlight w:val="none"/>
              </w:rPr>
            </w:pPr>
          </w:p>
        </w:tc>
        <w:tc>
          <w:tcPr>
            <w:tcW w:w="518" w:type="dxa"/>
            <w:tcBorders>
              <w:top w:val="single" w:color="000000" w:sz="4" w:space="0"/>
              <w:left w:val="single" w:color="000000" w:sz="4" w:space="0"/>
              <w:bottom w:val="single" w:color="000000" w:sz="4" w:space="0"/>
              <w:right w:val="single" w:color="000000" w:sz="4" w:space="0"/>
            </w:tcBorders>
            <w:noWrap w:val="0"/>
            <w:vAlign w:val="center"/>
          </w:tcPr>
          <w:p w14:paraId="21B5CA38">
            <w:pPr>
              <w:snapToGrid w:val="0"/>
              <w:spacing w:line="400" w:lineRule="exact"/>
              <w:jc w:val="center"/>
              <w:rPr>
                <w:rStyle w:val="31"/>
                <w:rFonts w:hint="eastAsia" w:ascii="宋体" w:hAnsi="宋体" w:eastAsia="宋体" w:cs="宋体"/>
                <w:color w:val="auto"/>
                <w:szCs w:val="21"/>
                <w:highlight w:val="none"/>
              </w:rPr>
            </w:pP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BF417D7">
            <w:pPr>
              <w:snapToGrid w:val="0"/>
              <w:spacing w:line="400" w:lineRule="exact"/>
              <w:jc w:val="center"/>
              <w:rPr>
                <w:rStyle w:val="31"/>
                <w:rFonts w:hint="eastAsia" w:ascii="宋体" w:hAnsi="宋体" w:eastAsia="宋体" w:cs="宋体"/>
                <w:color w:val="auto"/>
                <w:szCs w:val="21"/>
                <w:highlight w:val="none"/>
              </w:rPr>
            </w:pP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35798537">
            <w:pPr>
              <w:spacing w:line="300" w:lineRule="exact"/>
              <w:jc w:val="center"/>
              <w:rPr>
                <w:rFonts w:hint="eastAsia" w:ascii="宋体" w:hAnsi="宋体" w:eastAsia="宋体" w:cs="宋体"/>
                <w:color w:val="auto"/>
                <w:kern w:val="0"/>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25D29F39">
            <w:pPr>
              <w:spacing w:line="300" w:lineRule="exact"/>
              <w:jc w:val="center"/>
              <w:rPr>
                <w:rFonts w:hint="eastAsia" w:ascii="宋体" w:hAnsi="宋体" w:eastAsia="宋体" w:cs="宋体"/>
                <w:color w:val="auto"/>
                <w:kern w:val="0"/>
                <w:szCs w:val="21"/>
                <w:highlight w:val="none"/>
              </w:rPr>
            </w:pPr>
          </w:p>
        </w:tc>
        <w:tc>
          <w:tcPr>
            <w:tcW w:w="869" w:type="dxa"/>
            <w:tcBorders>
              <w:top w:val="single" w:color="000000" w:sz="4" w:space="0"/>
              <w:left w:val="single" w:color="000000" w:sz="4" w:space="0"/>
              <w:bottom w:val="single" w:color="000000" w:sz="4" w:space="0"/>
              <w:right w:val="single" w:color="000000" w:sz="4" w:space="0"/>
            </w:tcBorders>
            <w:noWrap w:val="0"/>
            <w:vAlign w:val="center"/>
          </w:tcPr>
          <w:p w14:paraId="6FFBA6A3">
            <w:pPr>
              <w:spacing w:line="300" w:lineRule="exact"/>
              <w:jc w:val="center"/>
              <w:rPr>
                <w:rFonts w:hint="eastAsia" w:ascii="宋体" w:hAnsi="宋体" w:eastAsia="宋体" w:cs="宋体"/>
                <w:color w:val="auto"/>
                <w:kern w:val="0"/>
                <w:szCs w:val="21"/>
                <w:highlight w:val="none"/>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80FFF62">
            <w:pPr>
              <w:snapToGrid w:val="0"/>
              <w:spacing w:line="400" w:lineRule="exact"/>
              <w:jc w:val="center"/>
              <w:rPr>
                <w:rFonts w:hint="eastAsia" w:ascii="宋体" w:hAnsi="宋体" w:eastAsia="宋体" w:cs="宋体"/>
                <w:color w:val="auto"/>
                <w:szCs w:val="21"/>
                <w:highlight w:val="none"/>
              </w:rPr>
            </w:pP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FB9CA80">
            <w:pPr>
              <w:snapToGrid w:val="0"/>
              <w:spacing w:line="400" w:lineRule="exact"/>
              <w:jc w:val="center"/>
              <w:rPr>
                <w:rFonts w:hint="eastAsia" w:ascii="宋体" w:hAnsi="宋体" w:eastAsia="宋体" w:cs="宋体"/>
                <w:color w:val="auto"/>
                <w:szCs w:val="21"/>
                <w:highlight w:val="none"/>
              </w:rPr>
            </w:pP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514C6D12">
            <w:pPr>
              <w:spacing w:line="360" w:lineRule="auto"/>
              <w:jc w:val="center"/>
              <w:rPr>
                <w:rStyle w:val="31"/>
                <w:rFonts w:hint="eastAsia" w:ascii="宋体" w:hAnsi="宋体" w:eastAsia="宋体" w:cs="宋体"/>
                <w:color w:val="auto"/>
                <w:szCs w:val="21"/>
                <w:highlight w:val="none"/>
              </w:rPr>
            </w:pPr>
          </w:p>
        </w:tc>
      </w:tr>
      <w:tr w14:paraId="76B64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jc w:val="center"/>
        </w:trPr>
        <w:tc>
          <w:tcPr>
            <w:tcW w:w="511" w:type="dxa"/>
            <w:tcBorders>
              <w:top w:val="single" w:color="000000" w:sz="4" w:space="0"/>
              <w:left w:val="single" w:color="000000" w:sz="4" w:space="0"/>
              <w:bottom w:val="single" w:color="000000" w:sz="4" w:space="0"/>
              <w:right w:val="single" w:color="000000" w:sz="4" w:space="0"/>
            </w:tcBorders>
            <w:noWrap w:val="0"/>
            <w:vAlign w:val="center"/>
          </w:tcPr>
          <w:p w14:paraId="2DA648B1">
            <w:pPr>
              <w:spacing w:line="300" w:lineRule="exact"/>
              <w:jc w:val="center"/>
              <w:rPr>
                <w:rFonts w:hint="eastAsia" w:ascii="宋体" w:hAnsi="宋体" w:eastAsia="宋体" w:cs="宋体"/>
                <w:color w:val="auto"/>
                <w:highlight w:val="none"/>
              </w:rPr>
            </w:pPr>
            <w:r>
              <w:rPr>
                <w:rFonts w:hint="eastAsia" w:ascii="宋体" w:hAnsi="宋体" w:eastAsia="宋体" w:cs="宋体"/>
                <w:color w:val="auto"/>
                <w:kern w:val="0"/>
                <w:szCs w:val="21"/>
                <w:highlight w:val="none"/>
              </w:rPr>
              <w:t>5</w:t>
            </w:r>
          </w:p>
        </w:tc>
        <w:tc>
          <w:tcPr>
            <w:tcW w:w="2258" w:type="dxa"/>
            <w:tcBorders>
              <w:top w:val="single" w:color="000000" w:sz="4" w:space="0"/>
              <w:left w:val="single" w:color="000000" w:sz="4" w:space="0"/>
              <w:bottom w:val="single" w:color="000000" w:sz="4" w:space="0"/>
              <w:right w:val="single" w:color="000000" w:sz="4" w:space="0"/>
            </w:tcBorders>
            <w:noWrap w:val="0"/>
            <w:vAlign w:val="center"/>
          </w:tcPr>
          <w:p w14:paraId="4C77CFF5">
            <w:pPr>
              <w:spacing w:line="300" w:lineRule="exact"/>
              <w:jc w:val="center"/>
              <w:rPr>
                <w:rFonts w:hint="eastAsia" w:ascii="宋体" w:hAnsi="宋体" w:eastAsia="宋体" w:cs="宋体"/>
                <w:color w:val="auto"/>
                <w:szCs w:val="21"/>
                <w:highlight w:val="none"/>
              </w:rPr>
            </w:pPr>
          </w:p>
        </w:tc>
        <w:tc>
          <w:tcPr>
            <w:tcW w:w="518" w:type="dxa"/>
            <w:tcBorders>
              <w:top w:val="single" w:color="000000" w:sz="4" w:space="0"/>
              <w:left w:val="single" w:color="000000" w:sz="4" w:space="0"/>
              <w:bottom w:val="single" w:color="000000" w:sz="4" w:space="0"/>
              <w:right w:val="single" w:color="000000" w:sz="4" w:space="0"/>
            </w:tcBorders>
            <w:noWrap w:val="0"/>
            <w:vAlign w:val="center"/>
          </w:tcPr>
          <w:p w14:paraId="44DE954A">
            <w:pPr>
              <w:snapToGrid w:val="0"/>
              <w:spacing w:line="400" w:lineRule="exact"/>
              <w:jc w:val="center"/>
              <w:rPr>
                <w:rStyle w:val="31"/>
                <w:rFonts w:hint="eastAsia" w:ascii="宋体" w:hAnsi="宋体" w:eastAsia="宋体" w:cs="宋体"/>
                <w:color w:val="auto"/>
                <w:szCs w:val="21"/>
                <w:highlight w:val="none"/>
              </w:rPr>
            </w:pP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1498D56">
            <w:pPr>
              <w:snapToGrid w:val="0"/>
              <w:spacing w:line="400" w:lineRule="exact"/>
              <w:jc w:val="center"/>
              <w:rPr>
                <w:rStyle w:val="31"/>
                <w:rFonts w:hint="eastAsia" w:ascii="宋体" w:hAnsi="宋体" w:eastAsia="宋体" w:cs="宋体"/>
                <w:color w:val="auto"/>
                <w:szCs w:val="21"/>
                <w:highlight w:val="none"/>
              </w:rPr>
            </w:pP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5B102273">
            <w:pPr>
              <w:spacing w:line="300" w:lineRule="exact"/>
              <w:jc w:val="center"/>
              <w:rPr>
                <w:rFonts w:hint="eastAsia" w:ascii="宋体" w:hAnsi="宋体" w:eastAsia="宋体" w:cs="宋体"/>
                <w:color w:val="auto"/>
                <w:kern w:val="0"/>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25B4DC8E">
            <w:pPr>
              <w:spacing w:line="300" w:lineRule="exact"/>
              <w:jc w:val="center"/>
              <w:rPr>
                <w:rFonts w:hint="eastAsia" w:ascii="宋体" w:hAnsi="宋体" w:eastAsia="宋体" w:cs="宋体"/>
                <w:color w:val="auto"/>
                <w:kern w:val="0"/>
                <w:szCs w:val="21"/>
                <w:highlight w:val="none"/>
              </w:rPr>
            </w:pPr>
          </w:p>
        </w:tc>
        <w:tc>
          <w:tcPr>
            <w:tcW w:w="869" w:type="dxa"/>
            <w:tcBorders>
              <w:top w:val="single" w:color="000000" w:sz="4" w:space="0"/>
              <w:left w:val="single" w:color="000000" w:sz="4" w:space="0"/>
              <w:bottom w:val="single" w:color="000000" w:sz="4" w:space="0"/>
              <w:right w:val="single" w:color="000000" w:sz="4" w:space="0"/>
            </w:tcBorders>
            <w:noWrap w:val="0"/>
            <w:vAlign w:val="center"/>
          </w:tcPr>
          <w:p w14:paraId="51AFF275">
            <w:pPr>
              <w:spacing w:line="300" w:lineRule="exact"/>
              <w:jc w:val="center"/>
              <w:rPr>
                <w:rFonts w:hint="eastAsia" w:ascii="宋体" w:hAnsi="宋体" w:eastAsia="宋体" w:cs="宋体"/>
                <w:color w:val="auto"/>
                <w:kern w:val="0"/>
                <w:szCs w:val="21"/>
                <w:highlight w:val="none"/>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7B63386">
            <w:pPr>
              <w:snapToGrid w:val="0"/>
              <w:spacing w:line="400" w:lineRule="exact"/>
              <w:jc w:val="center"/>
              <w:rPr>
                <w:rFonts w:hint="eastAsia" w:ascii="宋体" w:hAnsi="宋体" w:eastAsia="宋体" w:cs="宋体"/>
                <w:color w:val="auto"/>
                <w:szCs w:val="21"/>
                <w:highlight w:val="none"/>
              </w:rPr>
            </w:pP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EDD493F">
            <w:pPr>
              <w:snapToGrid w:val="0"/>
              <w:spacing w:line="400" w:lineRule="exact"/>
              <w:jc w:val="center"/>
              <w:rPr>
                <w:rFonts w:hint="eastAsia" w:ascii="宋体" w:hAnsi="宋体" w:eastAsia="宋体" w:cs="宋体"/>
                <w:color w:val="auto"/>
                <w:szCs w:val="21"/>
                <w:highlight w:val="none"/>
              </w:rPr>
            </w:pP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6B611FF5">
            <w:pPr>
              <w:spacing w:line="360" w:lineRule="auto"/>
              <w:jc w:val="center"/>
              <w:rPr>
                <w:rStyle w:val="31"/>
                <w:rFonts w:hint="eastAsia" w:ascii="宋体" w:hAnsi="宋体" w:eastAsia="宋体" w:cs="宋体"/>
                <w:color w:val="auto"/>
                <w:szCs w:val="21"/>
                <w:highlight w:val="none"/>
              </w:rPr>
            </w:pPr>
          </w:p>
        </w:tc>
      </w:tr>
      <w:tr w14:paraId="3239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jc w:val="center"/>
        </w:trPr>
        <w:tc>
          <w:tcPr>
            <w:tcW w:w="511" w:type="dxa"/>
            <w:tcBorders>
              <w:top w:val="single" w:color="000000" w:sz="4" w:space="0"/>
              <w:left w:val="single" w:color="000000" w:sz="4" w:space="0"/>
              <w:bottom w:val="single" w:color="000000" w:sz="4" w:space="0"/>
              <w:right w:val="single" w:color="000000" w:sz="4" w:space="0"/>
            </w:tcBorders>
            <w:noWrap w:val="0"/>
            <w:vAlign w:val="center"/>
          </w:tcPr>
          <w:p w14:paraId="3920294B">
            <w:pPr>
              <w:spacing w:line="300" w:lineRule="exact"/>
              <w:jc w:val="center"/>
              <w:rPr>
                <w:rFonts w:hint="eastAsia" w:ascii="宋体" w:hAnsi="宋体" w:eastAsia="宋体" w:cs="宋体"/>
                <w:color w:val="auto"/>
                <w:highlight w:val="none"/>
              </w:rPr>
            </w:pPr>
            <w:r>
              <w:rPr>
                <w:rFonts w:hint="eastAsia" w:ascii="宋体" w:hAnsi="宋体" w:eastAsia="宋体" w:cs="宋体"/>
                <w:color w:val="auto"/>
                <w:kern w:val="0"/>
                <w:szCs w:val="21"/>
                <w:highlight w:val="none"/>
              </w:rPr>
              <w:t>6</w:t>
            </w:r>
          </w:p>
        </w:tc>
        <w:tc>
          <w:tcPr>
            <w:tcW w:w="2258" w:type="dxa"/>
            <w:tcBorders>
              <w:top w:val="single" w:color="000000" w:sz="4" w:space="0"/>
              <w:left w:val="single" w:color="000000" w:sz="4" w:space="0"/>
              <w:bottom w:val="single" w:color="000000" w:sz="4" w:space="0"/>
              <w:right w:val="single" w:color="000000" w:sz="4" w:space="0"/>
            </w:tcBorders>
            <w:noWrap w:val="0"/>
            <w:vAlign w:val="center"/>
          </w:tcPr>
          <w:p w14:paraId="152A3E08">
            <w:pPr>
              <w:spacing w:line="300" w:lineRule="exact"/>
              <w:jc w:val="center"/>
              <w:rPr>
                <w:rFonts w:hint="eastAsia" w:ascii="宋体" w:hAnsi="宋体" w:eastAsia="宋体" w:cs="宋体"/>
                <w:color w:val="auto"/>
                <w:szCs w:val="21"/>
                <w:highlight w:val="none"/>
              </w:rPr>
            </w:pPr>
          </w:p>
        </w:tc>
        <w:tc>
          <w:tcPr>
            <w:tcW w:w="518" w:type="dxa"/>
            <w:tcBorders>
              <w:top w:val="single" w:color="000000" w:sz="4" w:space="0"/>
              <w:left w:val="single" w:color="000000" w:sz="4" w:space="0"/>
              <w:bottom w:val="single" w:color="000000" w:sz="4" w:space="0"/>
              <w:right w:val="single" w:color="000000" w:sz="4" w:space="0"/>
            </w:tcBorders>
            <w:noWrap w:val="0"/>
            <w:vAlign w:val="center"/>
          </w:tcPr>
          <w:p w14:paraId="75C64C18">
            <w:pPr>
              <w:snapToGrid w:val="0"/>
              <w:spacing w:line="400" w:lineRule="exact"/>
              <w:jc w:val="center"/>
              <w:rPr>
                <w:rStyle w:val="31"/>
                <w:rFonts w:hint="eastAsia" w:ascii="宋体" w:hAnsi="宋体" w:eastAsia="宋体" w:cs="宋体"/>
                <w:color w:val="auto"/>
                <w:szCs w:val="21"/>
                <w:highlight w:val="none"/>
              </w:rPr>
            </w:pP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60E118C">
            <w:pPr>
              <w:snapToGrid w:val="0"/>
              <w:spacing w:line="400" w:lineRule="exact"/>
              <w:jc w:val="center"/>
              <w:rPr>
                <w:rStyle w:val="31"/>
                <w:rFonts w:hint="eastAsia" w:ascii="宋体" w:hAnsi="宋体" w:eastAsia="宋体" w:cs="宋体"/>
                <w:color w:val="auto"/>
                <w:szCs w:val="21"/>
                <w:highlight w:val="none"/>
              </w:rPr>
            </w:pP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3BEB2984">
            <w:pPr>
              <w:spacing w:line="300" w:lineRule="exact"/>
              <w:jc w:val="center"/>
              <w:rPr>
                <w:rFonts w:hint="eastAsia" w:ascii="宋体" w:hAnsi="宋体" w:eastAsia="宋体" w:cs="宋体"/>
                <w:color w:val="auto"/>
                <w:kern w:val="0"/>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01AD966A">
            <w:pPr>
              <w:spacing w:line="300" w:lineRule="exact"/>
              <w:jc w:val="center"/>
              <w:rPr>
                <w:rFonts w:hint="eastAsia" w:ascii="宋体" w:hAnsi="宋体" w:eastAsia="宋体" w:cs="宋体"/>
                <w:color w:val="auto"/>
                <w:kern w:val="0"/>
                <w:szCs w:val="21"/>
                <w:highlight w:val="none"/>
              </w:rPr>
            </w:pPr>
          </w:p>
        </w:tc>
        <w:tc>
          <w:tcPr>
            <w:tcW w:w="869" w:type="dxa"/>
            <w:tcBorders>
              <w:top w:val="single" w:color="000000" w:sz="4" w:space="0"/>
              <w:left w:val="single" w:color="000000" w:sz="4" w:space="0"/>
              <w:bottom w:val="single" w:color="000000" w:sz="4" w:space="0"/>
              <w:right w:val="single" w:color="000000" w:sz="4" w:space="0"/>
            </w:tcBorders>
            <w:noWrap w:val="0"/>
            <w:vAlign w:val="center"/>
          </w:tcPr>
          <w:p w14:paraId="259B2F81">
            <w:pPr>
              <w:spacing w:line="300" w:lineRule="exact"/>
              <w:jc w:val="center"/>
              <w:rPr>
                <w:rFonts w:hint="eastAsia" w:ascii="宋体" w:hAnsi="宋体" w:eastAsia="宋体" w:cs="宋体"/>
                <w:color w:val="auto"/>
                <w:kern w:val="0"/>
                <w:szCs w:val="21"/>
                <w:highlight w:val="none"/>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01D7F2E">
            <w:pPr>
              <w:snapToGrid w:val="0"/>
              <w:spacing w:line="400" w:lineRule="exact"/>
              <w:jc w:val="center"/>
              <w:rPr>
                <w:rFonts w:hint="eastAsia" w:ascii="宋体" w:hAnsi="宋体" w:eastAsia="宋体" w:cs="宋体"/>
                <w:color w:val="auto"/>
                <w:szCs w:val="21"/>
                <w:highlight w:val="none"/>
              </w:rPr>
            </w:pP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155DE91">
            <w:pPr>
              <w:snapToGrid w:val="0"/>
              <w:spacing w:line="400" w:lineRule="exact"/>
              <w:jc w:val="center"/>
              <w:rPr>
                <w:rFonts w:hint="eastAsia" w:ascii="宋体" w:hAnsi="宋体" w:eastAsia="宋体" w:cs="宋体"/>
                <w:color w:val="auto"/>
                <w:szCs w:val="21"/>
                <w:highlight w:val="none"/>
              </w:rPr>
            </w:pP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15EE6888">
            <w:pPr>
              <w:spacing w:line="360" w:lineRule="auto"/>
              <w:jc w:val="center"/>
              <w:rPr>
                <w:rStyle w:val="31"/>
                <w:rFonts w:hint="eastAsia" w:ascii="宋体" w:hAnsi="宋体" w:eastAsia="宋体" w:cs="宋体"/>
                <w:color w:val="auto"/>
                <w:szCs w:val="21"/>
                <w:highlight w:val="none"/>
              </w:rPr>
            </w:pPr>
          </w:p>
        </w:tc>
      </w:tr>
      <w:tr w14:paraId="29DF6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jc w:val="center"/>
        </w:trPr>
        <w:tc>
          <w:tcPr>
            <w:tcW w:w="511" w:type="dxa"/>
            <w:tcBorders>
              <w:top w:val="single" w:color="000000" w:sz="4" w:space="0"/>
              <w:left w:val="single" w:color="000000" w:sz="4" w:space="0"/>
              <w:bottom w:val="single" w:color="000000" w:sz="4" w:space="0"/>
              <w:right w:val="single" w:color="000000" w:sz="4" w:space="0"/>
            </w:tcBorders>
            <w:noWrap w:val="0"/>
            <w:vAlign w:val="center"/>
          </w:tcPr>
          <w:p w14:paraId="517C6596">
            <w:pPr>
              <w:spacing w:line="300" w:lineRule="exact"/>
              <w:jc w:val="center"/>
              <w:rPr>
                <w:rFonts w:hint="eastAsia" w:ascii="宋体" w:hAnsi="宋体" w:eastAsia="宋体" w:cs="宋体"/>
                <w:color w:val="auto"/>
                <w:highlight w:val="none"/>
              </w:rPr>
            </w:pPr>
            <w:r>
              <w:rPr>
                <w:rFonts w:hint="eastAsia" w:ascii="宋体" w:hAnsi="宋体" w:eastAsia="宋体" w:cs="宋体"/>
                <w:color w:val="auto"/>
                <w:kern w:val="0"/>
                <w:szCs w:val="21"/>
                <w:highlight w:val="none"/>
              </w:rPr>
              <w:t>7</w:t>
            </w:r>
          </w:p>
        </w:tc>
        <w:tc>
          <w:tcPr>
            <w:tcW w:w="2258" w:type="dxa"/>
            <w:tcBorders>
              <w:top w:val="single" w:color="000000" w:sz="4" w:space="0"/>
              <w:left w:val="single" w:color="000000" w:sz="4" w:space="0"/>
              <w:bottom w:val="single" w:color="000000" w:sz="4" w:space="0"/>
              <w:right w:val="single" w:color="000000" w:sz="4" w:space="0"/>
            </w:tcBorders>
            <w:noWrap w:val="0"/>
            <w:vAlign w:val="center"/>
          </w:tcPr>
          <w:p w14:paraId="225DA298">
            <w:pPr>
              <w:spacing w:line="300" w:lineRule="exact"/>
              <w:jc w:val="center"/>
              <w:rPr>
                <w:rFonts w:hint="eastAsia" w:ascii="宋体" w:hAnsi="宋体" w:eastAsia="宋体" w:cs="宋体"/>
                <w:color w:val="auto"/>
                <w:szCs w:val="21"/>
                <w:highlight w:val="none"/>
              </w:rPr>
            </w:pPr>
          </w:p>
        </w:tc>
        <w:tc>
          <w:tcPr>
            <w:tcW w:w="518" w:type="dxa"/>
            <w:tcBorders>
              <w:top w:val="single" w:color="000000" w:sz="4" w:space="0"/>
              <w:left w:val="single" w:color="000000" w:sz="4" w:space="0"/>
              <w:bottom w:val="single" w:color="000000" w:sz="4" w:space="0"/>
              <w:right w:val="single" w:color="000000" w:sz="4" w:space="0"/>
            </w:tcBorders>
            <w:noWrap w:val="0"/>
            <w:vAlign w:val="center"/>
          </w:tcPr>
          <w:p w14:paraId="2AE509B1">
            <w:pPr>
              <w:snapToGrid w:val="0"/>
              <w:spacing w:line="400" w:lineRule="exact"/>
              <w:jc w:val="center"/>
              <w:rPr>
                <w:rStyle w:val="31"/>
                <w:rFonts w:hint="eastAsia" w:ascii="宋体" w:hAnsi="宋体" w:eastAsia="宋体" w:cs="宋体"/>
                <w:color w:val="auto"/>
                <w:szCs w:val="21"/>
                <w:highlight w:val="none"/>
              </w:rPr>
            </w:pP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8458DA1">
            <w:pPr>
              <w:snapToGrid w:val="0"/>
              <w:spacing w:line="400" w:lineRule="exact"/>
              <w:jc w:val="center"/>
              <w:rPr>
                <w:rStyle w:val="31"/>
                <w:rFonts w:hint="eastAsia" w:ascii="宋体" w:hAnsi="宋体" w:eastAsia="宋体" w:cs="宋体"/>
                <w:color w:val="auto"/>
                <w:szCs w:val="21"/>
                <w:highlight w:val="none"/>
              </w:rPr>
            </w:pP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53115D0C">
            <w:pPr>
              <w:spacing w:line="300" w:lineRule="exact"/>
              <w:jc w:val="center"/>
              <w:rPr>
                <w:rFonts w:hint="eastAsia" w:ascii="宋体" w:hAnsi="宋体" w:eastAsia="宋体" w:cs="宋体"/>
                <w:color w:val="auto"/>
                <w:kern w:val="0"/>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588813BC">
            <w:pPr>
              <w:spacing w:line="300" w:lineRule="exact"/>
              <w:jc w:val="center"/>
              <w:rPr>
                <w:rFonts w:hint="eastAsia" w:ascii="宋体" w:hAnsi="宋体" w:eastAsia="宋体" w:cs="宋体"/>
                <w:color w:val="auto"/>
                <w:kern w:val="0"/>
                <w:szCs w:val="21"/>
                <w:highlight w:val="none"/>
              </w:rPr>
            </w:pPr>
          </w:p>
        </w:tc>
        <w:tc>
          <w:tcPr>
            <w:tcW w:w="869" w:type="dxa"/>
            <w:tcBorders>
              <w:top w:val="single" w:color="000000" w:sz="4" w:space="0"/>
              <w:left w:val="single" w:color="000000" w:sz="4" w:space="0"/>
              <w:bottom w:val="single" w:color="000000" w:sz="4" w:space="0"/>
              <w:right w:val="single" w:color="000000" w:sz="4" w:space="0"/>
            </w:tcBorders>
            <w:noWrap w:val="0"/>
            <w:vAlign w:val="center"/>
          </w:tcPr>
          <w:p w14:paraId="4FE47A60">
            <w:pPr>
              <w:spacing w:line="300" w:lineRule="exact"/>
              <w:jc w:val="center"/>
              <w:rPr>
                <w:rFonts w:hint="eastAsia" w:ascii="宋体" w:hAnsi="宋体" w:eastAsia="宋体" w:cs="宋体"/>
                <w:color w:val="auto"/>
                <w:kern w:val="0"/>
                <w:szCs w:val="21"/>
                <w:highlight w:val="none"/>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3DBD533">
            <w:pPr>
              <w:snapToGrid w:val="0"/>
              <w:spacing w:line="400" w:lineRule="exact"/>
              <w:jc w:val="center"/>
              <w:rPr>
                <w:rFonts w:hint="eastAsia" w:ascii="宋体" w:hAnsi="宋体" w:eastAsia="宋体" w:cs="宋体"/>
                <w:color w:val="auto"/>
                <w:szCs w:val="21"/>
                <w:highlight w:val="none"/>
              </w:rPr>
            </w:pP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95DEA36">
            <w:pPr>
              <w:snapToGrid w:val="0"/>
              <w:spacing w:line="400" w:lineRule="exact"/>
              <w:jc w:val="center"/>
              <w:rPr>
                <w:rFonts w:hint="eastAsia" w:ascii="宋体" w:hAnsi="宋体" w:eastAsia="宋体" w:cs="宋体"/>
                <w:color w:val="auto"/>
                <w:szCs w:val="21"/>
                <w:highlight w:val="none"/>
              </w:rPr>
            </w:pP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43547E98">
            <w:pPr>
              <w:spacing w:line="360" w:lineRule="auto"/>
              <w:jc w:val="center"/>
              <w:rPr>
                <w:rStyle w:val="31"/>
                <w:rFonts w:hint="eastAsia" w:ascii="宋体" w:hAnsi="宋体" w:eastAsia="宋体" w:cs="宋体"/>
                <w:color w:val="auto"/>
                <w:szCs w:val="21"/>
                <w:highlight w:val="none"/>
              </w:rPr>
            </w:pPr>
          </w:p>
        </w:tc>
      </w:tr>
      <w:tr w14:paraId="79204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jc w:val="center"/>
        </w:trPr>
        <w:tc>
          <w:tcPr>
            <w:tcW w:w="8996" w:type="dxa"/>
            <w:gridSpan w:val="10"/>
            <w:tcBorders>
              <w:top w:val="single" w:color="000000" w:sz="4" w:space="0"/>
              <w:left w:val="single" w:color="000000" w:sz="4" w:space="0"/>
              <w:bottom w:val="single" w:color="000000" w:sz="4" w:space="0"/>
              <w:right w:val="single" w:color="000000" w:sz="4" w:space="0"/>
            </w:tcBorders>
            <w:noWrap w:val="0"/>
            <w:vAlign w:val="center"/>
          </w:tcPr>
          <w:p w14:paraId="745EFF34">
            <w:pPr>
              <w:spacing w:line="360" w:lineRule="auto"/>
              <w:jc w:val="center"/>
              <w:rPr>
                <w:rStyle w:val="31"/>
                <w:rFonts w:hint="eastAsia" w:ascii="宋体" w:hAnsi="宋体" w:eastAsia="宋体" w:cs="宋体"/>
                <w:color w:val="auto"/>
                <w:szCs w:val="21"/>
                <w:highlight w:val="none"/>
              </w:rPr>
            </w:pPr>
            <w:r>
              <w:rPr>
                <w:rStyle w:val="31"/>
                <w:rFonts w:hint="eastAsia" w:ascii="宋体" w:hAnsi="宋体" w:eastAsia="宋体" w:cs="宋体"/>
                <w:b/>
                <w:color w:val="auto"/>
                <w:szCs w:val="21"/>
                <w:highlight w:val="none"/>
                <w:lang w:val="en-US"/>
              </w:rPr>
              <w:t>总计</w:t>
            </w:r>
            <w:r>
              <w:rPr>
                <w:rStyle w:val="31"/>
                <w:rFonts w:hint="eastAsia" w:ascii="宋体" w:hAnsi="宋体" w:eastAsia="宋体" w:cs="宋体"/>
                <w:b/>
                <w:color w:val="auto"/>
                <w:szCs w:val="21"/>
                <w:highlight w:val="none"/>
              </w:rPr>
              <w:t>金额：人民币（大写）   整 ；          （小写）¥    元</w:t>
            </w:r>
          </w:p>
        </w:tc>
      </w:tr>
    </w:tbl>
    <w:p w14:paraId="743BB248">
      <w:pPr>
        <w:rPr>
          <w:rFonts w:hint="eastAsia" w:ascii="宋体" w:hAnsi="宋体" w:eastAsia="宋体" w:cs="宋体"/>
          <w:b/>
          <w:color w:val="auto"/>
          <w:highlight w:val="none"/>
        </w:rPr>
      </w:pPr>
    </w:p>
    <w:p w14:paraId="71CEA473">
      <w:pPr>
        <w:rPr>
          <w:rFonts w:hint="eastAsia" w:ascii="宋体" w:hAnsi="宋体" w:eastAsia="宋体" w:cs="宋体"/>
          <w:b/>
          <w:color w:val="auto"/>
          <w:highlight w:val="none"/>
        </w:rPr>
      </w:pPr>
      <w:r>
        <w:rPr>
          <w:rFonts w:hint="eastAsia" w:ascii="宋体" w:hAnsi="宋体" w:eastAsia="宋体" w:cs="宋体"/>
          <w:b/>
          <w:color w:val="auto"/>
          <w:highlight w:val="none"/>
        </w:rPr>
        <w:t>附件2.产品技术参数</w:t>
      </w:r>
    </w:p>
    <w:tbl>
      <w:tblPr>
        <w:tblStyle w:val="21"/>
        <w:tblW w:w="9198"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8"/>
        <w:gridCol w:w="588"/>
        <w:gridCol w:w="8202"/>
      </w:tblGrid>
      <w:tr w14:paraId="07C27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 w:hRule="atLeast"/>
        </w:trPr>
        <w:tc>
          <w:tcPr>
            <w:tcW w:w="408" w:type="dxa"/>
            <w:tcBorders>
              <w:top w:val="single" w:color="000000" w:sz="4" w:space="0"/>
              <w:left w:val="single" w:color="000000" w:sz="4" w:space="0"/>
              <w:bottom w:val="single" w:color="000000" w:sz="4" w:space="0"/>
              <w:right w:val="single" w:color="000000" w:sz="4" w:space="0"/>
            </w:tcBorders>
            <w:noWrap w:val="0"/>
            <w:vAlign w:val="center"/>
          </w:tcPr>
          <w:p w14:paraId="63074DE8">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序号</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14042850">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名称</w:t>
            </w:r>
          </w:p>
        </w:tc>
        <w:tc>
          <w:tcPr>
            <w:tcW w:w="8202" w:type="dxa"/>
            <w:tcBorders>
              <w:top w:val="single" w:color="000000" w:sz="4" w:space="0"/>
              <w:left w:val="single" w:color="000000" w:sz="4" w:space="0"/>
              <w:bottom w:val="single" w:color="000000" w:sz="4" w:space="0"/>
              <w:right w:val="single" w:color="000000" w:sz="4" w:space="0"/>
            </w:tcBorders>
            <w:noWrap w:val="0"/>
            <w:vAlign w:val="center"/>
          </w:tcPr>
          <w:p w14:paraId="7BC313EE">
            <w:pPr>
              <w:spacing w:line="360" w:lineRule="auto"/>
              <w:jc w:val="center"/>
              <w:rPr>
                <w:rStyle w:val="31"/>
                <w:rFonts w:hint="eastAsia" w:ascii="宋体" w:hAnsi="宋体" w:eastAsia="宋体" w:cs="宋体"/>
                <w:b/>
                <w:color w:val="auto"/>
                <w:szCs w:val="21"/>
                <w:highlight w:val="none"/>
              </w:rPr>
            </w:pPr>
            <w:r>
              <w:rPr>
                <w:rStyle w:val="31"/>
                <w:rFonts w:hint="eastAsia" w:ascii="宋体" w:hAnsi="宋体" w:eastAsia="宋体" w:cs="宋体"/>
                <w:b/>
                <w:color w:val="auto"/>
                <w:szCs w:val="21"/>
                <w:highlight w:val="none"/>
              </w:rPr>
              <w:t>详细技术参数</w:t>
            </w:r>
          </w:p>
        </w:tc>
      </w:tr>
      <w:tr w14:paraId="7DC17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0" w:hRule="atLeast"/>
        </w:trPr>
        <w:tc>
          <w:tcPr>
            <w:tcW w:w="408" w:type="dxa"/>
            <w:tcBorders>
              <w:top w:val="single" w:color="000000" w:sz="4" w:space="0"/>
              <w:left w:val="single" w:color="000000" w:sz="4" w:space="0"/>
              <w:bottom w:val="single" w:color="000000" w:sz="4" w:space="0"/>
              <w:right w:val="single" w:color="000000" w:sz="4" w:space="0"/>
            </w:tcBorders>
            <w:noWrap w:val="0"/>
            <w:vAlign w:val="center"/>
          </w:tcPr>
          <w:p w14:paraId="081E6320">
            <w:pPr>
              <w:spacing w:line="280" w:lineRule="exact"/>
              <w:jc w:val="center"/>
              <w:rPr>
                <w:rStyle w:val="31"/>
                <w:rFonts w:hint="eastAsia" w:ascii="宋体" w:hAnsi="宋体" w:eastAsia="宋体" w:cs="宋体"/>
                <w:color w:val="auto"/>
                <w:szCs w:val="21"/>
                <w:highlight w:val="none"/>
              </w:rPr>
            </w:pP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21DCED1A">
            <w:pPr>
              <w:spacing w:line="300" w:lineRule="exact"/>
              <w:jc w:val="center"/>
              <w:rPr>
                <w:rFonts w:hint="eastAsia" w:ascii="宋体" w:hAnsi="宋体" w:eastAsia="宋体" w:cs="宋体"/>
                <w:color w:val="auto"/>
                <w:szCs w:val="21"/>
                <w:highlight w:val="none"/>
              </w:rPr>
            </w:pPr>
          </w:p>
        </w:tc>
        <w:tc>
          <w:tcPr>
            <w:tcW w:w="8202" w:type="dxa"/>
            <w:tcBorders>
              <w:top w:val="single" w:color="000000" w:sz="4" w:space="0"/>
              <w:left w:val="single" w:color="000000" w:sz="4" w:space="0"/>
              <w:bottom w:val="single" w:color="000000" w:sz="4" w:space="0"/>
              <w:right w:val="single" w:color="000000" w:sz="4" w:space="0"/>
            </w:tcBorders>
            <w:noWrap w:val="0"/>
            <w:vAlign w:val="center"/>
          </w:tcPr>
          <w:p w14:paraId="3B0B1C34">
            <w:pPr>
              <w:spacing w:line="280" w:lineRule="exact"/>
              <w:jc w:val="left"/>
              <w:rPr>
                <w:rFonts w:hint="eastAsia" w:ascii="宋体" w:hAnsi="宋体" w:eastAsia="宋体" w:cs="宋体"/>
                <w:color w:val="auto"/>
                <w:szCs w:val="21"/>
                <w:highlight w:val="none"/>
              </w:rPr>
            </w:pPr>
          </w:p>
        </w:tc>
      </w:tr>
    </w:tbl>
    <w:p w14:paraId="1D1ABFD6">
      <w:pPr>
        <w:rPr>
          <w:rFonts w:hint="eastAsia" w:ascii="宋体" w:hAnsi="宋体" w:eastAsia="宋体" w:cs="宋体"/>
          <w:color w:val="auto"/>
          <w:highlight w:val="none"/>
        </w:rPr>
        <w:sectPr>
          <w:headerReference r:id="rId7" w:type="default"/>
          <w:footerReference r:id="rId8" w:type="default"/>
          <w:pgSz w:w="11906" w:h="16838"/>
          <w:pgMar w:top="1440" w:right="1286" w:bottom="1440" w:left="1400" w:header="680" w:footer="992" w:gutter="0"/>
          <w:pgNumType w:fmt="numberInDash" w:start="1"/>
          <w:cols w:space="720" w:num="1"/>
          <w:docGrid w:type="lines" w:linePitch="312" w:charSpace="0"/>
        </w:sectPr>
      </w:pPr>
    </w:p>
    <w:bookmarkEnd w:id="29"/>
    <w:p w14:paraId="34C24F4F">
      <w:pPr>
        <w:pStyle w:val="3"/>
        <w:numPr>
          <w:ilvl w:val="0"/>
          <w:numId w:val="0"/>
        </w:numPr>
        <w:ind w:right="18" w:rightChars="0"/>
        <w:jc w:val="center"/>
        <w:rPr>
          <w:rFonts w:hint="eastAsia" w:ascii="宋体" w:hAnsi="宋体" w:eastAsia="宋体" w:cs="宋体"/>
          <w:color w:val="auto"/>
          <w:highlight w:val="none"/>
          <w:lang w:eastAsia="zh-CN"/>
        </w:rPr>
      </w:pPr>
      <w:r>
        <w:rPr>
          <w:rFonts w:hint="eastAsia" w:ascii="宋体" w:hAnsi="宋体" w:eastAsia="宋体" w:cs="Times New Roman"/>
          <w:b/>
          <w:bCs/>
          <w:color w:val="auto"/>
          <w:kern w:val="0"/>
          <w:sz w:val="32"/>
          <w:szCs w:val="32"/>
          <w:highlight w:val="none"/>
          <w:lang w:val="zh-CN" w:eastAsia="zh-CN" w:bidi="ar-SA"/>
        </w:rPr>
        <w:t>第四章</w:t>
      </w:r>
      <w:r>
        <w:rPr>
          <w:rFonts w:hint="eastAsia" w:ascii="宋体" w:hAnsi="宋体" w:eastAsia="宋体" w:cs="宋体"/>
          <w:color w:val="auto"/>
          <w:highlight w:val="none"/>
        </w:rPr>
        <w:t>采购内容及技术</w:t>
      </w:r>
      <w:bookmarkStart w:id="30" w:name="_Toc24485"/>
      <w:bookmarkStart w:id="31" w:name="_Toc19058"/>
      <w:r>
        <w:rPr>
          <w:rFonts w:hint="eastAsia" w:ascii="宋体" w:hAnsi="宋体" w:eastAsia="宋体" w:cs="宋体"/>
          <w:color w:val="auto"/>
          <w:highlight w:val="none"/>
          <w:lang w:eastAsia="zh-CN"/>
        </w:rPr>
        <w:t>要求</w:t>
      </w:r>
    </w:p>
    <w:p w14:paraId="04E31961">
      <w:pPr>
        <w:pStyle w:val="3"/>
        <w:numPr>
          <w:ilvl w:val="0"/>
          <w:numId w:val="0"/>
        </w:numPr>
        <w:ind w:leftChars="0" w:right="18" w:rightChars="0"/>
        <w:jc w:val="both"/>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t>（1）</w:t>
      </w:r>
      <w:r>
        <w:rPr>
          <w:rFonts w:hint="eastAsia" w:ascii="宋体" w:hAnsi="宋体" w:eastAsia="宋体" w:cs="宋体"/>
          <w:b/>
          <w:bCs/>
          <w:i w:val="0"/>
          <w:iCs w:val="0"/>
          <w:sz w:val="24"/>
          <w:szCs w:val="24"/>
          <w:highlight w:val="none"/>
          <w:lang w:val="en-US" w:eastAsia="zh-CN"/>
        </w:rPr>
        <w:t>采购内容及</w:t>
      </w:r>
      <w:r>
        <w:rPr>
          <w:rFonts w:hint="eastAsia" w:ascii="宋体" w:hAnsi="宋体" w:eastAsia="宋体" w:cs="宋体"/>
          <w:b/>
          <w:bCs/>
          <w:i w:val="0"/>
          <w:iCs w:val="0"/>
          <w:sz w:val="24"/>
          <w:szCs w:val="24"/>
          <w:highlight w:val="none"/>
        </w:rPr>
        <w:t>技术要求</w:t>
      </w:r>
    </w:p>
    <w:tbl>
      <w:tblPr>
        <w:tblStyle w:val="22"/>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819"/>
        <w:gridCol w:w="7468"/>
        <w:gridCol w:w="577"/>
        <w:gridCol w:w="473"/>
      </w:tblGrid>
      <w:tr w14:paraId="2BB27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dxa"/>
            <w:noWrap w:val="0"/>
            <w:vAlign w:val="top"/>
          </w:tcPr>
          <w:p w14:paraId="6E46425C">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819" w:type="dxa"/>
            <w:noWrap w:val="0"/>
            <w:vAlign w:val="top"/>
          </w:tcPr>
          <w:p w14:paraId="4C0F27CD">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设备名称</w:t>
            </w:r>
          </w:p>
        </w:tc>
        <w:tc>
          <w:tcPr>
            <w:tcW w:w="7468" w:type="dxa"/>
            <w:noWrap w:val="0"/>
            <w:vAlign w:val="center"/>
          </w:tcPr>
          <w:p w14:paraId="46639F05">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技术要求</w:t>
            </w:r>
          </w:p>
        </w:tc>
        <w:tc>
          <w:tcPr>
            <w:tcW w:w="577" w:type="dxa"/>
            <w:noWrap w:val="0"/>
            <w:vAlign w:val="top"/>
          </w:tcPr>
          <w:p w14:paraId="3697C839">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单位</w:t>
            </w:r>
          </w:p>
        </w:tc>
        <w:tc>
          <w:tcPr>
            <w:tcW w:w="473" w:type="dxa"/>
            <w:noWrap w:val="0"/>
            <w:vAlign w:val="top"/>
          </w:tcPr>
          <w:p w14:paraId="008B59F5">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数量</w:t>
            </w:r>
          </w:p>
        </w:tc>
      </w:tr>
      <w:tr w14:paraId="607E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dxa"/>
            <w:noWrap w:val="0"/>
            <w:vAlign w:val="top"/>
          </w:tcPr>
          <w:p w14:paraId="206CF629">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p>
          <w:p w14:paraId="1A1B6B25">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p>
          <w:p w14:paraId="41D741D7">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p>
          <w:p w14:paraId="0817902A">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p>
          <w:p w14:paraId="33CF92EA">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p>
          <w:p w14:paraId="73CE76DA">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p>
          <w:p w14:paraId="3CB51DDD">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p>
          <w:p w14:paraId="1A21CA57">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p>
          <w:p w14:paraId="3FEBE32E">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819" w:type="dxa"/>
            <w:noWrap w:val="0"/>
            <w:vAlign w:val="center"/>
          </w:tcPr>
          <w:p w14:paraId="168090B0">
            <w:pPr>
              <w:keepNext w:val="0"/>
              <w:keepLines w:val="0"/>
              <w:pageBreakBefore w:val="0"/>
              <w:widowControl w:val="0"/>
              <w:kinsoku/>
              <w:wordWrap w:val="0"/>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lang w:val="en-US" w:eastAsia="zh-CN"/>
              </w:rPr>
              <w:t>高性能服务器</w:t>
            </w:r>
          </w:p>
        </w:tc>
        <w:tc>
          <w:tcPr>
            <w:tcW w:w="7468" w:type="dxa"/>
            <w:noWrap w:val="0"/>
            <w:vAlign w:val="center"/>
          </w:tcPr>
          <w:p w14:paraId="044434F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1.性能指标</w:t>
            </w:r>
          </w:p>
          <w:p w14:paraId="7A0175F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1）产品类型：≥2U机架式服务器，性能满足120人实践教学同时使用，国产品牌，标配原厂导轨；</w:t>
            </w:r>
          </w:p>
          <w:p w14:paraId="52D0E62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2）处理器：配置2颗Intel 6252 处理器，单颗处理器≥24核，主频≥2.1GHz；</w:t>
            </w:r>
          </w:p>
          <w:p w14:paraId="587C9EC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3）内存：配置≥8条32G DDR4内存，支持≥24内存插槽；</w:t>
            </w:r>
          </w:p>
          <w:p w14:paraId="1302CFE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4）存储：配置≥6块960GB SSD硬盘，最大支持≥8块2.5/3.5英寸热插拔硬盘；</w:t>
            </w:r>
          </w:p>
          <w:p w14:paraId="02CEC03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5）网卡：本次配置≥4个千兆网口， ≥2个万兆光口(含多模模块),支持OCP3.0网卡模块；</w:t>
            </w:r>
          </w:p>
          <w:p w14:paraId="1B6E4FED">
            <w:pPr>
              <w:keepNext w:val="0"/>
              <w:keepLines w:val="0"/>
              <w:pageBreakBefore w:val="0"/>
              <w:widowControl w:val="0"/>
              <w:kinsoku/>
              <w:wordWrap w:val="0"/>
              <w:overflowPunct/>
              <w:topLinePunct w:val="0"/>
              <w:autoSpaceDE/>
              <w:autoSpaceDN/>
              <w:bidi w:val="0"/>
              <w:adjustRightInd w:val="0"/>
              <w:snapToGrid w:val="0"/>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6）RAID卡：配置8通道RAID卡，≥2G缓存，支持RAID0/1/5/10/50/60；</w:t>
            </w:r>
          </w:p>
          <w:p w14:paraId="63B2F651">
            <w:pPr>
              <w:keepNext w:val="0"/>
              <w:keepLines w:val="0"/>
              <w:pageBreakBefore w:val="0"/>
              <w:widowControl w:val="0"/>
              <w:kinsoku/>
              <w:wordWrap w:val="0"/>
              <w:overflowPunct/>
              <w:topLinePunct w:val="0"/>
              <w:autoSpaceDE/>
              <w:autoSpaceDN/>
              <w:bidi w:val="0"/>
              <w:adjustRightInd w:val="0"/>
              <w:snapToGrid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7）IO扩展：支持≥8个PCIE插槽，支持1个OCP专用PCIE插槽；</w:t>
            </w:r>
          </w:p>
          <w:p w14:paraId="2128A866">
            <w:pPr>
              <w:keepNext w:val="0"/>
              <w:keepLines w:val="0"/>
              <w:pageBreakBefore w:val="0"/>
              <w:widowControl w:val="0"/>
              <w:kinsoku/>
              <w:wordWrap w:val="0"/>
              <w:overflowPunct/>
              <w:topLinePunct w:val="0"/>
              <w:autoSpaceDE/>
              <w:autoSpaceDN/>
              <w:bidi w:val="0"/>
              <w:adjustRightInd w:val="0"/>
              <w:snapToGrid w:val="0"/>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8）电源风扇：配置≥2个热插拔电源，功率≥900W，配置≥4个冗余双转子风扇，风扇转速自动调节。</w:t>
            </w:r>
          </w:p>
          <w:p w14:paraId="6583C856">
            <w:pPr>
              <w:keepNext w:val="0"/>
              <w:keepLines w:val="0"/>
              <w:pageBreakBefore w:val="0"/>
              <w:widowControl w:val="0"/>
              <w:kinsoku/>
              <w:wordWrap w:val="0"/>
              <w:overflowPunct/>
              <w:topLinePunct w:val="0"/>
              <w:autoSpaceDE/>
              <w:autoSpaceDN/>
              <w:bidi w:val="0"/>
              <w:adjustRightInd w:val="0"/>
              <w:snapToGrid w:val="0"/>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2.服务指标</w:t>
            </w:r>
          </w:p>
          <w:p w14:paraId="3252C392">
            <w:pPr>
              <w:keepNext w:val="0"/>
              <w:keepLines w:val="0"/>
              <w:pageBreakBefore w:val="0"/>
              <w:widowControl w:val="0"/>
              <w:kinsoku/>
              <w:wordWrap w:val="0"/>
              <w:overflowPunct/>
              <w:topLinePunct w:val="0"/>
              <w:autoSpaceDE/>
              <w:autoSpaceDN/>
              <w:bidi w:val="0"/>
              <w:adjustRightInd w:val="0"/>
              <w:snapToGrid w:val="0"/>
              <w:spacing w:line="360" w:lineRule="auto"/>
              <w:jc w:val="both"/>
              <w:rPr>
                <w:rFonts w:hint="eastAsia" w:ascii="宋体" w:hAnsi="宋体" w:eastAsia="宋体" w:cs="宋体"/>
                <w:highlight w:val="none"/>
              </w:rPr>
            </w:pPr>
            <w:r>
              <w:rPr>
                <w:rFonts w:hint="eastAsia" w:ascii="宋体" w:hAnsi="宋体" w:eastAsia="宋体" w:cs="宋体"/>
                <w:sz w:val="24"/>
                <w:szCs w:val="24"/>
                <w:highlight w:val="none"/>
                <w:lang w:val="en-US" w:eastAsia="zh-CN"/>
              </w:rPr>
              <w:t>三年硬件保修服务；提供投标商加盖公章的售后服务承诺函。</w:t>
            </w:r>
          </w:p>
        </w:tc>
        <w:tc>
          <w:tcPr>
            <w:tcW w:w="577" w:type="dxa"/>
            <w:noWrap w:val="0"/>
            <w:vAlign w:val="center"/>
          </w:tcPr>
          <w:p w14:paraId="31A01C9A">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台</w:t>
            </w:r>
          </w:p>
        </w:tc>
        <w:tc>
          <w:tcPr>
            <w:tcW w:w="473" w:type="dxa"/>
            <w:noWrap w:val="0"/>
            <w:vAlign w:val="center"/>
          </w:tcPr>
          <w:p w14:paraId="38226DCD">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b w:val="0"/>
                <w:bCs/>
                <w:i w:val="0"/>
                <w:iCs w:val="0"/>
                <w:sz w:val="24"/>
                <w:szCs w:val="24"/>
                <w:highlight w:val="none"/>
                <w:lang w:val="en-US" w:eastAsia="zh-CN"/>
              </w:rPr>
              <w:t>3</w:t>
            </w:r>
          </w:p>
        </w:tc>
      </w:tr>
      <w:tr w14:paraId="1B468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dxa"/>
            <w:noWrap w:val="0"/>
            <w:vAlign w:val="center"/>
          </w:tcPr>
          <w:p w14:paraId="4B0D02CD">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819" w:type="dxa"/>
            <w:noWrap w:val="0"/>
            <w:vAlign w:val="center"/>
          </w:tcPr>
          <w:p w14:paraId="70B79BE1">
            <w:pPr>
              <w:keepNext w:val="0"/>
              <w:keepLines w:val="0"/>
              <w:pageBreakBefore w:val="0"/>
              <w:widowControl w:val="0"/>
              <w:kinsoku/>
              <w:wordWrap w:val="0"/>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lang w:val="en-US" w:eastAsia="zh-CN"/>
              </w:rPr>
              <w:t>交换机</w:t>
            </w:r>
          </w:p>
        </w:tc>
        <w:tc>
          <w:tcPr>
            <w:tcW w:w="7468" w:type="dxa"/>
            <w:noWrap w:val="0"/>
            <w:vAlign w:val="center"/>
          </w:tcPr>
          <w:p w14:paraId="471A5FE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1.性能指标</w:t>
            </w:r>
          </w:p>
          <w:p w14:paraId="066A3CF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1）硬件性能：整机交换容量≥672Gbps；转发性能≥171Mpps（以官网最小值为准）；</w:t>
            </w:r>
          </w:p>
          <w:p w14:paraId="5F75ABF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2）单台端口：≥48个千兆电口，≥4个万兆SFP+口；</w:t>
            </w:r>
          </w:p>
          <w:p w14:paraId="3BC4C47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3）支持SPAN/RSPAN镜像和多个镜像观察端口，可以对网络流量进行分析以采取相应管理维护措施；</w:t>
            </w:r>
          </w:p>
          <w:p w14:paraId="3E42CFB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4）MAC地址表≥32K，IPv4路由表容量≥8K，整机最大ARP地址表≥4K；</w:t>
            </w:r>
          </w:p>
          <w:p w14:paraId="6E8F548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5）安全：支持CPU保护功能，支持防止DOS、ARP 攻击功能、ICMP 防攻击，支持端口隔离、端口安全、Sticky MAC，保护交换机在各种环境下稳定工作，提供证明截图；</w:t>
            </w:r>
          </w:p>
          <w:p w14:paraId="17F3C22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6）支持VRRP、OSPF、OSPF v3、BGP、ISIS、BGP4+等增强三层路由协议，提供证明截图；</w:t>
            </w:r>
          </w:p>
          <w:p w14:paraId="30730A8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7）支持ERPS以太环保护协议，切换时间≤50ms，提供证明截图；</w:t>
            </w:r>
          </w:p>
          <w:p w14:paraId="4F93B37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8）支持智能运维管理功能，可通过图形化操作的方式实现对网络的统一运维及管理，提供证明截图。</w:t>
            </w:r>
          </w:p>
          <w:p w14:paraId="0C4C5A3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2.服务指标</w:t>
            </w:r>
          </w:p>
          <w:p w14:paraId="5EBAECE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vertAlign w:val="baseline"/>
              </w:rPr>
            </w:pPr>
            <w:r>
              <w:rPr>
                <w:rFonts w:hint="eastAsia" w:ascii="宋体" w:hAnsi="宋体" w:eastAsia="宋体" w:cs="宋体"/>
                <w:b w:val="0"/>
                <w:bCs/>
                <w:sz w:val="24"/>
                <w:szCs w:val="24"/>
                <w:highlight w:val="none"/>
                <w:lang w:val="en-US" w:eastAsia="zh-CN"/>
              </w:rPr>
              <w:t>三年硬件保修服务；提供投标商加盖公章的售后服务承诺函。</w:t>
            </w:r>
          </w:p>
        </w:tc>
        <w:tc>
          <w:tcPr>
            <w:tcW w:w="577" w:type="dxa"/>
            <w:noWrap w:val="0"/>
            <w:vAlign w:val="center"/>
          </w:tcPr>
          <w:p w14:paraId="2C26057D">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台</w:t>
            </w:r>
          </w:p>
        </w:tc>
        <w:tc>
          <w:tcPr>
            <w:tcW w:w="473" w:type="dxa"/>
            <w:noWrap w:val="0"/>
            <w:vAlign w:val="center"/>
          </w:tcPr>
          <w:p w14:paraId="574A3D8A">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b w:val="0"/>
                <w:bCs/>
                <w:i w:val="0"/>
                <w:iCs w:val="0"/>
                <w:sz w:val="24"/>
                <w:szCs w:val="24"/>
                <w:highlight w:val="none"/>
                <w:lang w:val="en-US" w:eastAsia="zh-CN"/>
              </w:rPr>
              <w:t>3</w:t>
            </w:r>
          </w:p>
        </w:tc>
      </w:tr>
      <w:tr w14:paraId="080C2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dxa"/>
            <w:noWrap w:val="0"/>
            <w:vAlign w:val="center"/>
          </w:tcPr>
          <w:p w14:paraId="5934B6F0">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3</w:t>
            </w:r>
          </w:p>
        </w:tc>
        <w:tc>
          <w:tcPr>
            <w:tcW w:w="819" w:type="dxa"/>
            <w:noWrap w:val="0"/>
            <w:vAlign w:val="center"/>
          </w:tcPr>
          <w:p w14:paraId="1DDAE52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lang w:val="en-US" w:eastAsia="zh-CN"/>
              </w:rPr>
              <w:t>信息</w:t>
            </w:r>
            <w:r>
              <w:rPr>
                <w:rFonts w:hint="eastAsia" w:ascii="宋体" w:hAnsi="宋体" w:eastAsia="宋体" w:cs="宋体"/>
                <w:sz w:val="24"/>
                <w:szCs w:val="24"/>
                <w:highlight w:val="none"/>
                <w:lang w:eastAsia="zh-CN"/>
              </w:rPr>
              <w:t>安全数字孪生靶场平台</w:t>
            </w:r>
          </w:p>
        </w:tc>
        <w:tc>
          <w:tcPr>
            <w:tcW w:w="7468" w:type="dxa"/>
            <w:noWrap w:val="0"/>
            <w:vAlign w:val="center"/>
          </w:tcPr>
          <w:p w14:paraId="2109463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一、实训教学功能</w:t>
            </w:r>
          </w:p>
          <w:p w14:paraId="30D21BB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 实训平台基础系统（管理员用户）</w:t>
            </w:r>
          </w:p>
          <w:p w14:paraId="71BA869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1）用户与权限管理</w:t>
            </w:r>
          </w:p>
          <w:p w14:paraId="61CDB32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①系统具备用户与权限管理功能，能够完成教师和学生账号的创建、批量导入及统一管理操作；</w:t>
            </w:r>
          </w:p>
          <w:p w14:paraId="234CB25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②系统具备账号增、删、改、查及密码重置功能；</w:t>
            </w:r>
          </w:p>
          <w:p w14:paraId="5560C65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③系统具备角色权限配置功能，能够设置学生、教师、管理员等不同角色权限。</w:t>
            </w:r>
          </w:p>
          <w:p w14:paraId="37ACACB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2）资源管理</w:t>
            </w:r>
          </w:p>
          <w:p w14:paraId="1DCA27C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①系统具备教学资源管理功能，能够完成课程资料、实验手册、PPT、视频等资源的上传、更新与管理操作；</w:t>
            </w:r>
          </w:p>
          <w:p w14:paraId="1CA79BF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②系统具备资源分类管理功能。</w:t>
            </w:r>
          </w:p>
          <w:p w14:paraId="7D09418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3）课程管理</w:t>
            </w:r>
          </w:p>
          <w:p w14:paraId="1EEEFF4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①系统具备课程管理功能，能够为教师账号授予课程创建权限；</w:t>
            </w:r>
          </w:p>
          <w:p w14:paraId="66AC42C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②能够完成课程计划制订、课程公开或私有模式切换设置。</w:t>
            </w:r>
          </w:p>
          <w:p w14:paraId="2558578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4）系统监控与维护</w:t>
            </w:r>
          </w:p>
          <w:p w14:paraId="18E8B76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①系统具备平台运行状态监控功能，能够实时监测服务器性能、网络状况、用户并发数等关键指标；</w:t>
            </w:r>
          </w:p>
          <w:p w14:paraId="12DEF82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②系统具备日志查看与分析功能，能够追溯用户操作记录。</w:t>
            </w:r>
          </w:p>
          <w:p w14:paraId="6F44C73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5）考试管理</w:t>
            </w:r>
          </w:p>
          <w:p w14:paraId="14D486C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①系统具备考试管理功能，能够完成试卷模板创建、试卷公开或私有属性设置、题目分值设置、考试时间设置及考场安排操作；</w:t>
            </w:r>
          </w:p>
          <w:p w14:paraId="33823A6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②系统具备成绩统计与报表生成能力。</w:t>
            </w:r>
          </w:p>
          <w:p w14:paraId="5CB71DE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 实训学习子系统（学生端用户）</w:t>
            </w:r>
          </w:p>
          <w:p w14:paraId="28F4D70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1）课程学习功能</w:t>
            </w:r>
          </w:p>
          <w:p w14:paraId="589B0AD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①系统具备课程筛选与查询功能，能够依据关键字完成课程筛选操作；</w:t>
            </w:r>
          </w:p>
          <w:p w14:paraId="3781B2F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②系统具备分类查看功能，能够清晰地展示课程名称、课程作者、课程简介、理论及实验数量等信息；</w:t>
            </w:r>
          </w:p>
          <w:p w14:paraId="356CBCE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③系统具备实验指导书查阅功能，指导书内容能够包含实验目的、实验内容、实验步骤等。</w:t>
            </w:r>
          </w:p>
          <w:p w14:paraId="6CE6DEF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2）实验操作功能</w:t>
            </w:r>
          </w:p>
          <w:p w14:paraId="5C0A83C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①系统具备实验环境操作功能，能够在Web虚拟桌面中完成文本双向复制粘贴操作及文件上传操作；</w:t>
            </w:r>
          </w:p>
          <w:p w14:paraId="2CCE9B6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②系统具备多种虚拟化仿真模板调用功能，包括虚拟防火墙、路由器、交换机等；</w:t>
            </w:r>
          </w:p>
          <w:p w14:paraId="58568C1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③系统具备实验报告编辑功能，能够完成实验图片插入操作。</w:t>
            </w:r>
          </w:p>
          <w:p w14:paraId="0348258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3）学习进度与能力展示功能</w:t>
            </w:r>
          </w:p>
          <w:p w14:paraId="5A846FF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①系统具备学习进度查看功能，能够支持学生实时查看课程学习进度；</w:t>
            </w:r>
          </w:p>
          <w:p w14:paraId="59266D4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②能够通过雷达图等图形化方式展示学生学习情况。</w:t>
            </w:r>
          </w:p>
          <w:p w14:paraId="4A44272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4）考试参与功能</w:t>
            </w:r>
          </w:p>
          <w:p w14:paraId="116BB68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①系统具备考试参与管理功能，能够在试卷页面展示已答、未答、当前进度等状态；</w:t>
            </w:r>
          </w:p>
          <w:p w14:paraId="0152517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②系统具备成绩授权查看功能。</w:t>
            </w:r>
          </w:p>
          <w:p w14:paraId="0486418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 授课管理子系统（教师端用户）</w:t>
            </w:r>
          </w:p>
          <w:p w14:paraId="7AB126C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1）教学资源与课程管理子系统</w:t>
            </w:r>
          </w:p>
          <w:p w14:paraId="73BCCF4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①系统具备课程体系管理功能，能够完成课程体系的配置与管理操作；</w:t>
            </w:r>
          </w:p>
          <w:p w14:paraId="07E7BE8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②系统具备岗位体系管理功能，能够完成职业岗位体系课程的设置与管理操作；</w:t>
            </w:r>
          </w:p>
          <w:p w14:paraId="4C3405E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③系统具备实训课程管理功能，能够完成课程体系管理、课程管理及章节管理操作。</w:t>
            </w:r>
          </w:p>
          <w:p w14:paraId="566E0F9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2）网络安全资源库管理子系统</w:t>
            </w:r>
          </w:p>
          <w:p w14:paraId="5765DC2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①系统具备知识库管理功能，能够完成知识库资源的新增、删除、修改、查询操作，知识内容能够涵盖前沿技术、攻防技术、安全技术等多维度网络安全资源；</w:t>
            </w:r>
          </w:p>
          <w:p w14:paraId="344C30F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②系统具备漏洞库管理功能，能够完成漏洞库资源的新增、删除、修改、查询操作；漏洞信息内容能够包括漏洞风险评级、漏洞类型、漏洞介绍、漏洞利用方式、POC及受影响产品等信息。</w:t>
            </w:r>
          </w:p>
          <w:p w14:paraId="6F877F7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3）教学过程管理子系统</w:t>
            </w:r>
          </w:p>
          <w:p w14:paraId="6A97FEC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①系统具备教学任务下发功能，能够支持教师将课程、班级、作业等学习任务分配至指定目标；</w:t>
            </w:r>
          </w:p>
          <w:p w14:paraId="1E83C6E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②系统具备考核管理功能，能够支持教师阶段性下发考核任务，并能够完成考核内容及方式设置；</w:t>
            </w:r>
          </w:p>
          <w:p w14:paraId="53FBE59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③系统具备班级与人员管理功能，能够支持教师对班级及学生进行新增、删除、修改等操作。</w:t>
            </w:r>
          </w:p>
          <w:p w14:paraId="0A4DFE6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4）教学质量审核管理子系统</w:t>
            </w:r>
          </w:p>
          <w:p w14:paraId="61BD030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①系统具备考核任务审核功能，能够完成学生考核或评估任务的审核操作；</w:t>
            </w:r>
          </w:p>
          <w:p w14:paraId="0CAFD93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②系统具备实验审核功能，能够完成学生实验结果的批改操作。</w:t>
            </w:r>
          </w:p>
          <w:p w14:paraId="37763EE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5）网络安全仿真实训子系统</w:t>
            </w:r>
          </w:p>
          <w:p w14:paraId="09234B9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①系统具备场景仿真管理功能，能够完成虚拟场景创建、管理及运行操作，并能够构建仿真网络环境、安全设备及靶机环境。</w:t>
            </w:r>
          </w:p>
          <w:p w14:paraId="4851ACE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二、靶场管理系统</w:t>
            </w:r>
          </w:p>
          <w:p w14:paraId="282E02F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1）资源监控管理子系统</w:t>
            </w:r>
          </w:p>
          <w:p w14:paraId="7D1D446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①系统具备资源统计功能，能够对系统中主机、网络、虚拟机等资源进行统计；</w:t>
            </w:r>
          </w:p>
          <w:p w14:paraId="687F241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②系统具备资源存量监控功能，能够监控CPU存量、内存存量、存储量、虚拟机存量、容器存量及IP存量等资源信息。</w:t>
            </w:r>
          </w:p>
          <w:p w14:paraId="60FEDE4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2）虚拟化环境管理子系统</w:t>
            </w:r>
          </w:p>
          <w:p w14:paraId="625364E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①系统具备虚拟机配置功能，能够完成虚拟机内存大小及CPU核数配置操作；</w:t>
            </w:r>
          </w:p>
          <w:p w14:paraId="12D0130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②系统具备虚拟机磁盘配置功能，能够完成磁盘容量及驱动模式配置操作。</w:t>
            </w:r>
          </w:p>
          <w:p w14:paraId="658B796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3）平台运维与权限管理子系统</w:t>
            </w:r>
          </w:p>
          <w:p w14:paraId="74F6F9B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①系统具备后台任务管理功能，能够查看后台任务、执行进度及执行结果；系统具备后台任务筛选与查询功能；</w:t>
            </w:r>
          </w:p>
          <w:p w14:paraId="6745F2F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②系统具备登录日志管理与操作日志管理功能；</w:t>
            </w:r>
          </w:p>
          <w:p w14:paraId="2853C9D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③系统具备用户与角色权限管理功能，能够完成用户信息与角色权限配置操作。</w:t>
            </w:r>
          </w:p>
          <w:p w14:paraId="1B91359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4）攻防裁决管理子系统</w:t>
            </w:r>
          </w:p>
          <w:p w14:paraId="7F93DA2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①系统具备目标裁决功能，能够编辑评估裁定规则，能够执行判定操作，能够将随机Flag推送至靶标指定磁盘位置，并具备防作弊机制。</w:t>
            </w:r>
          </w:p>
          <w:p w14:paraId="6CBF666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5）靶场平台竞技任务管理子系统</w:t>
            </w:r>
          </w:p>
          <w:p w14:paraId="016C9FF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比武演练任务配置功能，能够根据实训任务要求完成参赛队伍与配套比武演练资源的配置操作，配置内容包括竞赛名称、竞赛开始时间及持续时长、竞赛LOGO、竞赛模式、竞赛规则、竞赛场景（试卷）、参赛队伍等信息；</w:t>
            </w:r>
          </w:p>
          <w:p w14:paraId="3481014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②系统具备比武演练任务常规管理功能，能够完成任务的新建、删除、编辑、查询、下发等操作。</w:t>
            </w:r>
          </w:p>
          <w:p w14:paraId="0DEED98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6）靶场平台试卷赛题管理子系统</w:t>
            </w:r>
          </w:p>
          <w:p w14:paraId="4A6AA39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①系统具备赛题常规管理功能，能够完成赛题新增、删除、编辑、查询、预览等操作；</w:t>
            </w:r>
          </w:p>
          <w:p w14:paraId="56548E8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②系统具备赛题信息编辑功能，能够完成赛题名称、类型、题目入口、宿主机、场景等信息的编辑操作；</w:t>
            </w:r>
          </w:p>
          <w:p w14:paraId="298AE4B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③系统具备宿主机管理功能，能够完成宿主机的上传、查询、编辑、删除等操作；</w:t>
            </w:r>
          </w:p>
          <w:p w14:paraId="339D12E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④系统具备试卷创建与配置功能，能够通过整合赛题完成试卷创建操作，试卷信息能够包含名称、描述及试卷内题目配置等内容。</w:t>
            </w:r>
          </w:p>
          <w:p w14:paraId="71560C5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7）靶场平台人员队伍管理子系统</w:t>
            </w:r>
          </w:p>
          <w:p w14:paraId="176A944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①系统具备队伍信息常规管理功能，能够完成队伍信息新增、删除、编辑、详情查看、查询等操作；队伍信息能够包含队伍名称、描述、队伍logo、队伍成员列表等；</w:t>
            </w:r>
          </w:p>
          <w:p w14:paraId="430F1EA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②系统具备队伍信息批量处理功能，能够完成队伍信息批量导入或批量删除操作；</w:t>
            </w:r>
          </w:p>
          <w:p w14:paraId="3BE893E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③系统具备队伍数据导入导出功能，能够完成队伍信息导入、导出操作，并能够在界面提供导入模板下载功能，导入文件格式为Excel。</w:t>
            </w:r>
          </w:p>
          <w:p w14:paraId="0AD08D1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8）竞赛接入与环境隔离子系统</w:t>
            </w:r>
          </w:p>
          <w:p w14:paraId="13822F2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①系统具备参赛指引与访问保障功能，能够使参赛队伍/选手依据“参赛手册”访问选手Web客户端及赛题环境；</w:t>
            </w:r>
          </w:p>
          <w:p w14:paraId="0BC13C0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②系统具备实体终端接入能力，能够支持参赛队伍/选手通过实体PC接入竞赛环境；</w:t>
            </w:r>
          </w:p>
          <w:p w14:paraId="1F4EC23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③系统具备队伍隔离功能，能够为每支队伍提供专属题目场景，实现队伍之间环境隔离。</w:t>
            </w:r>
          </w:p>
          <w:p w14:paraId="6A975CF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9）选手竞赛交互子系统</w:t>
            </w:r>
          </w:p>
          <w:p w14:paraId="4F8C912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①系统具备选手端竞赛信息展示功能，能够在选手Web客户端界面展示竞赛倒计时、公告信息、实时战况信息、竞赛轮次及时长信息、所在队伍得分及排名信息、所有参赛队伍积分榜单信息；</w:t>
            </w:r>
          </w:p>
          <w:p w14:paraId="7D930E9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②系统具备赛题查看与提交功能，能够使参赛队伍/选手通过Web客户端查看题目并提交答案或Flag；</w:t>
            </w:r>
          </w:p>
          <w:p w14:paraId="5DD626C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③系统具备动态Flag反作弊功能，能够实现题目Flag动态生成。</w:t>
            </w:r>
          </w:p>
          <w:p w14:paraId="1D1B06F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10）赛事管理与公告发布子系统</w:t>
            </w:r>
          </w:p>
          <w:p w14:paraId="48E7FDF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①系统具备公告管理功能，能够支持管理员完成公告新增、删除、编辑、查询、发布等操作；</w:t>
            </w:r>
          </w:p>
          <w:p w14:paraId="4819530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②系统具备公告定向发布功能，能够支持管理员对所有队伍发布全员可见公告，或对指定队伍单独发布信息；</w:t>
            </w:r>
          </w:p>
          <w:p w14:paraId="16923EE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③系统具备赛题状态监控与维护功能，能够支持管理员对赛题开启/关闭状态进行监控，并能够完成赛题详情查看与编辑操作；编辑内容能够包括题目名称、题目内容描述、题目附件配置等。</w:t>
            </w:r>
          </w:p>
          <w:p w14:paraId="3E9B16F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11）裁判判分与竞赛管理子系统</w:t>
            </w:r>
          </w:p>
          <w:p w14:paraId="4DE5879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①系统具备人工判分与调整功能，能够支持管理员对队伍/选手分数进行人工判定与调整，并能够在调整时记录操作原因及调整后的分数值；</w:t>
            </w:r>
          </w:p>
          <w:p w14:paraId="355EF75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②系统具备赛题批改与人工补交功能，能够支持裁判针对指定队伍/选手的指定题目进行批改，以应对答案正确但无法自行提交的情况；</w:t>
            </w:r>
          </w:p>
          <w:p w14:paraId="2FB5217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③系统具备违规处置功能，能够支持管理员对正在参赛且违规的队伍/选手进行禁赛处置。</w:t>
            </w:r>
          </w:p>
          <w:p w14:paraId="73AEBCE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12）竞赛环境运维管理子系统</w:t>
            </w:r>
          </w:p>
          <w:p w14:paraId="13BC393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①系统具备竞赛环境运维管控功能，能够支持管理员对队伍/选手虚拟机环境进行开机、关机、创建快照、重启等操作。</w:t>
            </w:r>
          </w:p>
          <w:p w14:paraId="325D5EC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13）竞赛展示与数据分析子系统</w:t>
            </w:r>
          </w:p>
          <w:p w14:paraId="580071C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①系统具备大屏展示功能，能够展示比武演练基本信息、赛题攻克情况、赛队得分情况、排行榜、队伍得分详情、整体分数走势等信息；</w:t>
            </w:r>
          </w:p>
          <w:p w14:paraId="2FEE70A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②系统具备竞赛数据统计功能，能够统计答题记录、队伍得分记录、失分记录等信息。</w:t>
            </w:r>
          </w:p>
          <w:p w14:paraId="2E0B0DF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14）网络拓扑场景构建子系统</w:t>
            </w:r>
          </w:p>
          <w:p w14:paraId="1F987B2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①系统具备构建过程分步骤管理与独立保存功能，能够实现构建过程各步骤独立保存；</w:t>
            </w:r>
          </w:p>
          <w:p w14:paraId="31F54CB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②系统具备可视化网络拓扑构建功能，能够支持管理员通过网络拓扑构建组件以拖拽方式构建多级网络场景，并能够同步编辑场景基本信息、附加信息等；</w:t>
            </w:r>
          </w:p>
          <w:p w14:paraId="6D6A8AE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③系统具备多人协同场景构建功能，能够支持管理员多人协同构建场景并进行拼接组网，以满足大规模复杂网络构建需求。</w:t>
            </w:r>
          </w:p>
          <w:p w14:paraId="6D6D4CF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15）靶标资源配置管理子系统</w:t>
            </w:r>
          </w:p>
          <w:p w14:paraId="7AB4D16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①系统具备靶标环境动态调整与场景分发功能，能够动态调整靶标环境并实现一键场景分发；</w:t>
            </w:r>
          </w:p>
          <w:p w14:paraId="52C1563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②系统具备场景编辑与资源关联功能，能够对靶标资源、拓扑资源进行调用与相互关联，并能够完成场景的增删改查操作；</w:t>
            </w:r>
          </w:p>
          <w:p w14:paraId="63A1636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③系统具备拓扑节点与靶机资源关联配置功能，能够在关联及模板制作环节将节点关联至靶机，并能够完成基本属性、网卡信息、服务信息等相关信息配置。</w:t>
            </w:r>
          </w:p>
          <w:p w14:paraId="6909429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16）场景验证与运行管理子系统</w:t>
            </w:r>
          </w:p>
          <w:p w14:paraId="266E0FC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①系统能够在场景自测及保存环节对建立的场景进行单节点开机、联网开机、资源释放、设备重启等验证操作，并能够将验证通过的场景持久化保存至系统场景库；</w:t>
            </w:r>
          </w:p>
          <w:p w14:paraId="445C4FD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②系统具备场景全生命周期管理功能，能够对系统现存场景完成查询、浏览、启动、复制、编辑、删除等操作。</w:t>
            </w:r>
          </w:p>
          <w:p w14:paraId="5F3ECDE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17）场景扩展与模板管理子系统</w:t>
            </w:r>
          </w:p>
          <w:p w14:paraId="4D191A9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①系统具备场景动态构建与增量式构建功能，能够实现对场景的动态扩展与增量调整；</w:t>
            </w:r>
          </w:p>
          <w:p w14:paraId="17E13E5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②系统具备模板克隆与拓扑数据管理功能，能够完成模板克隆、拓扑数据管理与调用操作。</w:t>
            </w:r>
          </w:p>
          <w:p w14:paraId="6CA252D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18）实验场景管理子系统</w:t>
            </w:r>
          </w:p>
          <w:p w14:paraId="4C761E2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①系统支持管理员根据培训要求，自定义创建个性化的实验场景；</w:t>
            </w:r>
          </w:p>
          <w:p w14:paraId="36CC09A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②系统支持对实验场景的虚拟机进行设置，以及对场景内不同区域的网络连通性进行设置；</w:t>
            </w:r>
          </w:p>
          <w:p w14:paraId="730C2AA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③系统具备环境隔离功能，实验环境满足完全隔离，即学员在进行实验操作时场景之间不可进行数据交换。</w:t>
            </w:r>
          </w:p>
          <w:p w14:paraId="452A572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19）虚拟资源管理子系统</w:t>
            </w:r>
          </w:p>
          <w:p w14:paraId="2A78784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①系统支持KVM虚拟机资源和容器类虚拟资源等虚拟资源类型，并支持不同类型虚拟资源的混合组网；</w:t>
            </w:r>
          </w:p>
          <w:p w14:paraId="51A71B9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②系统具备虚拟机资源监控功能，能够监控虚拟机的内存使用率、CPU使用率、磁盘使用率、网络I/O等资源占用情况；</w:t>
            </w:r>
          </w:p>
          <w:p w14:paraId="00B71A9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③系统具备虚拟机管理功能，支持创建、删除、查询、重启、关闭、克隆、远程桌面连接及接入、虚拟机网卡配置、虚拟机磁盘配置等操作。</w:t>
            </w:r>
          </w:p>
          <w:p w14:paraId="336286C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20）靶标资源管理子系统</w:t>
            </w:r>
          </w:p>
          <w:p w14:paraId="5077BC1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①系统支持为靶机设置Flag信息，包括Flag值、分类、附件、描述等其他信息；</w:t>
            </w:r>
          </w:p>
          <w:p w14:paraId="2E54A64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②系统支持对系统中存储的靶机进行常规管理，包括查看、开机、关机、重启、克隆、编辑、删除等操作；</w:t>
            </w:r>
          </w:p>
          <w:p w14:paraId="4EEFC8A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③管理员能够对靶标母版进行克隆和继承改造，形成新的靶标母版。</w:t>
            </w:r>
          </w:p>
          <w:p w14:paraId="1E31BAB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21）资源库与镜像管理子系统</w:t>
            </w:r>
          </w:p>
          <w:p w14:paraId="3829C5A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①系统支持对靶标资源库进行常规管理，包括新增、查看、删除、编辑、检索；</w:t>
            </w:r>
          </w:p>
          <w:p w14:paraId="24DAFB4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②系统支持对QCOW2格式的虚拟机镜像及docker容器镜像进行管理；</w:t>
            </w:r>
          </w:p>
          <w:p w14:paraId="7F154A3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③系统支持虚拟镜像常规管理，包括镜像上传、镜像删除、镜像查看等。</w:t>
            </w:r>
          </w:p>
          <w:p w14:paraId="2CF0657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22）镜像生成与终端管理子系统</w:t>
            </w:r>
          </w:p>
          <w:p w14:paraId="28F2DE1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①系统支持虚拟机镜像生成，包括两种生成方式：一是基于系统已有虚拟机模板，快速生成新的虚拟机镜像；二是用户自定义镜像；</w:t>
            </w:r>
          </w:p>
          <w:p w14:paraId="5E7D2BF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②系统支持查看指定账号下所注册的所有终端（操作机）的列表，并可对其进行开机、关机、重启、打开控制台、删除等操作；</w:t>
            </w:r>
          </w:p>
          <w:p w14:paraId="3E95817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③系统支持通过浏览器接入到终端内部，可对终端内部的软件、文件等进行操作，并保存终端状态。</w:t>
            </w:r>
          </w:p>
          <w:p w14:paraId="6C16288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23）虚实结合设备管理子系统</w:t>
            </w:r>
          </w:p>
          <w:p w14:paraId="3779BC4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①系统具备网络安全设备的虚实结合功能，支持在场景中添加实体设备；</w:t>
            </w:r>
          </w:p>
          <w:p w14:paraId="4C33A20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②系统支持添加、查看和删除实体设备信息；</w:t>
            </w:r>
          </w:p>
          <w:p w14:paraId="040A469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③系统支持配置实体设备的基本信息，包括设备名称、设备型号、设备参数、IP地址、MAC地址、网关、操作系统、登录用户密码等信息。</w:t>
            </w:r>
          </w:p>
          <w:p w14:paraId="59CF37A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24）攻防工具资源管理子系统</w:t>
            </w:r>
          </w:p>
          <w:p w14:paraId="0BF0807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①系统内置攻防工具库，支持对工具进行常规管理操作，包括新增、删除、编辑、查询等；</w:t>
            </w:r>
          </w:p>
          <w:p w14:paraId="79DB7FD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②系统支持对工具内容、工具分类、工具简介等信息进行编辑；</w:t>
            </w:r>
          </w:p>
          <w:p w14:paraId="6445E98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③系统支持对工具进行分类管理，并能够自定义工具的种类。</w:t>
            </w:r>
          </w:p>
          <w:p w14:paraId="709C79E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25）任务管理子系统</w:t>
            </w:r>
          </w:p>
          <w:p w14:paraId="594B4C3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①系统具备理论试题、CTF任务、场景任务等单一类型或多种任务类型的综合管理功能，能够完成网络靶场挑战与任务的规划、设计与执行，并能够提供单人训练与团队训练模式；</w:t>
            </w:r>
          </w:p>
          <w:p w14:paraId="5EBF839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②系统能够完成虚拟环境设计与配置，包括网络拓扑、虚拟机设置、靶标环境部署、应用程序和服务配置等；</w:t>
            </w:r>
          </w:p>
          <w:p w14:paraId="1E65CF0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③系统能够完成复杂环境布置，以实现多场景、多维度挑战设置，覆盖Web漏洞类、协议类、密码学及特定行业场景等。</w:t>
            </w:r>
          </w:p>
          <w:p w14:paraId="33BE32B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三、系统资源包</w:t>
            </w:r>
          </w:p>
          <w:p w14:paraId="1E12E4D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1）靶标资源：</w:t>
            </w:r>
          </w:p>
          <w:p w14:paraId="7C346A1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①系统内置白板操作系统及应用服务靶标，包含操作系统、网站服务器组件、邮件服务器组件、数据库软件和数据库的连接工具等；</w:t>
            </w:r>
          </w:p>
          <w:p w14:paraId="55A99B4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②系统内置公共漏洞靶标，包括但不限于文档类漏洞、浏览器类漏洞、数据库类漏洞、网络设备类漏洞、移动终端类漏洞、web类漏洞等；</w:t>
            </w:r>
          </w:p>
          <w:p w14:paraId="3710B95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③系统内置安全设备靶标，包括VPN、IPS、WAF、防火墙、交换机、IDS设备、安全审计等。采购人在使用过程中，不存在任何形式的隐性消费或二次收费。</w:t>
            </w:r>
          </w:p>
          <w:p w14:paraId="14558CE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2）漏洞库资源：</w:t>
            </w:r>
          </w:p>
          <w:p w14:paraId="088FC8B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①内置漏洞信息库，支持对POC、EXP管理；</w:t>
            </w:r>
          </w:p>
          <w:p w14:paraId="14AD81D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②提供不少于1000个高质量漏洞数据（包含漏洞验证代码，远程代码执行验证poc，本地代码执行验证poc，web漏洞代码验证poc，DDOS相关漏洞验证poc等）。</w:t>
            </w:r>
          </w:p>
          <w:p w14:paraId="004B226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3）知识库资源：</w:t>
            </w:r>
          </w:p>
          <w:p w14:paraId="35933C5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①系统内置不少于400篇高质量信息安全及网络攻防相关知识文章，如Bypass绕过、内网渗透、渗透技巧、工具技巧、经验总结知识类方向，配合用户快速开展基础知识累积；</w:t>
            </w:r>
          </w:p>
          <w:p w14:paraId="0B419FE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系统内置不少于40篇最佳实践领域与实战技战法，包含红队技战法（全域信息收集与攻击面测绘、高精准漏洞利用与权限获取、内网穿透与权限体系控制、社会工程学专项攻击和AI赋能的自动化攻击）和蓝队技战法（互联网暴露面收缩与加固、全流量与多维度威胁检测、自动化事件响应与溯源反制、反社会工程学与安全意识建设和AI赋能的新一代防御体系）。</w:t>
            </w:r>
          </w:p>
          <w:p w14:paraId="6B7859C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44）工具库资源：</w:t>
            </w:r>
          </w:p>
          <w:p w14:paraId="5303BA1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内置不少于100个工具资源，覆盖Webshell管理工具、爆破工具、代理工具、代码审计工具、恶意行为系统检测工具、解密工具、漏洞检测工具、漏洞利用工具、漏洞扫描工具、密码破解工具、免杀工具、目录爆破工具、逆向破解工具、数据库管理工具、网络协议工具、信息搜集工具、资产探测工具、子域名搜集工具、字典生成工具等资源。采购人在使用过程中，不存在任何形式的隐性消费或二次收费。</w:t>
            </w:r>
          </w:p>
          <w:p w14:paraId="01A5498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5）理论任务资源：</w:t>
            </w:r>
          </w:p>
          <w:p w14:paraId="42A3E25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①提供理论任务不少于4000个，覆盖云安全、密码学、工控安全、安全防护、安全运维、主机安全、法律法规、网络安全等网络安全理论知识，其中工控理论任务资源不少于200个。</w:t>
            </w:r>
          </w:p>
          <w:p w14:paraId="3AF5133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6）CTF竞赛任务资源：</w:t>
            </w:r>
          </w:p>
          <w:p w14:paraId="22E3CAF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①提供不少于100道CTF题目，题目类型包含：Web、Crypto、misc、PWN和reverse等主要方向。</w:t>
            </w:r>
          </w:p>
          <w:p w14:paraId="585D9C1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7）可视化展示管理</w:t>
            </w:r>
          </w:p>
          <w:p w14:paraId="656806F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①系统支持按需展示实时攻防信息、成绩趋势、实时排行、能力标签、攻防日志、所得分数等信息，支持活动开始倒计时功能，支持成绩趋势查看要求以折线图方式展示得分趋势变化。</w:t>
            </w:r>
          </w:p>
          <w:p w14:paraId="160E430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四、平台系统更新与故障响应服务</w:t>
            </w:r>
          </w:p>
          <w:p w14:paraId="52E3967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1）故障响应服务</w:t>
            </w:r>
          </w:p>
          <w:p w14:paraId="7A19D42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①产品提供方承诺至少提供3年的平台系统运维与更新服务，并出具盖有产品提供方公章的承诺函；</w:t>
            </w:r>
          </w:p>
          <w:p w14:paraId="6637F26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产品提供方承诺在接到故障通知后30分钟内进行远程响应，技术人员通过电话、远程登录等方式初步判断故障原因；若无法远程解决，技术人员将在4小时内到达现场进行处置；由平台系统故障导致的核心业务完全中断，产品提供方承诺在48小时内解决，若无法按时解决，产品提供方提供备用机直至问题解决。</w:t>
            </w:r>
          </w:p>
          <w:p w14:paraId="4E7C7C3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2）平台系统更新</w:t>
            </w:r>
          </w:p>
          <w:p w14:paraId="7D0D829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lang w:val="en-US" w:eastAsia="zh-CN"/>
              </w:rPr>
              <w:t>①在服务期内，服务商至少提供每年4次的平台系统更新服务，包含安全更新、质量与性能更新、兼容性更新等。</w:t>
            </w:r>
          </w:p>
        </w:tc>
        <w:tc>
          <w:tcPr>
            <w:tcW w:w="577" w:type="dxa"/>
            <w:noWrap w:val="0"/>
            <w:vAlign w:val="center"/>
          </w:tcPr>
          <w:p w14:paraId="0895AC1E">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套</w:t>
            </w:r>
          </w:p>
        </w:tc>
        <w:tc>
          <w:tcPr>
            <w:tcW w:w="473" w:type="dxa"/>
            <w:noWrap w:val="0"/>
            <w:vAlign w:val="center"/>
          </w:tcPr>
          <w:p w14:paraId="01D1AF55">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1</w:t>
            </w:r>
          </w:p>
        </w:tc>
      </w:tr>
      <w:tr w14:paraId="7471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dxa"/>
            <w:noWrap w:val="0"/>
            <w:vAlign w:val="top"/>
          </w:tcPr>
          <w:p w14:paraId="3535BAE8">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vertAlign w:val="baseline"/>
              </w:rPr>
            </w:pPr>
          </w:p>
          <w:p w14:paraId="387D0ABF">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kern w:val="2"/>
                <w:sz w:val="24"/>
                <w:szCs w:val="24"/>
                <w:highlight w:val="none"/>
                <w:lang w:val="en-US" w:eastAsia="zh-CN" w:bidi="ar-SA"/>
              </w:rPr>
            </w:pPr>
          </w:p>
          <w:p w14:paraId="6FCA668C">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0E2095F4">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3FA70CD8">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414225B4">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61CE7D16">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3B25A083">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4CF7E6C3">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505072B1">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4211158E">
            <w:pPr>
              <w:keepNext w:val="0"/>
              <w:keepLines w:val="0"/>
              <w:pageBreakBefore w:val="0"/>
              <w:widowControl w:val="0"/>
              <w:kinsoku/>
              <w:overflowPunct/>
              <w:topLinePunct w:val="0"/>
              <w:autoSpaceDE/>
              <w:autoSpaceDN/>
              <w:bidi w:val="0"/>
              <w:adjustRightInd w:val="0"/>
              <w:snapToGrid w:val="0"/>
              <w:spacing w:line="360" w:lineRule="auto"/>
              <w:rPr>
                <w:rFonts w:hint="eastAsia" w:ascii="宋体" w:hAnsi="宋体" w:eastAsia="宋体" w:cs="宋体"/>
                <w:sz w:val="24"/>
                <w:szCs w:val="24"/>
                <w:highlight w:val="none"/>
                <w:lang w:val="en-US" w:eastAsia="zh-CN"/>
              </w:rPr>
            </w:pPr>
          </w:p>
          <w:p w14:paraId="5202BACD">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819" w:type="dxa"/>
            <w:noWrap w:val="0"/>
            <w:vAlign w:val="center"/>
          </w:tcPr>
          <w:p w14:paraId="0B494CDA">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lang w:val="en-US" w:eastAsia="zh-CN"/>
              </w:rPr>
              <w:t>网络安全基础资源包</w:t>
            </w:r>
          </w:p>
        </w:tc>
        <w:tc>
          <w:tcPr>
            <w:tcW w:w="7468" w:type="dxa"/>
            <w:noWrap w:val="0"/>
            <w:vAlign w:val="center"/>
          </w:tcPr>
          <w:p w14:paraId="6E7D473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1.网络安全课程资源包</w:t>
            </w:r>
          </w:p>
          <w:p w14:paraId="34FC248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网络安全课程资源包（内含课程讲授视频、课程PPT、课程练习题、教学案例资料等课程资源）覆盖以下课程，总学时不低于 1000 课时，具体课程至少包括：（交付时至少包含如下课程的80%，交付一年内如下课程需要100%包含）</w:t>
            </w:r>
          </w:p>
          <w:p w14:paraId="3C00D95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《信息安全导论》：不少于 40 课时</w:t>
            </w:r>
          </w:p>
          <w:p w14:paraId="3D6E3CF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《应用密码学》：不少于 60 课时</w:t>
            </w:r>
          </w:p>
          <w:p w14:paraId="4D25F2C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《Web安全》：不少于 60 课时</w:t>
            </w:r>
          </w:p>
          <w:p w14:paraId="27916AD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《渗透测试技术》：不少于 40 课时</w:t>
            </w:r>
          </w:p>
          <w:p w14:paraId="2467683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《内网渗透测试技术》：不少于 30 课时</w:t>
            </w:r>
          </w:p>
          <w:p w14:paraId="1774BA0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《逆向工程》：不少于 60 课时</w:t>
            </w:r>
          </w:p>
          <w:p w14:paraId="78044A3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《电子数据取证技术应用》：不少于 40 课时</w:t>
            </w:r>
          </w:p>
          <w:p w14:paraId="55BD21B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《网络安全编程》：不少于 40 课时</w:t>
            </w:r>
          </w:p>
          <w:p w14:paraId="6E245BF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《运维开发与自动化》：不少于 60 课时</w:t>
            </w:r>
          </w:p>
          <w:p w14:paraId="24C65DC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《编程基础与代码安全》：不少于 30 课时</w:t>
            </w:r>
          </w:p>
          <w:p w14:paraId="335B3C3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《网络安全设备配置与管理》：不少于 30 课时</w:t>
            </w:r>
          </w:p>
          <w:p w14:paraId="0B2006D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《网络安全攻防演练技术》：不少于 30 课时</w:t>
            </w:r>
          </w:p>
          <w:p w14:paraId="4DE38B9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《漏洞挖掘与代码审计技术》：不少于 60 课时</w:t>
            </w:r>
          </w:p>
          <w:p w14:paraId="7B949ED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《Linux与网络运维》：不少于 60 课时</w:t>
            </w:r>
          </w:p>
          <w:p w14:paraId="0163621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《Linux系统管理》：不少于 40 课时</w:t>
            </w:r>
          </w:p>
          <w:p w14:paraId="440B583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《网络协议安全》：不少于 30 课时</w:t>
            </w:r>
          </w:p>
          <w:p w14:paraId="2E748CD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《数据库基础与安全》：不少于 30 课时</w:t>
            </w:r>
          </w:p>
          <w:p w14:paraId="26C5A80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《Linux系统架构》：不少于 90 课时</w:t>
            </w:r>
          </w:p>
          <w:p w14:paraId="0491A11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《AI大模型与安全攻防》：不少于 30 课时</w:t>
            </w:r>
          </w:p>
          <w:p w14:paraId="6C3512B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《应急响应实战》：不少于 30 课时</w:t>
            </w:r>
          </w:p>
          <w:p w14:paraId="7E6C365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《工业控制系统与工业网络基础》：不少于 30 课时</w:t>
            </w:r>
          </w:p>
          <w:p w14:paraId="25F9566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《工控系统漏洞分析与安全防范》：不少于 30 课时</w:t>
            </w:r>
          </w:p>
          <w:p w14:paraId="52DFE5A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《数据安全治理》：不少于 30 课时</w:t>
            </w:r>
          </w:p>
          <w:p w14:paraId="774E06F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《零信任与新型网络安全架构》：不少于 30 课时</w:t>
            </w:r>
          </w:p>
          <w:p w14:paraId="719D540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《网络安全攻防实践（CTF）》：不少于 60 课时</w:t>
            </w:r>
          </w:p>
          <w:p w14:paraId="71F9319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2.网络安全实验资源包</w:t>
            </w:r>
          </w:p>
          <w:p w14:paraId="62A2964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lang w:val="en-US" w:eastAsia="zh-CN"/>
              </w:rPr>
              <w:t>实验资源包括不少于250套活体漏洞配套实验，实验内容涵盖以下类型：SQL 注入、跨站脚本攻击、文件上传漏洞、文件包含漏洞、RCE 漏洞、逻辑漏洞、反序列化漏洞等，其中具备CVE编号的实验不少于150套。（每年根据一线应用实际，对资源包进行扩展与更新不少于2次。）</w:t>
            </w:r>
          </w:p>
        </w:tc>
        <w:tc>
          <w:tcPr>
            <w:tcW w:w="577" w:type="dxa"/>
            <w:noWrap w:val="0"/>
            <w:vAlign w:val="center"/>
          </w:tcPr>
          <w:p w14:paraId="326233A5">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套</w:t>
            </w:r>
          </w:p>
        </w:tc>
        <w:tc>
          <w:tcPr>
            <w:tcW w:w="473" w:type="dxa"/>
            <w:noWrap w:val="0"/>
            <w:vAlign w:val="center"/>
          </w:tcPr>
          <w:p w14:paraId="3C71C1FA">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1</w:t>
            </w:r>
          </w:p>
        </w:tc>
      </w:tr>
      <w:tr w14:paraId="5F77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dxa"/>
            <w:noWrap w:val="0"/>
            <w:vAlign w:val="center"/>
          </w:tcPr>
          <w:p w14:paraId="6FDC9BA5">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819" w:type="dxa"/>
            <w:noWrap w:val="0"/>
            <w:vAlign w:val="center"/>
          </w:tcPr>
          <w:p w14:paraId="7B0515CF">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实网攻防资源包</w:t>
            </w:r>
          </w:p>
        </w:tc>
        <w:tc>
          <w:tcPr>
            <w:tcW w:w="7468" w:type="dxa"/>
            <w:noWrap w:val="0"/>
            <w:vAlign w:val="center"/>
          </w:tcPr>
          <w:p w14:paraId="715003C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1.金融行业安全防护综合实验场景</w:t>
            </w:r>
          </w:p>
          <w:p w14:paraId="057DED4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1）行业化网络环境仿真指标</w:t>
            </w:r>
          </w:p>
          <w:p w14:paraId="48F4ACE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①实验场景应包括金融行业典型网络环境，能够模拟金融科技企业业务架构；</w:t>
            </w:r>
          </w:p>
          <w:p w14:paraId="7AA6E60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②实验场景网络架构分域不少于4级；</w:t>
            </w:r>
          </w:p>
          <w:p w14:paraId="413516C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③实验场景应包括DMZ区、生产区、办公区和子公司区等多种功能区域，并支持区域间网络隔离与访问控制配置。</w:t>
            </w:r>
          </w:p>
          <w:p w14:paraId="3F554F7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2）业务系统与漏洞风险仿真指标</w:t>
            </w:r>
          </w:p>
          <w:p w14:paraId="3E3A0A0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①实验场景DMZ区部署Windows Server服务器以及门户网站，并预留后台登录入口，设置弱口令、Shiro反序列化漏洞及接口未授权访问漏洞；</w:t>
            </w:r>
          </w:p>
          <w:p w14:paraId="6D8EE31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②实验场景生产区部署多台服务器，集成数据库弱口令及中间件漏洞等风险点，便于后续信息获取；</w:t>
            </w:r>
          </w:p>
          <w:p w14:paraId="4A3F50F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③子公司区域主机配备有安全防护措施，需通过免杀技术绕过后，开展后续操作。</w:t>
            </w:r>
          </w:p>
          <w:p w14:paraId="09FC29F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3）内网渗透与攻防路径训练指标</w:t>
            </w:r>
          </w:p>
          <w:p w14:paraId="64C8D50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①实验场景办公区模拟员工使用的终端设备，包含Windows 7/10/11混合终端以及AD域，设置浏览器插件漏洞、弱口令终端、凭证泄露、漏洞提权、永恒之蓝等风险点；</w:t>
            </w:r>
          </w:p>
          <w:p w14:paraId="2EE54AE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可实现从门户网站入手，结合Web漏洞拿下首个入口，尝试利用跳板主机进入AD域，获取基础权限后深入内网测试环境，利用漏洞或其他弱点实现横向移动，最终通过办公终端渗透到子公司，实现完整网络控制的完整攻击路径；</w:t>
            </w:r>
          </w:p>
          <w:p w14:paraId="5EE6B11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③实验场景应包括对信息收集、漏洞利用、权限提升、横向渗透及持久化控制等能力的综合训练内容。</w:t>
            </w:r>
          </w:p>
          <w:p w14:paraId="32882A0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4）验证评价与资源配套指标</w:t>
            </w:r>
          </w:p>
          <w:p w14:paraId="5A6363E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①实验场景应包括多级Flag校验机制，用于验证渗透链路的完整性和攻击效果。场景内置Flag数量不少于10个，分布在各功能域；</w:t>
            </w:r>
          </w:p>
          <w:p w14:paraId="4ADB38B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②场景配套提供场景描述、Flag获取任务描述、网络拓扑、演示视频、标准答案及复现报告等资料。</w:t>
            </w:r>
          </w:p>
          <w:p w14:paraId="3F097E9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2.政府系统安全防护综合实验场景</w:t>
            </w:r>
          </w:p>
          <w:p w14:paraId="6F9ADBB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1）行业化网络环境仿真指标</w:t>
            </w:r>
          </w:p>
          <w:p w14:paraId="61D191C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①实验场景应包括政府门户系统及其配套网络环境的仿真；</w:t>
            </w:r>
          </w:p>
          <w:p w14:paraId="3B2935D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②实验场景网络架构分域不少于4级；</w:t>
            </w:r>
          </w:p>
          <w:p w14:paraId="7EFE23B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③实验场景应包括DMZ区、生产区、办公区、核心区等多种功能区域，并支持区域间网络隔离与访问控制配置。</w:t>
            </w:r>
          </w:p>
          <w:p w14:paraId="48888C5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2）业务系统与漏洞风险仿真指标</w:t>
            </w:r>
          </w:p>
          <w:p w14:paraId="38D1642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①DMZ区部署政府门户网站，内置后台弱口令、文件上传GetShell漏洞，暴露管理入口；</w:t>
            </w:r>
          </w:p>
          <w:p w14:paraId="6542A36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②生产区部署生产服务器，内置Fastjson反序列化、RCE漏洞、容器环境逃逸等漏洞；</w:t>
            </w:r>
          </w:p>
          <w:p w14:paraId="3691E34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③核心区模拟政府办公环境，部署运维终端，存在密码保存、RDP登录凭证泄露风险；</w:t>
            </w:r>
          </w:p>
          <w:p w14:paraId="59CA491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④办公区存储敏感信息，部署SQLServer数据库、域控服务器、邮件服务器，存在数据库弱口令、zerologon域控漏洞、域内hash横向移动风险，从而扩大战果。</w:t>
            </w:r>
          </w:p>
          <w:p w14:paraId="0B998DE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3）内网渗透与攻防路径训练指标</w:t>
            </w:r>
          </w:p>
          <w:p w14:paraId="5C96CAF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①实验场景可实现以门户网站Web漏洞作为起点，通过生产服务器的漏洞扩大战果，最后尝试解密RDP凭证侵入办公区，跳板进入核心区，实现重要数据获取；</w:t>
            </w:r>
          </w:p>
          <w:p w14:paraId="4C6A1C8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②实验场景应包括对信息收集、漏洞利用、权限提升、横向移动及持续控制等攻防能力的训练内容。</w:t>
            </w:r>
          </w:p>
          <w:p w14:paraId="0DC4151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4）验证评价与资源配套指标</w:t>
            </w:r>
          </w:p>
          <w:p w14:paraId="7964EDC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①实验场景应包括多级Flag校验机制，用于验证渗透链路的完整性和攻击效果。场景内置Flag数量不少于8个，分布在各功能域；</w:t>
            </w:r>
          </w:p>
          <w:p w14:paraId="393789A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②场景配套提供场景描述、Flag获取任务描述、网络拓扑、演示视频、标准答案及复现报告等资料。</w:t>
            </w:r>
          </w:p>
          <w:p w14:paraId="3BC67CB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3.教育行业安全防护综合实验场景</w:t>
            </w:r>
          </w:p>
          <w:p w14:paraId="7578D51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1）行业化网络环境仿真指标</w:t>
            </w:r>
          </w:p>
          <w:p w14:paraId="355DBC2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①实验场景应包括教育机构典型网络环境的整体仿真；</w:t>
            </w:r>
          </w:p>
          <w:p w14:paraId="768CB9B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②实验场景网络架构分域不少于4级；</w:t>
            </w:r>
          </w:p>
          <w:p w14:paraId="32823D7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③实验场景应包括DMZ区、生产区、分校办公区、分校生产区等多种功能区域，并支持区域间网络隔离与访问控制配置。</w:t>
            </w:r>
          </w:p>
          <w:p w14:paraId="2A1A35A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2）业务系统与漏洞风险仿真指标</w:t>
            </w:r>
          </w:p>
          <w:p w14:paraId="6664554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①DMZ区搭载校园门户系统，内置文件上传漏洞及后台弱口令风险；</w:t>
            </w:r>
          </w:p>
          <w:p w14:paraId="3955658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②生产区存放web业务系统，预置RCE漏洞及容器逃逸环境；</w:t>
            </w:r>
          </w:p>
          <w:p w14:paraId="2B4B5A7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③生产区模拟学校人员使用的电脑，包含Windows7/10/11混合终端，部署OA系统，存在文件上传GetShell漏洞、浏览器凭据泄露及SMB弱口令风险；</w:t>
            </w:r>
          </w:p>
          <w:p w14:paraId="3F7A724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④分校区办公区存在最终靶标，可能存在弱口令及SMB溢出漏洞。</w:t>
            </w:r>
          </w:p>
          <w:p w14:paraId="1DDBF6D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3）内网渗透与攻防路径训练指标</w:t>
            </w:r>
          </w:p>
          <w:p w14:paraId="1D47DCB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①实验场景从校园门户后台弱口令突破外围，结合容器逃逸获取内网权限，利用域内弱口令横向移动至核心生产区，实现横向渗透，最终攻入分校区的关键系统，实现完整网络控制的完整攻击路径；</w:t>
            </w:r>
          </w:p>
          <w:p w14:paraId="7A3823A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②实验场景应包括对信息搜集、漏洞利用、权限提升、横向移动及持续控制等攻防能力的训练内容。</w:t>
            </w:r>
          </w:p>
          <w:p w14:paraId="7E5C8B8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4）验证评价与资源配套指标</w:t>
            </w:r>
          </w:p>
          <w:p w14:paraId="2681AA3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①实验场景应包括多级Flag校验机制，用于验证渗透链路的完整性和攻击效果。场景内置Flag数量不少于8个，分布在各功能域；</w:t>
            </w:r>
          </w:p>
          <w:p w14:paraId="6A3B401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②场景配套提供场景描述、Flag获取任务描述、网络拓扑、演示视频、标准答案及复现报告等资料。</w:t>
            </w:r>
          </w:p>
          <w:p w14:paraId="6603583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4.医疗行业安全防护综合实验场景</w:t>
            </w:r>
          </w:p>
          <w:p w14:paraId="05B3DD8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1）行业化网络环境仿真指标</w:t>
            </w:r>
          </w:p>
          <w:p w14:paraId="41D92A4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①实验场景应包括医院信息系统及基础网络环境的仿真；</w:t>
            </w:r>
          </w:p>
          <w:p w14:paraId="2472534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②实验场景网络架构分域不少于4级；</w:t>
            </w:r>
          </w:p>
          <w:p w14:paraId="55C86A2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③实验场景应包括互联网访问域、业务服务域、办公管理域、核心数据控制域等多种功能区域，并支持区域间网络隔离与访问控制配置。</w:t>
            </w:r>
          </w:p>
          <w:p w14:paraId="142FECD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2）业务系统与漏洞风险仿真指标</w:t>
            </w:r>
          </w:p>
          <w:p w14:paraId="113EC6F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①互联网访问区域部署医院门户网站与远程预约平台，向外部开放提供患者信息交互入口，集成敏感信息泄露、文件上传及JWT鉴权等典型web漏洞；</w:t>
            </w:r>
          </w:p>
          <w:p w14:paraId="392ED06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②业务区域包含配置内部OA办公系统以及内网测试服务环境，具备基本业务操作逻辑；</w:t>
            </w:r>
          </w:p>
          <w:p w14:paraId="55FFA1A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③办公区模拟企业内部员工使用的办公终端，这些终端分布在独立子网中，与生产区通过部分主机跨网卡联通，用于还原内网深度渗透路径；</w:t>
            </w:r>
          </w:p>
          <w:p w14:paraId="3C80521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④核心数据区配置为Windows域控制器，集成永恒之蓝漏洞，获取DC域控权限及核心数据是参训人员的最终目标。</w:t>
            </w:r>
          </w:p>
          <w:p w14:paraId="653FD1F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3）内网渗透与攻防路径训练指标</w:t>
            </w:r>
          </w:p>
          <w:p w14:paraId="3FAEEB4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可实现从门户网站入手，结合Web漏洞拿下首个入口，进入OA系统获取基础权限后深入内网测试环境，利用系统漏洞与中间件弱点实现横向移动，最终通过办公终端渗透到域控系统，实现完整网络控制的完整攻击路径；</w:t>
            </w:r>
          </w:p>
          <w:p w14:paraId="7CD9CDC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②实验场景应包括对信息搜集、漏洞利用、权限提升、横向移动及持续控制等攻防能力的训练内容。</w:t>
            </w:r>
          </w:p>
          <w:p w14:paraId="3EA8E33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4）验证评价与资源配套指标</w:t>
            </w:r>
          </w:p>
          <w:p w14:paraId="075A42C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①实验场景应包括多级Flag校验机制，用于验证渗透链路的完整性和攻击效果。场景内置Flag数量不少于8个，分布在各功能域；</w:t>
            </w:r>
          </w:p>
          <w:p w14:paraId="5D64387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②场景配套提供场景描述、Flag获取任务描述、网络拓扑、演示视频、标准答案及复现报告等资料。</w:t>
            </w:r>
          </w:p>
          <w:p w14:paraId="6AA8BE2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5.电信行业安全防护综合实验场景</w:t>
            </w:r>
          </w:p>
          <w:p w14:paraId="74C0B99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1）行业化网络环境仿真指标</w:t>
            </w:r>
          </w:p>
          <w:p w14:paraId="75DE1C2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①实验场景应包括电信运营商典型网络环境的整体仿真；</w:t>
            </w:r>
          </w:p>
          <w:p w14:paraId="422F9A5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②实验场景网络架构分域不少于4级；</w:t>
            </w:r>
          </w:p>
          <w:p w14:paraId="45AEE51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③实验场景应包括DMZ区、生产区、办公区、子公司区等多种功能区域，并支持区域间网络隔离与访问控制配置。</w:t>
            </w:r>
          </w:p>
          <w:p w14:paraId="5A36F63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2）业务系统与漏洞风险仿真指标</w:t>
            </w:r>
          </w:p>
          <w:p w14:paraId="41F65B0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①DMZ区搭载短信服务入口，存在active-mq默认口令及后台任意文件上传等多个漏洞；</w:t>
            </w:r>
          </w:p>
          <w:p w14:paraId="2F76470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②生产区搭载nacos系统，存在默认口令漏洞；</w:t>
            </w:r>
          </w:p>
          <w:p w14:paraId="6FE9DCB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③办公区部署AD域及证书服务环境，存在ADCS ESC1漏洞及SSH私钥泄露问题，攻击者可获取服务器及域管理员权限，存在内网横向移动及域控沦陷风险；</w:t>
            </w:r>
          </w:p>
          <w:p w14:paraId="323DD83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④子公司区部署应用服务器以及财务数据库，存在敏感信息泄露风险。</w:t>
            </w:r>
          </w:p>
          <w:p w14:paraId="02EBCAB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3）内网渗透与攻防路径训练指标</w:t>
            </w:r>
          </w:p>
          <w:p w14:paraId="145C6B6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可实现以短信服务入口的文件上传漏洞为初始突破点，获取生产区主机控制权限；随后利用生产区已存在的漏洞横向进入AD域环境，并通过ActiveDirectoryCertificateServices（ADCS）ESC1漏洞获取域管理员权限；进一步通过SSH私钥泄露问题获取子公司服务器控制权限，最终访问财务数据库，实现对整体网络环境的全面控制；</w:t>
            </w:r>
          </w:p>
          <w:p w14:paraId="36150FA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②实验场景应包括对信息搜集、漏洞利用、权限提升、横向移动及持续控制等攻防能力的训练内容。</w:t>
            </w:r>
          </w:p>
          <w:p w14:paraId="6A1DC1C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4）验证评价与资源配套指标</w:t>
            </w:r>
          </w:p>
          <w:p w14:paraId="220CD18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①实验场景应包括多级Flag校验机制，用于验证渗透链路的完整性和攻击效果。场景内置Flag数量不少于8个，分布在各功能域；</w:t>
            </w:r>
          </w:p>
          <w:p w14:paraId="20A3E52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②场景配套提供场景描述、Flag获取任务描述、网络拓扑、演示视频、标准答案及复现报告等资料。</w:t>
            </w:r>
          </w:p>
          <w:p w14:paraId="123B4FC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6.工业控制行业安全防护综合实验场景</w:t>
            </w:r>
          </w:p>
          <w:p w14:paraId="2293947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1）行业化网络环境仿真指标</w:t>
            </w:r>
          </w:p>
          <w:p w14:paraId="5890286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①实验场景应包括工业控制典型网络环境的整体仿真；</w:t>
            </w:r>
          </w:p>
          <w:p w14:paraId="1267FB3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②实验场景网络架构分域不少于4级；</w:t>
            </w:r>
          </w:p>
          <w:p w14:paraId="210C984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③实验场景应包括互联网访问区、DMZ区、生产控制区、办公区等多种功能区域，并支持区域间网络隔离与访问控制配置。</w:t>
            </w:r>
          </w:p>
          <w:p w14:paraId="22A00A9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2）业务系统与漏洞风险仿真指标</w:t>
            </w:r>
          </w:p>
          <w:p w14:paraId="557F7E0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①互联网访问区搭载web访问入口，存在弱口令及后台任意文件上传等多个漏洞；</w:t>
            </w:r>
          </w:p>
          <w:p w14:paraId="6D9FF19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②DMZ区放置场景数据库，存在Redis未授权访问漏洞；</w:t>
            </w:r>
          </w:p>
          <w:p w14:paraId="1A0929C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③生产控制区存在域控环境和Tomcat系统，存在弱口令、文件上传漏洞和Everything未授权访问漏洞，可通过域控主机进行横向移动；</w:t>
            </w:r>
          </w:p>
          <w:p w14:paraId="65C7338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④生产控制区内置PLC程序图纸逆向解密，学生可通过程序解密获取目标；</w:t>
            </w:r>
          </w:p>
          <w:p w14:paraId="5377937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⑤办公区模拟企业内部用户的办公终端，存在黄金票据漏洞。</w:t>
            </w:r>
          </w:p>
          <w:p w14:paraId="0B2E7D9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3）内网渗透与攻防路径训练指标</w:t>
            </w:r>
          </w:p>
          <w:p w14:paraId="361D06F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可实现从web访问区入手，获取DMZ区数据库机器控制权，并进一步利用生产控制区的tomcat系统相关漏洞获取主机权限进一步攻入域环境，通过域内信息收集利用哈希传递进行横向移动，利用黄金票据获取最终办公区机器权限，实现对整体网络环境的全面控制；</w:t>
            </w:r>
          </w:p>
          <w:p w14:paraId="1A5B3CF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②实验场景应包括对信息搜集、漏洞利用、权限提升、横向移动及持续控制等攻防能力的训练内容。</w:t>
            </w:r>
          </w:p>
          <w:p w14:paraId="28B58F8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4）验证评价与资源配套指标</w:t>
            </w:r>
          </w:p>
          <w:p w14:paraId="141C759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①实验场景应包括多级Flag校验机制，用于验证渗透链路的完整性和攻击效果。场景内置Flag数量不少于7个，分布在各功能域；</w:t>
            </w:r>
          </w:p>
          <w:p w14:paraId="69AADCE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②场景配套提供场景描述、Flag获取任务描述、网络拓扑、演示视频、标准答案及复现报告等资料。</w:t>
            </w:r>
          </w:p>
        </w:tc>
        <w:tc>
          <w:tcPr>
            <w:tcW w:w="577" w:type="dxa"/>
            <w:noWrap w:val="0"/>
            <w:vAlign w:val="center"/>
          </w:tcPr>
          <w:p w14:paraId="535261E1">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套</w:t>
            </w:r>
          </w:p>
        </w:tc>
        <w:tc>
          <w:tcPr>
            <w:tcW w:w="473" w:type="dxa"/>
            <w:noWrap w:val="0"/>
            <w:vAlign w:val="center"/>
          </w:tcPr>
          <w:p w14:paraId="3F7304E4">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1</w:t>
            </w:r>
          </w:p>
        </w:tc>
      </w:tr>
      <w:tr w14:paraId="09C32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dxa"/>
            <w:noWrap w:val="0"/>
            <w:vAlign w:val="center"/>
          </w:tcPr>
          <w:p w14:paraId="25DEAB12">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6</w:t>
            </w:r>
          </w:p>
        </w:tc>
        <w:tc>
          <w:tcPr>
            <w:tcW w:w="819" w:type="dxa"/>
            <w:noWrap w:val="0"/>
            <w:vAlign w:val="center"/>
          </w:tcPr>
          <w:p w14:paraId="7596F03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工控能源安全场景演练资源包</w:t>
            </w:r>
          </w:p>
        </w:tc>
        <w:tc>
          <w:tcPr>
            <w:tcW w:w="7468" w:type="dxa"/>
            <w:noWrap w:val="0"/>
            <w:vAlign w:val="center"/>
          </w:tcPr>
          <w:p w14:paraId="18DB3FB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一、场景资源</w:t>
            </w:r>
          </w:p>
          <w:p w14:paraId="329F386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1.电力领域工控安全综合实验场景</w:t>
            </w:r>
          </w:p>
          <w:p w14:paraId="0076C65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1）业务场景仿真指标</w:t>
            </w:r>
          </w:p>
          <w:p w14:paraId="209ECD9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①场景以10kV配电网远程监测与控制为蓝本，完整复现配电站房内“四遥”（遥测、遥信、遥控、遥调）业务链路，覆盖配变电压监测、线路电流采集、故障跳闸控制及无功补偿投切等典型生产流程；</w:t>
            </w:r>
          </w:p>
          <w:p w14:paraId="3A0620B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②实验场景基于10kV配电网SCADA系统的远程监测与控制仿真环境；</w:t>
            </w:r>
          </w:p>
          <w:p w14:paraId="48CC5EA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③实验场景可模拟配变电压监测、线路电流采集及故障跳闸控制等核心业务功能；</w:t>
            </w:r>
          </w:p>
          <w:p w14:paraId="5F9A916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④实验场景可模拟非法入侵SCADA系统的攻击场景；</w:t>
            </w:r>
          </w:p>
          <w:p w14:paraId="2727461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⑤实验场景可模拟监测数据篡改攻击与控制指令伪造攻击场景。</w:t>
            </w:r>
          </w:p>
          <w:p w14:paraId="22C972B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2）配电自动化系统架构指标</w:t>
            </w:r>
          </w:p>
          <w:p w14:paraId="1C62A26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①实验场景可采用“管理层—控制层—现场设备层”三级简化架构模型设计或更复杂设计；</w:t>
            </w:r>
          </w:p>
          <w:p w14:paraId="0E27043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②实验场景管理层部署工业控制主机1台，负责数据展示和指令下发；</w:t>
            </w:r>
          </w:p>
          <w:p w14:paraId="07FB147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③实验场景控制层设置边缘控制网关，用于实现ModbusTCP/RTU协议转换与数据转发；</w:t>
            </w:r>
          </w:p>
          <w:p w14:paraId="46A9A3E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④实验场景现场设备层部署配变监测终端模拟器，可模拟电压、电流数据采集，兼容ModbusRTU协议；</w:t>
            </w:r>
          </w:p>
          <w:p w14:paraId="6EEA963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⑤实验场景现场设备层部署断路器模拟器，接收跳闸指令并反馈运行状态。</w:t>
            </w:r>
          </w:p>
          <w:p w14:paraId="5ED2824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3）安全分区与纵深防御指标</w:t>
            </w:r>
          </w:p>
          <w:p w14:paraId="6A8A20C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①实验场景管理层与控制层部署工控防火墙，开启工业协议白名单防护；</w:t>
            </w:r>
          </w:p>
          <w:p w14:paraId="1BFA45B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②实验场景管理层与控制层采用工业以太网互联，控制层与现场设备层采用RS-485总线连接；工控防火墙划分两个隔离网段；</w:t>
            </w:r>
          </w:p>
          <w:p w14:paraId="451E565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③配电自动化主站系统按等保2.0定级为第三级，须具备访问控制、入侵防范、安全审计、数据完整性校验等技术措施；</w:t>
            </w:r>
          </w:p>
          <w:p w14:paraId="5BA86CC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场景采用“安全分区+纵深防御”的架构设计，划分为安全I区（生产控制区）、安全接入区、安全Ⅱ区（非控制生产区）和管理信息区四个逻辑区域，各区域之间通过专用安全设备实现边界隔离，内置6个及以上核心靶标；</w:t>
            </w:r>
          </w:p>
          <w:p w14:paraId="31CD12E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⑤配电网需设立安全接入区作为内外网之间的缓冲地带。</w:t>
            </w:r>
          </w:p>
          <w:p w14:paraId="61865EE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4）工业控制安全攻防训练指标</w:t>
            </w:r>
          </w:p>
          <w:p w14:paraId="248BC12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①攻击面覆盖从网络边界到物理设备的完整攻击链，包含边界突破与横向渗透、纵向加密认证绕过、工控协议攻击、配电终端恶意控制、勒索病毒、SCADA服务器权限获取、DoS/DDoS攻击以及APT全链路攻击；</w:t>
            </w:r>
          </w:p>
          <w:p w14:paraId="208AF43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②实验场景可用于演练默认凭据、XAML组态文件缺乏完整性校验、对异常Modbus报文缺乏输入验证等训练内容；</w:t>
            </w:r>
          </w:p>
          <w:p w14:paraId="58C1FBD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③实验场景可用于演练Telnet/SSH弱口令、固件未签名验证、协议转换层缺乏报文合法性校验、无线接入面缺乏设备认证等训练内容；</w:t>
            </w:r>
          </w:p>
          <w:p w14:paraId="2104F94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④实验场景可用于演练验证防火墙规则有效性、绕过DPI检测的报文构造技术、规则配置疏漏导致的穿透等训练内容；</w:t>
            </w:r>
          </w:p>
          <w:p w14:paraId="49BCF25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⑤实验场景可用于演练缺乏写保护、固件升级接口缺乏认证、支持广播报文等训练内容；</w:t>
            </w:r>
          </w:p>
          <w:p w14:paraId="76A5833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⑥实验场景可用于演练证书伪造攻击、加密隧道中间人攻击、策略配置绕过等训练内容；</w:t>
            </w:r>
          </w:p>
          <w:p w14:paraId="600355C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⑦实验场景可用于演练验证隔离强度、尝试反向渗透路径、利用摆渡数据残留的攻击面等训练内容。</w:t>
            </w:r>
          </w:p>
          <w:p w14:paraId="38004CC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5）实训教学与资源配套指标</w:t>
            </w:r>
          </w:p>
          <w:p w14:paraId="0C1504A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①实训内容不少于40个学时；</w:t>
            </w:r>
          </w:p>
          <w:p w14:paraId="69441C1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 获取任务描述、网络拓扑、演示视频、标准答案及复现报告等资料。</w:t>
            </w:r>
          </w:p>
          <w:p w14:paraId="3A416CF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2.煤炭领域工控安全综合实验场景</w:t>
            </w:r>
          </w:p>
          <w:p w14:paraId="57B641D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1）工业控制业务仿真指标</w:t>
            </w:r>
          </w:p>
          <w:p w14:paraId="0617A61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①实验场景基于煤矿井下胶带运输机启停控制与故障监测仿真环境；</w:t>
            </w:r>
          </w:p>
          <w:p w14:paraId="0BE5EF8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②实验场景可模拟运输机启停操作、速度监测及超温/跑偏报警等核心功能；</w:t>
            </w:r>
          </w:p>
          <w:p w14:paraId="537A859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③实验场景可模拟非法控制运输机运行、屏蔽故障报警等场景。</w:t>
            </w:r>
          </w:p>
          <w:p w14:paraId="2229039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2）工业控制架构设计指标</w:t>
            </w:r>
          </w:p>
          <w:p w14:paraId="4E1E0BA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①实验场景可采用“地面控制层－井下控制层－现场设备层”三级简化架构模型设计或更复杂设计。</w:t>
            </w:r>
          </w:p>
          <w:p w14:paraId="7D70351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3）地面控制层设备部署指标</w:t>
            </w:r>
          </w:p>
          <w:p w14:paraId="29280AF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①实验场景地面控制层部署工业控制主机1台，安装组态软件，用于实现运输机状态远程监控与启停操作；</w:t>
            </w:r>
          </w:p>
          <w:p w14:paraId="17CE99B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②实验场景地面控制层部署地面集控服务器，集成煤炭产量计量、设备运行状态汇总、视频监控联动等功能；部署调度操作站，提供皮带机启停操作、故障报警确认、运行参数调整等人机界面。</w:t>
            </w:r>
          </w:p>
          <w:p w14:paraId="20D78E1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4）井下控制层设备部署指标</w:t>
            </w:r>
          </w:p>
          <w:p w14:paraId="0875A0F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①实验场景井下控制层设置井下PLC控制器，用于模拟控制核心，处理传感器数据与控制指令；</w:t>
            </w:r>
          </w:p>
          <w:p w14:paraId="45AA098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②实验场景井下控制层设置工业环网交换机，模拟环网架构，组成MRP（介质冗余协议）环网，用于保障单点故障时的通信连续性，实现地面与井下数据传输。</w:t>
            </w:r>
          </w:p>
          <w:p w14:paraId="6C37C6E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5）现场设备层设备部署指标</w:t>
            </w:r>
          </w:p>
          <w:p w14:paraId="70CA8E6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①实验场景现场设备层部署配变监测终端模拟器，可模拟电压、电流数据采集，兼容ModbusRTU协议；</w:t>
            </w:r>
          </w:p>
          <w:p w14:paraId="152A0CC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②实验场景现场设备层部署断路器模拟器，接收跳闸指令并反馈运行状态；</w:t>
            </w:r>
          </w:p>
          <w:p w14:paraId="78F94AF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③实验场景现场设备层部署速度/温度传感器模拟器，用于监测运输机运行速度与滚筒温度；</w:t>
            </w:r>
          </w:p>
          <w:p w14:paraId="273A9E4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④实验场景现场设备层部署声光报警器模拟器，用于接收故障报警指令并反馈状态。</w:t>
            </w:r>
          </w:p>
          <w:p w14:paraId="70CFD08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6）工业通信与网络安全防护指标</w:t>
            </w:r>
          </w:p>
          <w:p w14:paraId="6518505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①管理层与控制层部署工控防火墙，开启工业协议白名单防护；</w:t>
            </w:r>
          </w:p>
          <w:p w14:paraId="0805356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②实验场景地面控制层与井下控制层通过MRP工业环网（六台交换机组成环）互联，井下PLC与现场设备通过总线连接；环网交换机开启端口隔离，防范广播风暴；</w:t>
            </w:r>
          </w:p>
          <w:p w14:paraId="723884B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③实验场景内置4个及以上核心靶标，用于非法登录、远程控制指令注入攻击演练、PLC漏洞利用、控制逻辑篡改测试、环网拓扑攻击、端口扫描测试、传感器数据篡改、故障信号屏蔽测试等训练内容。</w:t>
            </w:r>
          </w:p>
          <w:p w14:paraId="7455B42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7）实训教学与资源配套指标</w:t>
            </w:r>
          </w:p>
          <w:p w14:paraId="07E739A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①实训内容不少于 40 个学时；</w:t>
            </w:r>
          </w:p>
          <w:p w14:paraId="7F5C648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 获取任务描述、网络拓扑、演示视频、标准答案及复现报告等资料。</w:t>
            </w:r>
          </w:p>
          <w:p w14:paraId="03CD5ED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3.水利领域工控安全综合实验场景</w:t>
            </w:r>
          </w:p>
          <w:p w14:paraId="4BAA6ED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1）工业控制业务仿真指标</w:t>
            </w:r>
          </w:p>
          <w:p w14:paraId="72268DE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①场景以某流域小型水库为原型，复现水位监测－闸门联动控制－视频监控的完整业务链路，覆盖“信息采集－传输处理－决策控制－执行反馈”四个环节；</w:t>
            </w:r>
          </w:p>
          <w:p w14:paraId="555B8D5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②实验场景基于小型水库单孔闸门升降控制与水位监测仿真环境；</w:t>
            </w:r>
          </w:p>
          <w:p w14:paraId="264AC57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③实验场景可模拟水位实时采集、闸门开度调节及超水位报警联动等核心功能；</w:t>
            </w:r>
          </w:p>
          <w:p w14:paraId="503A029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④实验场景可模拟非法控制闸门启停、篡改水位数据等场景。</w:t>
            </w:r>
          </w:p>
          <w:p w14:paraId="0DFFE76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2）工业控制架构设计指标</w:t>
            </w:r>
          </w:p>
          <w:p w14:paraId="5DFB97B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①实验场景可采用“控制层－现场设备层”二级简化架构模型设计或更复杂设计。</w:t>
            </w:r>
          </w:p>
          <w:p w14:paraId="358BBD7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3）控制层设备部署指标</w:t>
            </w:r>
          </w:p>
          <w:p w14:paraId="7428CC7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①实验场景控制层部署 PLC 模拟机 1 台，用于逻辑控制与数据处理；</w:t>
            </w:r>
          </w:p>
          <w:p w14:paraId="403FA19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②实验场景控制层部署上位机组态服务器、工程师编程站、操作员站等，提供水位监视、闸门操作、报警管理等人机交互界面。</w:t>
            </w:r>
          </w:p>
          <w:p w14:paraId="3708261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4）设备层设备部署指标</w:t>
            </w:r>
          </w:p>
          <w:p w14:paraId="2FE3F5F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①实验场景现场设备层设置水位传感器模拟器：超声波液位计，用于输出4～20mA信号，量程0-50m；</w:t>
            </w:r>
          </w:p>
          <w:p w14:paraId="7F81E7C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②实验场景现场设备层设置闸门执行器模拟器：4台电动闸阀，用于接收升降指令并反馈开度状态。</w:t>
            </w:r>
          </w:p>
          <w:p w14:paraId="212E0BD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5）工业通信与网络安全防护指标</w:t>
            </w:r>
          </w:p>
          <w:p w14:paraId="785DD31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①实验场景控制层内PLC与监控主机通过以太网互联，PLC 与现场设备通过模拟量模块连接；</w:t>
            </w:r>
          </w:p>
          <w:p w14:paraId="727AF5C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②控制层依赖WinCC的权限管理和Windows域策略进行访问控制；</w:t>
            </w:r>
          </w:p>
          <w:p w14:paraId="328560F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③实验场景内置 4 个及以上核心靶标，用于 PLC 程序上传下载攻击、逻辑篡改测试、监控软件非法登录、画面篡改攻击演练、传感器信号干扰、虚假数据注入测试、非法控制指令下发、设备误动作测试等训练内容。</w:t>
            </w:r>
          </w:p>
          <w:p w14:paraId="28BA0B7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6）实训教学与资源配套指标</w:t>
            </w:r>
          </w:p>
          <w:p w14:paraId="128E144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①实训内容不少于 40 个学时；</w:t>
            </w:r>
          </w:p>
          <w:p w14:paraId="342A606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②场景配套提供场景描述、Flag 获取任务描述、网络拓扑、演示视频、标准答案及复现报告等资料。</w:t>
            </w:r>
          </w:p>
          <w:p w14:paraId="618D6BE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二、配套课程资源</w:t>
            </w:r>
          </w:p>
          <w:p w14:paraId="212B6017">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1.靶场场景与课程资源须实现内容配套，形成理论－实践闭环</w:t>
            </w:r>
          </w:p>
          <w:p w14:paraId="73049B7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1）课程内容与靶场场景一一对应</w:t>
            </w:r>
          </w:p>
          <w:p w14:paraId="6041C96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①靶场场景中涉及的工控协议，须提供对应的通信设备和协议交互环境；</w:t>
            </w:r>
          </w:p>
          <w:p w14:paraId="21A7298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②靶场场景中攻击面（如边界突破、协议攻击、终端控制、勒索病毒等），须提供对应的靶标和攻击路径；</w:t>
            </w:r>
          </w:p>
          <w:p w14:paraId="67BC8BD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③须提供课程大纲与靶场场景对应关系表，逐项标注每个课程模块对应的靶场设备、靶标编号和攻击/防御科目。</w:t>
            </w:r>
          </w:p>
          <w:p w14:paraId="663EDB6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2）课程资源配套完整性</w:t>
            </w:r>
          </w:p>
          <w:p w14:paraId="47F1E45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①须提供“基础－进阶－实战－考核”四阶段课程体系，总课时≥160课时，其中：基础阶段≥40课时，进阶阶段≥50课时，实战阶段≥50课时，考核阶段≥20课时；</w:t>
            </w:r>
          </w:p>
          <w:p w14:paraId="2C71C7D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②每门课程须提供对应的实验指导书、PPT课件（覆盖全部课时）；</w:t>
            </w:r>
          </w:p>
          <w:p w14:paraId="223CF10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③考核试题库（试题总量≥500道，含单选、多选、判断、实操题）；</w:t>
            </w:r>
          </w:p>
          <w:p w14:paraId="5DD3EE6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④须提供课程大纲、课时分配表、实验指导书封面及目录页、试题样本。</w:t>
            </w:r>
          </w:p>
          <w:p w14:paraId="26DD4AE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3）课程架构设计</w:t>
            </w:r>
          </w:p>
          <w:p w14:paraId="152765D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①课程模块：工控安全基础、工控安全进阶、场景驱动实战、专项练习与考核。</w:t>
            </w:r>
          </w:p>
          <w:p w14:paraId="2CC48A3A">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4）理论课件阶段、模块分别制作</w:t>
            </w:r>
          </w:p>
          <w:p w14:paraId="4160D14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①基础阶段课包含知识点讲解、配套动画、随堂测试题；</w:t>
            </w:r>
          </w:p>
          <w:p w14:paraId="1A4B7EB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②进阶阶段课件：增加案例驱动的教学设计——每个知识点配套一个真实或仿真的安全事件案例；</w:t>
            </w:r>
          </w:p>
          <w:p w14:paraId="0F44FA7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③实战阶段课件：作为任务书和参考手册使用，包含攻防科目的完整任务描述、操作步骤截图和注意事项。</w:t>
            </w:r>
          </w:p>
          <w:p w14:paraId="5AC5D3E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5）实训任务手册</w:t>
            </w:r>
          </w:p>
          <w:p w14:paraId="4F62B72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①攻防科目配备独立的实训任务书，统一采用“五段式”结构：任务目标、前置知识、操作步骤、注意事项、考核标准。</w:t>
            </w:r>
          </w:p>
          <w:p w14:paraId="6EBB980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6）配套工具与资源包</w:t>
            </w:r>
          </w:p>
          <w:p w14:paraId="00D78A0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①配套工具资源包：仿真软件、PLC模拟器、协议分析工具、漏洞扫描工具、模糊测试工具、逆向分析工具等；</w:t>
            </w:r>
          </w:p>
          <w:p w14:paraId="42AE0EB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②攻击脚本库：Modbus攻击脚本集、配电终端交互脚本、辅助工具脚本。</w:t>
            </w:r>
          </w:p>
        </w:tc>
        <w:tc>
          <w:tcPr>
            <w:tcW w:w="577" w:type="dxa"/>
            <w:noWrap w:val="0"/>
            <w:vAlign w:val="center"/>
          </w:tcPr>
          <w:p w14:paraId="22964C2F">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套</w:t>
            </w:r>
          </w:p>
        </w:tc>
        <w:tc>
          <w:tcPr>
            <w:tcW w:w="473" w:type="dxa"/>
            <w:noWrap w:val="0"/>
            <w:vAlign w:val="center"/>
          </w:tcPr>
          <w:p w14:paraId="09EAD8AC">
            <w:pPr>
              <w:keepNext w:val="0"/>
              <w:keepLines w:val="0"/>
              <w:pageBreakBefore w:val="0"/>
              <w:widowControl w:val="0"/>
              <w:kinsoku/>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i w:val="0"/>
                <w:iCs w:val="0"/>
                <w:kern w:val="2"/>
                <w:sz w:val="24"/>
                <w:szCs w:val="24"/>
                <w:highlight w:val="none"/>
                <w:lang w:val="en-US" w:eastAsia="zh-CN" w:bidi="ar-SA"/>
              </w:rPr>
              <w:t>1</w:t>
            </w:r>
          </w:p>
        </w:tc>
      </w:tr>
    </w:tbl>
    <w:p w14:paraId="12FAF9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（2）商务要求</w:t>
      </w:r>
    </w:p>
    <w:p w14:paraId="3B446A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32"/>
          <w:highlight w:val="none"/>
        </w:rPr>
      </w:pPr>
      <w:r>
        <w:rPr>
          <w:rFonts w:hint="eastAsia" w:ascii="宋体" w:hAnsi="宋体" w:eastAsia="宋体" w:cs="宋体"/>
          <w:sz w:val="24"/>
          <w:szCs w:val="32"/>
          <w:highlight w:val="none"/>
        </w:rPr>
        <w:t>1.现场演示及测试：项目中标后、签订采购合同之前，提供主要设备厂方针对本项目的授权、产品原厂售后服务承诺函、产品授权等材料；业主对任何响应内容存疑时，可随时（原则上为中标通知书生效后的一周内、合同签订之前）要求对所提供的方案的任意功能在项目实施现场进行功能演示与测试，投标方必须无条件配合</w:t>
      </w:r>
      <w:r>
        <w:rPr>
          <w:rFonts w:hint="eastAsia" w:ascii="宋体" w:hAnsi="宋体" w:eastAsia="宋体" w:cs="宋体"/>
          <w:bCs/>
          <w:kern w:val="2"/>
          <w:sz w:val="24"/>
          <w:szCs w:val="22"/>
          <w:highlight w:val="none"/>
          <w:lang w:eastAsia="zh-CN" w:bidi="ar"/>
        </w:rPr>
        <w:t>（演示由归口管理部门或者使用部门组织，演示结束出具演示报告，由参与人员签字，演示不合格视为虚假应标，相关资料移交行政监督部门进行相应的行政处罚）</w:t>
      </w:r>
      <w:r>
        <w:rPr>
          <w:rFonts w:hint="eastAsia" w:ascii="宋体" w:hAnsi="宋体" w:eastAsia="宋体" w:cs="宋体"/>
          <w:sz w:val="24"/>
          <w:szCs w:val="32"/>
          <w:highlight w:val="none"/>
        </w:rPr>
        <w:t>。如果与投标响应文件存在不符、功能不能实现、不能按要求对接现有系统、要求改变现有系统状态（如整体或部分替换、拆除、改变使用方式、改变配置等）、无法满足设计规范、不符合系统实施方案的要求等</w:t>
      </w:r>
      <w:r>
        <w:rPr>
          <w:rFonts w:hint="eastAsia" w:ascii="宋体" w:hAnsi="宋体" w:eastAsia="宋体" w:cs="宋体"/>
          <w:sz w:val="24"/>
          <w:szCs w:val="32"/>
          <w:highlight w:val="none"/>
          <w:lang w:eastAsia="zh-CN"/>
        </w:rPr>
        <w:t>情况，</w:t>
      </w:r>
      <w:r>
        <w:rPr>
          <w:rFonts w:hint="eastAsia" w:ascii="宋体" w:hAnsi="宋体" w:eastAsia="宋体" w:cs="宋体"/>
          <w:sz w:val="24"/>
          <w:szCs w:val="32"/>
          <w:highlight w:val="none"/>
        </w:rPr>
        <w:t>任何一种情况均</w:t>
      </w:r>
      <w:r>
        <w:rPr>
          <w:rFonts w:hint="eastAsia" w:ascii="宋体" w:hAnsi="宋体" w:eastAsia="宋体" w:cs="宋体"/>
          <w:sz w:val="24"/>
          <w:szCs w:val="32"/>
          <w:highlight w:val="none"/>
          <w:lang w:eastAsia="zh-CN"/>
        </w:rPr>
        <w:t>按</w:t>
      </w:r>
      <w:r>
        <w:rPr>
          <w:rFonts w:hint="eastAsia" w:ascii="宋体" w:hAnsi="宋体" w:eastAsia="宋体" w:cs="宋体"/>
          <w:sz w:val="24"/>
          <w:szCs w:val="32"/>
          <w:highlight w:val="none"/>
        </w:rPr>
        <w:t>虚假应标处理，采购人有权终止合同签订流程，追究投标方违约责任，由此所产生的一切费用及项目延误造成的一切损失由投标人全部承担，并可以由后续中标候选人顺序中标。</w:t>
      </w:r>
    </w:p>
    <w:p w14:paraId="600173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32"/>
          <w:highlight w:val="none"/>
        </w:rPr>
      </w:pPr>
      <w:r>
        <w:rPr>
          <w:rFonts w:hint="eastAsia" w:ascii="宋体" w:hAnsi="宋体" w:eastAsia="宋体" w:cs="宋体"/>
          <w:sz w:val="24"/>
          <w:szCs w:val="32"/>
          <w:highlight w:val="none"/>
        </w:rPr>
        <w:t>2. 除明确说明内容外，所有响应细节中有关“支持”等响应描述，当用户方对“支持”等内容有具体需求时，中标方均应当无条件免费提供满足用户方相应需求的服务。</w:t>
      </w:r>
    </w:p>
    <w:p w14:paraId="5FCDCF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32"/>
          <w:highlight w:val="none"/>
        </w:rPr>
      </w:pPr>
      <w:r>
        <w:rPr>
          <w:rFonts w:hint="eastAsia" w:ascii="宋体" w:hAnsi="宋体" w:eastAsia="宋体" w:cs="宋体"/>
          <w:sz w:val="24"/>
          <w:szCs w:val="32"/>
          <w:highlight w:val="none"/>
        </w:rPr>
        <w:t>3.质保服务：本项目须提供5年免费质保服务（主要设备及核心软件原则上为原厂质保）。质保期内，中标人负责对软件系统进行维护和迁移，并且保证每学期上门维护一次，不再向用户收取任何费用。质保期后中标人提供的产品，采购人有权永久免费使用、迁移、安装。软件版本、各种升级库终身免费更新；系统漏洞和各种BUG终身免费修补。须提供产品原厂使用授权函和售后服务承诺函。</w:t>
      </w:r>
    </w:p>
    <w:p w14:paraId="4872E7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32"/>
          <w:highlight w:val="none"/>
        </w:rPr>
      </w:pPr>
      <w:r>
        <w:rPr>
          <w:rFonts w:hint="eastAsia" w:ascii="宋体" w:hAnsi="宋体" w:eastAsia="宋体" w:cs="宋体"/>
          <w:sz w:val="24"/>
          <w:szCs w:val="32"/>
          <w:highlight w:val="none"/>
        </w:rPr>
        <w:t>4.故障处置：一般系统故障（包括漏洞修复）须在2小时内做出有效响应，24小时内解决；特殊复杂的系统故障（包括漏洞修复）须48小时内解决；若需现场解决故障的，服务人员必须在5小时内到达学校。</w:t>
      </w:r>
    </w:p>
    <w:p w14:paraId="062EA2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32"/>
          <w:highlight w:val="none"/>
        </w:rPr>
      </w:pPr>
      <w:r>
        <w:rPr>
          <w:rFonts w:hint="eastAsia" w:ascii="宋体" w:hAnsi="宋体" w:eastAsia="宋体" w:cs="宋体"/>
          <w:sz w:val="24"/>
          <w:szCs w:val="32"/>
          <w:highlight w:val="none"/>
        </w:rPr>
        <w:t>5.技术及使用培训：免费提供所购软件中文版的操作说明书、相关技术资料及培训资料。免费提供每年不少于2次的现场培训或集中培训，并提供各种类型培训与个性化指导。</w:t>
      </w:r>
    </w:p>
    <w:p w14:paraId="6567D6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32"/>
          <w:highlight w:val="none"/>
        </w:rPr>
      </w:pPr>
      <w:r>
        <w:rPr>
          <w:rFonts w:hint="eastAsia" w:ascii="宋体" w:hAnsi="宋体" w:eastAsia="宋体" w:cs="宋体"/>
          <w:sz w:val="24"/>
          <w:szCs w:val="32"/>
          <w:highlight w:val="none"/>
        </w:rPr>
        <w:t>6.费用范围：本项目为交钥匙工程，项目预算已包含项目实施过程中的所有费用。投标方应充分考虑项目实施过程中各环节的费用，并包含在投标总报价中，项目实施中不得以任何理由增加费用。</w:t>
      </w:r>
    </w:p>
    <w:p w14:paraId="1C3D44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32"/>
          <w:highlight w:val="none"/>
        </w:rPr>
      </w:pPr>
      <w:r>
        <w:rPr>
          <w:rFonts w:hint="eastAsia" w:ascii="宋体" w:hAnsi="宋体" w:eastAsia="宋体" w:cs="宋体"/>
          <w:sz w:val="24"/>
          <w:szCs w:val="32"/>
          <w:highlight w:val="none"/>
        </w:rPr>
        <w:t>7.交货期：合同签订后30天内到货并安装调试完毕。</w:t>
      </w:r>
    </w:p>
    <w:p w14:paraId="40A4FCFA">
      <w:pPr>
        <w:spacing w:line="360" w:lineRule="auto"/>
        <w:rPr>
          <w:rFonts w:hint="eastAsia" w:ascii="宋体" w:hAnsi="宋体" w:eastAsia="宋体" w:cs="宋体"/>
          <w:sz w:val="24"/>
          <w:szCs w:val="32"/>
          <w:highlight w:val="none"/>
        </w:rPr>
      </w:pPr>
    </w:p>
    <w:p w14:paraId="464D698B">
      <w:pPr>
        <w:rPr>
          <w:rFonts w:hint="eastAsia" w:ascii="宋体" w:hAnsi="宋体" w:eastAsia="宋体" w:cs="宋体"/>
          <w:color w:val="auto"/>
          <w:highlight w:val="none"/>
          <w:lang w:bidi="ar"/>
        </w:rPr>
      </w:pPr>
    </w:p>
    <w:p w14:paraId="07E6453F">
      <w:pPr>
        <w:pStyle w:val="3"/>
        <w:tabs>
          <w:tab w:val="left" w:pos="1286"/>
        </w:tabs>
        <w:spacing w:before="29"/>
        <w:ind w:right="17"/>
        <w:rPr>
          <w:rFonts w:hint="eastAsia" w:ascii="宋体" w:hAnsi="宋体" w:eastAsia="宋体" w:cs="宋体"/>
          <w:color w:val="auto"/>
          <w:highlight w:val="none"/>
        </w:rPr>
      </w:pPr>
      <w:bookmarkStart w:id="32" w:name="_Toc19016"/>
      <w:bookmarkStart w:id="33" w:name="_Toc9710"/>
    </w:p>
    <w:p w14:paraId="196E9914">
      <w:pPr>
        <w:pStyle w:val="3"/>
        <w:tabs>
          <w:tab w:val="left" w:pos="1286"/>
        </w:tabs>
        <w:spacing w:before="29"/>
        <w:ind w:right="17"/>
        <w:rPr>
          <w:rFonts w:hint="eastAsia" w:ascii="宋体" w:hAnsi="宋体" w:eastAsia="宋体" w:cs="宋体"/>
          <w:color w:val="auto"/>
          <w:highlight w:val="none"/>
        </w:rPr>
      </w:pPr>
    </w:p>
    <w:p w14:paraId="32AD09F3">
      <w:pPr>
        <w:pStyle w:val="3"/>
        <w:tabs>
          <w:tab w:val="left" w:pos="1286"/>
        </w:tabs>
        <w:spacing w:before="29"/>
        <w:ind w:right="17"/>
        <w:rPr>
          <w:rFonts w:hint="eastAsia" w:ascii="宋体" w:hAnsi="宋体" w:eastAsia="宋体" w:cs="宋体"/>
          <w:color w:val="auto"/>
          <w:highlight w:val="none"/>
        </w:rPr>
      </w:pPr>
    </w:p>
    <w:p w14:paraId="2731810A">
      <w:pPr>
        <w:pStyle w:val="3"/>
        <w:tabs>
          <w:tab w:val="left" w:pos="1286"/>
        </w:tabs>
        <w:spacing w:before="29"/>
        <w:ind w:right="17"/>
        <w:rPr>
          <w:rFonts w:hint="eastAsia" w:ascii="宋体" w:hAnsi="宋体" w:eastAsia="宋体" w:cs="宋体"/>
          <w:color w:val="auto"/>
          <w:highlight w:val="none"/>
        </w:rPr>
      </w:pPr>
    </w:p>
    <w:p w14:paraId="3C7E2735">
      <w:pPr>
        <w:pStyle w:val="3"/>
        <w:tabs>
          <w:tab w:val="left" w:pos="1286"/>
        </w:tabs>
        <w:spacing w:before="29"/>
        <w:ind w:right="17"/>
        <w:rPr>
          <w:rFonts w:hint="eastAsia" w:ascii="宋体" w:hAnsi="宋体" w:eastAsia="宋体" w:cs="宋体"/>
          <w:color w:val="auto"/>
          <w:highlight w:val="none"/>
        </w:rPr>
      </w:pPr>
    </w:p>
    <w:p w14:paraId="573E6453">
      <w:pPr>
        <w:pStyle w:val="3"/>
        <w:tabs>
          <w:tab w:val="left" w:pos="1286"/>
        </w:tabs>
        <w:spacing w:before="29"/>
        <w:ind w:right="17"/>
        <w:rPr>
          <w:rFonts w:hint="eastAsia" w:ascii="宋体" w:hAnsi="宋体" w:eastAsia="宋体" w:cs="宋体"/>
          <w:color w:val="auto"/>
          <w:highlight w:val="none"/>
        </w:rPr>
      </w:pPr>
    </w:p>
    <w:p w14:paraId="48AB915F">
      <w:pPr>
        <w:pStyle w:val="3"/>
        <w:tabs>
          <w:tab w:val="left" w:pos="1286"/>
        </w:tabs>
        <w:spacing w:before="29"/>
        <w:ind w:right="17"/>
        <w:rPr>
          <w:rFonts w:hint="eastAsia" w:ascii="宋体" w:hAnsi="宋体" w:eastAsia="宋体" w:cs="宋体"/>
          <w:color w:val="auto"/>
          <w:highlight w:val="none"/>
        </w:rPr>
      </w:pPr>
    </w:p>
    <w:p w14:paraId="36F67A33">
      <w:pPr>
        <w:pStyle w:val="3"/>
        <w:tabs>
          <w:tab w:val="left" w:pos="1286"/>
        </w:tabs>
        <w:spacing w:before="29"/>
        <w:ind w:right="17"/>
        <w:rPr>
          <w:rFonts w:hint="eastAsia" w:ascii="宋体" w:hAnsi="宋体" w:eastAsia="宋体" w:cs="宋体"/>
          <w:color w:val="auto"/>
          <w:highlight w:val="none"/>
        </w:rPr>
      </w:pPr>
      <w:r>
        <w:rPr>
          <w:rFonts w:hint="eastAsia" w:ascii="宋体" w:hAnsi="宋体" w:eastAsia="宋体" w:cs="宋体"/>
          <w:color w:val="auto"/>
          <w:highlight w:val="none"/>
        </w:rPr>
        <w:t>第六章</w:t>
      </w:r>
      <w:r>
        <w:rPr>
          <w:rFonts w:hint="eastAsia" w:ascii="宋体" w:hAnsi="宋体" w:eastAsia="宋体" w:cs="宋体"/>
          <w:color w:val="auto"/>
          <w:highlight w:val="none"/>
        </w:rPr>
        <w:tab/>
      </w:r>
      <w:r>
        <w:rPr>
          <w:rFonts w:hint="eastAsia" w:ascii="宋体" w:hAnsi="宋体" w:eastAsia="宋体" w:cs="宋体"/>
          <w:color w:val="auto"/>
          <w:highlight w:val="none"/>
        </w:rPr>
        <w:t>投标文件格式</w:t>
      </w:r>
      <w:bookmarkEnd w:id="30"/>
      <w:bookmarkEnd w:id="31"/>
      <w:bookmarkEnd w:id="32"/>
      <w:bookmarkEnd w:id="33"/>
    </w:p>
    <w:p w14:paraId="4065335A">
      <w:pPr>
        <w:widowControl/>
        <w:shd w:val="clear" w:color="auto" w:fill="FFFFFF"/>
        <w:spacing w:line="440" w:lineRule="exact"/>
        <w:ind w:right="-370" w:rightChars="-176"/>
        <w:rPr>
          <w:rFonts w:hint="eastAsia" w:ascii="宋体" w:hAnsi="宋体" w:eastAsia="宋体" w:cs="宋体"/>
          <w:b/>
          <w:bCs/>
          <w:color w:val="auto"/>
          <w:kern w:val="0"/>
          <w:sz w:val="32"/>
          <w:szCs w:val="32"/>
          <w:highlight w:val="none"/>
          <w:shd w:val="clear" w:color="auto" w:fill="FFFFFF"/>
          <w:lang w:bidi="ar"/>
        </w:rPr>
      </w:pPr>
    </w:p>
    <w:p w14:paraId="1B0283F3">
      <w:pPr>
        <w:widowControl/>
        <w:shd w:val="clear" w:color="auto" w:fill="FFFFFF"/>
        <w:spacing w:line="440" w:lineRule="exact"/>
        <w:ind w:right="-370" w:rightChars="-176" w:firstLine="3253" w:firstLineChars="900"/>
        <w:jc w:val="both"/>
        <w:rPr>
          <w:rFonts w:hint="eastAsia" w:ascii="宋体" w:hAnsi="宋体" w:eastAsia="宋体" w:cs="宋体"/>
          <w:b/>
          <w:bCs/>
          <w:i w:val="0"/>
          <w:iCs w:val="0"/>
          <w:color w:val="auto"/>
          <w:kern w:val="0"/>
          <w:sz w:val="36"/>
          <w:szCs w:val="36"/>
          <w:highlight w:val="none"/>
          <w:u w:val="single"/>
          <w:shd w:val="clear" w:color="auto" w:fill="FFFFFF"/>
          <w:lang w:eastAsia="zh-CN" w:bidi="ar"/>
        </w:rPr>
      </w:pPr>
    </w:p>
    <w:p w14:paraId="78754F28">
      <w:pPr>
        <w:widowControl/>
        <w:shd w:val="clear" w:color="auto" w:fill="FFFFFF"/>
        <w:spacing w:line="440" w:lineRule="exact"/>
        <w:ind w:right="-370" w:rightChars="-176"/>
        <w:jc w:val="center"/>
        <w:rPr>
          <w:rFonts w:hint="eastAsia" w:ascii="宋体" w:hAnsi="宋体" w:eastAsia="宋体" w:cs="宋体"/>
          <w:b/>
          <w:bCs/>
          <w:i w:val="0"/>
          <w:iCs w:val="0"/>
          <w:color w:val="auto"/>
          <w:kern w:val="0"/>
          <w:sz w:val="44"/>
          <w:szCs w:val="44"/>
          <w:highlight w:val="none"/>
          <w:u w:val="single"/>
          <w:shd w:val="clear" w:color="auto" w:fill="FFFFFF"/>
          <w:lang w:val="en-US" w:eastAsia="zh-CN" w:bidi="ar"/>
        </w:rPr>
      </w:pPr>
      <w:r>
        <w:rPr>
          <w:rFonts w:hint="eastAsia" w:ascii="宋体" w:hAnsi="宋体" w:eastAsia="宋体" w:cs="宋体"/>
          <w:b/>
          <w:bCs/>
          <w:i w:val="0"/>
          <w:iCs w:val="0"/>
          <w:color w:val="auto"/>
          <w:kern w:val="0"/>
          <w:sz w:val="44"/>
          <w:szCs w:val="44"/>
          <w:highlight w:val="none"/>
          <w:u w:val="single"/>
          <w:shd w:val="clear" w:color="auto" w:fill="FFFFFF"/>
          <w:lang w:eastAsia="zh-CN" w:bidi="ar"/>
        </w:rPr>
        <w:t>项目</w:t>
      </w:r>
      <w:r>
        <w:rPr>
          <w:rFonts w:hint="eastAsia" w:ascii="宋体" w:hAnsi="宋体" w:eastAsia="宋体" w:cs="宋体"/>
          <w:b/>
          <w:bCs/>
          <w:i w:val="0"/>
          <w:iCs w:val="0"/>
          <w:color w:val="auto"/>
          <w:kern w:val="0"/>
          <w:sz w:val="44"/>
          <w:szCs w:val="44"/>
          <w:highlight w:val="none"/>
          <w:u w:val="single"/>
          <w:shd w:val="clear" w:color="auto" w:fill="FFFFFF"/>
          <w:lang w:val="en-US" w:eastAsia="zh-CN" w:bidi="ar"/>
        </w:rPr>
        <w:t>名称</w:t>
      </w:r>
    </w:p>
    <w:p w14:paraId="16AA0A4E">
      <w:pPr>
        <w:widowControl/>
        <w:jc w:val="center"/>
        <w:rPr>
          <w:rFonts w:hint="eastAsia" w:ascii="宋体" w:hAnsi="宋体" w:eastAsia="宋体" w:cs="宋体"/>
          <w:b/>
          <w:bCs/>
          <w:color w:val="auto"/>
          <w:sz w:val="44"/>
          <w:szCs w:val="44"/>
          <w:highlight w:val="none"/>
        </w:rPr>
      </w:pPr>
    </w:p>
    <w:p w14:paraId="7A571D70">
      <w:pPr>
        <w:spacing w:before="240" w:beforeLines="100"/>
        <w:jc w:val="center"/>
        <w:rPr>
          <w:rFonts w:hint="eastAsia" w:ascii="宋体" w:hAnsi="宋体" w:eastAsia="宋体" w:cs="宋体"/>
          <w:b/>
          <w:bCs/>
          <w:color w:val="auto"/>
          <w:sz w:val="36"/>
          <w:szCs w:val="36"/>
          <w:highlight w:val="none"/>
        </w:rPr>
      </w:pPr>
    </w:p>
    <w:p w14:paraId="375EE991">
      <w:pPr>
        <w:spacing w:before="240" w:beforeLines="10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 </w:t>
      </w:r>
    </w:p>
    <w:p w14:paraId="24DE4348">
      <w:pPr>
        <w:spacing w:before="240" w:beforeLines="10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72"/>
          <w:szCs w:val="72"/>
          <w:highlight w:val="none"/>
        </w:rPr>
        <w:t>投 标 文 件</w:t>
      </w:r>
    </w:p>
    <w:p w14:paraId="464E0B4A">
      <w:pPr>
        <w:adjustRightInd w:val="0"/>
        <w:snapToGrid w:val="0"/>
        <w:spacing w:line="480" w:lineRule="auto"/>
        <w:ind w:firstLine="2168" w:firstLineChars="900"/>
        <w:rPr>
          <w:rFonts w:hint="eastAsia" w:ascii="宋体" w:hAnsi="宋体" w:eastAsia="宋体" w:cs="宋体"/>
          <w:b/>
          <w:bCs/>
          <w:color w:val="auto"/>
          <w:kern w:val="0"/>
          <w:sz w:val="24"/>
          <w:highlight w:val="none"/>
          <w:lang w:val="zh-CN"/>
        </w:rPr>
      </w:pPr>
    </w:p>
    <w:p w14:paraId="4FDDCDAE">
      <w:pPr>
        <w:pStyle w:val="29"/>
        <w:spacing w:line="480" w:lineRule="auto"/>
        <w:ind w:left="0" w:leftChars="0" w:firstLine="0" w:firstLineChars="0"/>
        <w:jc w:val="center"/>
        <w:rPr>
          <w:rFonts w:hint="eastAsia" w:ascii="宋体" w:hAnsi="宋体" w:eastAsia="宋体" w:cs="宋体"/>
          <w:color w:val="auto"/>
          <w:sz w:val="30"/>
          <w:szCs w:val="30"/>
          <w:highlight w:val="none"/>
          <w:u w:val="single"/>
        </w:rPr>
      </w:pPr>
      <w:r>
        <w:rPr>
          <w:rFonts w:hint="eastAsia" w:ascii="宋体" w:hAnsi="宋体" w:eastAsia="宋体" w:cs="宋体"/>
          <w:b/>
          <w:color w:val="auto"/>
          <w:spacing w:val="0"/>
          <w:highlight w:val="none"/>
        </w:rPr>
        <w:t>项目编号</w:t>
      </w:r>
      <w:r>
        <w:rPr>
          <w:rFonts w:hint="eastAsia" w:ascii="宋体" w:hAnsi="宋体" w:eastAsia="宋体" w:cs="宋体"/>
          <w:color w:val="auto"/>
          <w:sz w:val="30"/>
          <w:szCs w:val="30"/>
          <w:highlight w:val="none"/>
        </w:rPr>
        <w:t>：</w:t>
      </w:r>
    </w:p>
    <w:p w14:paraId="6BD02E80">
      <w:pPr>
        <w:jc w:val="center"/>
        <w:rPr>
          <w:rFonts w:hint="eastAsia" w:ascii="宋体" w:hAnsi="宋体" w:eastAsia="宋体" w:cs="宋体"/>
          <w:color w:val="auto"/>
          <w:sz w:val="30"/>
          <w:szCs w:val="30"/>
          <w:highlight w:val="none"/>
        </w:rPr>
      </w:pPr>
    </w:p>
    <w:p w14:paraId="7637C679">
      <w:pPr>
        <w:rPr>
          <w:rFonts w:hint="eastAsia" w:ascii="宋体" w:hAnsi="宋体" w:eastAsia="宋体" w:cs="宋体"/>
          <w:color w:val="auto"/>
          <w:sz w:val="24"/>
          <w:highlight w:val="none"/>
        </w:rPr>
      </w:pPr>
    </w:p>
    <w:p w14:paraId="2B74BBA3">
      <w:pPr>
        <w:pStyle w:val="19"/>
        <w:ind w:firstLine="210"/>
        <w:rPr>
          <w:rFonts w:hint="eastAsia" w:ascii="宋体" w:hAnsi="宋体" w:eastAsia="宋体" w:cs="宋体"/>
          <w:color w:val="auto"/>
          <w:highlight w:val="none"/>
        </w:rPr>
      </w:pPr>
    </w:p>
    <w:p w14:paraId="4CA2C484">
      <w:pPr>
        <w:pStyle w:val="19"/>
        <w:ind w:firstLine="210"/>
        <w:rPr>
          <w:rFonts w:hint="eastAsia" w:ascii="宋体" w:hAnsi="宋体" w:eastAsia="宋体" w:cs="宋体"/>
          <w:color w:val="auto"/>
          <w:highlight w:val="none"/>
        </w:rPr>
      </w:pPr>
    </w:p>
    <w:p w14:paraId="0F6BE037">
      <w:pPr>
        <w:rPr>
          <w:rFonts w:hint="eastAsia" w:ascii="宋体" w:hAnsi="宋体" w:eastAsia="宋体" w:cs="宋体"/>
          <w:color w:val="auto"/>
          <w:highlight w:val="none"/>
        </w:rPr>
      </w:pPr>
    </w:p>
    <w:p w14:paraId="4FE3E245">
      <w:pPr>
        <w:pStyle w:val="32"/>
        <w:rPr>
          <w:rFonts w:hint="eastAsia" w:ascii="宋体" w:hAnsi="宋体" w:eastAsia="宋体" w:cs="宋体"/>
          <w:color w:val="auto"/>
          <w:highlight w:val="none"/>
        </w:rPr>
      </w:pPr>
    </w:p>
    <w:p w14:paraId="77D6DC25">
      <w:pPr>
        <w:jc w:val="center"/>
        <w:rPr>
          <w:rFonts w:hint="eastAsia" w:ascii="宋体" w:hAnsi="宋体" w:eastAsia="宋体" w:cs="宋体"/>
          <w:color w:val="auto"/>
          <w:sz w:val="24"/>
          <w:highlight w:val="none"/>
        </w:rPr>
      </w:pPr>
    </w:p>
    <w:p w14:paraId="6F3294C6">
      <w:pPr>
        <w:jc w:val="center"/>
        <w:rPr>
          <w:rFonts w:hint="eastAsia" w:ascii="宋体" w:hAnsi="宋体" w:eastAsia="宋体" w:cs="宋体"/>
          <w:color w:val="auto"/>
          <w:sz w:val="24"/>
          <w:highlight w:val="none"/>
        </w:rPr>
      </w:pPr>
    </w:p>
    <w:p w14:paraId="56DFEC68">
      <w:pPr>
        <w:jc w:val="center"/>
        <w:rPr>
          <w:rFonts w:hint="eastAsia" w:ascii="宋体" w:hAnsi="宋体" w:eastAsia="宋体" w:cs="宋体"/>
          <w:color w:val="auto"/>
          <w:sz w:val="24"/>
          <w:highlight w:val="none"/>
        </w:rPr>
      </w:pPr>
    </w:p>
    <w:p w14:paraId="5442E22A">
      <w:pPr>
        <w:spacing w:line="480" w:lineRule="auto"/>
        <w:jc w:val="center"/>
        <w:rPr>
          <w:rFonts w:hint="eastAsia" w:ascii="宋体" w:hAnsi="宋体" w:eastAsia="宋体" w:cs="宋体"/>
          <w:b/>
          <w:bCs/>
          <w:color w:val="auto"/>
          <w:spacing w:val="-13"/>
          <w:sz w:val="28"/>
          <w:szCs w:val="28"/>
          <w:highlight w:val="none"/>
        </w:rPr>
      </w:pPr>
      <w:r>
        <w:rPr>
          <w:rFonts w:hint="eastAsia" w:ascii="宋体" w:hAnsi="宋体" w:eastAsia="宋体" w:cs="宋体"/>
          <w:b/>
          <w:bCs/>
          <w:color w:val="auto"/>
          <w:sz w:val="28"/>
          <w:szCs w:val="28"/>
          <w:highlight w:val="none"/>
        </w:rPr>
        <w:t xml:space="preserve">    </w:t>
      </w:r>
      <w:r>
        <w:rPr>
          <w:rFonts w:hint="eastAsia" w:ascii="宋体" w:hAnsi="宋体" w:eastAsia="宋体" w:cs="宋体"/>
          <w:b/>
          <w:bCs/>
          <w:color w:val="auto"/>
          <w:spacing w:val="-3"/>
          <w:sz w:val="28"/>
          <w:szCs w:val="28"/>
          <w:highlight w:val="none"/>
        </w:rPr>
        <w:t>供应商名称</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rPr>
        <w:tab/>
      </w:r>
      <w:r>
        <w:rPr>
          <w:rFonts w:hint="eastAsia" w:ascii="宋体" w:hAnsi="宋体" w:eastAsia="宋体" w:cs="宋体"/>
          <w:b/>
          <w:bCs/>
          <w:color w:val="auto"/>
          <w:sz w:val="28"/>
          <w:szCs w:val="28"/>
          <w:highlight w:val="none"/>
          <w:u w:val="single"/>
        </w:rPr>
        <w:tab/>
      </w:r>
      <w:r>
        <w:rPr>
          <w:rFonts w:hint="eastAsia" w:ascii="宋体" w:hAnsi="宋体" w:eastAsia="宋体" w:cs="宋体"/>
          <w:b/>
          <w:bCs/>
          <w:color w:val="auto"/>
          <w:sz w:val="28"/>
          <w:szCs w:val="28"/>
          <w:highlight w:val="none"/>
          <w:u w:val="single"/>
        </w:rPr>
        <w:tab/>
      </w:r>
      <w:r>
        <w:rPr>
          <w:rFonts w:hint="eastAsia" w:ascii="宋体" w:hAnsi="宋体" w:eastAsia="宋体" w:cs="宋体"/>
          <w:b/>
          <w:bCs/>
          <w:color w:val="auto"/>
          <w:sz w:val="28"/>
          <w:szCs w:val="28"/>
          <w:highlight w:val="none"/>
          <w:u w:val="single"/>
        </w:rPr>
        <w:tab/>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（电子签章）</w:t>
      </w:r>
    </w:p>
    <w:p w14:paraId="4458AB96">
      <w:pPr>
        <w:spacing w:line="480" w:lineRule="auto"/>
        <w:ind w:firstLine="843" w:firstLineChars="300"/>
        <w:rPr>
          <w:rFonts w:hint="eastAsia" w:ascii="宋体" w:hAnsi="宋体" w:eastAsia="宋体" w:cs="宋体"/>
          <w:b/>
          <w:bCs/>
          <w:color w:val="auto"/>
          <w:spacing w:val="-15"/>
          <w:sz w:val="28"/>
          <w:szCs w:val="28"/>
          <w:highlight w:val="none"/>
        </w:rPr>
      </w:pPr>
      <w:r>
        <w:rPr>
          <w:rFonts w:hint="eastAsia" w:ascii="宋体" w:hAnsi="宋体" w:eastAsia="宋体" w:cs="宋体"/>
          <w:b/>
          <w:bCs/>
          <w:color w:val="auto"/>
          <w:sz w:val="28"/>
          <w:szCs w:val="28"/>
          <w:highlight w:val="none"/>
        </w:rPr>
        <w:t>法</w:t>
      </w:r>
      <w:r>
        <w:rPr>
          <w:rFonts w:hint="eastAsia" w:ascii="宋体" w:hAnsi="宋体" w:eastAsia="宋体" w:cs="宋体"/>
          <w:b/>
          <w:bCs/>
          <w:color w:val="auto"/>
          <w:spacing w:val="-3"/>
          <w:sz w:val="28"/>
          <w:szCs w:val="28"/>
          <w:highlight w:val="none"/>
        </w:rPr>
        <w:t>定代表人或其委托代理人：</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rPr>
        <w:tab/>
      </w:r>
      <w:r>
        <w:rPr>
          <w:rFonts w:hint="eastAsia" w:ascii="宋体" w:hAnsi="宋体" w:eastAsia="宋体" w:cs="宋体"/>
          <w:b/>
          <w:bCs/>
          <w:color w:val="auto"/>
          <w:sz w:val="28"/>
          <w:szCs w:val="28"/>
          <w:highlight w:val="none"/>
          <w:u w:val="single"/>
        </w:rPr>
        <w:tab/>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（电子签章）</w:t>
      </w:r>
    </w:p>
    <w:p w14:paraId="7C124606">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pacing w:val="-15"/>
          <w:sz w:val="28"/>
          <w:szCs w:val="28"/>
          <w:highlight w:val="none"/>
        </w:rPr>
        <w:t xml:space="preserve"> </w:t>
      </w:r>
      <w:r>
        <w:rPr>
          <w:rFonts w:hint="eastAsia" w:ascii="宋体" w:hAnsi="宋体" w:eastAsia="宋体" w:cs="宋体"/>
          <w:b/>
          <w:bCs/>
          <w:color w:val="auto"/>
          <w:sz w:val="28"/>
          <w:szCs w:val="28"/>
          <w:highlight w:val="none"/>
        </w:rPr>
        <w:t>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t>期：</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rPr>
        <w:tab/>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rPr>
        <w:tab/>
      </w:r>
      <w:r>
        <w:rPr>
          <w:rFonts w:hint="eastAsia" w:ascii="宋体" w:hAnsi="宋体" w:eastAsia="宋体" w:cs="宋体"/>
          <w:b/>
          <w:bCs/>
          <w:color w:val="auto"/>
          <w:spacing w:val="-3"/>
          <w:sz w:val="28"/>
          <w:szCs w:val="28"/>
          <w:highlight w:val="none"/>
        </w:rPr>
        <w:t>月</w:t>
      </w:r>
      <w:r>
        <w:rPr>
          <w:rFonts w:hint="eastAsia" w:ascii="宋体" w:hAnsi="宋体" w:eastAsia="宋体" w:cs="宋体"/>
          <w:b/>
          <w:bCs/>
          <w:color w:val="auto"/>
          <w:spacing w:val="-3"/>
          <w:sz w:val="28"/>
          <w:szCs w:val="28"/>
          <w:highlight w:val="none"/>
          <w:u w:val="single"/>
        </w:rPr>
        <w:t xml:space="preserve">     </w:t>
      </w:r>
      <w:r>
        <w:rPr>
          <w:rFonts w:hint="eastAsia" w:ascii="宋体" w:hAnsi="宋体" w:eastAsia="宋体" w:cs="宋体"/>
          <w:b/>
          <w:bCs/>
          <w:color w:val="auto"/>
          <w:sz w:val="28"/>
          <w:szCs w:val="28"/>
          <w:highlight w:val="none"/>
        </w:rPr>
        <w:t>日</w:t>
      </w:r>
    </w:p>
    <w:p w14:paraId="288FBE92">
      <w:pPr>
        <w:rPr>
          <w:rFonts w:hint="eastAsia" w:ascii="宋体" w:hAnsi="宋体" w:eastAsia="宋体" w:cs="宋体"/>
          <w:color w:val="auto"/>
          <w:sz w:val="36"/>
          <w:szCs w:val="36"/>
          <w:highlight w:val="none"/>
        </w:rPr>
      </w:pPr>
    </w:p>
    <w:p w14:paraId="654701A8">
      <w:pPr>
        <w:jc w:val="center"/>
        <w:rPr>
          <w:rFonts w:hint="eastAsia" w:ascii="宋体" w:hAnsi="宋体" w:eastAsia="宋体" w:cs="宋体"/>
          <w:color w:val="auto"/>
          <w:sz w:val="36"/>
          <w:szCs w:val="36"/>
          <w:highlight w:val="none"/>
        </w:rPr>
      </w:pPr>
    </w:p>
    <w:p w14:paraId="03536D45">
      <w:pPr>
        <w:jc w:val="center"/>
        <w:rPr>
          <w:rFonts w:hint="eastAsia" w:ascii="宋体" w:hAnsi="宋体" w:eastAsia="宋体" w:cs="宋体"/>
          <w:color w:val="auto"/>
          <w:sz w:val="36"/>
          <w:szCs w:val="36"/>
          <w:highlight w:val="none"/>
        </w:rPr>
      </w:pPr>
    </w:p>
    <w:p w14:paraId="37B98CFE">
      <w:pPr>
        <w:pStyle w:val="4"/>
        <w:rPr>
          <w:rFonts w:hint="eastAsia" w:ascii="宋体" w:hAnsi="宋体" w:eastAsia="宋体" w:cs="宋体"/>
          <w:color w:val="auto"/>
          <w:highlight w:val="none"/>
        </w:rPr>
      </w:pPr>
    </w:p>
    <w:p w14:paraId="44E12CD1">
      <w:pPr>
        <w:jc w:val="center"/>
        <w:rPr>
          <w:rFonts w:hint="eastAsia" w:ascii="宋体" w:hAnsi="宋体" w:eastAsia="宋体" w:cs="宋体"/>
          <w:b/>
          <w:bCs/>
          <w:color w:val="auto"/>
          <w:sz w:val="36"/>
          <w:szCs w:val="36"/>
          <w:highlight w:val="none"/>
        </w:rPr>
      </w:pPr>
    </w:p>
    <w:p w14:paraId="100CEB7E">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14:paraId="05456143">
      <w:pPr>
        <w:rPr>
          <w:rFonts w:hint="eastAsia" w:ascii="宋体" w:hAnsi="宋体" w:eastAsia="宋体" w:cs="宋体"/>
          <w:color w:val="auto"/>
          <w:sz w:val="36"/>
          <w:szCs w:val="36"/>
          <w:highlight w:val="none"/>
        </w:rPr>
      </w:pPr>
    </w:p>
    <w:p w14:paraId="711D04B3">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（1）投标函</w:t>
      </w:r>
    </w:p>
    <w:p w14:paraId="35969D3F">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（2）开标一览表</w:t>
      </w:r>
    </w:p>
    <w:p w14:paraId="4D78EA2E">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（3）法定代表人身份证明及授权委托书</w:t>
      </w:r>
    </w:p>
    <w:p w14:paraId="22B2CEB9">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（4）投标分项报价表</w:t>
      </w:r>
    </w:p>
    <w:p w14:paraId="7A2CA225">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（5）技术参数偏离表</w:t>
      </w:r>
    </w:p>
    <w:p w14:paraId="19937EE5">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（6）类似业绩一览表</w:t>
      </w:r>
    </w:p>
    <w:p w14:paraId="1962FD24">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（7）技术方案</w:t>
      </w:r>
    </w:p>
    <w:p w14:paraId="01BA6873">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（8）资格审查资料</w:t>
      </w:r>
    </w:p>
    <w:p w14:paraId="38F8BB34">
      <w:pPr>
        <w:snapToGrid w:val="0"/>
        <w:spacing w:line="360" w:lineRule="auto"/>
        <w:ind w:firstLine="1287" w:firstLineChars="55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（9）其它资料</w:t>
      </w:r>
    </w:p>
    <w:p w14:paraId="19EBF6B1">
      <w:pPr>
        <w:pStyle w:val="12"/>
        <w:ind w:left="860" w:hanging="440"/>
        <w:rPr>
          <w:rFonts w:hint="eastAsia" w:ascii="宋体" w:hAnsi="宋体" w:eastAsia="宋体" w:cs="宋体"/>
          <w:color w:val="auto"/>
          <w:highlight w:val="none"/>
        </w:rPr>
      </w:pPr>
    </w:p>
    <w:p w14:paraId="1340DED9">
      <w:pPr>
        <w:pStyle w:val="27"/>
        <w:tabs>
          <w:tab w:val="left" w:pos="1335"/>
        </w:tabs>
        <w:spacing w:before="131" w:line="360" w:lineRule="auto"/>
        <w:ind w:left="0" w:firstLine="0"/>
        <w:rPr>
          <w:rFonts w:hint="eastAsia" w:ascii="宋体" w:hAnsi="宋体" w:eastAsia="宋体" w:cs="宋体"/>
          <w:color w:val="auto"/>
          <w:spacing w:val="-3"/>
          <w:sz w:val="21"/>
          <w:szCs w:val="21"/>
          <w:highlight w:val="none"/>
          <w:lang w:val="en-US"/>
        </w:rPr>
      </w:pPr>
    </w:p>
    <w:p w14:paraId="366BA4C8">
      <w:pPr>
        <w:spacing w:line="360" w:lineRule="auto"/>
        <w:ind w:firstLine="560" w:firstLineChars="200"/>
        <w:rPr>
          <w:rFonts w:hint="eastAsia" w:ascii="宋体" w:hAnsi="宋体" w:eastAsia="宋体" w:cs="宋体"/>
          <w:color w:val="auto"/>
          <w:sz w:val="28"/>
          <w:szCs w:val="28"/>
          <w:highlight w:val="none"/>
        </w:rPr>
      </w:pPr>
    </w:p>
    <w:p w14:paraId="5BD8B2C3">
      <w:pPr>
        <w:pStyle w:val="29"/>
        <w:ind w:firstLine="600"/>
        <w:rPr>
          <w:rFonts w:hint="eastAsia" w:ascii="宋体" w:hAnsi="宋体" w:eastAsia="宋体" w:cs="宋体"/>
          <w:color w:val="auto"/>
          <w:sz w:val="28"/>
          <w:szCs w:val="28"/>
          <w:highlight w:val="none"/>
        </w:rPr>
      </w:pPr>
    </w:p>
    <w:p w14:paraId="4B2E2788">
      <w:pPr>
        <w:pStyle w:val="29"/>
        <w:ind w:firstLine="600"/>
        <w:rPr>
          <w:rFonts w:hint="eastAsia" w:ascii="宋体" w:hAnsi="宋体" w:eastAsia="宋体" w:cs="宋体"/>
          <w:color w:val="auto"/>
          <w:sz w:val="28"/>
          <w:szCs w:val="28"/>
          <w:highlight w:val="none"/>
        </w:rPr>
      </w:pPr>
    </w:p>
    <w:p w14:paraId="68E2F1C7">
      <w:pPr>
        <w:spacing w:line="440" w:lineRule="exact"/>
        <w:rPr>
          <w:rFonts w:hint="eastAsia" w:ascii="宋体" w:hAnsi="宋体" w:eastAsia="宋体" w:cs="宋体"/>
          <w:color w:val="auto"/>
          <w:sz w:val="30"/>
          <w:szCs w:val="30"/>
          <w:highlight w:val="none"/>
        </w:rPr>
      </w:pPr>
    </w:p>
    <w:p w14:paraId="5F755049">
      <w:pPr>
        <w:pStyle w:val="19"/>
        <w:ind w:firstLine="300"/>
        <w:rPr>
          <w:rFonts w:hint="eastAsia" w:ascii="宋体" w:hAnsi="宋体" w:eastAsia="宋体" w:cs="宋体"/>
          <w:color w:val="auto"/>
          <w:sz w:val="30"/>
          <w:szCs w:val="30"/>
          <w:highlight w:val="none"/>
        </w:rPr>
      </w:pPr>
    </w:p>
    <w:p w14:paraId="2C60B41F">
      <w:pPr>
        <w:pStyle w:val="19"/>
        <w:ind w:firstLine="300"/>
        <w:rPr>
          <w:rFonts w:hint="eastAsia" w:ascii="宋体" w:hAnsi="宋体" w:eastAsia="宋体" w:cs="宋体"/>
          <w:color w:val="auto"/>
          <w:sz w:val="30"/>
          <w:szCs w:val="30"/>
          <w:highlight w:val="none"/>
        </w:rPr>
      </w:pPr>
    </w:p>
    <w:p w14:paraId="48690AF5">
      <w:pPr>
        <w:pStyle w:val="19"/>
        <w:ind w:firstLine="300"/>
        <w:rPr>
          <w:rFonts w:hint="eastAsia" w:ascii="宋体" w:hAnsi="宋体" w:eastAsia="宋体" w:cs="宋体"/>
          <w:color w:val="auto"/>
          <w:sz w:val="30"/>
          <w:szCs w:val="30"/>
          <w:highlight w:val="none"/>
        </w:rPr>
      </w:pPr>
    </w:p>
    <w:p w14:paraId="53E24777">
      <w:pPr>
        <w:pStyle w:val="19"/>
        <w:ind w:firstLine="300"/>
        <w:rPr>
          <w:rFonts w:hint="eastAsia" w:ascii="宋体" w:hAnsi="宋体" w:eastAsia="宋体" w:cs="宋体"/>
          <w:color w:val="auto"/>
          <w:sz w:val="30"/>
          <w:szCs w:val="30"/>
          <w:highlight w:val="none"/>
        </w:rPr>
      </w:pPr>
    </w:p>
    <w:p w14:paraId="449DB73D">
      <w:pPr>
        <w:pStyle w:val="20"/>
        <w:rPr>
          <w:rFonts w:hint="eastAsia" w:ascii="宋体" w:hAnsi="宋体" w:eastAsia="宋体" w:cs="宋体"/>
          <w:color w:val="auto"/>
          <w:sz w:val="30"/>
          <w:szCs w:val="30"/>
          <w:highlight w:val="none"/>
        </w:rPr>
      </w:pPr>
    </w:p>
    <w:p w14:paraId="1BBEEB20">
      <w:pPr>
        <w:pStyle w:val="7"/>
        <w:rPr>
          <w:rFonts w:hint="eastAsia" w:ascii="宋体" w:hAnsi="宋体" w:eastAsia="宋体" w:cs="宋体"/>
          <w:highlight w:val="none"/>
        </w:rPr>
      </w:pPr>
    </w:p>
    <w:p w14:paraId="17C779EF">
      <w:pPr>
        <w:pStyle w:val="20"/>
        <w:ind w:firstLine="440"/>
        <w:rPr>
          <w:rFonts w:hint="eastAsia" w:ascii="宋体" w:hAnsi="宋体" w:eastAsia="宋体" w:cs="宋体"/>
          <w:color w:val="auto"/>
          <w:highlight w:val="none"/>
        </w:rPr>
      </w:pPr>
    </w:p>
    <w:p w14:paraId="7B3DAD61">
      <w:pPr>
        <w:rPr>
          <w:rFonts w:hint="eastAsia" w:ascii="宋体" w:hAnsi="宋体" w:eastAsia="宋体" w:cs="宋体"/>
          <w:color w:val="auto"/>
          <w:sz w:val="30"/>
          <w:szCs w:val="30"/>
          <w:highlight w:val="none"/>
        </w:rPr>
      </w:pPr>
    </w:p>
    <w:p w14:paraId="06BD9068">
      <w:pPr>
        <w:pStyle w:val="32"/>
        <w:rPr>
          <w:rFonts w:hint="eastAsia" w:ascii="宋体" w:hAnsi="宋体" w:eastAsia="宋体" w:cs="宋体"/>
          <w:color w:val="auto"/>
          <w:highlight w:val="none"/>
        </w:rPr>
      </w:pPr>
    </w:p>
    <w:p w14:paraId="45842647">
      <w:pPr>
        <w:pStyle w:val="19"/>
        <w:ind w:firstLine="300"/>
        <w:rPr>
          <w:rFonts w:hint="eastAsia" w:ascii="宋体" w:hAnsi="宋体" w:eastAsia="宋体" w:cs="宋体"/>
          <w:color w:val="auto"/>
          <w:sz w:val="30"/>
          <w:szCs w:val="30"/>
          <w:highlight w:val="none"/>
        </w:rPr>
      </w:pPr>
    </w:p>
    <w:p w14:paraId="77DCEACE">
      <w:pPr>
        <w:pStyle w:val="20"/>
        <w:ind w:left="0" w:leftChars="0" w:firstLine="0" w:firstLineChars="0"/>
        <w:rPr>
          <w:rFonts w:hint="eastAsia" w:ascii="宋体" w:hAnsi="宋体" w:eastAsia="宋体" w:cs="宋体"/>
          <w:color w:val="auto"/>
          <w:highlight w:val="none"/>
        </w:rPr>
      </w:pPr>
    </w:p>
    <w:p w14:paraId="3A909798">
      <w:pPr>
        <w:pStyle w:val="7"/>
        <w:rPr>
          <w:rFonts w:hint="eastAsia" w:ascii="宋体" w:hAnsi="宋体" w:eastAsia="宋体" w:cs="宋体"/>
          <w:color w:val="auto"/>
          <w:highlight w:val="none"/>
        </w:rPr>
      </w:pPr>
    </w:p>
    <w:p w14:paraId="50A2205A">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一、投标函</w:t>
      </w:r>
    </w:p>
    <w:p w14:paraId="6943D144">
      <w:pPr>
        <w:pStyle w:val="19"/>
        <w:ind w:left="210" w:leftChars="100" w:firstLine="0" w:firstLineChars="0"/>
        <w:rPr>
          <w:rFonts w:hint="eastAsia" w:ascii="宋体" w:hAnsi="宋体" w:eastAsia="宋体" w:cs="宋体"/>
          <w:color w:val="auto"/>
          <w:highlight w:val="none"/>
        </w:rPr>
      </w:pPr>
    </w:p>
    <w:p w14:paraId="4E654D2A">
      <w:pPr>
        <w:spacing w:line="360" w:lineRule="auto"/>
        <w:rPr>
          <w:rFonts w:hint="eastAsia" w:ascii="宋体" w:hAnsi="宋体" w:eastAsia="宋体" w:cs="宋体"/>
          <w:color w:val="auto"/>
          <w:sz w:val="24"/>
          <w:highlight w:val="none"/>
          <w:u w:val="single"/>
        </w:rPr>
      </w:pPr>
      <w:bookmarkStart w:id="34" w:name="_Toc865"/>
      <w:bookmarkStart w:id="35" w:name="_Toc9094"/>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w:t>
      </w:r>
    </w:p>
    <w:p w14:paraId="258497E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我们收到了你们关于</w:t>
      </w:r>
      <w:r>
        <w:rPr>
          <w:rFonts w:hint="eastAsia" w:ascii="宋体" w:hAnsi="宋体" w:eastAsia="宋体" w:cs="宋体"/>
          <w:color w:val="auto"/>
          <w:sz w:val="24"/>
          <w:highlight w:val="none"/>
          <w:u w:val="single"/>
        </w:rPr>
        <w:t xml:space="preserve">                      （项目名称）  </w:t>
      </w:r>
      <w:r>
        <w:rPr>
          <w:rFonts w:hint="eastAsia" w:ascii="宋体" w:hAnsi="宋体" w:eastAsia="宋体" w:cs="宋体"/>
          <w:color w:val="auto"/>
          <w:sz w:val="24"/>
          <w:highlight w:val="none"/>
        </w:rPr>
        <w:t>的招标文件，经正式授权</w:t>
      </w:r>
      <w:r>
        <w:rPr>
          <w:rFonts w:hint="eastAsia" w:ascii="宋体" w:hAnsi="宋体" w:eastAsia="宋体" w:cs="宋体"/>
          <w:color w:val="auto"/>
          <w:sz w:val="24"/>
          <w:highlight w:val="none"/>
          <w:u w:val="single"/>
        </w:rPr>
        <w:t xml:space="preserve">      （授权代表全名）  </w:t>
      </w:r>
      <w:r>
        <w:rPr>
          <w:rFonts w:hint="eastAsia" w:ascii="宋体" w:hAnsi="宋体" w:eastAsia="宋体" w:cs="宋体"/>
          <w:color w:val="auto"/>
          <w:sz w:val="24"/>
          <w:highlight w:val="none"/>
        </w:rPr>
        <w:t>代表投标人</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负责本次投标活动及处理相关事宜。</w:t>
      </w:r>
    </w:p>
    <w:p w14:paraId="6103340B">
      <w:pPr>
        <w:spacing w:line="360" w:lineRule="auto"/>
        <w:ind w:left="480"/>
        <w:rPr>
          <w:rFonts w:hint="eastAsia" w:ascii="宋体" w:hAnsi="宋体" w:eastAsia="宋体" w:cs="宋体"/>
          <w:color w:val="auto"/>
          <w:sz w:val="24"/>
          <w:highlight w:val="none"/>
        </w:rPr>
      </w:pPr>
      <w:r>
        <w:rPr>
          <w:rFonts w:hint="eastAsia" w:ascii="宋体" w:hAnsi="宋体" w:eastAsia="宋体" w:cs="宋体"/>
          <w:color w:val="auto"/>
          <w:sz w:val="24"/>
          <w:highlight w:val="none"/>
        </w:rPr>
        <w:t>据此函，签字人宣布同意如下：</w:t>
      </w:r>
    </w:p>
    <w:p w14:paraId="33E19FD1">
      <w:pPr>
        <w:numPr>
          <w:ilvl w:val="0"/>
          <w:numId w:val="15"/>
        </w:numPr>
        <w:tabs>
          <w:tab w:val="left" w:pos="425"/>
        </w:tabs>
        <w:autoSpaceDE w:val="0"/>
        <w:autoSpaceDN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愿意按照招标文件中的条款和要求，所附投标价格表中规定的应提交和交付的货物投标总报价</w:t>
      </w:r>
      <w:r>
        <w:rPr>
          <w:rFonts w:hint="eastAsia" w:ascii="宋体" w:hAnsi="宋体" w:eastAsia="宋体" w:cs="宋体"/>
          <w:color w:val="auto"/>
          <w:sz w:val="24"/>
          <w:highlight w:val="none"/>
          <w:u w:val="single"/>
        </w:rPr>
        <w:t xml:space="preserve">    （大写）</w:t>
      </w:r>
      <w:r>
        <w:rPr>
          <w:rFonts w:hint="eastAsia" w:ascii="宋体" w:hAnsi="宋体" w:eastAsia="宋体" w:cs="宋体"/>
          <w:color w:val="auto"/>
          <w:sz w:val="24"/>
          <w:highlight w:val="none"/>
        </w:rPr>
        <w:t>人民币，</w:t>
      </w:r>
      <w:r>
        <w:rPr>
          <w:rFonts w:hint="eastAsia" w:ascii="宋体" w:hAnsi="宋体" w:eastAsia="宋体" w:cs="宋体"/>
          <w:color w:val="auto"/>
          <w:sz w:val="24"/>
          <w:highlight w:val="none"/>
          <w:u w:val="single"/>
        </w:rPr>
        <w:t xml:space="preserve">      （小写）元</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人民币。</w:t>
      </w:r>
    </w:p>
    <w:p w14:paraId="6623CDFA">
      <w:pPr>
        <w:tabs>
          <w:tab w:val="left" w:pos="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2.我方已详细审查全部招标文件，包括修改文件（如有的话）以及全部参考资料和有关附件。我们完全理解并同意放弃对这方面有不明及误解的权利；</w:t>
      </w:r>
    </w:p>
    <w:p w14:paraId="5EE60D92">
      <w:pPr>
        <w:tabs>
          <w:tab w:val="left" w:pos="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3.我方同意提供按照贵单位可能要求的与其投标有关的一切数据或资料，并愿承担因材料不实而致的一切后果；完全理解贵单位不一定接受最低价的投标；</w:t>
      </w:r>
    </w:p>
    <w:p w14:paraId="230961BD">
      <w:pPr>
        <w:tabs>
          <w:tab w:val="left" w:pos="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4.如果我方中标，愿按照规定向招标代理机构支付招标代理服务费。  </w:t>
      </w:r>
    </w:p>
    <w:p w14:paraId="0ADD8844">
      <w:pPr>
        <w:tabs>
          <w:tab w:val="left" w:pos="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5. 我们愿按《中华人民共和国</w:t>
      </w:r>
      <w:r>
        <w:rPr>
          <w:rFonts w:hint="eastAsia" w:ascii="宋体" w:hAnsi="宋体" w:cs="宋体"/>
          <w:color w:val="auto"/>
          <w:sz w:val="24"/>
          <w:highlight w:val="none"/>
          <w:lang w:val="en-US" w:eastAsia="zh-CN"/>
        </w:rPr>
        <w:t>民法典</w:t>
      </w:r>
      <w:r>
        <w:rPr>
          <w:rFonts w:hint="eastAsia" w:ascii="宋体" w:hAnsi="宋体" w:eastAsia="宋体" w:cs="宋体"/>
          <w:color w:val="auto"/>
          <w:sz w:val="24"/>
          <w:highlight w:val="none"/>
        </w:rPr>
        <w:t>》履行自己的全部责任。</w:t>
      </w:r>
    </w:p>
    <w:p w14:paraId="4B1B3261">
      <w:pPr>
        <w:pStyle w:val="2"/>
        <w:rPr>
          <w:rFonts w:hint="eastAsia" w:ascii="宋体" w:hAnsi="宋体" w:eastAsia="宋体" w:cs="宋体"/>
          <w:color w:val="auto"/>
          <w:sz w:val="24"/>
          <w:highlight w:val="none"/>
        </w:rPr>
      </w:pPr>
    </w:p>
    <w:p w14:paraId="406D966A">
      <w:pPr>
        <w:pStyle w:val="2"/>
        <w:ind w:firstLine="0"/>
        <w:rPr>
          <w:rFonts w:hint="eastAsia" w:ascii="宋体" w:hAnsi="宋体" w:eastAsia="宋体" w:cs="宋体"/>
          <w:color w:val="auto"/>
          <w:sz w:val="24"/>
          <w:highlight w:val="none"/>
        </w:rPr>
      </w:pPr>
    </w:p>
    <w:p w14:paraId="4C1D5D39">
      <w:pPr>
        <w:pStyle w:val="2"/>
        <w:ind w:firstLine="0"/>
        <w:rPr>
          <w:rFonts w:hint="eastAsia" w:ascii="宋体" w:hAnsi="宋体" w:eastAsia="宋体" w:cs="宋体"/>
          <w:color w:val="auto"/>
          <w:sz w:val="24"/>
          <w:highlight w:val="none"/>
        </w:rPr>
      </w:pPr>
    </w:p>
    <w:p w14:paraId="5E724F60">
      <w:pPr>
        <w:pStyle w:val="2"/>
        <w:ind w:firstLine="0"/>
        <w:rPr>
          <w:rFonts w:hint="eastAsia" w:ascii="宋体" w:hAnsi="宋体" w:eastAsia="宋体" w:cs="宋体"/>
          <w:color w:val="auto"/>
          <w:sz w:val="24"/>
          <w:highlight w:val="none"/>
        </w:rPr>
      </w:pPr>
    </w:p>
    <w:p w14:paraId="12B3DB6D">
      <w:pPr>
        <w:pStyle w:val="2"/>
        <w:rPr>
          <w:rFonts w:hint="eastAsia" w:ascii="宋体" w:hAnsi="宋体" w:eastAsia="宋体" w:cs="宋体"/>
          <w:color w:val="auto"/>
          <w:sz w:val="24"/>
          <w:highlight w:val="none"/>
        </w:rPr>
      </w:pPr>
    </w:p>
    <w:p w14:paraId="128C8985">
      <w:pPr>
        <w:pStyle w:val="2"/>
        <w:rPr>
          <w:rFonts w:hint="eastAsia" w:ascii="宋体" w:hAnsi="宋体" w:eastAsia="宋体" w:cs="宋体"/>
          <w:color w:val="auto"/>
          <w:sz w:val="24"/>
          <w:highlight w:val="none"/>
        </w:rPr>
      </w:pPr>
    </w:p>
    <w:p w14:paraId="1873ADDC">
      <w:pPr>
        <w:pStyle w:val="2"/>
        <w:rPr>
          <w:rFonts w:hint="eastAsia" w:ascii="宋体" w:hAnsi="宋体" w:eastAsia="宋体" w:cs="宋体"/>
          <w:color w:val="auto"/>
          <w:sz w:val="24"/>
          <w:highlight w:val="none"/>
        </w:rPr>
      </w:pPr>
    </w:p>
    <w:p w14:paraId="210D191E">
      <w:pPr>
        <w:pStyle w:val="2"/>
        <w:rPr>
          <w:rFonts w:hint="eastAsia" w:ascii="宋体" w:hAnsi="宋体" w:eastAsia="宋体" w:cs="宋体"/>
          <w:color w:val="auto"/>
          <w:sz w:val="24"/>
          <w:highlight w:val="none"/>
        </w:rPr>
      </w:pPr>
    </w:p>
    <w:p w14:paraId="208D819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w:t>
      </w:r>
      <w:r>
        <w:rPr>
          <w:rFonts w:hint="eastAsia" w:ascii="宋体" w:hAnsi="宋体" w:eastAsia="宋体" w:cs="宋体"/>
          <w:color w:val="auto"/>
          <w:sz w:val="24"/>
          <w:highlight w:val="none"/>
          <w:u w:val="single"/>
        </w:rPr>
        <w:t xml:space="preserve">            （电子签章）   </w:t>
      </w:r>
      <w:r>
        <w:rPr>
          <w:rFonts w:hint="eastAsia" w:ascii="宋体" w:hAnsi="宋体" w:eastAsia="宋体" w:cs="宋体"/>
          <w:color w:val="auto"/>
          <w:sz w:val="24"/>
          <w:highlight w:val="none"/>
        </w:rPr>
        <w:t xml:space="preserve"> </w:t>
      </w:r>
    </w:p>
    <w:p w14:paraId="76770DC4">
      <w:pPr>
        <w:jc w:val="center"/>
        <w:rPr>
          <w:rFonts w:hint="eastAsia" w:ascii="宋体" w:hAnsi="宋体" w:eastAsia="宋体" w:cs="宋体"/>
          <w:color w:val="auto"/>
          <w:sz w:val="24"/>
          <w:highlight w:val="none"/>
        </w:rPr>
      </w:pPr>
    </w:p>
    <w:p w14:paraId="052DD1C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（电子签章）</w:t>
      </w:r>
    </w:p>
    <w:p w14:paraId="76782F39">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EB40E0D">
      <w:pPr>
        <w:ind w:firstLine="2400" w:firstLineChars="100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00EA4247">
      <w:pPr>
        <w:rPr>
          <w:rFonts w:hint="eastAsia" w:ascii="宋体" w:hAnsi="宋体" w:eastAsia="宋体" w:cs="宋体"/>
          <w:b/>
          <w:color w:val="auto"/>
          <w:sz w:val="32"/>
          <w:highlight w:val="none"/>
        </w:rPr>
      </w:pPr>
    </w:p>
    <w:p w14:paraId="7422ED69">
      <w:pPr>
        <w:pStyle w:val="29"/>
        <w:ind w:firstLine="683"/>
        <w:rPr>
          <w:rFonts w:hint="eastAsia" w:ascii="宋体" w:hAnsi="宋体" w:eastAsia="宋体" w:cs="宋体"/>
          <w:b/>
          <w:color w:val="auto"/>
          <w:sz w:val="32"/>
          <w:highlight w:val="none"/>
        </w:rPr>
      </w:pPr>
    </w:p>
    <w:p w14:paraId="2FC564EA">
      <w:pPr>
        <w:pStyle w:val="29"/>
        <w:ind w:firstLine="683"/>
        <w:rPr>
          <w:rFonts w:hint="eastAsia" w:ascii="宋体" w:hAnsi="宋体" w:eastAsia="宋体" w:cs="宋体"/>
          <w:b/>
          <w:color w:val="auto"/>
          <w:sz w:val="32"/>
          <w:highlight w:val="none"/>
        </w:rPr>
      </w:pPr>
    </w:p>
    <w:p w14:paraId="075A0F5D">
      <w:pPr>
        <w:pStyle w:val="29"/>
        <w:ind w:firstLine="683"/>
        <w:rPr>
          <w:rFonts w:hint="eastAsia" w:ascii="宋体" w:hAnsi="宋体" w:eastAsia="宋体" w:cs="宋体"/>
          <w:b/>
          <w:color w:val="auto"/>
          <w:sz w:val="32"/>
          <w:highlight w:val="none"/>
        </w:rPr>
      </w:pPr>
    </w:p>
    <w:p w14:paraId="6CC2C9F8">
      <w:pPr>
        <w:pStyle w:val="29"/>
        <w:ind w:firstLine="683"/>
        <w:rPr>
          <w:rFonts w:hint="eastAsia" w:ascii="宋体" w:hAnsi="宋体" w:eastAsia="宋体" w:cs="宋体"/>
          <w:b/>
          <w:color w:val="auto"/>
          <w:sz w:val="32"/>
          <w:highlight w:val="none"/>
        </w:rPr>
      </w:pPr>
    </w:p>
    <w:p w14:paraId="2CE37139">
      <w:pPr>
        <w:pStyle w:val="29"/>
        <w:ind w:firstLine="683"/>
        <w:rPr>
          <w:rFonts w:hint="eastAsia" w:ascii="宋体" w:hAnsi="宋体" w:eastAsia="宋体" w:cs="宋体"/>
          <w:b/>
          <w:color w:val="auto"/>
          <w:sz w:val="32"/>
          <w:highlight w:val="none"/>
        </w:rPr>
      </w:pPr>
    </w:p>
    <w:p w14:paraId="42720DAB">
      <w:pPr>
        <w:pStyle w:val="19"/>
        <w:ind w:firstLine="0" w:firstLine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二、开标一览表</w:t>
      </w:r>
    </w:p>
    <w:p w14:paraId="7371A840">
      <w:pPr>
        <w:pStyle w:val="19"/>
        <w:ind w:firstLine="210"/>
        <w:rPr>
          <w:rFonts w:hint="eastAsia" w:ascii="宋体" w:hAnsi="宋体" w:eastAsia="宋体" w:cs="宋体"/>
          <w:color w:val="auto"/>
          <w:highlight w:val="none"/>
        </w:rPr>
      </w:pPr>
    </w:p>
    <w:tbl>
      <w:tblPr>
        <w:tblStyle w:val="21"/>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7"/>
        <w:gridCol w:w="6222"/>
      </w:tblGrid>
      <w:tr w14:paraId="6440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2717" w:type="dxa"/>
            <w:noWrap w:val="0"/>
            <w:vAlign w:val="center"/>
          </w:tcPr>
          <w:p w14:paraId="7E481009">
            <w:pPr>
              <w:tabs>
                <w:tab w:val="left" w:pos="2232"/>
              </w:tabs>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222" w:type="dxa"/>
            <w:noWrap w:val="0"/>
            <w:vAlign w:val="center"/>
          </w:tcPr>
          <w:p w14:paraId="5409DFE6">
            <w:pPr>
              <w:spacing w:line="340" w:lineRule="exact"/>
              <w:ind w:right="460" w:rightChars="219"/>
              <w:jc w:val="center"/>
              <w:rPr>
                <w:rFonts w:hint="eastAsia" w:ascii="宋体" w:hAnsi="宋体" w:eastAsia="宋体" w:cs="宋体"/>
                <w:color w:val="auto"/>
                <w:sz w:val="24"/>
                <w:highlight w:val="none"/>
              </w:rPr>
            </w:pPr>
          </w:p>
        </w:tc>
      </w:tr>
      <w:tr w14:paraId="29B5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2717" w:type="dxa"/>
            <w:noWrap w:val="0"/>
            <w:vAlign w:val="center"/>
          </w:tcPr>
          <w:p w14:paraId="34699736">
            <w:pPr>
              <w:tabs>
                <w:tab w:val="left" w:pos="2232"/>
              </w:tabs>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p>
        </w:tc>
        <w:tc>
          <w:tcPr>
            <w:tcW w:w="6222" w:type="dxa"/>
            <w:noWrap w:val="0"/>
            <w:vAlign w:val="center"/>
          </w:tcPr>
          <w:p w14:paraId="6E42AF5E">
            <w:pPr>
              <w:spacing w:line="340" w:lineRule="exact"/>
              <w:ind w:right="460" w:rightChars="219"/>
              <w:jc w:val="center"/>
              <w:rPr>
                <w:rFonts w:hint="eastAsia" w:ascii="宋体" w:hAnsi="宋体" w:eastAsia="宋体" w:cs="宋体"/>
                <w:color w:val="auto"/>
                <w:sz w:val="24"/>
                <w:highlight w:val="none"/>
              </w:rPr>
            </w:pPr>
          </w:p>
        </w:tc>
      </w:tr>
      <w:tr w14:paraId="1632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2717" w:type="dxa"/>
            <w:noWrap w:val="0"/>
            <w:vAlign w:val="center"/>
          </w:tcPr>
          <w:p w14:paraId="223CF2C6">
            <w:pPr>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投标内容</w:t>
            </w:r>
          </w:p>
        </w:tc>
        <w:tc>
          <w:tcPr>
            <w:tcW w:w="6222" w:type="dxa"/>
            <w:noWrap w:val="0"/>
            <w:vAlign w:val="center"/>
          </w:tcPr>
          <w:p w14:paraId="34D27152">
            <w:pPr>
              <w:spacing w:line="340" w:lineRule="exact"/>
              <w:ind w:right="460" w:rightChars="219"/>
              <w:rPr>
                <w:rFonts w:hint="eastAsia" w:ascii="宋体" w:hAnsi="宋体" w:eastAsia="宋体" w:cs="宋体"/>
                <w:color w:val="auto"/>
                <w:sz w:val="24"/>
                <w:highlight w:val="none"/>
              </w:rPr>
            </w:pPr>
          </w:p>
        </w:tc>
      </w:tr>
      <w:tr w14:paraId="3649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2717" w:type="dxa"/>
            <w:vMerge w:val="restart"/>
            <w:noWrap w:val="0"/>
            <w:vAlign w:val="center"/>
          </w:tcPr>
          <w:p w14:paraId="746F4E93">
            <w:pPr>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投标总报价</w:t>
            </w:r>
          </w:p>
        </w:tc>
        <w:tc>
          <w:tcPr>
            <w:tcW w:w="6222" w:type="dxa"/>
            <w:noWrap w:val="0"/>
            <w:vAlign w:val="center"/>
          </w:tcPr>
          <w:p w14:paraId="722BD4B1">
            <w:pPr>
              <w:spacing w:line="340" w:lineRule="exact"/>
              <w:ind w:right="460" w:rightChars="21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rPr>
              <w:t xml:space="preserve">                   </w:t>
            </w:r>
          </w:p>
        </w:tc>
      </w:tr>
      <w:tr w14:paraId="3C216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2717" w:type="dxa"/>
            <w:vMerge w:val="continue"/>
            <w:noWrap w:val="0"/>
            <w:vAlign w:val="center"/>
          </w:tcPr>
          <w:p w14:paraId="33F155FE">
            <w:pPr>
              <w:spacing w:line="340" w:lineRule="exact"/>
              <w:ind w:right="-107" w:rightChars="-51"/>
              <w:jc w:val="center"/>
              <w:rPr>
                <w:rFonts w:hint="eastAsia" w:ascii="宋体" w:hAnsi="宋体" w:eastAsia="宋体" w:cs="宋体"/>
                <w:color w:val="auto"/>
                <w:sz w:val="24"/>
                <w:highlight w:val="none"/>
              </w:rPr>
            </w:pPr>
          </w:p>
        </w:tc>
        <w:tc>
          <w:tcPr>
            <w:tcW w:w="6222" w:type="dxa"/>
            <w:noWrap w:val="0"/>
            <w:vAlign w:val="center"/>
          </w:tcPr>
          <w:p w14:paraId="78D7D585">
            <w:pPr>
              <w:spacing w:line="340" w:lineRule="exact"/>
              <w:ind w:right="460" w:rightChars="21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tc>
      </w:tr>
      <w:tr w14:paraId="4295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2717" w:type="dxa"/>
            <w:noWrap w:val="0"/>
            <w:vAlign w:val="center"/>
          </w:tcPr>
          <w:p w14:paraId="270033C0">
            <w:pPr>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交货期</w:t>
            </w:r>
          </w:p>
        </w:tc>
        <w:tc>
          <w:tcPr>
            <w:tcW w:w="6222" w:type="dxa"/>
            <w:noWrap w:val="0"/>
            <w:vAlign w:val="center"/>
          </w:tcPr>
          <w:p w14:paraId="59D2FBB2">
            <w:pPr>
              <w:spacing w:line="340" w:lineRule="exact"/>
              <w:ind w:right="460" w:rightChars="219"/>
              <w:jc w:val="center"/>
              <w:rPr>
                <w:rFonts w:hint="eastAsia" w:ascii="宋体" w:hAnsi="宋体" w:eastAsia="宋体" w:cs="宋体"/>
                <w:color w:val="auto"/>
                <w:sz w:val="24"/>
                <w:highlight w:val="none"/>
              </w:rPr>
            </w:pPr>
          </w:p>
        </w:tc>
      </w:tr>
      <w:tr w14:paraId="54F9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atLeast"/>
          <w:jc w:val="center"/>
        </w:trPr>
        <w:tc>
          <w:tcPr>
            <w:tcW w:w="2717" w:type="dxa"/>
            <w:noWrap w:val="0"/>
            <w:vAlign w:val="center"/>
          </w:tcPr>
          <w:p w14:paraId="73DE4737">
            <w:pPr>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质量要求</w:t>
            </w:r>
          </w:p>
        </w:tc>
        <w:tc>
          <w:tcPr>
            <w:tcW w:w="6222" w:type="dxa"/>
            <w:noWrap w:val="0"/>
            <w:vAlign w:val="center"/>
          </w:tcPr>
          <w:p w14:paraId="44E4334C">
            <w:pPr>
              <w:spacing w:line="340" w:lineRule="exact"/>
              <w:ind w:right="460" w:rightChars="219"/>
              <w:jc w:val="center"/>
              <w:rPr>
                <w:rFonts w:hint="eastAsia" w:ascii="宋体" w:hAnsi="宋体" w:eastAsia="宋体" w:cs="宋体"/>
                <w:color w:val="auto"/>
                <w:sz w:val="24"/>
                <w:highlight w:val="none"/>
              </w:rPr>
            </w:pPr>
          </w:p>
        </w:tc>
      </w:tr>
      <w:tr w14:paraId="552C2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2717" w:type="dxa"/>
            <w:noWrap w:val="0"/>
            <w:vAlign w:val="center"/>
          </w:tcPr>
          <w:p w14:paraId="7F035DA9">
            <w:pPr>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质保期</w:t>
            </w:r>
          </w:p>
        </w:tc>
        <w:tc>
          <w:tcPr>
            <w:tcW w:w="6222" w:type="dxa"/>
            <w:noWrap w:val="0"/>
            <w:vAlign w:val="center"/>
          </w:tcPr>
          <w:p w14:paraId="44961CE6">
            <w:pPr>
              <w:spacing w:line="340" w:lineRule="exact"/>
              <w:ind w:right="460" w:rightChars="219"/>
              <w:jc w:val="center"/>
              <w:rPr>
                <w:rFonts w:hint="eastAsia" w:ascii="宋体" w:hAnsi="宋体" w:eastAsia="宋体" w:cs="宋体"/>
                <w:color w:val="auto"/>
                <w:sz w:val="24"/>
                <w:highlight w:val="none"/>
              </w:rPr>
            </w:pPr>
          </w:p>
        </w:tc>
      </w:tr>
      <w:tr w14:paraId="259A6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2717" w:type="dxa"/>
            <w:noWrap w:val="0"/>
            <w:vAlign w:val="center"/>
          </w:tcPr>
          <w:p w14:paraId="0E02307C">
            <w:pPr>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交货地点</w:t>
            </w:r>
          </w:p>
        </w:tc>
        <w:tc>
          <w:tcPr>
            <w:tcW w:w="6222" w:type="dxa"/>
            <w:noWrap w:val="0"/>
            <w:vAlign w:val="center"/>
          </w:tcPr>
          <w:p w14:paraId="5B948020">
            <w:pPr>
              <w:spacing w:line="340" w:lineRule="exact"/>
              <w:ind w:right="460" w:rightChars="219"/>
              <w:jc w:val="center"/>
              <w:rPr>
                <w:rFonts w:hint="eastAsia" w:ascii="宋体" w:hAnsi="宋体" w:eastAsia="宋体" w:cs="宋体"/>
                <w:color w:val="auto"/>
                <w:sz w:val="24"/>
                <w:highlight w:val="none"/>
              </w:rPr>
            </w:pPr>
          </w:p>
        </w:tc>
      </w:tr>
      <w:tr w14:paraId="4CF4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717" w:type="dxa"/>
            <w:noWrap w:val="0"/>
            <w:vAlign w:val="center"/>
          </w:tcPr>
          <w:p w14:paraId="16A73E7E">
            <w:pPr>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6222" w:type="dxa"/>
            <w:noWrap w:val="0"/>
            <w:vAlign w:val="center"/>
          </w:tcPr>
          <w:p w14:paraId="20C4C06D">
            <w:pPr>
              <w:spacing w:line="340" w:lineRule="exact"/>
              <w:ind w:right="460" w:rightChars="219"/>
              <w:jc w:val="center"/>
              <w:rPr>
                <w:rFonts w:hint="eastAsia" w:ascii="宋体" w:hAnsi="宋体" w:eastAsia="宋体" w:cs="宋体"/>
                <w:color w:val="auto"/>
                <w:sz w:val="24"/>
                <w:highlight w:val="none"/>
              </w:rPr>
            </w:pPr>
          </w:p>
        </w:tc>
      </w:tr>
      <w:tr w14:paraId="4831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jc w:val="center"/>
        </w:trPr>
        <w:tc>
          <w:tcPr>
            <w:tcW w:w="2717" w:type="dxa"/>
            <w:noWrap w:val="0"/>
            <w:vAlign w:val="center"/>
          </w:tcPr>
          <w:p w14:paraId="5E8E6C6B">
            <w:pPr>
              <w:spacing w:line="340" w:lineRule="exact"/>
              <w:ind w:right="-107" w:righ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其它</w:t>
            </w:r>
          </w:p>
        </w:tc>
        <w:tc>
          <w:tcPr>
            <w:tcW w:w="6222" w:type="dxa"/>
            <w:noWrap w:val="0"/>
            <w:vAlign w:val="center"/>
          </w:tcPr>
          <w:p w14:paraId="680C6516">
            <w:pPr>
              <w:spacing w:line="340" w:lineRule="exact"/>
              <w:ind w:right="460" w:rightChars="219"/>
              <w:jc w:val="center"/>
              <w:rPr>
                <w:rFonts w:hint="eastAsia" w:ascii="宋体" w:hAnsi="宋体" w:eastAsia="宋体" w:cs="宋体"/>
                <w:color w:val="auto"/>
                <w:sz w:val="24"/>
                <w:highlight w:val="none"/>
              </w:rPr>
            </w:pPr>
          </w:p>
        </w:tc>
      </w:tr>
    </w:tbl>
    <w:p w14:paraId="5EF5748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注：1、</w:t>
      </w:r>
      <w:bookmarkStart w:id="36" w:name="OLE_LINK3"/>
      <w:r>
        <w:rPr>
          <w:rFonts w:hint="eastAsia" w:ascii="宋体" w:hAnsi="宋体" w:eastAsia="宋体" w:cs="宋体"/>
          <w:color w:val="auto"/>
          <w:sz w:val="24"/>
          <w:highlight w:val="none"/>
        </w:rPr>
        <w:t>投标总报价必须是货物到位并交付使用前所有费用的总和；</w:t>
      </w:r>
      <w:bookmarkEnd w:id="36"/>
    </w:p>
    <w:p w14:paraId="512DD524">
      <w:pPr>
        <w:spacing w:line="360" w:lineRule="auto"/>
        <w:rPr>
          <w:rFonts w:hint="eastAsia" w:ascii="宋体" w:hAnsi="宋体" w:eastAsia="宋体" w:cs="宋体"/>
          <w:b/>
          <w:color w:val="auto"/>
          <w:sz w:val="32"/>
          <w:highlight w:val="none"/>
        </w:rPr>
      </w:pPr>
      <w:r>
        <w:rPr>
          <w:rFonts w:hint="eastAsia" w:ascii="宋体" w:hAnsi="宋体" w:eastAsia="宋体" w:cs="宋体"/>
          <w:color w:val="auto"/>
          <w:sz w:val="24"/>
          <w:highlight w:val="none"/>
        </w:rPr>
        <w:t xml:space="preserve">    2、本表只填报总价，各有关分项报价在投标分项报价中进行详细填写；</w:t>
      </w:r>
    </w:p>
    <w:p w14:paraId="280C61EF">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3.“投标总报价”须与投标函中的投标总报价一致；</w:t>
      </w:r>
    </w:p>
    <w:p w14:paraId="2F3EDFA6">
      <w:pPr>
        <w:pStyle w:val="20"/>
        <w:ind w:firstLine="440"/>
        <w:rPr>
          <w:rFonts w:hint="eastAsia" w:ascii="宋体" w:hAnsi="宋体" w:eastAsia="宋体" w:cs="宋体"/>
          <w:color w:val="auto"/>
          <w:highlight w:val="none"/>
          <w:lang w:val="en-US"/>
        </w:rPr>
      </w:pPr>
    </w:p>
    <w:p w14:paraId="5B9C9359">
      <w:pPr>
        <w:rPr>
          <w:rFonts w:hint="eastAsia" w:ascii="宋体" w:hAnsi="宋体" w:eastAsia="宋体" w:cs="宋体"/>
          <w:color w:val="auto"/>
          <w:highlight w:val="none"/>
        </w:rPr>
      </w:pPr>
    </w:p>
    <w:p w14:paraId="07590427">
      <w:pPr>
        <w:jc w:val="center"/>
        <w:rPr>
          <w:rFonts w:hint="eastAsia" w:ascii="宋体" w:hAnsi="宋体" w:eastAsia="宋体" w:cs="宋体"/>
          <w:color w:val="auto"/>
          <w:sz w:val="24"/>
          <w:highlight w:val="none"/>
        </w:rPr>
      </w:pPr>
    </w:p>
    <w:p w14:paraId="56B3F45B">
      <w:pPr>
        <w:jc w:val="center"/>
        <w:rPr>
          <w:rFonts w:hint="eastAsia" w:ascii="宋体" w:hAnsi="宋体" w:eastAsia="宋体" w:cs="宋体"/>
          <w:color w:val="auto"/>
          <w:sz w:val="24"/>
          <w:highlight w:val="none"/>
        </w:rPr>
      </w:pPr>
    </w:p>
    <w:p w14:paraId="175E7B5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p>
    <w:p w14:paraId="4A976DE3">
      <w:pPr>
        <w:jc w:val="center"/>
        <w:rPr>
          <w:rFonts w:hint="eastAsia" w:ascii="宋体" w:hAnsi="宋体" w:eastAsia="宋体" w:cs="宋体"/>
          <w:color w:val="auto"/>
          <w:sz w:val="24"/>
          <w:highlight w:val="none"/>
        </w:rPr>
      </w:pPr>
    </w:p>
    <w:p w14:paraId="1251E5D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14278695">
      <w:pPr>
        <w:jc w:val="center"/>
        <w:rPr>
          <w:rFonts w:hint="eastAsia" w:ascii="宋体" w:hAnsi="宋体" w:eastAsia="宋体" w:cs="宋体"/>
          <w:color w:val="auto"/>
          <w:sz w:val="24"/>
          <w:highlight w:val="none"/>
          <w:u w:val="single"/>
        </w:rPr>
      </w:pPr>
    </w:p>
    <w:p w14:paraId="33D22A3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4D8C2AB5">
      <w:pPr>
        <w:pStyle w:val="4"/>
        <w:spacing w:line="525" w:lineRule="exact"/>
        <w:ind w:left="0"/>
        <w:jc w:val="center"/>
        <w:rPr>
          <w:rFonts w:hint="eastAsia" w:ascii="宋体" w:hAnsi="宋体" w:eastAsia="宋体" w:cs="宋体"/>
          <w:color w:val="auto"/>
          <w:highlight w:val="none"/>
        </w:rPr>
      </w:pPr>
    </w:p>
    <w:p w14:paraId="63B1C1DA">
      <w:pPr>
        <w:pStyle w:val="4"/>
        <w:spacing w:line="525" w:lineRule="exact"/>
        <w:ind w:left="0"/>
        <w:jc w:val="both"/>
        <w:rPr>
          <w:rFonts w:hint="eastAsia" w:ascii="宋体" w:hAnsi="宋体" w:eastAsia="宋体" w:cs="宋体"/>
          <w:color w:val="auto"/>
          <w:highlight w:val="none"/>
        </w:rPr>
      </w:pPr>
    </w:p>
    <w:p w14:paraId="4666707A">
      <w:pPr>
        <w:pStyle w:val="4"/>
        <w:spacing w:line="525" w:lineRule="exact"/>
        <w:ind w:left="0"/>
        <w:jc w:val="both"/>
        <w:rPr>
          <w:rFonts w:hint="eastAsia" w:ascii="宋体" w:hAnsi="宋体" w:eastAsia="宋体" w:cs="宋体"/>
          <w:b/>
          <w:bCs/>
          <w:color w:val="auto"/>
          <w:highlight w:val="none"/>
        </w:rPr>
      </w:pPr>
    </w:p>
    <w:p w14:paraId="7F1A15A8">
      <w:pPr>
        <w:pStyle w:val="4"/>
        <w:spacing w:line="525" w:lineRule="exact"/>
        <w:ind w:left="0"/>
        <w:jc w:val="center"/>
        <w:rPr>
          <w:rFonts w:hint="eastAsia" w:ascii="宋体" w:hAnsi="宋体" w:eastAsia="宋体" w:cs="宋体"/>
          <w:color w:val="auto"/>
          <w:highlight w:val="none"/>
        </w:rPr>
      </w:pPr>
      <w:r>
        <w:rPr>
          <w:rFonts w:hint="eastAsia" w:ascii="宋体" w:hAnsi="宋体" w:eastAsia="宋体" w:cs="宋体"/>
          <w:b/>
          <w:bCs/>
          <w:color w:val="auto"/>
          <w:highlight w:val="none"/>
        </w:rPr>
        <w:t>三、法</w:t>
      </w:r>
      <w:r>
        <w:rPr>
          <w:rFonts w:hint="eastAsia" w:ascii="宋体" w:hAnsi="宋体" w:eastAsia="宋体" w:cs="宋体"/>
          <w:b/>
          <w:color w:val="auto"/>
          <w:highlight w:val="none"/>
        </w:rPr>
        <w:t>定代表人身份证明及授权委托书</w:t>
      </w:r>
    </w:p>
    <w:p w14:paraId="402D2093">
      <w:pPr>
        <w:pStyle w:val="9"/>
        <w:rPr>
          <w:rFonts w:hint="eastAsia" w:ascii="宋体" w:hAnsi="宋体" w:eastAsia="宋体" w:cs="宋体"/>
          <w:b/>
          <w:color w:val="auto"/>
          <w:sz w:val="32"/>
          <w:highlight w:val="none"/>
        </w:rPr>
      </w:pPr>
    </w:p>
    <w:p w14:paraId="5A42E538">
      <w:pPr>
        <w:pStyle w:val="33"/>
        <w:jc w:val="center"/>
        <w:rPr>
          <w:rFonts w:hint="eastAsia" w:ascii="宋体" w:hAnsi="宋体" w:eastAsia="宋体" w:cs="宋体"/>
          <w:color w:val="auto"/>
          <w:highlight w:val="none"/>
        </w:rPr>
      </w:pPr>
      <w:r>
        <w:rPr>
          <w:rFonts w:hint="eastAsia" w:ascii="宋体" w:hAnsi="宋体" w:eastAsia="宋体" w:cs="宋体"/>
          <w:b/>
          <w:bCs/>
          <w:color w:val="auto"/>
          <w:highlight w:val="none"/>
        </w:rPr>
        <w:t>法</w:t>
      </w:r>
      <w:r>
        <w:rPr>
          <w:rFonts w:hint="eastAsia" w:ascii="宋体" w:hAnsi="宋体" w:eastAsia="宋体" w:cs="宋体"/>
          <w:b/>
          <w:color w:val="auto"/>
          <w:highlight w:val="none"/>
        </w:rPr>
        <w:t>定代表人身份证明</w:t>
      </w:r>
    </w:p>
    <w:p w14:paraId="36DC0ABB">
      <w:pPr>
        <w:pStyle w:val="9"/>
        <w:spacing w:before="3"/>
        <w:rPr>
          <w:rFonts w:hint="eastAsia" w:ascii="宋体" w:hAnsi="宋体" w:eastAsia="宋体" w:cs="宋体"/>
          <w:b/>
          <w:color w:val="auto"/>
          <w:sz w:val="18"/>
          <w:highlight w:val="none"/>
        </w:rPr>
      </w:pPr>
    </w:p>
    <w:p w14:paraId="0677E866">
      <w:pPr>
        <w:pStyle w:val="9"/>
        <w:tabs>
          <w:tab w:val="left" w:pos="4228"/>
        </w:tabs>
        <w:ind w:left="4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投</w:t>
      </w:r>
      <w:r>
        <w:rPr>
          <w:rFonts w:hint="eastAsia" w:ascii="宋体" w:hAnsi="宋体" w:eastAsia="宋体" w:cs="宋体"/>
          <w:color w:val="auto"/>
          <w:sz w:val="24"/>
          <w:szCs w:val="24"/>
          <w:highlight w:val="none"/>
        </w:rPr>
        <w:t>标</w:t>
      </w:r>
      <w:r>
        <w:rPr>
          <w:rFonts w:hint="eastAsia" w:ascii="宋体" w:hAnsi="宋体" w:eastAsia="宋体" w:cs="宋体"/>
          <w:color w:val="auto"/>
          <w:spacing w:val="-3"/>
          <w:sz w:val="24"/>
          <w:szCs w:val="24"/>
          <w:highlight w:val="none"/>
        </w:rPr>
        <w:t>人</w:t>
      </w:r>
      <w:r>
        <w:rPr>
          <w:rFonts w:hint="eastAsia" w:ascii="宋体" w:hAnsi="宋体" w:eastAsia="宋体" w:cs="宋体"/>
          <w:color w:val="auto"/>
          <w:sz w:val="24"/>
          <w:szCs w:val="24"/>
          <w:highlight w:val="none"/>
        </w:rPr>
        <w:t>名</w:t>
      </w:r>
      <w:r>
        <w:rPr>
          <w:rFonts w:hint="eastAsia" w:ascii="宋体" w:hAnsi="宋体" w:eastAsia="宋体" w:cs="宋体"/>
          <w:color w:val="auto"/>
          <w:spacing w:val="-3"/>
          <w:sz w:val="24"/>
          <w:szCs w:val="24"/>
          <w:highlight w:val="none"/>
        </w:rPr>
        <w:t>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2F9F7781">
      <w:pPr>
        <w:pStyle w:val="9"/>
        <w:tabs>
          <w:tab w:val="left" w:pos="2712"/>
          <w:tab w:val="left" w:pos="4183"/>
          <w:tab w:val="left" w:pos="5652"/>
          <w:tab w:val="left" w:pos="7169"/>
        </w:tabs>
        <w:spacing w:before="170"/>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rPr>
        <w:tab/>
      </w:r>
      <w:r>
        <w:rPr>
          <w:rFonts w:hint="eastAsia" w:ascii="宋体" w:hAnsi="宋体" w:eastAsia="宋体" w:cs="宋体"/>
          <w:color w:val="auto"/>
          <w:sz w:val="24"/>
          <w:szCs w:val="24"/>
          <w:highlight w:val="none"/>
        </w:rPr>
        <w:t>性别</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pacing w:val="-3"/>
          <w:sz w:val="24"/>
          <w:szCs w:val="24"/>
          <w:highlight w:val="none"/>
        </w:rPr>
        <w:t>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
          <w:sz w:val="24"/>
          <w:szCs w:val="24"/>
          <w:highlight w:val="none"/>
        </w:rPr>
        <w:t>职</w:t>
      </w:r>
      <w:r>
        <w:rPr>
          <w:rFonts w:hint="eastAsia" w:ascii="宋体" w:hAnsi="宋体" w:eastAsia="宋体" w:cs="宋体"/>
          <w:color w:val="auto"/>
          <w:spacing w:val="-3"/>
          <w:sz w:val="24"/>
          <w:szCs w:val="24"/>
          <w:highlight w:val="none"/>
        </w:rPr>
        <w:t>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20ECD9D9">
      <w:pPr>
        <w:pStyle w:val="9"/>
        <w:tabs>
          <w:tab w:val="left" w:pos="3132"/>
        </w:tabs>
        <w:spacing w:before="173"/>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投</w:t>
      </w:r>
      <w:r>
        <w:rPr>
          <w:rFonts w:hint="eastAsia" w:ascii="宋体" w:hAnsi="宋体" w:eastAsia="宋体" w:cs="宋体"/>
          <w:color w:val="auto"/>
          <w:spacing w:val="-3"/>
          <w:sz w:val="24"/>
          <w:szCs w:val="24"/>
          <w:highlight w:val="none"/>
        </w:rPr>
        <w:t>标</w:t>
      </w:r>
      <w:r>
        <w:rPr>
          <w:rFonts w:hint="eastAsia" w:ascii="宋体" w:hAnsi="宋体" w:eastAsia="宋体" w:cs="宋体"/>
          <w:color w:val="auto"/>
          <w:sz w:val="24"/>
          <w:szCs w:val="24"/>
          <w:highlight w:val="none"/>
        </w:rPr>
        <w:t>人</w:t>
      </w:r>
      <w:r>
        <w:rPr>
          <w:rFonts w:hint="eastAsia" w:ascii="宋体" w:hAnsi="宋体" w:eastAsia="宋体" w:cs="宋体"/>
          <w:color w:val="auto"/>
          <w:spacing w:val="-3"/>
          <w:sz w:val="24"/>
          <w:szCs w:val="24"/>
          <w:highlight w:val="none"/>
        </w:rPr>
        <w:t>名</w:t>
      </w:r>
      <w:r>
        <w:rPr>
          <w:rFonts w:hint="eastAsia" w:ascii="宋体" w:hAnsi="宋体" w:eastAsia="宋体" w:cs="宋体"/>
          <w:color w:val="auto"/>
          <w:sz w:val="24"/>
          <w:szCs w:val="24"/>
          <w:highlight w:val="none"/>
        </w:rPr>
        <w:t>称</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的</w:t>
      </w:r>
      <w:r>
        <w:rPr>
          <w:rFonts w:hint="eastAsia" w:ascii="宋体" w:hAnsi="宋体" w:eastAsia="宋体" w:cs="宋体"/>
          <w:color w:val="auto"/>
          <w:spacing w:val="-3"/>
          <w:sz w:val="24"/>
          <w:szCs w:val="24"/>
          <w:highlight w:val="none"/>
        </w:rPr>
        <w:t>法定</w:t>
      </w:r>
      <w:r>
        <w:rPr>
          <w:rFonts w:hint="eastAsia" w:ascii="宋体" w:hAnsi="宋体" w:eastAsia="宋体" w:cs="宋体"/>
          <w:color w:val="auto"/>
          <w:sz w:val="24"/>
          <w:szCs w:val="24"/>
          <w:highlight w:val="none"/>
        </w:rPr>
        <w:t>代表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z w:val="24"/>
          <w:szCs w:val="24"/>
          <w:highlight w:val="none"/>
        </w:rPr>
        <w:t>（或</w:t>
      </w:r>
      <w:r>
        <w:rPr>
          <w:rFonts w:hint="eastAsia" w:ascii="宋体" w:hAnsi="宋体" w:eastAsia="宋体" w:cs="宋体"/>
          <w:color w:val="auto"/>
          <w:spacing w:val="-3"/>
          <w:sz w:val="24"/>
          <w:szCs w:val="24"/>
          <w:highlight w:val="none"/>
        </w:rPr>
        <w:t>负</w:t>
      </w:r>
      <w:r>
        <w:rPr>
          <w:rFonts w:hint="eastAsia" w:ascii="宋体" w:hAnsi="宋体" w:eastAsia="宋体" w:cs="宋体"/>
          <w:color w:val="auto"/>
          <w:sz w:val="24"/>
          <w:szCs w:val="24"/>
          <w:highlight w:val="none"/>
        </w:rPr>
        <w:t>责</w:t>
      </w:r>
      <w:r>
        <w:rPr>
          <w:rFonts w:hint="eastAsia" w:ascii="宋体" w:hAnsi="宋体" w:eastAsia="宋体" w:cs="宋体"/>
          <w:color w:val="auto"/>
          <w:spacing w:val="-3"/>
          <w:sz w:val="24"/>
          <w:szCs w:val="24"/>
          <w:highlight w:val="none"/>
        </w:rPr>
        <w:t>人</w:t>
      </w:r>
      <w:r>
        <w:rPr>
          <w:rFonts w:hint="eastAsia" w:ascii="宋体" w:hAnsi="宋体" w:eastAsia="宋体" w:cs="宋体"/>
          <w:color w:val="auto"/>
          <w:spacing w:val="-106"/>
          <w:sz w:val="24"/>
          <w:szCs w:val="24"/>
          <w:highlight w:val="none"/>
        </w:rPr>
        <w:t>）</w:t>
      </w:r>
      <w:r>
        <w:rPr>
          <w:rFonts w:hint="eastAsia" w:ascii="宋体" w:hAnsi="宋体" w:eastAsia="宋体" w:cs="宋体"/>
          <w:color w:val="auto"/>
          <w:sz w:val="24"/>
          <w:szCs w:val="24"/>
          <w:highlight w:val="none"/>
        </w:rPr>
        <w:t>。</w:t>
      </w:r>
    </w:p>
    <w:p w14:paraId="1EA1E14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A4F36AB">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  </w:t>
      </w:r>
    </w:p>
    <w:p w14:paraId="5137A3E9">
      <w:pPr>
        <w:pStyle w:val="9"/>
        <w:tabs>
          <w:tab w:val="left" w:pos="4228"/>
        </w:tabs>
        <w:ind w:left="400"/>
        <w:rPr>
          <w:rFonts w:hint="eastAsia" w:ascii="宋体" w:hAnsi="宋体" w:eastAsia="宋体" w:cs="宋体"/>
          <w:color w:val="auto"/>
          <w:spacing w:val="-1"/>
          <w:sz w:val="24"/>
          <w:szCs w:val="24"/>
          <w:highlight w:val="none"/>
          <w:lang w:val="en-US"/>
        </w:rPr>
      </w:pPr>
    </w:p>
    <w:p w14:paraId="1D62E279">
      <w:pPr>
        <w:pStyle w:val="9"/>
        <w:tabs>
          <w:tab w:val="left" w:pos="4228"/>
        </w:tabs>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rPr>
        <w:t>联系电话：</w:t>
      </w:r>
      <w:r>
        <w:rPr>
          <w:rFonts w:hint="eastAsia" w:ascii="宋体" w:hAnsi="宋体" w:eastAsia="宋体" w:cs="宋体"/>
          <w:color w:val="auto"/>
          <w:spacing w:val="-1"/>
          <w:sz w:val="24"/>
          <w:szCs w:val="24"/>
          <w:highlight w:val="none"/>
          <w:u w:val="single"/>
          <w:lang w:val="en-US"/>
        </w:rPr>
        <w:t xml:space="preserve">                   </w:t>
      </w:r>
      <w:r>
        <w:rPr>
          <w:rFonts w:hint="eastAsia" w:ascii="宋体" w:hAnsi="宋体" w:eastAsia="宋体" w:cs="宋体"/>
          <w:color w:val="auto"/>
          <w:spacing w:val="-1"/>
          <w:sz w:val="24"/>
          <w:szCs w:val="24"/>
          <w:highlight w:val="none"/>
          <w:lang w:val="en-US"/>
        </w:rPr>
        <w:t xml:space="preserve">  公司邮箱： </w:t>
      </w:r>
      <w:r>
        <w:rPr>
          <w:rFonts w:hint="eastAsia" w:ascii="宋体" w:hAnsi="宋体" w:eastAsia="宋体" w:cs="宋体"/>
          <w:color w:val="auto"/>
          <w:spacing w:val="-1"/>
          <w:sz w:val="24"/>
          <w:szCs w:val="24"/>
          <w:highlight w:val="none"/>
          <w:u w:val="single"/>
          <w:lang w:val="en-US"/>
        </w:rPr>
        <w:t xml:space="preserve">                  </w:t>
      </w:r>
      <w:r>
        <w:rPr>
          <w:rFonts w:hint="eastAsia" w:ascii="宋体" w:hAnsi="宋体" w:eastAsia="宋体" w:cs="宋体"/>
          <w:color w:val="auto"/>
          <w:spacing w:val="-1"/>
          <w:sz w:val="24"/>
          <w:szCs w:val="24"/>
          <w:highlight w:val="none"/>
          <w:lang w:val="en-US"/>
        </w:rPr>
        <w:t xml:space="preserve">                </w:t>
      </w:r>
    </w:p>
    <w:p w14:paraId="4D00CFC8">
      <w:pPr>
        <w:pStyle w:val="9"/>
        <w:spacing w:before="10"/>
        <w:rPr>
          <w:rFonts w:hint="eastAsia" w:ascii="宋体" w:hAnsi="宋体" w:eastAsia="宋体" w:cs="宋体"/>
          <w:color w:val="auto"/>
          <w:sz w:val="24"/>
          <w:szCs w:val="24"/>
          <w:highlight w:val="none"/>
        </w:rPr>
      </w:pPr>
    </w:p>
    <w:p w14:paraId="098B7FB0">
      <w:pPr>
        <w:pStyle w:val="9"/>
        <w:ind w:left="400"/>
        <w:rPr>
          <w:rFonts w:hint="eastAsia" w:ascii="宋体" w:hAnsi="宋体" w:eastAsia="宋体" w:cs="宋体"/>
          <w:b/>
          <w:bCs/>
          <w:color w:val="auto"/>
          <w:sz w:val="24"/>
          <w:szCs w:val="24"/>
          <w:highlight w:val="none"/>
        </w:rPr>
      </w:pPr>
    </w:p>
    <w:p w14:paraId="6F753464">
      <w:pPr>
        <w:pStyle w:val="9"/>
        <w:ind w:left="400"/>
        <w:rPr>
          <w:rFonts w:hint="eastAsia" w:ascii="宋体" w:hAnsi="宋体" w:eastAsia="宋体" w:cs="宋体"/>
          <w:b/>
          <w:bCs/>
          <w:color w:val="auto"/>
          <w:sz w:val="24"/>
          <w:szCs w:val="24"/>
          <w:highlight w:val="none"/>
        </w:rPr>
      </w:pPr>
    </w:p>
    <w:p w14:paraId="31FA60FB">
      <w:pPr>
        <w:pStyle w:val="9"/>
        <w:ind w:left="400"/>
        <w:rPr>
          <w:rFonts w:hint="eastAsia" w:ascii="宋体" w:hAnsi="宋体" w:eastAsia="宋体" w:cs="宋体"/>
          <w:b/>
          <w:bCs/>
          <w:color w:val="auto"/>
          <w:sz w:val="24"/>
          <w:szCs w:val="24"/>
          <w:highlight w:val="none"/>
        </w:rPr>
      </w:pPr>
    </w:p>
    <w:tbl>
      <w:tblPr>
        <w:tblStyle w:val="21"/>
        <w:tblW w:w="74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40"/>
      </w:tblGrid>
      <w:tr w14:paraId="36B10B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47" w:hRule="atLeast"/>
          <w:jc w:val="center"/>
        </w:trPr>
        <w:tc>
          <w:tcPr>
            <w:tcW w:w="7440" w:type="dxa"/>
            <w:noWrap w:val="0"/>
            <w:vAlign w:val="center"/>
          </w:tcPr>
          <w:p w14:paraId="68A9DFAF">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附：法定代表人身份证（正、反）</w:t>
            </w:r>
          </w:p>
        </w:tc>
      </w:tr>
    </w:tbl>
    <w:p w14:paraId="004D933A">
      <w:pPr>
        <w:pStyle w:val="9"/>
        <w:rPr>
          <w:rFonts w:hint="eastAsia" w:ascii="宋体" w:hAnsi="宋体" w:eastAsia="宋体" w:cs="宋体"/>
          <w:color w:val="auto"/>
          <w:sz w:val="24"/>
          <w:szCs w:val="24"/>
          <w:highlight w:val="none"/>
        </w:rPr>
      </w:pPr>
    </w:p>
    <w:p w14:paraId="7376D0E2">
      <w:pPr>
        <w:pStyle w:val="9"/>
        <w:spacing w:before="7"/>
        <w:rPr>
          <w:rFonts w:hint="eastAsia" w:ascii="宋体" w:hAnsi="宋体" w:eastAsia="宋体" w:cs="宋体"/>
          <w:color w:val="auto"/>
          <w:sz w:val="24"/>
          <w:szCs w:val="24"/>
          <w:highlight w:val="none"/>
        </w:rPr>
      </w:pPr>
    </w:p>
    <w:p w14:paraId="2F303825">
      <w:pPr>
        <w:pStyle w:val="9"/>
        <w:rPr>
          <w:rFonts w:hint="eastAsia" w:ascii="宋体" w:hAnsi="宋体" w:eastAsia="宋体" w:cs="宋体"/>
          <w:color w:val="auto"/>
          <w:sz w:val="24"/>
          <w:szCs w:val="24"/>
          <w:highlight w:val="none"/>
        </w:rPr>
      </w:pPr>
    </w:p>
    <w:p w14:paraId="0440F0BD">
      <w:pPr>
        <w:pStyle w:val="9"/>
        <w:rPr>
          <w:rFonts w:hint="eastAsia" w:ascii="宋体" w:hAnsi="宋体" w:eastAsia="宋体" w:cs="宋体"/>
          <w:color w:val="auto"/>
          <w:sz w:val="24"/>
          <w:szCs w:val="24"/>
          <w:highlight w:val="none"/>
        </w:rPr>
      </w:pPr>
    </w:p>
    <w:p w14:paraId="0798F66C">
      <w:pPr>
        <w:rPr>
          <w:rFonts w:hint="eastAsia" w:ascii="宋体" w:hAnsi="宋体" w:eastAsia="宋体" w:cs="宋体"/>
          <w:color w:val="auto"/>
          <w:sz w:val="24"/>
          <w:szCs w:val="24"/>
          <w:highlight w:val="none"/>
        </w:rPr>
      </w:pPr>
    </w:p>
    <w:p w14:paraId="73C945F5">
      <w:pPr>
        <w:pStyle w:val="19"/>
        <w:ind w:firstLine="200"/>
        <w:rPr>
          <w:rFonts w:hint="eastAsia" w:ascii="宋体" w:hAnsi="宋体" w:eastAsia="宋体" w:cs="宋体"/>
          <w:color w:val="auto"/>
          <w:sz w:val="24"/>
          <w:szCs w:val="24"/>
          <w:highlight w:val="none"/>
        </w:rPr>
      </w:pPr>
    </w:p>
    <w:p w14:paraId="07252A4A">
      <w:pPr>
        <w:pStyle w:val="19"/>
        <w:ind w:firstLine="0" w:firstLineChars="0"/>
        <w:rPr>
          <w:rFonts w:hint="eastAsia" w:ascii="宋体" w:hAnsi="宋体" w:eastAsia="宋体" w:cs="宋体"/>
          <w:color w:val="auto"/>
          <w:sz w:val="24"/>
          <w:szCs w:val="24"/>
          <w:highlight w:val="none"/>
        </w:rPr>
      </w:pPr>
    </w:p>
    <w:p w14:paraId="24110CB1">
      <w:pPr>
        <w:pStyle w:val="9"/>
        <w:spacing w:before="1"/>
        <w:rPr>
          <w:rFonts w:hint="eastAsia" w:ascii="宋体" w:hAnsi="宋体" w:eastAsia="宋体" w:cs="宋体"/>
          <w:color w:val="auto"/>
          <w:sz w:val="24"/>
          <w:szCs w:val="24"/>
          <w:highlight w:val="none"/>
        </w:rPr>
      </w:pPr>
    </w:p>
    <w:p w14:paraId="177F2C7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p>
    <w:p w14:paraId="36DB3B01">
      <w:pPr>
        <w:jc w:val="center"/>
        <w:rPr>
          <w:rFonts w:hint="eastAsia" w:ascii="宋体" w:hAnsi="宋体" w:eastAsia="宋体" w:cs="宋体"/>
          <w:color w:val="auto"/>
          <w:sz w:val="24"/>
          <w:szCs w:val="24"/>
          <w:highlight w:val="none"/>
        </w:rPr>
      </w:pPr>
    </w:p>
    <w:p w14:paraId="779FE94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3A5CD5D3">
      <w:pPr>
        <w:pStyle w:val="29"/>
        <w:ind w:firstLine="520"/>
        <w:rPr>
          <w:rFonts w:hint="eastAsia" w:ascii="宋体" w:hAnsi="宋体" w:eastAsia="宋体" w:cs="宋体"/>
          <w:color w:val="auto"/>
          <w:sz w:val="24"/>
          <w:szCs w:val="24"/>
          <w:highlight w:val="none"/>
        </w:rPr>
      </w:pPr>
    </w:p>
    <w:p w14:paraId="78A7C9E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14:paraId="2AF14676">
      <w:pPr>
        <w:jc w:val="center"/>
        <w:rPr>
          <w:rFonts w:hint="eastAsia" w:ascii="宋体" w:hAnsi="宋体" w:eastAsia="宋体" w:cs="宋体"/>
          <w:color w:val="auto"/>
          <w:sz w:val="24"/>
          <w:highlight w:val="none"/>
        </w:rPr>
      </w:pPr>
    </w:p>
    <w:p w14:paraId="0C84A5F9">
      <w:pPr>
        <w:rPr>
          <w:rFonts w:hint="eastAsia" w:ascii="宋体" w:hAnsi="宋体" w:eastAsia="宋体" w:cs="宋体"/>
          <w:color w:val="auto"/>
          <w:highlight w:val="none"/>
        </w:rPr>
        <w:sectPr>
          <w:headerReference r:id="rId9" w:type="default"/>
          <w:pgSz w:w="11850" w:h="16783"/>
          <w:pgMar w:top="1440" w:right="1430" w:bottom="1440" w:left="1800" w:header="680" w:footer="841" w:gutter="0"/>
          <w:pgNumType w:fmt="numberInDash"/>
          <w:cols w:space="720" w:num="1"/>
        </w:sectPr>
      </w:pPr>
    </w:p>
    <w:p w14:paraId="547DB831">
      <w:pPr>
        <w:pStyle w:val="9"/>
        <w:tabs>
          <w:tab w:val="left" w:pos="2721"/>
          <w:tab w:val="left" w:pos="5885"/>
        </w:tabs>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授权委托书</w:t>
      </w:r>
    </w:p>
    <w:p w14:paraId="558C5CA4">
      <w:pPr>
        <w:rPr>
          <w:rFonts w:hint="eastAsia" w:ascii="宋体" w:hAnsi="宋体" w:eastAsia="宋体" w:cs="宋体"/>
          <w:color w:val="auto"/>
          <w:sz w:val="32"/>
          <w:szCs w:val="32"/>
          <w:highlight w:val="none"/>
        </w:rPr>
      </w:pPr>
    </w:p>
    <w:p w14:paraId="68AB9397">
      <w:pPr>
        <w:pStyle w:val="19"/>
        <w:ind w:firstLine="210"/>
        <w:rPr>
          <w:rFonts w:hint="eastAsia" w:ascii="宋体" w:hAnsi="宋体" w:eastAsia="宋体" w:cs="宋体"/>
          <w:color w:val="auto"/>
          <w:highlight w:val="none"/>
        </w:rPr>
      </w:pPr>
    </w:p>
    <w:p w14:paraId="2E0D888B">
      <w:pPr>
        <w:spacing w:line="48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本授权委托声明：本人 </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（供应商全称）  </w:t>
      </w:r>
      <w:r>
        <w:rPr>
          <w:rFonts w:hint="eastAsia" w:ascii="宋体" w:hAnsi="宋体" w:eastAsia="宋体" w:cs="宋体"/>
          <w:color w:val="auto"/>
          <w:sz w:val="24"/>
          <w:highlight w:val="none"/>
        </w:rPr>
        <w:t>的法定代表人或负责人，现授权委托</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为我单位代理人，参加</w:t>
      </w:r>
      <w:r>
        <w:rPr>
          <w:rFonts w:hint="eastAsia" w:ascii="宋体" w:hAnsi="宋体" w:eastAsia="宋体" w:cs="宋体"/>
          <w:color w:val="auto"/>
          <w:sz w:val="24"/>
          <w:highlight w:val="none"/>
          <w:u w:val="single"/>
        </w:rPr>
        <w:t xml:space="preserve">     （项目名称）     </w:t>
      </w:r>
      <w:r>
        <w:rPr>
          <w:rFonts w:hint="eastAsia" w:ascii="宋体" w:hAnsi="宋体" w:eastAsia="宋体" w:cs="宋体"/>
          <w:color w:val="auto"/>
          <w:sz w:val="24"/>
          <w:highlight w:val="none"/>
        </w:rPr>
        <w:t>的投标活动。代理人在开标、评标、合同谈判过程中所签署的一切文件和处理与之有关的一切事宜，我均予以承认。</w:t>
      </w:r>
    </w:p>
    <w:p w14:paraId="5508F8E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自本授权委托书签署之日起至投标有效期结束为止 </w:t>
      </w:r>
      <w:r>
        <w:rPr>
          <w:rFonts w:hint="eastAsia" w:ascii="宋体" w:hAnsi="宋体" w:eastAsia="宋体" w:cs="宋体"/>
          <w:color w:val="auto"/>
          <w:sz w:val="24"/>
          <w:highlight w:val="none"/>
        </w:rPr>
        <w:t>。</w:t>
      </w:r>
    </w:p>
    <w:p w14:paraId="5FBEFE31">
      <w:pPr>
        <w:pStyle w:val="29"/>
        <w:ind w:firstLine="520"/>
        <w:rPr>
          <w:rFonts w:hint="eastAsia" w:ascii="宋体" w:hAnsi="宋体" w:eastAsia="宋体" w:cs="宋体"/>
          <w:color w:val="auto"/>
          <w:highlight w:val="none"/>
        </w:rPr>
      </w:pPr>
    </w:p>
    <w:p w14:paraId="77ED8FC5">
      <w:pPr>
        <w:ind w:firstLine="480" w:firstLineChars="200"/>
        <w:rPr>
          <w:rFonts w:hint="eastAsia" w:ascii="宋体" w:hAnsi="宋体" w:eastAsia="宋体" w:cs="宋体"/>
          <w:color w:val="auto"/>
          <w:sz w:val="20"/>
          <w:highlight w:val="none"/>
          <w:u w:val="single"/>
        </w:rPr>
      </w:pPr>
      <w:r>
        <w:rPr>
          <w:rFonts w:hint="eastAsia" w:ascii="宋体" w:hAnsi="宋体" w:eastAsia="宋体" w:cs="宋体"/>
          <w:color w:val="auto"/>
          <w:sz w:val="24"/>
          <w:highlight w:val="none"/>
        </w:rPr>
        <w:t>委托代理人联系电话</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sz w:val="20"/>
          <w:highlight w:val="none"/>
        </w:rPr>
        <w:t xml:space="preserve">    </w:t>
      </w:r>
      <w:r>
        <w:rPr>
          <w:rFonts w:hint="eastAsia" w:ascii="宋体" w:hAnsi="宋体" w:eastAsia="宋体" w:cs="宋体"/>
          <w:color w:val="auto"/>
          <w:sz w:val="24"/>
          <w:highlight w:val="none"/>
        </w:rPr>
        <w:t xml:space="preserve"> 公司邮箱： </w:t>
      </w:r>
      <w:r>
        <w:rPr>
          <w:rFonts w:hint="eastAsia" w:ascii="宋体" w:hAnsi="宋体" w:eastAsia="宋体" w:cs="宋体"/>
          <w:color w:val="auto"/>
          <w:sz w:val="20"/>
          <w:highlight w:val="none"/>
          <w:u w:val="single"/>
        </w:rPr>
        <w:t xml:space="preserve">                    </w:t>
      </w:r>
    </w:p>
    <w:p w14:paraId="48D550EB">
      <w:pPr>
        <w:pStyle w:val="9"/>
        <w:spacing w:before="9"/>
        <w:rPr>
          <w:rFonts w:hint="eastAsia" w:ascii="宋体" w:hAnsi="宋体" w:eastAsia="宋体" w:cs="宋体"/>
          <w:color w:val="auto"/>
          <w:sz w:val="27"/>
          <w:highlight w:val="none"/>
        </w:rPr>
      </w:pPr>
    </w:p>
    <w:p w14:paraId="6FDF35D0">
      <w:pPr>
        <w:pStyle w:val="9"/>
        <w:ind w:left="400"/>
        <w:rPr>
          <w:rFonts w:hint="eastAsia" w:ascii="宋体" w:hAnsi="宋体" w:eastAsia="宋体" w:cs="宋体"/>
          <w:b/>
          <w:bCs/>
          <w:color w:val="auto"/>
          <w:sz w:val="24"/>
          <w:szCs w:val="24"/>
          <w:highlight w:val="none"/>
        </w:rPr>
      </w:pPr>
    </w:p>
    <w:p w14:paraId="5292A747">
      <w:pPr>
        <w:pStyle w:val="9"/>
        <w:spacing w:before="1" w:line="391" w:lineRule="auto"/>
        <w:ind w:left="400" w:right="-1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投标人“法定代表人”直接参加投标及签署相关文件的无须提供该授权委托书</w:t>
      </w:r>
    </w:p>
    <w:p w14:paraId="0FF87224">
      <w:pPr>
        <w:rPr>
          <w:rFonts w:hint="eastAsia" w:ascii="宋体" w:hAnsi="宋体" w:eastAsia="宋体" w:cs="宋体"/>
          <w:b/>
          <w:bCs/>
          <w:color w:val="auto"/>
          <w:sz w:val="24"/>
          <w:highlight w:val="none"/>
        </w:rPr>
      </w:pPr>
    </w:p>
    <w:p w14:paraId="07DC3E42">
      <w:pPr>
        <w:pStyle w:val="29"/>
        <w:ind w:firstLine="520"/>
        <w:rPr>
          <w:rFonts w:hint="eastAsia" w:ascii="宋体" w:hAnsi="宋体" w:eastAsia="宋体" w:cs="宋体"/>
          <w:color w:val="auto"/>
          <w:highlight w:val="none"/>
        </w:rPr>
      </w:pPr>
    </w:p>
    <w:tbl>
      <w:tblPr>
        <w:tblStyle w:val="21"/>
        <w:tblW w:w="89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450"/>
        <w:gridCol w:w="4450"/>
      </w:tblGrid>
      <w:tr w14:paraId="44821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18" w:hRule="atLeast"/>
          <w:jc w:val="center"/>
        </w:trPr>
        <w:tc>
          <w:tcPr>
            <w:tcW w:w="4450" w:type="dxa"/>
            <w:noWrap w:val="0"/>
            <w:vAlign w:val="center"/>
          </w:tcPr>
          <w:p w14:paraId="4640785B">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附：法定代表人身份证（正、反）</w:t>
            </w:r>
          </w:p>
        </w:tc>
        <w:tc>
          <w:tcPr>
            <w:tcW w:w="4450" w:type="dxa"/>
            <w:noWrap w:val="0"/>
            <w:vAlign w:val="center"/>
          </w:tcPr>
          <w:p w14:paraId="0075376D">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附：委托代理人身份证（正、反）</w:t>
            </w:r>
          </w:p>
        </w:tc>
      </w:tr>
    </w:tbl>
    <w:p w14:paraId="55D97D75">
      <w:pPr>
        <w:pStyle w:val="9"/>
        <w:ind w:left="400"/>
        <w:rPr>
          <w:rFonts w:hint="eastAsia" w:ascii="宋体" w:hAnsi="宋体" w:eastAsia="宋体" w:cs="宋体"/>
          <w:b/>
          <w:bCs/>
          <w:color w:val="auto"/>
          <w:sz w:val="24"/>
          <w:szCs w:val="24"/>
          <w:highlight w:val="none"/>
        </w:rPr>
      </w:pPr>
    </w:p>
    <w:p w14:paraId="539218E6">
      <w:pPr>
        <w:pStyle w:val="9"/>
        <w:ind w:left="400"/>
        <w:rPr>
          <w:rFonts w:hint="eastAsia" w:ascii="宋体" w:hAnsi="宋体" w:eastAsia="宋体" w:cs="宋体"/>
          <w:b/>
          <w:bCs/>
          <w:color w:val="auto"/>
          <w:sz w:val="24"/>
          <w:szCs w:val="24"/>
          <w:highlight w:val="none"/>
        </w:rPr>
      </w:pPr>
    </w:p>
    <w:p w14:paraId="29725782">
      <w:pPr>
        <w:pStyle w:val="9"/>
        <w:rPr>
          <w:rFonts w:hint="eastAsia" w:ascii="宋体" w:hAnsi="宋体" w:eastAsia="宋体" w:cs="宋体"/>
          <w:color w:val="auto"/>
          <w:sz w:val="20"/>
          <w:highlight w:val="none"/>
        </w:rPr>
      </w:pPr>
    </w:p>
    <w:p w14:paraId="031E151D">
      <w:pPr>
        <w:pStyle w:val="9"/>
        <w:spacing w:before="7"/>
        <w:rPr>
          <w:rFonts w:hint="eastAsia" w:ascii="宋体" w:hAnsi="宋体" w:eastAsia="宋体" w:cs="宋体"/>
          <w:color w:val="auto"/>
          <w:sz w:val="14"/>
          <w:highlight w:val="none"/>
        </w:rPr>
      </w:pPr>
    </w:p>
    <w:p w14:paraId="6EAA235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p>
    <w:p w14:paraId="6B23F092">
      <w:pPr>
        <w:jc w:val="center"/>
        <w:rPr>
          <w:rFonts w:hint="eastAsia" w:ascii="宋体" w:hAnsi="宋体" w:eastAsia="宋体" w:cs="宋体"/>
          <w:color w:val="auto"/>
          <w:sz w:val="24"/>
          <w:highlight w:val="none"/>
        </w:rPr>
      </w:pPr>
    </w:p>
    <w:p w14:paraId="68C12B8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6C462F2B">
      <w:pPr>
        <w:pStyle w:val="29"/>
        <w:ind w:firstLine="520"/>
        <w:rPr>
          <w:rFonts w:hint="eastAsia" w:ascii="宋体" w:hAnsi="宋体" w:eastAsia="宋体" w:cs="宋体"/>
          <w:color w:val="auto"/>
          <w:highlight w:val="none"/>
        </w:rPr>
      </w:pPr>
    </w:p>
    <w:p w14:paraId="3530138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18399A4D">
      <w:pPr>
        <w:jc w:val="center"/>
        <w:rPr>
          <w:rFonts w:hint="eastAsia" w:ascii="宋体" w:hAnsi="宋体" w:eastAsia="宋体" w:cs="宋体"/>
          <w:color w:val="auto"/>
          <w:sz w:val="24"/>
          <w:highlight w:val="none"/>
        </w:rPr>
      </w:pPr>
    </w:p>
    <w:p w14:paraId="7908BAEF">
      <w:pPr>
        <w:pStyle w:val="12"/>
        <w:ind w:left="860" w:hanging="440"/>
        <w:rPr>
          <w:rFonts w:hint="eastAsia" w:ascii="宋体" w:hAnsi="宋体" w:eastAsia="宋体" w:cs="宋体"/>
          <w:color w:val="auto"/>
          <w:highlight w:val="none"/>
          <w:lang w:val="en-US"/>
        </w:rPr>
      </w:pPr>
    </w:p>
    <w:p w14:paraId="1009534B">
      <w:pPr>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p>
    <w:p w14:paraId="2FA2BC81">
      <w:pPr>
        <w:jc w:val="center"/>
        <w:rPr>
          <w:rFonts w:hint="eastAsia" w:ascii="宋体" w:hAnsi="宋体" w:eastAsia="宋体" w:cs="宋体"/>
          <w:color w:val="auto"/>
          <w:sz w:val="24"/>
          <w:highlight w:val="none"/>
        </w:rPr>
        <w:sectPr>
          <w:pgSz w:w="11850" w:h="16783"/>
          <w:pgMar w:top="1440" w:right="1800" w:bottom="1440" w:left="1800" w:header="680" w:footer="841" w:gutter="0"/>
          <w:pgNumType w:fmt="numberInDash"/>
          <w:cols w:space="720" w:num="1"/>
        </w:sectPr>
      </w:pPr>
    </w:p>
    <w:p w14:paraId="08CC3536">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四、投标分项报价表</w:t>
      </w:r>
    </w:p>
    <w:tbl>
      <w:tblPr>
        <w:tblStyle w:val="21"/>
        <w:tblpPr w:leftFromText="180" w:rightFromText="180" w:vertAnchor="text" w:horzAnchor="page" w:tblpX="1801" w:tblpY="418"/>
        <w:tblOverlap w:val="never"/>
        <w:tblW w:w="865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Layout w:type="fixed"/>
        <w:tblCellMar>
          <w:top w:w="0" w:type="dxa"/>
          <w:left w:w="108" w:type="dxa"/>
          <w:bottom w:w="0" w:type="dxa"/>
          <w:right w:w="108" w:type="dxa"/>
        </w:tblCellMar>
      </w:tblPr>
      <w:tblGrid>
        <w:gridCol w:w="581"/>
        <w:gridCol w:w="1001"/>
        <w:gridCol w:w="1027"/>
        <w:gridCol w:w="1169"/>
        <w:gridCol w:w="1065"/>
        <w:gridCol w:w="551"/>
        <w:gridCol w:w="656"/>
        <w:gridCol w:w="664"/>
        <w:gridCol w:w="748"/>
        <w:gridCol w:w="720"/>
        <w:gridCol w:w="471"/>
      </w:tblGrid>
      <w:tr w14:paraId="43855E3E">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04" w:hRule="atLeast"/>
          <w:jc w:val="center"/>
        </w:trPr>
        <w:tc>
          <w:tcPr>
            <w:tcW w:w="581" w:type="dxa"/>
            <w:tcBorders>
              <w:top w:val="single" w:color="auto" w:sz="12" w:space="0"/>
            </w:tcBorders>
            <w:noWrap w:val="0"/>
            <w:vAlign w:val="center"/>
          </w:tcPr>
          <w:p w14:paraId="7504FA4D">
            <w:pPr>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001" w:type="dxa"/>
            <w:tcBorders>
              <w:top w:val="single" w:color="auto" w:sz="12" w:space="0"/>
            </w:tcBorders>
            <w:noWrap w:val="0"/>
            <w:vAlign w:val="center"/>
          </w:tcPr>
          <w:p w14:paraId="4A738773">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货物</w:t>
            </w:r>
          </w:p>
          <w:p w14:paraId="28086D1F">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027" w:type="dxa"/>
            <w:tcBorders>
              <w:top w:val="single" w:color="auto" w:sz="12" w:space="0"/>
            </w:tcBorders>
            <w:noWrap w:val="0"/>
            <w:vAlign w:val="center"/>
          </w:tcPr>
          <w:p w14:paraId="2958F571">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1169" w:type="dxa"/>
            <w:tcBorders>
              <w:top w:val="single" w:color="auto" w:sz="12" w:space="0"/>
            </w:tcBorders>
            <w:noWrap w:val="0"/>
            <w:vAlign w:val="center"/>
          </w:tcPr>
          <w:p w14:paraId="048CD262">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p w14:paraId="152407E4">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1065" w:type="dxa"/>
            <w:tcBorders>
              <w:top w:val="single" w:color="auto" w:sz="12" w:space="0"/>
            </w:tcBorders>
            <w:noWrap w:val="0"/>
            <w:vAlign w:val="center"/>
          </w:tcPr>
          <w:p w14:paraId="048C8444">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w:t>
            </w:r>
          </w:p>
          <w:p w14:paraId="6758951D">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厂家</w:t>
            </w:r>
          </w:p>
        </w:tc>
        <w:tc>
          <w:tcPr>
            <w:tcW w:w="551" w:type="dxa"/>
            <w:tcBorders>
              <w:top w:val="single" w:color="auto" w:sz="12" w:space="0"/>
            </w:tcBorders>
            <w:noWrap w:val="0"/>
            <w:vAlign w:val="center"/>
          </w:tcPr>
          <w:p w14:paraId="4D23631C">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656" w:type="dxa"/>
            <w:tcBorders>
              <w:top w:val="single" w:color="auto" w:sz="12" w:space="0"/>
            </w:tcBorders>
            <w:noWrap w:val="0"/>
            <w:vAlign w:val="center"/>
          </w:tcPr>
          <w:p w14:paraId="18D0A8DE">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数量</w:t>
            </w:r>
          </w:p>
        </w:tc>
        <w:tc>
          <w:tcPr>
            <w:tcW w:w="664" w:type="dxa"/>
            <w:tcBorders>
              <w:top w:val="single" w:color="auto" w:sz="12" w:space="0"/>
            </w:tcBorders>
            <w:noWrap w:val="0"/>
            <w:vAlign w:val="center"/>
          </w:tcPr>
          <w:p w14:paraId="42CD0F9C">
            <w:pPr>
              <w:snapToGrid w:val="0"/>
              <w:spacing w:line="4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748" w:type="dxa"/>
            <w:tcBorders>
              <w:top w:val="single" w:color="auto" w:sz="12" w:space="0"/>
            </w:tcBorders>
            <w:noWrap w:val="0"/>
            <w:vAlign w:val="center"/>
          </w:tcPr>
          <w:p w14:paraId="4057D2EC">
            <w:pPr>
              <w:widowControl/>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w:t>
            </w:r>
          </w:p>
          <w:p w14:paraId="1C948870">
            <w:pPr>
              <w:snapToGrid w:val="0"/>
              <w:spacing w:line="4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（元）</w:t>
            </w:r>
          </w:p>
        </w:tc>
        <w:tc>
          <w:tcPr>
            <w:tcW w:w="720" w:type="dxa"/>
            <w:tcBorders>
              <w:top w:val="single" w:color="auto" w:sz="12" w:space="0"/>
            </w:tcBorders>
            <w:noWrap w:val="0"/>
            <w:vAlign w:val="center"/>
          </w:tcPr>
          <w:p w14:paraId="6B3861DD">
            <w:pPr>
              <w:widowControl/>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合价</w:t>
            </w:r>
          </w:p>
          <w:p w14:paraId="36B309EB">
            <w:pPr>
              <w:widowControl/>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（元）</w:t>
            </w:r>
          </w:p>
        </w:tc>
        <w:tc>
          <w:tcPr>
            <w:tcW w:w="471" w:type="dxa"/>
            <w:tcBorders>
              <w:top w:val="single" w:color="auto" w:sz="12" w:space="0"/>
            </w:tcBorders>
            <w:noWrap w:val="0"/>
            <w:vAlign w:val="center"/>
          </w:tcPr>
          <w:p w14:paraId="517A1975">
            <w:pPr>
              <w:widowControl/>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2A584334">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72" w:hRule="atLeast"/>
          <w:jc w:val="center"/>
        </w:trPr>
        <w:tc>
          <w:tcPr>
            <w:tcW w:w="581" w:type="dxa"/>
            <w:noWrap w:val="0"/>
            <w:vAlign w:val="center"/>
          </w:tcPr>
          <w:p w14:paraId="45790A21">
            <w:pPr>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001" w:type="dxa"/>
            <w:noWrap w:val="0"/>
            <w:vAlign w:val="center"/>
          </w:tcPr>
          <w:p w14:paraId="10B8F483">
            <w:pPr>
              <w:spacing w:line="300" w:lineRule="exact"/>
              <w:jc w:val="center"/>
              <w:rPr>
                <w:rFonts w:hint="eastAsia" w:ascii="宋体" w:hAnsi="宋体" w:eastAsia="宋体" w:cs="宋体"/>
                <w:color w:val="auto"/>
                <w:kern w:val="0"/>
                <w:sz w:val="24"/>
                <w:szCs w:val="24"/>
                <w:highlight w:val="none"/>
              </w:rPr>
            </w:pPr>
          </w:p>
        </w:tc>
        <w:tc>
          <w:tcPr>
            <w:tcW w:w="1027" w:type="dxa"/>
            <w:noWrap w:val="0"/>
            <w:vAlign w:val="center"/>
          </w:tcPr>
          <w:p w14:paraId="6975E4C3">
            <w:pPr>
              <w:spacing w:line="300" w:lineRule="exact"/>
              <w:jc w:val="center"/>
              <w:rPr>
                <w:rFonts w:hint="eastAsia" w:ascii="宋体" w:hAnsi="宋体" w:eastAsia="宋体" w:cs="宋体"/>
                <w:color w:val="auto"/>
                <w:kern w:val="0"/>
                <w:sz w:val="24"/>
                <w:szCs w:val="24"/>
                <w:highlight w:val="none"/>
              </w:rPr>
            </w:pPr>
          </w:p>
        </w:tc>
        <w:tc>
          <w:tcPr>
            <w:tcW w:w="1169" w:type="dxa"/>
            <w:noWrap w:val="0"/>
            <w:vAlign w:val="center"/>
          </w:tcPr>
          <w:p w14:paraId="3D441202">
            <w:pPr>
              <w:spacing w:line="300" w:lineRule="exact"/>
              <w:jc w:val="center"/>
              <w:rPr>
                <w:rFonts w:hint="eastAsia" w:ascii="宋体" w:hAnsi="宋体" w:eastAsia="宋体" w:cs="宋体"/>
                <w:color w:val="auto"/>
                <w:kern w:val="0"/>
                <w:sz w:val="24"/>
                <w:szCs w:val="24"/>
                <w:highlight w:val="none"/>
              </w:rPr>
            </w:pPr>
          </w:p>
        </w:tc>
        <w:tc>
          <w:tcPr>
            <w:tcW w:w="1065" w:type="dxa"/>
            <w:noWrap w:val="0"/>
            <w:vAlign w:val="center"/>
          </w:tcPr>
          <w:p w14:paraId="4DD086F0">
            <w:pPr>
              <w:spacing w:line="300" w:lineRule="exact"/>
              <w:jc w:val="center"/>
              <w:rPr>
                <w:rFonts w:hint="eastAsia" w:ascii="宋体" w:hAnsi="宋体" w:eastAsia="宋体" w:cs="宋体"/>
                <w:color w:val="auto"/>
                <w:kern w:val="0"/>
                <w:sz w:val="24"/>
                <w:szCs w:val="24"/>
                <w:highlight w:val="none"/>
              </w:rPr>
            </w:pPr>
          </w:p>
        </w:tc>
        <w:tc>
          <w:tcPr>
            <w:tcW w:w="551" w:type="dxa"/>
            <w:noWrap w:val="0"/>
            <w:vAlign w:val="center"/>
          </w:tcPr>
          <w:p w14:paraId="467D8A5C">
            <w:pPr>
              <w:spacing w:line="300" w:lineRule="exact"/>
              <w:jc w:val="center"/>
              <w:rPr>
                <w:rFonts w:hint="eastAsia" w:ascii="宋体" w:hAnsi="宋体" w:eastAsia="宋体" w:cs="宋体"/>
                <w:color w:val="auto"/>
                <w:kern w:val="0"/>
                <w:sz w:val="24"/>
                <w:szCs w:val="24"/>
                <w:highlight w:val="none"/>
              </w:rPr>
            </w:pPr>
          </w:p>
        </w:tc>
        <w:tc>
          <w:tcPr>
            <w:tcW w:w="656" w:type="dxa"/>
            <w:noWrap w:val="0"/>
            <w:vAlign w:val="center"/>
          </w:tcPr>
          <w:p w14:paraId="7CE6B3D8">
            <w:pPr>
              <w:snapToGrid w:val="0"/>
              <w:spacing w:line="400" w:lineRule="exact"/>
              <w:jc w:val="center"/>
              <w:rPr>
                <w:rFonts w:hint="eastAsia" w:ascii="宋体" w:hAnsi="宋体" w:eastAsia="宋体" w:cs="宋体"/>
                <w:color w:val="auto"/>
                <w:sz w:val="24"/>
                <w:szCs w:val="24"/>
                <w:highlight w:val="none"/>
              </w:rPr>
            </w:pPr>
          </w:p>
        </w:tc>
        <w:tc>
          <w:tcPr>
            <w:tcW w:w="664" w:type="dxa"/>
            <w:noWrap w:val="0"/>
            <w:vAlign w:val="center"/>
          </w:tcPr>
          <w:p w14:paraId="388D78F0">
            <w:pPr>
              <w:snapToGrid w:val="0"/>
              <w:spacing w:line="400" w:lineRule="exact"/>
              <w:jc w:val="center"/>
              <w:rPr>
                <w:rFonts w:hint="eastAsia" w:ascii="宋体" w:hAnsi="宋体" w:eastAsia="宋体" w:cs="宋体"/>
                <w:color w:val="auto"/>
                <w:sz w:val="24"/>
                <w:szCs w:val="24"/>
                <w:highlight w:val="none"/>
              </w:rPr>
            </w:pPr>
          </w:p>
        </w:tc>
        <w:tc>
          <w:tcPr>
            <w:tcW w:w="748" w:type="dxa"/>
            <w:noWrap w:val="0"/>
            <w:vAlign w:val="center"/>
          </w:tcPr>
          <w:p w14:paraId="453675FC">
            <w:pPr>
              <w:snapToGrid w:val="0"/>
              <w:spacing w:line="400" w:lineRule="exact"/>
              <w:jc w:val="center"/>
              <w:rPr>
                <w:rFonts w:hint="eastAsia" w:ascii="宋体" w:hAnsi="宋体" w:eastAsia="宋体" w:cs="宋体"/>
                <w:color w:val="auto"/>
                <w:sz w:val="24"/>
                <w:szCs w:val="24"/>
                <w:highlight w:val="none"/>
              </w:rPr>
            </w:pPr>
          </w:p>
        </w:tc>
        <w:tc>
          <w:tcPr>
            <w:tcW w:w="720" w:type="dxa"/>
            <w:noWrap w:val="0"/>
            <w:vAlign w:val="center"/>
          </w:tcPr>
          <w:p w14:paraId="1CE7A5B8">
            <w:pPr>
              <w:snapToGrid w:val="0"/>
              <w:spacing w:line="400" w:lineRule="exact"/>
              <w:jc w:val="center"/>
              <w:rPr>
                <w:rFonts w:hint="eastAsia" w:ascii="宋体" w:hAnsi="宋体" w:eastAsia="宋体" w:cs="宋体"/>
                <w:color w:val="auto"/>
                <w:sz w:val="24"/>
                <w:szCs w:val="24"/>
                <w:highlight w:val="none"/>
              </w:rPr>
            </w:pPr>
          </w:p>
        </w:tc>
        <w:tc>
          <w:tcPr>
            <w:tcW w:w="471" w:type="dxa"/>
            <w:noWrap w:val="0"/>
            <w:vAlign w:val="center"/>
          </w:tcPr>
          <w:p w14:paraId="7AD74232">
            <w:pPr>
              <w:snapToGrid w:val="0"/>
              <w:spacing w:line="400" w:lineRule="exact"/>
              <w:jc w:val="center"/>
              <w:rPr>
                <w:rFonts w:hint="eastAsia" w:ascii="宋体" w:hAnsi="宋体" w:eastAsia="宋体" w:cs="宋体"/>
                <w:color w:val="auto"/>
                <w:sz w:val="24"/>
                <w:szCs w:val="24"/>
                <w:highlight w:val="none"/>
              </w:rPr>
            </w:pPr>
          </w:p>
        </w:tc>
      </w:tr>
      <w:tr w14:paraId="3121BF67">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72" w:hRule="atLeast"/>
          <w:jc w:val="center"/>
        </w:trPr>
        <w:tc>
          <w:tcPr>
            <w:tcW w:w="581" w:type="dxa"/>
            <w:noWrap w:val="0"/>
            <w:vAlign w:val="center"/>
          </w:tcPr>
          <w:p w14:paraId="50FC4967">
            <w:pPr>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001" w:type="dxa"/>
            <w:noWrap w:val="0"/>
            <w:vAlign w:val="center"/>
          </w:tcPr>
          <w:p w14:paraId="1B30D4E4">
            <w:pPr>
              <w:spacing w:line="300" w:lineRule="exact"/>
              <w:jc w:val="center"/>
              <w:rPr>
                <w:rFonts w:hint="eastAsia" w:ascii="宋体" w:hAnsi="宋体" w:eastAsia="宋体" w:cs="宋体"/>
                <w:color w:val="auto"/>
                <w:kern w:val="0"/>
                <w:sz w:val="24"/>
                <w:szCs w:val="24"/>
                <w:highlight w:val="none"/>
              </w:rPr>
            </w:pPr>
          </w:p>
        </w:tc>
        <w:tc>
          <w:tcPr>
            <w:tcW w:w="1027" w:type="dxa"/>
            <w:noWrap w:val="0"/>
            <w:vAlign w:val="center"/>
          </w:tcPr>
          <w:p w14:paraId="39063B6C">
            <w:pPr>
              <w:spacing w:line="300" w:lineRule="exact"/>
              <w:jc w:val="center"/>
              <w:rPr>
                <w:rFonts w:hint="eastAsia" w:ascii="宋体" w:hAnsi="宋体" w:eastAsia="宋体" w:cs="宋体"/>
                <w:color w:val="auto"/>
                <w:kern w:val="0"/>
                <w:sz w:val="24"/>
                <w:szCs w:val="24"/>
                <w:highlight w:val="none"/>
              </w:rPr>
            </w:pPr>
          </w:p>
        </w:tc>
        <w:tc>
          <w:tcPr>
            <w:tcW w:w="1169" w:type="dxa"/>
            <w:noWrap w:val="0"/>
            <w:vAlign w:val="center"/>
          </w:tcPr>
          <w:p w14:paraId="589F1A5E">
            <w:pPr>
              <w:spacing w:line="300" w:lineRule="exact"/>
              <w:jc w:val="center"/>
              <w:rPr>
                <w:rFonts w:hint="eastAsia" w:ascii="宋体" w:hAnsi="宋体" w:eastAsia="宋体" w:cs="宋体"/>
                <w:color w:val="auto"/>
                <w:kern w:val="0"/>
                <w:sz w:val="24"/>
                <w:szCs w:val="24"/>
                <w:highlight w:val="none"/>
              </w:rPr>
            </w:pPr>
          </w:p>
        </w:tc>
        <w:tc>
          <w:tcPr>
            <w:tcW w:w="1065" w:type="dxa"/>
            <w:noWrap w:val="0"/>
            <w:vAlign w:val="center"/>
          </w:tcPr>
          <w:p w14:paraId="2B58096B">
            <w:pPr>
              <w:spacing w:line="300" w:lineRule="exact"/>
              <w:jc w:val="center"/>
              <w:rPr>
                <w:rFonts w:hint="eastAsia" w:ascii="宋体" w:hAnsi="宋体" w:eastAsia="宋体" w:cs="宋体"/>
                <w:color w:val="auto"/>
                <w:kern w:val="0"/>
                <w:sz w:val="24"/>
                <w:szCs w:val="24"/>
                <w:highlight w:val="none"/>
              </w:rPr>
            </w:pPr>
          </w:p>
        </w:tc>
        <w:tc>
          <w:tcPr>
            <w:tcW w:w="551" w:type="dxa"/>
            <w:noWrap w:val="0"/>
            <w:vAlign w:val="center"/>
          </w:tcPr>
          <w:p w14:paraId="1AC605A4">
            <w:pPr>
              <w:spacing w:line="300" w:lineRule="exact"/>
              <w:jc w:val="center"/>
              <w:rPr>
                <w:rFonts w:hint="eastAsia" w:ascii="宋体" w:hAnsi="宋体" w:eastAsia="宋体" w:cs="宋体"/>
                <w:color w:val="auto"/>
                <w:kern w:val="0"/>
                <w:sz w:val="24"/>
                <w:szCs w:val="24"/>
                <w:highlight w:val="none"/>
              </w:rPr>
            </w:pPr>
          </w:p>
        </w:tc>
        <w:tc>
          <w:tcPr>
            <w:tcW w:w="656" w:type="dxa"/>
            <w:noWrap w:val="0"/>
            <w:vAlign w:val="center"/>
          </w:tcPr>
          <w:p w14:paraId="0BADFA1D">
            <w:pPr>
              <w:snapToGrid w:val="0"/>
              <w:spacing w:line="400" w:lineRule="exact"/>
              <w:jc w:val="center"/>
              <w:rPr>
                <w:rFonts w:hint="eastAsia" w:ascii="宋体" w:hAnsi="宋体" w:eastAsia="宋体" w:cs="宋体"/>
                <w:color w:val="auto"/>
                <w:sz w:val="24"/>
                <w:szCs w:val="24"/>
                <w:highlight w:val="none"/>
              </w:rPr>
            </w:pPr>
          </w:p>
        </w:tc>
        <w:tc>
          <w:tcPr>
            <w:tcW w:w="664" w:type="dxa"/>
            <w:noWrap w:val="0"/>
            <w:vAlign w:val="center"/>
          </w:tcPr>
          <w:p w14:paraId="523FB750">
            <w:pPr>
              <w:snapToGrid w:val="0"/>
              <w:spacing w:line="400" w:lineRule="exact"/>
              <w:jc w:val="center"/>
              <w:rPr>
                <w:rFonts w:hint="eastAsia" w:ascii="宋体" w:hAnsi="宋体" w:eastAsia="宋体" w:cs="宋体"/>
                <w:color w:val="auto"/>
                <w:sz w:val="24"/>
                <w:szCs w:val="24"/>
                <w:highlight w:val="none"/>
              </w:rPr>
            </w:pPr>
          </w:p>
        </w:tc>
        <w:tc>
          <w:tcPr>
            <w:tcW w:w="748" w:type="dxa"/>
            <w:noWrap w:val="0"/>
            <w:vAlign w:val="center"/>
          </w:tcPr>
          <w:p w14:paraId="2AB77576">
            <w:pPr>
              <w:snapToGrid w:val="0"/>
              <w:spacing w:line="400" w:lineRule="exact"/>
              <w:jc w:val="center"/>
              <w:rPr>
                <w:rFonts w:hint="eastAsia" w:ascii="宋体" w:hAnsi="宋体" w:eastAsia="宋体" w:cs="宋体"/>
                <w:color w:val="auto"/>
                <w:sz w:val="24"/>
                <w:szCs w:val="24"/>
                <w:highlight w:val="none"/>
              </w:rPr>
            </w:pPr>
          </w:p>
        </w:tc>
        <w:tc>
          <w:tcPr>
            <w:tcW w:w="720" w:type="dxa"/>
            <w:noWrap w:val="0"/>
            <w:vAlign w:val="center"/>
          </w:tcPr>
          <w:p w14:paraId="37F068C4">
            <w:pPr>
              <w:snapToGrid w:val="0"/>
              <w:spacing w:line="400" w:lineRule="exact"/>
              <w:jc w:val="center"/>
              <w:rPr>
                <w:rFonts w:hint="eastAsia" w:ascii="宋体" w:hAnsi="宋体" w:eastAsia="宋体" w:cs="宋体"/>
                <w:color w:val="auto"/>
                <w:sz w:val="24"/>
                <w:szCs w:val="24"/>
                <w:highlight w:val="none"/>
              </w:rPr>
            </w:pPr>
          </w:p>
        </w:tc>
        <w:tc>
          <w:tcPr>
            <w:tcW w:w="471" w:type="dxa"/>
            <w:noWrap w:val="0"/>
            <w:vAlign w:val="center"/>
          </w:tcPr>
          <w:p w14:paraId="03263825">
            <w:pPr>
              <w:snapToGrid w:val="0"/>
              <w:spacing w:line="400" w:lineRule="exact"/>
              <w:jc w:val="center"/>
              <w:rPr>
                <w:rFonts w:hint="eastAsia" w:ascii="宋体" w:hAnsi="宋体" w:eastAsia="宋体" w:cs="宋体"/>
                <w:color w:val="auto"/>
                <w:sz w:val="24"/>
                <w:szCs w:val="24"/>
                <w:highlight w:val="none"/>
              </w:rPr>
            </w:pPr>
          </w:p>
        </w:tc>
      </w:tr>
      <w:tr w14:paraId="20AB3CEA">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72" w:hRule="atLeast"/>
          <w:jc w:val="center"/>
        </w:trPr>
        <w:tc>
          <w:tcPr>
            <w:tcW w:w="581" w:type="dxa"/>
            <w:noWrap w:val="0"/>
            <w:vAlign w:val="center"/>
          </w:tcPr>
          <w:p w14:paraId="4346E7AF">
            <w:pPr>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001" w:type="dxa"/>
            <w:noWrap w:val="0"/>
            <w:vAlign w:val="center"/>
          </w:tcPr>
          <w:p w14:paraId="0AE0220A">
            <w:pPr>
              <w:spacing w:line="300" w:lineRule="exact"/>
              <w:jc w:val="center"/>
              <w:rPr>
                <w:rFonts w:hint="eastAsia" w:ascii="宋体" w:hAnsi="宋体" w:eastAsia="宋体" w:cs="宋体"/>
                <w:color w:val="auto"/>
                <w:kern w:val="0"/>
                <w:sz w:val="24"/>
                <w:szCs w:val="24"/>
                <w:highlight w:val="none"/>
              </w:rPr>
            </w:pPr>
          </w:p>
        </w:tc>
        <w:tc>
          <w:tcPr>
            <w:tcW w:w="1027" w:type="dxa"/>
            <w:noWrap w:val="0"/>
            <w:vAlign w:val="center"/>
          </w:tcPr>
          <w:p w14:paraId="6972A644">
            <w:pPr>
              <w:spacing w:line="300" w:lineRule="exact"/>
              <w:jc w:val="center"/>
              <w:rPr>
                <w:rFonts w:hint="eastAsia" w:ascii="宋体" w:hAnsi="宋体" w:eastAsia="宋体" w:cs="宋体"/>
                <w:color w:val="auto"/>
                <w:kern w:val="0"/>
                <w:sz w:val="24"/>
                <w:szCs w:val="24"/>
                <w:highlight w:val="none"/>
              </w:rPr>
            </w:pPr>
          </w:p>
        </w:tc>
        <w:tc>
          <w:tcPr>
            <w:tcW w:w="1169" w:type="dxa"/>
            <w:noWrap w:val="0"/>
            <w:vAlign w:val="center"/>
          </w:tcPr>
          <w:p w14:paraId="6E470B1E">
            <w:pPr>
              <w:spacing w:line="300" w:lineRule="exact"/>
              <w:jc w:val="center"/>
              <w:rPr>
                <w:rFonts w:hint="eastAsia" w:ascii="宋体" w:hAnsi="宋体" w:eastAsia="宋体" w:cs="宋体"/>
                <w:color w:val="auto"/>
                <w:kern w:val="0"/>
                <w:sz w:val="24"/>
                <w:szCs w:val="24"/>
                <w:highlight w:val="none"/>
              </w:rPr>
            </w:pPr>
          </w:p>
        </w:tc>
        <w:tc>
          <w:tcPr>
            <w:tcW w:w="1065" w:type="dxa"/>
            <w:noWrap w:val="0"/>
            <w:vAlign w:val="center"/>
          </w:tcPr>
          <w:p w14:paraId="56C8366F">
            <w:pPr>
              <w:spacing w:line="300" w:lineRule="exact"/>
              <w:jc w:val="center"/>
              <w:rPr>
                <w:rFonts w:hint="eastAsia" w:ascii="宋体" w:hAnsi="宋体" w:eastAsia="宋体" w:cs="宋体"/>
                <w:color w:val="auto"/>
                <w:kern w:val="0"/>
                <w:sz w:val="24"/>
                <w:szCs w:val="24"/>
                <w:highlight w:val="none"/>
              </w:rPr>
            </w:pPr>
          </w:p>
        </w:tc>
        <w:tc>
          <w:tcPr>
            <w:tcW w:w="551" w:type="dxa"/>
            <w:noWrap w:val="0"/>
            <w:vAlign w:val="center"/>
          </w:tcPr>
          <w:p w14:paraId="7B46DF2F">
            <w:pPr>
              <w:spacing w:line="300" w:lineRule="exact"/>
              <w:jc w:val="center"/>
              <w:rPr>
                <w:rFonts w:hint="eastAsia" w:ascii="宋体" w:hAnsi="宋体" w:eastAsia="宋体" w:cs="宋体"/>
                <w:color w:val="auto"/>
                <w:kern w:val="0"/>
                <w:sz w:val="24"/>
                <w:szCs w:val="24"/>
                <w:highlight w:val="none"/>
              </w:rPr>
            </w:pPr>
          </w:p>
        </w:tc>
        <w:tc>
          <w:tcPr>
            <w:tcW w:w="656" w:type="dxa"/>
            <w:noWrap w:val="0"/>
            <w:vAlign w:val="center"/>
          </w:tcPr>
          <w:p w14:paraId="7AC470EB">
            <w:pPr>
              <w:snapToGrid w:val="0"/>
              <w:spacing w:line="400" w:lineRule="exact"/>
              <w:jc w:val="center"/>
              <w:rPr>
                <w:rFonts w:hint="eastAsia" w:ascii="宋体" w:hAnsi="宋体" w:eastAsia="宋体" w:cs="宋体"/>
                <w:color w:val="auto"/>
                <w:sz w:val="24"/>
                <w:szCs w:val="24"/>
                <w:highlight w:val="none"/>
              </w:rPr>
            </w:pPr>
          </w:p>
        </w:tc>
        <w:tc>
          <w:tcPr>
            <w:tcW w:w="664" w:type="dxa"/>
            <w:noWrap w:val="0"/>
            <w:vAlign w:val="center"/>
          </w:tcPr>
          <w:p w14:paraId="3B2558FB">
            <w:pPr>
              <w:snapToGrid w:val="0"/>
              <w:spacing w:line="400" w:lineRule="exact"/>
              <w:jc w:val="center"/>
              <w:rPr>
                <w:rFonts w:hint="eastAsia" w:ascii="宋体" w:hAnsi="宋体" w:eastAsia="宋体" w:cs="宋体"/>
                <w:color w:val="auto"/>
                <w:sz w:val="24"/>
                <w:szCs w:val="24"/>
                <w:highlight w:val="none"/>
              </w:rPr>
            </w:pPr>
          </w:p>
        </w:tc>
        <w:tc>
          <w:tcPr>
            <w:tcW w:w="748" w:type="dxa"/>
            <w:noWrap w:val="0"/>
            <w:vAlign w:val="center"/>
          </w:tcPr>
          <w:p w14:paraId="18663BE6">
            <w:pPr>
              <w:snapToGrid w:val="0"/>
              <w:spacing w:line="400" w:lineRule="exact"/>
              <w:jc w:val="center"/>
              <w:rPr>
                <w:rFonts w:hint="eastAsia" w:ascii="宋体" w:hAnsi="宋体" w:eastAsia="宋体" w:cs="宋体"/>
                <w:color w:val="auto"/>
                <w:sz w:val="24"/>
                <w:szCs w:val="24"/>
                <w:highlight w:val="none"/>
              </w:rPr>
            </w:pPr>
          </w:p>
        </w:tc>
        <w:tc>
          <w:tcPr>
            <w:tcW w:w="720" w:type="dxa"/>
            <w:noWrap w:val="0"/>
            <w:vAlign w:val="center"/>
          </w:tcPr>
          <w:p w14:paraId="30A14771">
            <w:pPr>
              <w:snapToGrid w:val="0"/>
              <w:spacing w:line="400" w:lineRule="exact"/>
              <w:jc w:val="center"/>
              <w:rPr>
                <w:rFonts w:hint="eastAsia" w:ascii="宋体" w:hAnsi="宋体" w:eastAsia="宋体" w:cs="宋体"/>
                <w:color w:val="auto"/>
                <w:sz w:val="24"/>
                <w:szCs w:val="24"/>
                <w:highlight w:val="none"/>
              </w:rPr>
            </w:pPr>
          </w:p>
        </w:tc>
        <w:tc>
          <w:tcPr>
            <w:tcW w:w="471" w:type="dxa"/>
            <w:noWrap w:val="0"/>
            <w:vAlign w:val="center"/>
          </w:tcPr>
          <w:p w14:paraId="3FB63C97">
            <w:pPr>
              <w:snapToGrid w:val="0"/>
              <w:spacing w:line="400" w:lineRule="exact"/>
              <w:jc w:val="center"/>
              <w:rPr>
                <w:rFonts w:hint="eastAsia" w:ascii="宋体" w:hAnsi="宋体" w:eastAsia="宋体" w:cs="宋体"/>
                <w:color w:val="auto"/>
                <w:sz w:val="24"/>
                <w:szCs w:val="24"/>
                <w:highlight w:val="none"/>
              </w:rPr>
            </w:pPr>
          </w:p>
        </w:tc>
      </w:tr>
      <w:tr w14:paraId="75FC8F0E">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72" w:hRule="atLeast"/>
          <w:jc w:val="center"/>
        </w:trPr>
        <w:tc>
          <w:tcPr>
            <w:tcW w:w="581" w:type="dxa"/>
            <w:noWrap w:val="0"/>
            <w:vAlign w:val="center"/>
          </w:tcPr>
          <w:p w14:paraId="1D849EC7">
            <w:pPr>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001" w:type="dxa"/>
            <w:noWrap w:val="0"/>
            <w:vAlign w:val="center"/>
          </w:tcPr>
          <w:p w14:paraId="288192B0">
            <w:pPr>
              <w:spacing w:line="300" w:lineRule="exact"/>
              <w:jc w:val="center"/>
              <w:rPr>
                <w:rFonts w:hint="eastAsia" w:ascii="宋体" w:hAnsi="宋体" w:eastAsia="宋体" w:cs="宋体"/>
                <w:color w:val="auto"/>
                <w:kern w:val="0"/>
                <w:sz w:val="24"/>
                <w:szCs w:val="24"/>
                <w:highlight w:val="none"/>
              </w:rPr>
            </w:pPr>
          </w:p>
        </w:tc>
        <w:tc>
          <w:tcPr>
            <w:tcW w:w="1027" w:type="dxa"/>
            <w:noWrap w:val="0"/>
            <w:vAlign w:val="center"/>
          </w:tcPr>
          <w:p w14:paraId="16602C82">
            <w:pPr>
              <w:spacing w:line="300" w:lineRule="exact"/>
              <w:jc w:val="center"/>
              <w:rPr>
                <w:rFonts w:hint="eastAsia" w:ascii="宋体" w:hAnsi="宋体" w:eastAsia="宋体" w:cs="宋体"/>
                <w:color w:val="auto"/>
                <w:kern w:val="0"/>
                <w:sz w:val="24"/>
                <w:szCs w:val="24"/>
                <w:highlight w:val="none"/>
              </w:rPr>
            </w:pPr>
          </w:p>
        </w:tc>
        <w:tc>
          <w:tcPr>
            <w:tcW w:w="1169" w:type="dxa"/>
            <w:noWrap w:val="0"/>
            <w:vAlign w:val="center"/>
          </w:tcPr>
          <w:p w14:paraId="1D00AB3B">
            <w:pPr>
              <w:spacing w:line="300" w:lineRule="exact"/>
              <w:jc w:val="center"/>
              <w:rPr>
                <w:rFonts w:hint="eastAsia" w:ascii="宋体" w:hAnsi="宋体" w:eastAsia="宋体" w:cs="宋体"/>
                <w:color w:val="auto"/>
                <w:kern w:val="0"/>
                <w:sz w:val="24"/>
                <w:szCs w:val="24"/>
                <w:highlight w:val="none"/>
              </w:rPr>
            </w:pPr>
          </w:p>
        </w:tc>
        <w:tc>
          <w:tcPr>
            <w:tcW w:w="1065" w:type="dxa"/>
            <w:noWrap w:val="0"/>
            <w:vAlign w:val="center"/>
          </w:tcPr>
          <w:p w14:paraId="7BEAFAEE">
            <w:pPr>
              <w:spacing w:line="300" w:lineRule="exact"/>
              <w:jc w:val="center"/>
              <w:rPr>
                <w:rFonts w:hint="eastAsia" w:ascii="宋体" w:hAnsi="宋体" w:eastAsia="宋体" w:cs="宋体"/>
                <w:color w:val="auto"/>
                <w:kern w:val="0"/>
                <w:sz w:val="24"/>
                <w:szCs w:val="24"/>
                <w:highlight w:val="none"/>
              </w:rPr>
            </w:pPr>
          </w:p>
        </w:tc>
        <w:tc>
          <w:tcPr>
            <w:tcW w:w="551" w:type="dxa"/>
            <w:noWrap w:val="0"/>
            <w:vAlign w:val="center"/>
          </w:tcPr>
          <w:p w14:paraId="2A4E3C96">
            <w:pPr>
              <w:spacing w:line="300" w:lineRule="exact"/>
              <w:jc w:val="center"/>
              <w:rPr>
                <w:rFonts w:hint="eastAsia" w:ascii="宋体" w:hAnsi="宋体" w:eastAsia="宋体" w:cs="宋体"/>
                <w:color w:val="auto"/>
                <w:kern w:val="0"/>
                <w:sz w:val="24"/>
                <w:szCs w:val="24"/>
                <w:highlight w:val="none"/>
              </w:rPr>
            </w:pPr>
          </w:p>
        </w:tc>
        <w:tc>
          <w:tcPr>
            <w:tcW w:w="656" w:type="dxa"/>
            <w:noWrap w:val="0"/>
            <w:vAlign w:val="center"/>
          </w:tcPr>
          <w:p w14:paraId="69FFC119">
            <w:pPr>
              <w:snapToGrid w:val="0"/>
              <w:spacing w:line="400" w:lineRule="exact"/>
              <w:jc w:val="center"/>
              <w:rPr>
                <w:rFonts w:hint="eastAsia" w:ascii="宋体" w:hAnsi="宋体" w:eastAsia="宋体" w:cs="宋体"/>
                <w:color w:val="auto"/>
                <w:sz w:val="24"/>
                <w:szCs w:val="24"/>
                <w:highlight w:val="none"/>
              </w:rPr>
            </w:pPr>
          </w:p>
        </w:tc>
        <w:tc>
          <w:tcPr>
            <w:tcW w:w="664" w:type="dxa"/>
            <w:noWrap w:val="0"/>
            <w:vAlign w:val="center"/>
          </w:tcPr>
          <w:p w14:paraId="3F0F71E1">
            <w:pPr>
              <w:snapToGrid w:val="0"/>
              <w:spacing w:line="400" w:lineRule="exact"/>
              <w:jc w:val="center"/>
              <w:rPr>
                <w:rFonts w:hint="eastAsia" w:ascii="宋体" w:hAnsi="宋体" w:eastAsia="宋体" w:cs="宋体"/>
                <w:color w:val="auto"/>
                <w:sz w:val="24"/>
                <w:szCs w:val="24"/>
                <w:highlight w:val="none"/>
              </w:rPr>
            </w:pPr>
          </w:p>
        </w:tc>
        <w:tc>
          <w:tcPr>
            <w:tcW w:w="748" w:type="dxa"/>
            <w:noWrap w:val="0"/>
            <w:vAlign w:val="center"/>
          </w:tcPr>
          <w:p w14:paraId="670BC133">
            <w:pPr>
              <w:snapToGrid w:val="0"/>
              <w:spacing w:line="400" w:lineRule="exact"/>
              <w:jc w:val="center"/>
              <w:rPr>
                <w:rFonts w:hint="eastAsia" w:ascii="宋体" w:hAnsi="宋体" w:eastAsia="宋体" w:cs="宋体"/>
                <w:color w:val="auto"/>
                <w:sz w:val="24"/>
                <w:szCs w:val="24"/>
                <w:highlight w:val="none"/>
              </w:rPr>
            </w:pPr>
          </w:p>
        </w:tc>
        <w:tc>
          <w:tcPr>
            <w:tcW w:w="720" w:type="dxa"/>
            <w:noWrap w:val="0"/>
            <w:vAlign w:val="center"/>
          </w:tcPr>
          <w:p w14:paraId="605ADFA5">
            <w:pPr>
              <w:snapToGrid w:val="0"/>
              <w:spacing w:line="400" w:lineRule="exact"/>
              <w:jc w:val="center"/>
              <w:rPr>
                <w:rFonts w:hint="eastAsia" w:ascii="宋体" w:hAnsi="宋体" w:eastAsia="宋体" w:cs="宋体"/>
                <w:color w:val="auto"/>
                <w:sz w:val="24"/>
                <w:szCs w:val="24"/>
                <w:highlight w:val="none"/>
              </w:rPr>
            </w:pPr>
          </w:p>
        </w:tc>
        <w:tc>
          <w:tcPr>
            <w:tcW w:w="471" w:type="dxa"/>
            <w:noWrap w:val="0"/>
            <w:vAlign w:val="center"/>
          </w:tcPr>
          <w:p w14:paraId="57BCC31D">
            <w:pPr>
              <w:snapToGrid w:val="0"/>
              <w:spacing w:line="400" w:lineRule="exact"/>
              <w:jc w:val="center"/>
              <w:rPr>
                <w:rFonts w:hint="eastAsia" w:ascii="宋体" w:hAnsi="宋体" w:eastAsia="宋体" w:cs="宋体"/>
                <w:color w:val="auto"/>
                <w:sz w:val="24"/>
                <w:szCs w:val="24"/>
                <w:highlight w:val="none"/>
              </w:rPr>
            </w:pPr>
          </w:p>
        </w:tc>
      </w:tr>
      <w:tr w14:paraId="2B8DF41A">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72" w:hRule="atLeast"/>
          <w:jc w:val="center"/>
        </w:trPr>
        <w:tc>
          <w:tcPr>
            <w:tcW w:w="581" w:type="dxa"/>
            <w:noWrap w:val="0"/>
            <w:vAlign w:val="center"/>
          </w:tcPr>
          <w:p w14:paraId="7F87F60C">
            <w:pPr>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1001" w:type="dxa"/>
            <w:noWrap w:val="0"/>
            <w:vAlign w:val="center"/>
          </w:tcPr>
          <w:p w14:paraId="07D0A669">
            <w:pPr>
              <w:spacing w:line="300" w:lineRule="exact"/>
              <w:jc w:val="center"/>
              <w:rPr>
                <w:rFonts w:hint="eastAsia" w:ascii="宋体" w:hAnsi="宋体" w:eastAsia="宋体" w:cs="宋体"/>
                <w:color w:val="auto"/>
                <w:kern w:val="0"/>
                <w:sz w:val="24"/>
                <w:szCs w:val="24"/>
                <w:highlight w:val="none"/>
              </w:rPr>
            </w:pPr>
          </w:p>
        </w:tc>
        <w:tc>
          <w:tcPr>
            <w:tcW w:w="1027" w:type="dxa"/>
            <w:noWrap w:val="0"/>
            <w:vAlign w:val="center"/>
          </w:tcPr>
          <w:p w14:paraId="0BAD7CB7">
            <w:pPr>
              <w:spacing w:line="300" w:lineRule="exact"/>
              <w:jc w:val="center"/>
              <w:rPr>
                <w:rFonts w:hint="eastAsia" w:ascii="宋体" w:hAnsi="宋体" w:eastAsia="宋体" w:cs="宋体"/>
                <w:color w:val="auto"/>
                <w:kern w:val="0"/>
                <w:sz w:val="24"/>
                <w:szCs w:val="24"/>
                <w:highlight w:val="none"/>
              </w:rPr>
            </w:pPr>
          </w:p>
        </w:tc>
        <w:tc>
          <w:tcPr>
            <w:tcW w:w="1169" w:type="dxa"/>
            <w:noWrap w:val="0"/>
            <w:vAlign w:val="center"/>
          </w:tcPr>
          <w:p w14:paraId="64B61741">
            <w:pPr>
              <w:spacing w:line="300" w:lineRule="exact"/>
              <w:jc w:val="center"/>
              <w:rPr>
                <w:rFonts w:hint="eastAsia" w:ascii="宋体" w:hAnsi="宋体" w:eastAsia="宋体" w:cs="宋体"/>
                <w:color w:val="auto"/>
                <w:kern w:val="0"/>
                <w:sz w:val="24"/>
                <w:szCs w:val="24"/>
                <w:highlight w:val="none"/>
              </w:rPr>
            </w:pPr>
          </w:p>
        </w:tc>
        <w:tc>
          <w:tcPr>
            <w:tcW w:w="1065" w:type="dxa"/>
            <w:noWrap w:val="0"/>
            <w:vAlign w:val="center"/>
          </w:tcPr>
          <w:p w14:paraId="61A0CBB6">
            <w:pPr>
              <w:spacing w:line="300" w:lineRule="exact"/>
              <w:jc w:val="center"/>
              <w:rPr>
                <w:rFonts w:hint="eastAsia" w:ascii="宋体" w:hAnsi="宋体" w:eastAsia="宋体" w:cs="宋体"/>
                <w:color w:val="auto"/>
                <w:kern w:val="0"/>
                <w:sz w:val="24"/>
                <w:szCs w:val="24"/>
                <w:highlight w:val="none"/>
              </w:rPr>
            </w:pPr>
          </w:p>
        </w:tc>
        <w:tc>
          <w:tcPr>
            <w:tcW w:w="551" w:type="dxa"/>
            <w:noWrap w:val="0"/>
            <w:vAlign w:val="center"/>
          </w:tcPr>
          <w:p w14:paraId="71A5489F">
            <w:pPr>
              <w:spacing w:line="300" w:lineRule="exact"/>
              <w:jc w:val="center"/>
              <w:rPr>
                <w:rFonts w:hint="eastAsia" w:ascii="宋体" w:hAnsi="宋体" w:eastAsia="宋体" w:cs="宋体"/>
                <w:color w:val="auto"/>
                <w:kern w:val="0"/>
                <w:sz w:val="24"/>
                <w:szCs w:val="24"/>
                <w:highlight w:val="none"/>
              </w:rPr>
            </w:pPr>
          </w:p>
        </w:tc>
        <w:tc>
          <w:tcPr>
            <w:tcW w:w="656" w:type="dxa"/>
            <w:noWrap w:val="0"/>
            <w:vAlign w:val="center"/>
          </w:tcPr>
          <w:p w14:paraId="430AC5B8">
            <w:pPr>
              <w:snapToGrid w:val="0"/>
              <w:spacing w:line="400" w:lineRule="exact"/>
              <w:jc w:val="center"/>
              <w:rPr>
                <w:rFonts w:hint="eastAsia" w:ascii="宋体" w:hAnsi="宋体" w:eastAsia="宋体" w:cs="宋体"/>
                <w:color w:val="auto"/>
                <w:sz w:val="24"/>
                <w:szCs w:val="24"/>
                <w:highlight w:val="none"/>
              </w:rPr>
            </w:pPr>
          </w:p>
        </w:tc>
        <w:tc>
          <w:tcPr>
            <w:tcW w:w="664" w:type="dxa"/>
            <w:noWrap w:val="0"/>
            <w:vAlign w:val="center"/>
          </w:tcPr>
          <w:p w14:paraId="19523A76">
            <w:pPr>
              <w:snapToGrid w:val="0"/>
              <w:spacing w:line="400" w:lineRule="exact"/>
              <w:jc w:val="center"/>
              <w:rPr>
                <w:rFonts w:hint="eastAsia" w:ascii="宋体" w:hAnsi="宋体" w:eastAsia="宋体" w:cs="宋体"/>
                <w:color w:val="auto"/>
                <w:sz w:val="24"/>
                <w:szCs w:val="24"/>
                <w:highlight w:val="none"/>
              </w:rPr>
            </w:pPr>
          </w:p>
        </w:tc>
        <w:tc>
          <w:tcPr>
            <w:tcW w:w="748" w:type="dxa"/>
            <w:noWrap w:val="0"/>
            <w:vAlign w:val="center"/>
          </w:tcPr>
          <w:p w14:paraId="2790CFC6">
            <w:pPr>
              <w:snapToGrid w:val="0"/>
              <w:spacing w:line="400" w:lineRule="exact"/>
              <w:jc w:val="center"/>
              <w:rPr>
                <w:rFonts w:hint="eastAsia" w:ascii="宋体" w:hAnsi="宋体" w:eastAsia="宋体" w:cs="宋体"/>
                <w:color w:val="auto"/>
                <w:sz w:val="24"/>
                <w:szCs w:val="24"/>
                <w:highlight w:val="none"/>
              </w:rPr>
            </w:pPr>
          </w:p>
        </w:tc>
        <w:tc>
          <w:tcPr>
            <w:tcW w:w="720" w:type="dxa"/>
            <w:noWrap w:val="0"/>
            <w:vAlign w:val="center"/>
          </w:tcPr>
          <w:p w14:paraId="148BF501">
            <w:pPr>
              <w:snapToGrid w:val="0"/>
              <w:spacing w:line="400" w:lineRule="exact"/>
              <w:jc w:val="center"/>
              <w:rPr>
                <w:rFonts w:hint="eastAsia" w:ascii="宋体" w:hAnsi="宋体" w:eastAsia="宋体" w:cs="宋体"/>
                <w:color w:val="auto"/>
                <w:sz w:val="24"/>
                <w:szCs w:val="24"/>
                <w:highlight w:val="none"/>
              </w:rPr>
            </w:pPr>
          </w:p>
        </w:tc>
        <w:tc>
          <w:tcPr>
            <w:tcW w:w="471" w:type="dxa"/>
            <w:noWrap w:val="0"/>
            <w:vAlign w:val="center"/>
          </w:tcPr>
          <w:p w14:paraId="4785AECC">
            <w:pPr>
              <w:snapToGrid w:val="0"/>
              <w:spacing w:line="400" w:lineRule="exact"/>
              <w:jc w:val="center"/>
              <w:rPr>
                <w:rFonts w:hint="eastAsia" w:ascii="宋体" w:hAnsi="宋体" w:eastAsia="宋体" w:cs="宋体"/>
                <w:color w:val="auto"/>
                <w:sz w:val="24"/>
                <w:szCs w:val="24"/>
                <w:highlight w:val="none"/>
              </w:rPr>
            </w:pPr>
          </w:p>
        </w:tc>
      </w:tr>
      <w:tr w14:paraId="64231391">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72" w:hRule="atLeast"/>
          <w:jc w:val="center"/>
        </w:trPr>
        <w:tc>
          <w:tcPr>
            <w:tcW w:w="581" w:type="dxa"/>
            <w:noWrap w:val="0"/>
            <w:vAlign w:val="center"/>
          </w:tcPr>
          <w:p w14:paraId="24E901C9">
            <w:pPr>
              <w:spacing w:line="3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tc>
        <w:tc>
          <w:tcPr>
            <w:tcW w:w="1001" w:type="dxa"/>
            <w:noWrap w:val="0"/>
            <w:vAlign w:val="center"/>
          </w:tcPr>
          <w:p w14:paraId="293EFDFE">
            <w:pPr>
              <w:spacing w:line="300" w:lineRule="exact"/>
              <w:jc w:val="center"/>
              <w:rPr>
                <w:rFonts w:hint="eastAsia" w:ascii="宋体" w:hAnsi="宋体" w:eastAsia="宋体" w:cs="宋体"/>
                <w:color w:val="auto"/>
                <w:kern w:val="0"/>
                <w:sz w:val="24"/>
                <w:szCs w:val="24"/>
                <w:highlight w:val="none"/>
              </w:rPr>
            </w:pPr>
          </w:p>
        </w:tc>
        <w:tc>
          <w:tcPr>
            <w:tcW w:w="1027" w:type="dxa"/>
            <w:noWrap w:val="0"/>
            <w:vAlign w:val="center"/>
          </w:tcPr>
          <w:p w14:paraId="55BFEAFF">
            <w:pPr>
              <w:spacing w:line="300" w:lineRule="exact"/>
              <w:jc w:val="center"/>
              <w:rPr>
                <w:rFonts w:hint="eastAsia" w:ascii="宋体" w:hAnsi="宋体" w:eastAsia="宋体" w:cs="宋体"/>
                <w:color w:val="auto"/>
                <w:kern w:val="0"/>
                <w:sz w:val="24"/>
                <w:szCs w:val="24"/>
                <w:highlight w:val="none"/>
              </w:rPr>
            </w:pPr>
          </w:p>
        </w:tc>
        <w:tc>
          <w:tcPr>
            <w:tcW w:w="1169" w:type="dxa"/>
            <w:noWrap w:val="0"/>
            <w:vAlign w:val="center"/>
          </w:tcPr>
          <w:p w14:paraId="0CBED6A3">
            <w:pPr>
              <w:spacing w:line="300" w:lineRule="exact"/>
              <w:jc w:val="center"/>
              <w:rPr>
                <w:rFonts w:hint="eastAsia" w:ascii="宋体" w:hAnsi="宋体" w:eastAsia="宋体" w:cs="宋体"/>
                <w:color w:val="auto"/>
                <w:kern w:val="0"/>
                <w:sz w:val="24"/>
                <w:szCs w:val="24"/>
                <w:highlight w:val="none"/>
              </w:rPr>
            </w:pPr>
          </w:p>
        </w:tc>
        <w:tc>
          <w:tcPr>
            <w:tcW w:w="1065" w:type="dxa"/>
            <w:noWrap w:val="0"/>
            <w:vAlign w:val="center"/>
          </w:tcPr>
          <w:p w14:paraId="7A461F68">
            <w:pPr>
              <w:spacing w:line="300" w:lineRule="exact"/>
              <w:jc w:val="center"/>
              <w:rPr>
                <w:rFonts w:hint="eastAsia" w:ascii="宋体" w:hAnsi="宋体" w:eastAsia="宋体" w:cs="宋体"/>
                <w:color w:val="auto"/>
                <w:kern w:val="0"/>
                <w:sz w:val="24"/>
                <w:szCs w:val="24"/>
                <w:highlight w:val="none"/>
              </w:rPr>
            </w:pPr>
          </w:p>
        </w:tc>
        <w:tc>
          <w:tcPr>
            <w:tcW w:w="551" w:type="dxa"/>
            <w:noWrap w:val="0"/>
            <w:vAlign w:val="center"/>
          </w:tcPr>
          <w:p w14:paraId="230216E4">
            <w:pPr>
              <w:spacing w:line="300" w:lineRule="exact"/>
              <w:jc w:val="center"/>
              <w:rPr>
                <w:rFonts w:hint="eastAsia" w:ascii="宋体" w:hAnsi="宋体" w:eastAsia="宋体" w:cs="宋体"/>
                <w:color w:val="auto"/>
                <w:kern w:val="0"/>
                <w:sz w:val="24"/>
                <w:szCs w:val="24"/>
                <w:highlight w:val="none"/>
              </w:rPr>
            </w:pPr>
          </w:p>
        </w:tc>
        <w:tc>
          <w:tcPr>
            <w:tcW w:w="656" w:type="dxa"/>
            <w:noWrap w:val="0"/>
            <w:vAlign w:val="center"/>
          </w:tcPr>
          <w:p w14:paraId="5C6B0972">
            <w:pPr>
              <w:snapToGrid w:val="0"/>
              <w:spacing w:line="400" w:lineRule="exact"/>
              <w:jc w:val="center"/>
              <w:rPr>
                <w:rFonts w:hint="eastAsia" w:ascii="宋体" w:hAnsi="宋体" w:eastAsia="宋体" w:cs="宋体"/>
                <w:color w:val="auto"/>
                <w:sz w:val="24"/>
                <w:szCs w:val="24"/>
                <w:highlight w:val="none"/>
              </w:rPr>
            </w:pPr>
          </w:p>
        </w:tc>
        <w:tc>
          <w:tcPr>
            <w:tcW w:w="664" w:type="dxa"/>
            <w:noWrap w:val="0"/>
            <w:vAlign w:val="center"/>
          </w:tcPr>
          <w:p w14:paraId="70189BB3">
            <w:pPr>
              <w:snapToGrid w:val="0"/>
              <w:spacing w:line="400" w:lineRule="exact"/>
              <w:jc w:val="center"/>
              <w:rPr>
                <w:rFonts w:hint="eastAsia" w:ascii="宋体" w:hAnsi="宋体" w:eastAsia="宋体" w:cs="宋体"/>
                <w:color w:val="auto"/>
                <w:sz w:val="24"/>
                <w:szCs w:val="24"/>
                <w:highlight w:val="none"/>
              </w:rPr>
            </w:pPr>
          </w:p>
        </w:tc>
        <w:tc>
          <w:tcPr>
            <w:tcW w:w="748" w:type="dxa"/>
            <w:noWrap w:val="0"/>
            <w:vAlign w:val="center"/>
          </w:tcPr>
          <w:p w14:paraId="58C711C0">
            <w:pPr>
              <w:snapToGrid w:val="0"/>
              <w:spacing w:line="400" w:lineRule="exact"/>
              <w:jc w:val="center"/>
              <w:rPr>
                <w:rFonts w:hint="eastAsia" w:ascii="宋体" w:hAnsi="宋体" w:eastAsia="宋体" w:cs="宋体"/>
                <w:color w:val="auto"/>
                <w:sz w:val="24"/>
                <w:szCs w:val="24"/>
                <w:highlight w:val="none"/>
              </w:rPr>
            </w:pPr>
          </w:p>
        </w:tc>
        <w:tc>
          <w:tcPr>
            <w:tcW w:w="720" w:type="dxa"/>
            <w:noWrap w:val="0"/>
            <w:vAlign w:val="center"/>
          </w:tcPr>
          <w:p w14:paraId="4024A4C2">
            <w:pPr>
              <w:snapToGrid w:val="0"/>
              <w:spacing w:line="400" w:lineRule="exact"/>
              <w:jc w:val="center"/>
              <w:rPr>
                <w:rFonts w:hint="eastAsia" w:ascii="宋体" w:hAnsi="宋体" w:eastAsia="宋体" w:cs="宋体"/>
                <w:color w:val="auto"/>
                <w:sz w:val="24"/>
                <w:szCs w:val="24"/>
                <w:highlight w:val="none"/>
              </w:rPr>
            </w:pPr>
          </w:p>
        </w:tc>
        <w:tc>
          <w:tcPr>
            <w:tcW w:w="471" w:type="dxa"/>
            <w:noWrap w:val="0"/>
            <w:vAlign w:val="center"/>
          </w:tcPr>
          <w:p w14:paraId="3DE289D8">
            <w:pPr>
              <w:snapToGrid w:val="0"/>
              <w:spacing w:line="400" w:lineRule="exact"/>
              <w:jc w:val="center"/>
              <w:rPr>
                <w:rFonts w:hint="eastAsia" w:ascii="宋体" w:hAnsi="宋体" w:eastAsia="宋体" w:cs="宋体"/>
                <w:color w:val="auto"/>
                <w:sz w:val="24"/>
                <w:szCs w:val="24"/>
                <w:highlight w:val="none"/>
              </w:rPr>
            </w:pPr>
          </w:p>
        </w:tc>
      </w:tr>
      <w:tr w14:paraId="089F0C9B">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07" w:hRule="atLeast"/>
          <w:jc w:val="center"/>
        </w:trPr>
        <w:tc>
          <w:tcPr>
            <w:tcW w:w="1582" w:type="dxa"/>
            <w:gridSpan w:val="2"/>
            <w:vMerge w:val="restart"/>
            <w:noWrap w:val="0"/>
            <w:vAlign w:val="center"/>
          </w:tcPr>
          <w:p w14:paraId="354A667C">
            <w:pPr>
              <w:snapToGrid w:val="0"/>
              <w:spacing w:line="400" w:lineRule="exact"/>
              <w:rPr>
                <w:rFonts w:hint="eastAsia" w:ascii="宋体" w:hAnsi="宋体" w:eastAsia="宋体" w:cs="宋体"/>
                <w:color w:val="auto"/>
                <w:kern w:val="0"/>
                <w:sz w:val="24"/>
                <w:szCs w:val="24"/>
                <w:highlight w:val="none"/>
              </w:rPr>
            </w:pPr>
          </w:p>
          <w:p w14:paraId="316AE597">
            <w:pPr>
              <w:snapToGrid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本表报价</w:t>
            </w:r>
          </w:p>
          <w:p w14:paraId="1D58F6DE">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合计</w:t>
            </w:r>
          </w:p>
          <w:p w14:paraId="3EA1ACA4">
            <w:pPr>
              <w:snapToGrid w:val="0"/>
              <w:spacing w:line="400" w:lineRule="exact"/>
              <w:jc w:val="center"/>
              <w:rPr>
                <w:rFonts w:hint="eastAsia" w:ascii="宋体" w:hAnsi="宋体" w:eastAsia="宋体" w:cs="宋体"/>
                <w:color w:val="auto"/>
                <w:sz w:val="24"/>
                <w:szCs w:val="24"/>
                <w:highlight w:val="none"/>
              </w:rPr>
            </w:pPr>
          </w:p>
        </w:tc>
        <w:tc>
          <w:tcPr>
            <w:tcW w:w="7071" w:type="dxa"/>
            <w:gridSpan w:val="9"/>
            <w:noWrap w:val="0"/>
            <w:vAlign w:val="center"/>
          </w:tcPr>
          <w:p w14:paraId="0CC64958">
            <w:pPr>
              <w:snapToGrid w:val="0"/>
              <w:spacing w:line="400" w:lineRule="exact"/>
              <w:jc w:val="left"/>
              <w:rPr>
                <w:rFonts w:hint="eastAsia" w:ascii="宋体" w:hAnsi="宋体" w:eastAsia="宋体" w:cs="宋体"/>
                <w:color w:val="auto"/>
                <w:kern w:val="0"/>
                <w:sz w:val="24"/>
                <w:szCs w:val="24"/>
                <w:highlight w:val="none"/>
                <w:u w:val="single"/>
              </w:rPr>
            </w:pPr>
            <w:r>
              <w:rPr>
                <w:rFonts w:hint="eastAsia" w:ascii="宋体" w:hAnsi="宋体" w:eastAsia="宋体" w:cs="宋体"/>
                <w:b/>
                <w:bCs/>
                <w:color w:val="auto"/>
                <w:kern w:val="0"/>
                <w:sz w:val="24"/>
                <w:szCs w:val="24"/>
                <w:highlight w:val="none"/>
              </w:rPr>
              <w:t xml:space="preserve">大写: </w:t>
            </w:r>
            <w:r>
              <w:rPr>
                <w:rFonts w:hint="eastAsia" w:ascii="宋体" w:hAnsi="宋体" w:eastAsia="宋体" w:cs="宋体"/>
                <w:b/>
                <w:bCs/>
                <w:color w:val="auto"/>
                <w:kern w:val="0"/>
                <w:sz w:val="24"/>
                <w:szCs w:val="24"/>
                <w:highlight w:val="none"/>
                <w:u w:val="single"/>
              </w:rPr>
              <w:t xml:space="preserve">                     </w:t>
            </w:r>
          </w:p>
        </w:tc>
      </w:tr>
      <w:tr w14:paraId="41C50E6A">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471" w:hRule="atLeast"/>
          <w:jc w:val="center"/>
        </w:trPr>
        <w:tc>
          <w:tcPr>
            <w:tcW w:w="1582" w:type="dxa"/>
            <w:gridSpan w:val="2"/>
            <w:vMerge w:val="continue"/>
            <w:tcBorders>
              <w:bottom w:val="single" w:color="auto" w:sz="12" w:space="0"/>
            </w:tcBorders>
            <w:noWrap w:val="0"/>
            <w:vAlign w:val="center"/>
          </w:tcPr>
          <w:p w14:paraId="2E9A2EC1">
            <w:pPr>
              <w:snapToGrid w:val="0"/>
              <w:spacing w:line="400" w:lineRule="exact"/>
              <w:jc w:val="center"/>
              <w:rPr>
                <w:rFonts w:hint="eastAsia" w:ascii="宋体" w:hAnsi="宋体" w:eastAsia="宋体" w:cs="宋体"/>
                <w:color w:val="auto"/>
                <w:kern w:val="0"/>
                <w:sz w:val="24"/>
                <w:szCs w:val="24"/>
                <w:highlight w:val="none"/>
              </w:rPr>
            </w:pPr>
          </w:p>
        </w:tc>
        <w:tc>
          <w:tcPr>
            <w:tcW w:w="7071" w:type="dxa"/>
            <w:gridSpan w:val="9"/>
            <w:tcBorders>
              <w:bottom w:val="single" w:color="auto" w:sz="12" w:space="0"/>
            </w:tcBorders>
            <w:noWrap w:val="0"/>
            <w:vAlign w:val="center"/>
          </w:tcPr>
          <w:p w14:paraId="51EA5904">
            <w:pPr>
              <w:snapToGrid w:val="0"/>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小写：</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z w:val="24"/>
                <w:szCs w:val="24"/>
                <w:highlight w:val="none"/>
              </w:rPr>
              <w:t>元</w:t>
            </w:r>
          </w:p>
        </w:tc>
      </w:tr>
    </w:tbl>
    <w:p w14:paraId="7430EE8F">
      <w:pPr>
        <w:spacing w:line="360" w:lineRule="auto"/>
        <w:jc w:val="left"/>
        <w:rPr>
          <w:rFonts w:hint="eastAsia" w:ascii="宋体" w:hAnsi="宋体" w:eastAsia="宋体" w:cs="宋体"/>
          <w:color w:val="auto"/>
          <w:sz w:val="24"/>
          <w:highlight w:val="none"/>
        </w:rPr>
      </w:pPr>
    </w:p>
    <w:p w14:paraId="049FBD00">
      <w:pPr>
        <w:jc w:val="center"/>
        <w:rPr>
          <w:rFonts w:hint="eastAsia" w:ascii="宋体" w:hAnsi="宋体" w:eastAsia="宋体" w:cs="宋体"/>
          <w:color w:val="auto"/>
          <w:sz w:val="24"/>
          <w:highlight w:val="none"/>
        </w:rPr>
      </w:pPr>
    </w:p>
    <w:p w14:paraId="6FE729A7">
      <w:pPr>
        <w:jc w:val="center"/>
        <w:rPr>
          <w:rFonts w:hint="eastAsia" w:ascii="宋体" w:hAnsi="宋体" w:eastAsia="宋体" w:cs="宋体"/>
          <w:color w:val="auto"/>
          <w:sz w:val="24"/>
          <w:highlight w:val="none"/>
        </w:rPr>
      </w:pPr>
    </w:p>
    <w:p w14:paraId="52BFF22A">
      <w:pPr>
        <w:pStyle w:val="9"/>
        <w:spacing w:before="7"/>
        <w:rPr>
          <w:rFonts w:hint="eastAsia" w:ascii="宋体" w:hAnsi="宋体" w:eastAsia="宋体" w:cs="宋体"/>
          <w:color w:val="auto"/>
          <w:sz w:val="14"/>
          <w:highlight w:val="none"/>
        </w:rPr>
      </w:pPr>
      <w:bookmarkStart w:id="37" w:name="_Toc21523"/>
      <w:bookmarkStart w:id="38" w:name="_Toc19587"/>
    </w:p>
    <w:p w14:paraId="187D58A7">
      <w:pPr>
        <w:pStyle w:val="9"/>
        <w:spacing w:before="7"/>
        <w:rPr>
          <w:rFonts w:hint="eastAsia" w:ascii="宋体" w:hAnsi="宋体" w:eastAsia="宋体" w:cs="宋体"/>
          <w:color w:val="auto"/>
          <w:sz w:val="14"/>
          <w:highlight w:val="none"/>
        </w:rPr>
      </w:pPr>
    </w:p>
    <w:p w14:paraId="03A77FC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p>
    <w:p w14:paraId="0D8274A0">
      <w:pPr>
        <w:jc w:val="center"/>
        <w:rPr>
          <w:rFonts w:hint="eastAsia" w:ascii="宋体" w:hAnsi="宋体" w:eastAsia="宋体" w:cs="宋体"/>
          <w:color w:val="auto"/>
          <w:sz w:val="24"/>
          <w:highlight w:val="none"/>
        </w:rPr>
      </w:pPr>
    </w:p>
    <w:p w14:paraId="78ED830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130D8DCE">
      <w:pPr>
        <w:pStyle w:val="29"/>
        <w:ind w:firstLine="520"/>
        <w:rPr>
          <w:rFonts w:hint="eastAsia" w:ascii="宋体" w:hAnsi="宋体" w:eastAsia="宋体" w:cs="宋体"/>
          <w:color w:val="auto"/>
          <w:highlight w:val="none"/>
        </w:rPr>
      </w:pPr>
    </w:p>
    <w:p w14:paraId="2C18FBE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075A1341">
      <w:pPr>
        <w:jc w:val="center"/>
        <w:rPr>
          <w:rFonts w:hint="eastAsia" w:ascii="宋体" w:hAnsi="宋体" w:eastAsia="宋体" w:cs="宋体"/>
          <w:color w:val="auto"/>
          <w:sz w:val="24"/>
          <w:highlight w:val="none"/>
        </w:rPr>
      </w:pPr>
    </w:p>
    <w:p w14:paraId="035695E0">
      <w:pPr>
        <w:keepNext/>
        <w:keepLines/>
        <w:spacing w:before="140" w:after="140" w:line="360" w:lineRule="auto"/>
        <w:jc w:val="center"/>
        <w:outlineLvl w:val="1"/>
        <w:rPr>
          <w:rFonts w:hint="eastAsia" w:ascii="宋体" w:hAnsi="宋体" w:eastAsia="宋体" w:cs="宋体"/>
          <w:b/>
          <w:color w:val="auto"/>
          <w:sz w:val="32"/>
          <w:highlight w:val="none"/>
        </w:rPr>
      </w:pPr>
    </w:p>
    <w:p w14:paraId="2ED03CB7">
      <w:pPr>
        <w:rPr>
          <w:rFonts w:hint="eastAsia" w:ascii="宋体" w:hAnsi="宋体" w:eastAsia="宋体" w:cs="宋体"/>
          <w:color w:val="auto"/>
          <w:highlight w:val="none"/>
        </w:rPr>
      </w:pPr>
    </w:p>
    <w:p w14:paraId="3AF7AD45">
      <w:pPr>
        <w:keepNext/>
        <w:keepLines/>
        <w:spacing w:before="140" w:after="140" w:line="360" w:lineRule="auto"/>
        <w:ind w:left="420"/>
        <w:jc w:val="center"/>
        <w:outlineLvl w:val="1"/>
        <w:rPr>
          <w:rFonts w:hint="eastAsia" w:ascii="宋体" w:hAnsi="宋体" w:eastAsia="宋体" w:cs="宋体"/>
          <w:color w:val="auto"/>
          <w:sz w:val="28"/>
          <w:highlight w:val="none"/>
        </w:rPr>
      </w:pPr>
      <w:r>
        <w:rPr>
          <w:rFonts w:hint="eastAsia" w:ascii="宋体" w:hAnsi="宋体" w:eastAsia="宋体" w:cs="宋体"/>
          <w:b/>
          <w:color w:val="auto"/>
          <w:sz w:val="32"/>
          <w:highlight w:val="none"/>
        </w:rPr>
        <w:t>五、技术参数偏离表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958"/>
        <w:gridCol w:w="1887"/>
        <w:gridCol w:w="2951"/>
        <w:gridCol w:w="1285"/>
      </w:tblGrid>
      <w:tr w14:paraId="2B9A0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696" w:type="dxa"/>
            <w:noWrap w:val="0"/>
            <w:vAlign w:val="center"/>
          </w:tcPr>
          <w:p w14:paraId="700C5A18">
            <w:pPr>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序号</w:t>
            </w:r>
          </w:p>
        </w:tc>
        <w:tc>
          <w:tcPr>
            <w:tcW w:w="1958" w:type="dxa"/>
            <w:noWrap w:val="0"/>
            <w:vAlign w:val="center"/>
          </w:tcPr>
          <w:p w14:paraId="2761A987">
            <w:pPr>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招标文件技术</w:t>
            </w:r>
            <w:r>
              <w:rPr>
                <w:rFonts w:hint="eastAsia" w:ascii="宋体" w:hAnsi="宋体" w:eastAsia="宋体" w:cs="宋体"/>
                <w:b w:val="0"/>
                <w:bCs w:val="0"/>
                <w:color w:val="auto"/>
                <w:sz w:val="24"/>
                <w:highlight w:val="none"/>
                <w:lang w:val="en-US" w:eastAsia="zh-CN"/>
              </w:rPr>
              <w:t>参数及要求</w:t>
            </w:r>
            <w:r>
              <w:rPr>
                <w:rFonts w:hint="eastAsia" w:ascii="宋体" w:hAnsi="宋体" w:eastAsia="宋体" w:cs="宋体"/>
                <w:b w:val="0"/>
                <w:bCs w:val="0"/>
                <w:color w:val="auto"/>
                <w:sz w:val="24"/>
                <w:highlight w:val="none"/>
              </w:rPr>
              <w:t>配置性能</w:t>
            </w:r>
          </w:p>
        </w:tc>
        <w:tc>
          <w:tcPr>
            <w:tcW w:w="1887" w:type="dxa"/>
            <w:noWrap w:val="0"/>
            <w:vAlign w:val="center"/>
          </w:tcPr>
          <w:p w14:paraId="12B425A3">
            <w:pPr>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投标技术参数</w:t>
            </w:r>
            <w:r>
              <w:rPr>
                <w:rFonts w:hint="eastAsia" w:ascii="宋体" w:hAnsi="宋体" w:eastAsia="宋体" w:cs="宋体"/>
                <w:b w:val="0"/>
                <w:bCs w:val="0"/>
                <w:color w:val="auto"/>
                <w:sz w:val="24"/>
                <w:highlight w:val="none"/>
                <w:lang w:eastAsia="zh-CN"/>
              </w:rPr>
              <w:t>及</w:t>
            </w:r>
            <w:r>
              <w:rPr>
                <w:rFonts w:hint="eastAsia" w:ascii="宋体" w:hAnsi="宋体" w:eastAsia="宋体" w:cs="宋体"/>
                <w:b w:val="0"/>
                <w:bCs w:val="0"/>
                <w:color w:val="auto"/>
                <w:sz w:val="24"/>
                <w:highlight w:val="none"/>
                <w:lang w:val="en-US" w:eastAsia="zh-CN"/>
              </w:rPr>
              <w:t>要求</w:t>
            </w:r>
            <w:r>
              <w:rPr>
                <w:rFonts w:hint="eastAsia" w:ascii="宋体" w:hAnsi="宋体" w:eastAsia="宋体" w:cs="宋体"/>
                <w:b w:val="0"/>
                <w:bCs w:val="0"/>
                <w:color w:val="auto"/>
                <w:sz w:val="24"/>
                <w:highlight w:val="none"/>
              </w:rPr>
              <w:t>配置性能</w:t>
            </w:r>
          </w:p>
        </w:tc>
        <w:tc>
          <w:tcPr>
            <w:tcW w:w="2951" w:type="dxa"/>
            <w:noWrap w:val="0"/>
            <w:vAlign w:val="center"/>
          </w:tcPr>
          <w:p w14:paraId="72111458">
            <w:pPr>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偏离说明</w:t>
            </w:r>
          </w:p>
        </w:tc>
        <w:tc>
          <w:tcPr>
            <w:tcW w:w="1285" w:type="dxa"/>
            <w:noWrap w:val="0"/>
            <w:vAlign w:val="center"/>
          </w:tcPr>
          <w:p w14:paraId="22D5F05C">
            <w:pPr>
              <w:jc w:val="center"/>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备注</w:t>
            </w:r>
          </w:p>
        </w:tc>
      </w:tr>
      <w:tr w14:paraId="3A38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696" w:type="dxa"/>
            <w:noWrap w:val="0"/>
            <w:vAlign w:val="top"/>
          </w:tcPr>
          <w:p w14:paraId="7BB09464">
            <w:pPr>
              <w:rPr>
                <w:rFonts w:hint="eastAsia" w:ascii="宋体" w:hAnsi="宋体" w:eastAsia="宋体" w:cs="宋体"/>
                <w:b w:val="0"/>
                <w:bCs w:val="0"/>
                <w:color w:val="auto"/>
                <w:sz w:val="24"/>
                <w:highlight w:val="none"/>
              </w:rPr>
            </w:pPr>
          </w:p>
        </w:tc>
        <w:tc>
          <w:tcPr>
            <w:tcW w:w="1958" w:type="dxa"/>
            <w:noWrap w:val="0"/>
            <w:vAlign w:val="top"/>
          </w:tcPr>
          <w:p w14:paraId="12EA0260">
            <w:pPr>
              <w:rPr>
                <w:rFonts w:hint="eastAsia" w:ascii="宋体" w:hAnsi="宋体" w:eastAsia="宋体" w:cs="宋体"/>
                <w:b w:val="0"/>
                <w:bCs w:val="0"/>
                <w:color w:val="auto"/>
                <w:sz w:val="24"/>
                <w:highlight w:val="none"/>
              </w:rPr>
            </w:pPr>
          </w:p>
        </w:tc>
        <w:tc>
          <w:tcPr>
            <w:tcW w:w="1887" w:type="dxa"/>
            <w:noWrap w:val="0"/>
            <w:vAlign w:val="top"/>
          </w:tcPr>
          <w:p w14:paraId="67307D51">
            <w:pPr>
              <w:rPr>
                <w:rFonts w:hint="eastAsia" w:ascii="宋体" w:hAnsi="宋体" w:eastAsia="宋体" w:cs="宋体"/>
                <w:b w:val="0"/>
                <w:bCs w:val="0"/>
                <w:color w:val="auto"/>
                <w:sz w:val="24"/>
                <w:highlight w:val="none"/>
              </w:rPr>
            </w:pPr>
          </w:p>
        </w:tc>
        <w:tc>
          <w:tcPr>
            <w:tcW w:w="2951" w:type="dxa"/>
            <w:noWrap w:val="0"/>
            <w:vAlign w:val="top"/>
          </w:tcPr>
          <w:p w14:paraId="09547728">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投标设备符合招标文件要求此项目填写“符合”，优于招标文件要求此项填写“正偏离”，不能满足招标文件要求此项填写“负偏离”</w:t>
            </w:r>
          </w:p>
        </w:tc>
        <w:tc>
          <w:tcPr>
            <w:tcW w:w="1285" w:type="dxa"/>
            <w:noWrap w:val="0"/>
            <w:vAlign w:val="top"/>
          </w:tcPr>
          <w:p w14:paraId="05436BB7">
            <w:pPr>
              <w:rPr>
                <w:rFonts w:hint="eastAsia" w:ascii="宋体" w:hAnsi="宋体" w:eastAsia="宋体" w:cs="宋体"/>
                <w:b w:val="0"/>
                <w:bCs w:val="0"/>
                <w:color w:val="auto"/>
                <w:sz w:val="24"/>
                <w:highlight w:val="none"/>
              </w:rPr>
            </w:pPr>
          </w:p>
        </w:tc>
      </w:tr>
      <w:tr w14:paraId="2BB7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96" w:type="dxa"/>
            <w:noWrap w:val="0"/>
            <w:vAlign w:val="top"/>
          </w:tcPr>
          <w:p w14:paraId="2D8D4C7B">
            <w:pPr>
              <w:rPr>
                <w:rFonts w:hint="eastAsia" w:ascii="宋体" w:hAnsi="宋体" w:eastAsia="宋体" w:cs="宋体"/>
                <w:b w:val="0"/>
                <w:bCs w:val="0"/>
                <w:color w:val="auto"/>
                <w:sz w:val="24"/>
                <w:highlight w:val="none"/>
              </w:rPr>
            </w:pPr>
          </w:p>
        </w:tc>
        <w:tc>
          <w:tcPr>
            <w:tcW w:w="1958" w:type="dxa"/>
            <w:noWrap w:val="0"/>
            <w:vAlign w:val="top"/>
          </w:tcPr>
          <w:p w14:paraId="07BB3745">
            <w:pPr>
              <w:rPr>
                <w:rFonts w:hint="eastAsia" w:ascii="宋体" w:hAnsi="宋体" w:eastAsia="宋体" w:cs="宋体"/>
                <w:b w:val="0"/>
                <w:bCs w:val="0"/>
                <w:color w:val="auto"/>
                <w:sz w:val="24"/>
                <w:highlight w:val="none"/>
              </w:rPr>
            </w:pPr>
          </w:p>
        </w:tc>
        <w:tc>
          <w:tcPr>
            <w:tcW w:w="1887" w:type="dxa"/>
            <w:noWrap w:val="0"/>
            <w:vAlign w:val="top"/>
          </w:tcPr>
          <w:p w14:paraId="29D111E6">
            <w:pPr>
              <w:rPr>
                <w:rFonts w:hint="eastAsia" w:ascii="宋体" w:hAnsi="宋体" w:eastAsia="宋体" w:cs="宋体"/>
                <w:b w:val="0"/>
                <w:bCs w:val="0"/>
                <w:color w:val="auto"/>
                <w:sz w:val="24"/>
                <w:highlight w:val="none"/>
              </w:rPr>
            </w:pPr>
          </w:p>
        </w:tc>
        <w:tc>
          <w:tcPr>
            <w:tcW w:w="2951" w:type="dxa"/>
            <w:noWrap w:val="0"/>
            <w:vAlign w:val="top"/>
          </w:tcPr>
          <w:p w14:paraId="3FBA3DEB">
            <w:pPr>
              <w:rPr>
                <w:rFonts w:hint="eastAsia" w:ascii="宋体" w:hAnsi="宋体" w:eastAsia="宋体" w:cs="宋体"/>
                <w:b w:val="0"/>
                <w:bCs w:val="0"/>
                <w:color w:val="auto"/>
                <w:sz w:val="24"/>
                <w:highlight w:val="none"/>
              </w:rPr>
            </w:pPr>
          </w:p>
        </w:tc>
        <w:tc>
          <w:tcPr>
            <w:tcW w:w="1285" w:type="dxa"/>
            <w:noWrap w:val="0"/>
            <w:vAlign w:val="top"/>
          </w:tcPr>
          <w:p w14:paraId="05E2DD20">
            <w:pPr>
              <w:rPr>
                <w:rFonts w:hint="eastAsia" w:ascii="宋体" w:hAnsi="宋体" w:eastAsia="宋体" w:cs="宋体"/>
                <w:b w:val="0"/>
                <w:bCs w:val="0"/>
                <w:color w:val="auto"/>
                <w:sz w:val="24"/>
                <w:highlight w:val="none"/>
              </w:rPr>
            </w:pPr>
          </w:p>
        </w:tc>
      </w:tr>
      <w:tr w14:paraId="71164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96" w:type="dxa"/>
            <w:noWrap w:val="0"/>
            <w:vAlign w:val="top"/>
          </w:tcPr>
          <w:p w14:paraId="6FC12C24">
            <w:pPr>
              <w:rPr>
                <w:rFonts w:hint="eastAsia" w:ascii="宋体" w:hAnsi="宋体" w:eastAsia="宋体" w:cs="宋体"/>
                <w:b w:val="0"/>
                <w:bCs w:val="0"/>
                <w:color w:val="auto"/>
                <w:sz w:val="24"/>
                <w:highlight w:val="none"/>
              </w:rPr>
            </w:pPr>
          </w:p>
        </w:tc>
        <w:tc>
          <w:tcPr>
            <w:tcW w:w="1958" w:type="dxa"/>
            <w:noWrap w:val="0"/>
            <w:vAlign w:val="top"/>
          </w:tcPr>
          <w:p w14:paraId="5224E1D7">
            <w:pPr>
              <w:rPr>
                <w:rFonts w:hint="eastAsia" w:ascii="宋体" w:hAnsi="宋体" w:eastAsia="宋体" w:cs="宋体"/>
                <w:b w:val="0"/>
                <w:bCs w:val="0"/>
                <w:color w:val="auto"/>
                <w:sz w:val="24"/>
                <w:highlight w:val="none"/>
              </w:rPr>
            </w:pPr>
          </w:p>
        </w:tc>
        <w:tc>
          <w:tcPr>
            <w:tcW w:w="1887" w:type="dxa"/>
            <w:noWrap w:val="0"/>
            <w:vAlign w:val="top"/>
          </w:tcPr>
          <w:p w14:paraId="777DF4BF">
            <w:pPr>
              <w:rPr>
                <w:rFonts w:hint="eastAsia" w:ascii="宋体" w:hAnsi="宋体" w:eastAsia="宋体" w:cs="宋体"/>
                <w:b w:val="0"/>
                <w:bCs w:val="0"/>
                <w:color w:val="auto"/>
                <w:sz w:val="24"/>
                <w:highlight w:val="none"/>
              </w:rPr>
            </w:pPr>
          </w:p>
        </w:tc>
        <w:tc>
          <w:tcPr>
            <w:tcW w:w="2951" w:type="dxa"/>
            <w:noWrap w:val="0"/>
            <w:vAlign w:val="top"/>
          </w:tcPr>
          <w:p w14:paraId="7ADB63BD">
            <w:pPr>
              <w:rPr>
                <w:rFonts w:hint="eastAsia" w:ascii="宋体" w:hAnsi="宋体" w:eastAsia="宋体" w:cs="宋体"/>
                <w:b w:val="0"/>
                <w:bCs w:val="0"/>
                <w:color w:val="auto"/>
                <w:sz w:val="24"/>
                <w:highlight w:val="none"/>
              </w:rPr>
            </w:pPr>
          </w:p>
        </w:tc>
        <w:tc>
          <w:tcPr>
            <w:tcW w:w="1285" w:type="dxa"/>
            <w:noWrap w:val="0"/>
            <w:vAlign w:val="top"/>
          </w:tcPr>
          <w:p w14:paraId="0A087DE1">
            <w:pPr>
              <w:rPr>
                <w:rFonts w:hint="eastAsia" w:ascii="宋体" w:hAnsi="宋体" w:eastAsia="宋体" w:cs="宋体"/>
                <w:b w:val="0"/>
                <w:bCs w:val="0"/>
                <w:color w:val="auto"/>
                <w:sz w:val="24"/>
                <w:highlight w:val="none"/>
              </w:rPr>
            </w:pPr>
          </w:p>
        </w:tc>
      </w:tr>
      <w:tr w14:paraId="09AE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96" w:type="dxa"/>
            <w:noWrap w:val="0"/>
            <w:vAlign w:val="top"/>
          </w:tcPr>
          <w:p w14:paraId="5BB38860">
            <w:pPr>
              <w:rPr>
                <w:rFonts w:hint="eastAsia" w:ascii="宋体" w:hAnsi="宋体" w:eastAsia="宋体" w:cs="宋体"/>
                <w:b w:val="0"/>
                <w:bCs w:val="0"/>
                <w:color w:val="auto"/>
                <w:sz w:val="24"/>
                <w:highlight w:val="none"/>
              </w:rPr>
            </w:pPr>
          </w:p>
        </w:tc>
        <w:tc>
          <w:tcPr>
            <w:tcW w:w="1958" w:type="dxa"/>
            <w:noWrap w:val="0"/>
            <w:vAlign w:val="top"/>
          </w:tcPr>
          <w:p w14:paraId="48FD23D8">
            <w:pPr>
              <w:rPr>
                <w:rFonts w:hint="eastAsia" w:ascii="宋体" w:hAnsi="宋体" w:eastAsia="宋体" w:cs="宋体"/>
                <w:b w:val="0"/>
                <w:bCs w:val="0"/>
                <w:color w:val="auto"/>
                <w:sz w:val="24"/>
                <w:highlight w:val="none"/>
              </w:rPr>
            </w:pPr>
          </w:p>
        </w:tc>
        <w:tc>
          <w:tcPr>
            <w:tcW w:w="1887" w:type="dxa"/>
            <w:noWrap w:val="0"/>
            <w:vAlign w:val="top"/>
          </w:tcPr>
          <w:p w14:paraId="2CF67E17">
            <w:pPr>
              <w:rPr>
                <w:rFonts w:hint="eastAsia" w:ascii="宋体" w:hAnsi="宋体" w:eastAsia="宋体" w:cs="宋体"/>
                <w:b w:val="0"/>
                <w:bCs w:val="0"/>
                <w:color w:val="auto"/>
                <w:sz w:val="24"/>
                <w:highlight w:val="none"/>
              </w:rPr>
            </w:pPr>
          </w:p>
        </w:tc>
        <w:tc>
          <w:tcPr>
            <w:tcW w:w="2951" w:type="dxa"/>
            <w:noWrap w:val="0"/>
            <w:vAlign w:val="top"/>
          </w:tcPr>
          <w:p w14:paraId="1B37BAC7">
            <w:pPr>
              <w:rPr>
                <w:rFonts w:hint="eastAsia" w:ascii="宋体" w:hAnsi="宋体" w:eastAsia="宋体" w:cs="宋体"/>
                <w:b w:val="0"/>
                <w:bCs w:val="0"/>
                <w:color w:val="auto"/>
                <w:sz w:val="24"/>
                <w:highlight w:val="none"/>
              </w:rPr>
            </w:pPr>
          </w:p>
        </w:tc>
        <w:tc>
          <w:tcPr>
            <w:tcW w:w="1285" w:type="dxa"/>
            <w:noWrap w:val="0"/>
            <w:vAlign w:val="top"/>
          </w:tcPr>
          <w:p w14:paraId="76C94536">
            <w:pPr>
              <w:rPr>
                <w:rFonts w:hint="eastAsia" w:ascii="宋体" w:hAnsi="宋体" w:eastAsia="宋体" w:cs="宋体"/>
                <w:b w:val="0"/>
                <w:bCs w:val="0"/>
                <w:color w:val="auto"/>
                <w:sz w:val="24"/>
                <w:highlight w:val="none"/>
              </w:rPr>
            </w:pPr>
          </w:p>
        </w:tc>
      </w:tr>
      <w:tr w14:paraId="0DF37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96" w:type="dxa"/>
            <w:noWrap w:val="0"/>
            <w:vAlign w:val="top"/>
          </w:tcPr>
          <w:p w14:paraId="3E889930">
            <w:pPr>
              <w:rPr>
                <w:rFonts w:hint="eastAsia" w:ascii="宋体" w:hAnsi="宋体" w:eastAsia="宋体" w:cs="宋体"/>
                <w:b w:val="0"/>
                <w:bCs w:val="0"/>
                <w:color w:val="auto"/>
                <w:sz w:val="24"/>
                <w:highlight w:val="none"/>
              </w:rPr>
            </w:pPr>
          </w:p>
        </w:tc>
        <w:tc>
          <w:tcPr>
            <w:tcW w:w="1958" w:type="dxa"/>
            <w:noWrap w:val="0"/>
            <w:vAlign w:val="top"/>
          </w:tcPr>
          <w:p w14:paraId="1056CC69">
            <w:pPr>
              <w:rPr>
                <w:rFonts w:hint="eastAsia" w:ascii="宋体" w:hAnsi="宋体" w:eastAsia="宋体" w:cs="宋体"/>
                <w:b w:val="0"/>
                <w:bCs w:val="0"/>
                <w:color w:val="auto"/>
                <w:sz w:val="24"/>
                <w:highlight w:val="none"/>
              </w:rPr>
            </w:pPr>
          </w:p>
        </w:tc>
        <w:tc>
          <w:tcPr>
            <w:tcW w:w="1887" w:type="dxa"/>
            <w:noWrap w:val="0"/>
            <w:vAlign w:val="top"/>
          </w:tcPr>
          <w:p w14:paraId="34BE8AF5">
            <w:pPr>
              <w:rPr>
                <w:rFonts w:hint="eastAsia" w:ascii="宋体" w:hAnsi="宋体" w:eastAsia="宋体" w:cs="宋体"/>
                <w:b w:val="0"/>
                <w:bCs w:val="0"/>
                <w:color w:val="auto"/>
                <w:sz w:val="24"/>
                <w:highlight w:val="none"/>
              </w:rPr>
            </w:pPr>
          </w:p>
        </w:tc>
        <w:tc>
          <w:tcPr>
            <w:tcW w:w="2951" w:type="dxa"/>
            <w:noWrap w:val="0"/>
            <w:vAlign w:val="top"/>
          </w:tcPr>
          <w:p w14:paraId="78271F40">
            <w:pPr>
              <w:rPr>
                <w:rFonts w:hint="eastAsia" w:ascii="宋体" w:hAnsi="宋体" w:eastAsia="宋体" w:cs="宋体"/>
                <w:b w:val="0"/>
                <w:bCs w:val="0"/>
                <w:color w:val="auto"/>
                <w:sz w:val="24"/>
                <w:highlight w:val="none"/>
              </w:rPr>
            </w:pPr>
          </w:p>
        </w:tc>
        <w:tc>
          <w:tcPr>
            <w:tcW w:w="1285" w:type="dxa"/>
            <w:noWrap w:val="0"/>
            <w:vAlign w:val="top"/>
          </w:tcPr>
          <w:p w14:paraId="1E803A61">
            <w:pPr>
              <w:rPr>
                <w:rFonts w:hint="eastAsia" w:ascii="宋体" w:hAnsi="宋体" w:eastAsia="宋体" w:cs="宋体"/>
                <w:b w:val="0"/>
                <w:bCs w:val="0"/>
                <w:color w:val="auto"/>
                <w:sz w:val="24"/>
                <w:highlight w:val="none"/>
              </w:rPr>
            </w:pPr>
          </w:p>
        </w:tc>
      </w:tr>
      <w:tr w14:paraId="7450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96" w:type="dxa"/>
            <w:noWrap w:val="0"/>
            <w:vAlign w:val="top"/>
          </w:tcPr>
          <w:p w14:paraId="3E963968">
            <w:pPr>
              <w:rPr>
                <w:rFonts w:hint="eastAsia" w:ascii="宋体" w:hAnsi="宋体" w:eastAsia="宋体" w:cs="宋体"/>
                <w:b w:val="0"/>
                <w:bCs w:val="0"/>
                <w:color w:val="auto"/>
                <w:sz w:val="24"/>
                <w:highlight w:val="none"/>
              </w:rPr>
            </w:pPr>
          </w:p>
        </w:tc>
        <w:tc>
          <w:tcPr>
            <w:tcW w:w="1958" w:type="dxa"/>
            <w:noWrap w:val="0"/>
            <w:vAlign w:val="top"/>
          </w:tcPr>
          <w:p w14:paraId="65E29539">
            <w:pPr>
              <w:rPr>
                <w:rFonts w:hint="eastAsia" w:ascii="宋体" w:hAnsi="宋体" w:eastAsia="宋体" w:cs="宋体"/>
                <w:b w:val="0"/>
                <w:bCs w:val="0"/>
                <w:color w:val="auto"/>
                <w:sz w:val="24"/>
                <w:highlight w:val="none"/>
              </w:rPr>
            </w:pPr>
          </w:p>
        </w:tc>
        <w:tc>
          <w:tcPr>
            <w:tcW w:w="1887" w:type="dxa"/>
            <w:noWrap w:val="0"/>
            <w:vAlign w:val="top"/>
          </w:tcPr>
          <w:p w14:paraId="2A31577B">
            <w:pPr>
              <w:rPr>
                <w:rFonts w:hint="eastAsia" w:ascii="宋体" w:hAnsi="宋体" w:eastAsia="宋体" w:cs="宋体"/>
                <w:b w:val="0"/>
                <w:bCs w:val="0"/>
                <w:color w:val="auto"/>
                <w:sz w:val="24"/>
                <w:highlight w:val="none"/>
              </w:rPr>
            </w:pPr>
          </w:p>
        </w:tc>
        <w:tc>
          <w:tcPr>
            <w:tcW w:w="2951" w:type="dxa"/>
            <w:noWrap w:val="0"/>
            <w:vAlign w:val="top"/>
          </w:tcPr>
          <w:p w14:paraId="0810BB32">
            <w:pPr>
              <w:rPr>
                <w:rFonts w:hint="eastAsia" w:ascii="宋体" w:hAnsi="宋体" w:eastAsia="宋体" w:cs="宋体"/>
                <w:b w:val="0"/>
                <w:bCs w:val="0"/>
                <w:color w:val="auto"/>
                <w:sz w:val="24"/>
                <w:highlight w:val="none"/>
              </w:rPr>
            </w:pPr>
          </w:p>
        </w:tc>
        <w:tc>
          <w:tcPr>
            <w:tcW w:w="1285" w:type="dxa"/>
            <w:noWrap w:val="0"/>
            <w:vAlign w:val="top"/>
          </w:tcPr>
          <w:p w14:paraId="46E63912">
            <w:pPr>
              <w:rPr>
                <w:rFonts w:hint="eastAsia" w:ascii="宋体" w:hAnsi="宋体" w:eastAsia="宋体" w:cs="宋体"/>
                <w:b w:val="0"/>
                <w:bCs w:val="0"/>
                <w:color w:val="auto"/>
                <w:sz w:val="24"/>
                <w:highlight w:val="none"/>
              </w:rPr>
            </w:pPr>
          </w:p>
        </w:tc>
      </w:tr>
      <w:tr w14:paraId="57F34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96" w:type="dxa"/>
            <w:noWrap w:val="0"/>
            <w:vAlign w:val="top"/>
          </w:tcPr>
          <w:p w14:paraId="7D66FEC7">
            <w:pPr>
              <w:rPr>
                <w:rFonts w:hint="eastAsia" w:ascii="宋体" w:hAnsi="宋体" w:eastAsia="宋体" w:cs="宋体"/>
                <w:b w:val="0"/>
                <w:bCs w:val="0"/>
                <w:color w:val="auto"/>
                <w:sz w:val="24"/>
                <w:highlight w:val="none"/>
              </w:rPr>
            </w:pPr>
          </w:p>
        </w:tc>
        <w:tc>
          <w:tcPr>
            <w:tcW w:w="1958" w:type="dxa"/>
            <w:noWrap w:val="0"/>
            <w:vAlign w:val="top"/>
          </w:tcPr>
          <w:p w14:paraId="2B9B798A">
            <w:pPr>
              <w:rPr>
                <w:rFonts w:hint="eastAsia" w:ascii="宋体" w:hAnsi="宋体" w:eastAsia="宋体" w:cs="宋体"/>
                <w:b w:val="0"/>
                <w:bCs w:val="0"/>
                <w:color w:val="auto"/>
                <w:sz w:val="24"/>
                <w:highlight w:val="none"/>
              </w:rPr>
            </w:pPr>
          </w:p>
        </w:tc>
        <w:tc>
          <w:tcPr>
            <w:tcW w:w="1887" w:type="dxa"/>
            <w:noWrap w:val="0"/>
            <w:vAlign w:val="top"/>
          </w:tcPr>
          <w:p w14:paraId="6851D8B8">
            <w:pPr>
              <w:rPr>
                <w:rFonts w:hint="eastAsia" w:ascii="宋体" w:hAnsi="宋体" w:eastAsia="宋体" w:cs="宋体"/>
                <w:b w:val="0"/>
                <w:bCs w:val="0"/>
                <w:color w:val="auto"/>
                <w:sz w:val="24"/>
                <w:highlight w:val="none"/>
              </w:rPr>
            </w:pPr>
          </w:p>
        </w:tc>
        <w:tc>
          <w:tcPr>
            <w:tcW w:w="2951" w:type="dxa"/>
            <w:noWrap w:val="0"/>
            <w:vAlign w:val="top"/>
          </w:tcPr>
          <w:p w14:paraId="01F98AE5">
            <w:pPr>
              <w:rPr>
                <w:rFonts w:hint="eastAsia" w:ascii="宋体" w:hAnsi="宋体" w:eastAsia="宋体" w:cs="宋体"/>
                <w:b w:val="0"/>
                <w:bCs w:val="0"/>
                <w:color w:val="auto"/>
                <w:sz w:val="24"/>
                <w:highlight w:val="none"/>
              </w:rPr>
            </w:pPr>
          </w:p>
        </w:tc>
        <w:tc>
          <w:tcPr>
            <w:tcW w:w="1285" w:type="dxa"/>
            <w:noWrap w:val="0"/>
            <w:vAlign w:val="top"/>
          </w:tcPr>
          <w:p w14:paraId="6529D658">
            <w:pPr>
              <w:rPr>
                <w:rFonts w:hint="eastAsia" w:ascii="宋体" w:hAnsi="宋体" w:eastAsia="宋体" w:cs="宋体"/>
                <w:b w:val="0"/>
                <w:bCs w:val="0"/>
                <w:color w:val="auto"/>
                <w:sz w:val="24"/>
                <w:highlight w:val="none"/>
              </w:rPr>
            </w:pPr>
          </w:p>
        </w:tc>
      </w:tr>
      <w:tr w14:paraId="50125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696" w:type="dxa"/>
            <w:noWrap w:val="0"/>
            <w:vAlign w:val="top"/>
          </w:tcPr>
          <w:p w14:paraId="2E513B5C">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p>
        </w:tc>
        <w:tc>
          <w:tcPr>
            <w:tcW w:w="1958" w:type="dxa"/>
            <w:noWrap w:val="0"/>
            <w:vAlign w:val="top"/>
          </w:tcPr>
          <w:p w14:paraId="3228ABA7">
            <w:pPr>
              <w:rPr>
                <w:rFonts w:hint="eastAsia" w:ascii="宋体" w:hAnsi="宋体" w:eastAsia="宋体" w:cs="宋体"/>
                <w:b w:val="0"/>
                <w:bCs w:val="0"/>
                <w:color w:val="auto"/>
                <w:sz w:val="24"/>
                <w:highlight w:val="none"/>
              </w:rPr>
            </w:pPr>
          </w:p>
        </w:tc>
        <w:tc>
          <w:tcPr>
            <w:tcW w:w="1887" w:type="dxa"/>
            <w:noWrap w:val="0"/>
            <w:vAlign w:val="top"/>
          </w:tcPr>
          <w:p w14:paraId="6EEC12B7">
            <w:pPr>
              <w:rPr>
                <w:rFonts w:hint="eastAsia" w:ascii="宋体" w:hAnsi="宋体" w:eastAsia="宋体" w:cs="宋体"/>
                <w:b w:val="0"/>
                <w:bCs w:val="0"/>
                <w:color w:val="auto"/>
                <w:sz w:val="24"/>
                <w:highlight w:val="none"/>
              </w:rPr>
            </w:pPr>
          </w:p>
        </w:tc>
        <w:tc>
          <w:tcPr>
            <w:tcW w:w="2951" w:type="dxa"/>
            <w:noWrap w:val="0"/>
            <w:vAlign w:val="top"/>
          </w:tcPr>
          <w:p w14:paraId="6DC25624">
            <w:pPr>
              <w:rPr>
                <w:rFonts w:hint="eastAsia" w:ascii="宋体" w:hAnsi="宋体" w:eastAsia="宋体" w:cs="宋体"/>
                <w:b w:val="0"/>
                <w:bCs w:val="0"/>
                <w:color w:val="auto"/>
                <w:sz w:val="24"/>
                <w:highlight w:val="none"/>
              </w:rPr>
            </w:pPr>
          </w:p>
        </w:tc>
        <w:tc>
          <w:tcPr>
            <w:tcW w:w="1285" w:type="dxa"/>
            <w:noWrap w:val="0"/>
            <w:vAlign w:val="top"/>
          </w:tcPr>
          <w:p w14:paraId="21BBFD41">
            <w:pPr>
              <w:rPr>
                <w:rFonts w:hint="eastAsia" w:ascii="宋体" w:hAnsi="宋体" w:eastAsia="宋体" w:cs="宋体"/>
                <w:b w:val="0"/>
                <w:bCs w:val="0"/>
                <w:color w:val="auto"/>
                <w:sz w:val="24"/>
                <w:highlight w:val="none"/>
              </w:rPr>
            </w:pPr>
          </w:p>
        </w:tc>
      </w:tr>
    </w:tbl>
    <w:p w14:paraId="06177D26">
      <w:pPr>
        <w:rPr>
          <w:rFonts w:hint="eastAsia" w:ascii="宋体" w:hAnsi="宋体" w:eastAsia="宋体" w:cs="宋体"/>
          <w:b w:val="0"/>
          <w:bCs w:val="0"/>
          <w:color w:val="auto"/>
          <w:sz w:val="24"/>
          <w:highlight w:val="none"/>
        </w:rPr>
      </w:pPr>
    </w:p>
    <w:p w14:paraId="7C572BF5">
      <w:pPr>
        <w:rPr>
          <w:rFonts w:hint="eastAsia" w:ascii="宋体" w:hAnsi="宋体" w:eastAsia="宋体" w:cs="宋体"/>
          <w:b w:val="0"/>
          <w:bCs w:val="0"/>
          <w:color w:val="auto"/>
          <w:sz w:val="24"/>
          <w:highlight w:val="none"/>
        </w:rPr>
      </w:pPr>
    </w:p>
    <w:p w14:paraId="6C73E323">
      <w:pPr>
        <w:rPr>
          <w:rFonts w:hint="eastAsia" w:ascii="宋体" w:hAnsi="宋体" w:eastAsia="宋体" w:cs="宋体"/>
          <w:color w:val="auto"/>
          <w:highlight w:val="none"/>
        </w:rPr>
      </w:pPr>
      <w:r>
        <w:rPr>
          <w:rFonts w:hint="eastAsia" w:ascii="宋体" w:hAnsi="宋体" w:eastAsia="宋体" w:cs="宋体"/>
          <w:b w:val="0"/>
          <w:bCs w:val="0"/>
          <w:color w:val="auto"/>
          <w:sz w:val="24"/>
          <w:highlight w:val="none"/>
        </w:rPr>
        <w:t>注：表中“招标技术参数</w:t>
      </w:r>
      <w:r>
        <w:rPr>
          <w:rFonts w:hint="eastAsia" w:ascii="宋体" w:hAnsi="宋体" w:eastAsia="宋体" w:cs="宋体"/>
          <w:b w:val="0"/>
          <w:bCs w:val="0"/>
          <w:color w:val="auto"/>
          <w:sz w:val="24"/>
          <w:highlight w:val="none"/>
          <w:lang w:val="en-US" w:eastAsia="zh-CN"/>
        </w:rPr>
        <w:t>（技术要求）</w:t>
      </w:r>
      <w:r>
        <w:rPr>
          <w:rFonts w:hint="eastAsia" w:ascii="宋体" w:hAnsi="宋体" w:eastAsia="宋体" w:cs="宋体"/>
          <w:b w:val="0"/>
          <w:bCs w:val="0"/>
          <w:color w:val="auto"/>
          <w:sz w:val="24"/>
          <w:highlight w:val="none"/>
        </w:rPr>
        <w:t>配置性能”一栏需严格按</w:t>
      </w:r>
      <w:r>
        <w:rPr>
          <w:rFonts w:hint="eastAsia" w:ascii="宋体" w:hAnsi="宋体" w:eastAsia="宋体" w:cs="宋体"/>
          <w:b w:val="0"/>
          <w:bCs w:val="0"/>
          <w:color w:val="auto"/>
          <w:sz w:val="24"/>
          <w:highlight w:val="none"/>
          <w:lang w:val="en-US" w:eastAsia="zh-CN"/>
        </w:rPr>
        <w:t>采购内容及技术要求</w:t>
      </w:r>
      <w:r>
        <w:rPr>
          <w:rFonts w:hint="eastAsia" w:ascii="宋体" w:hAnsi="宋体" w:eastAsia="宋体" w:cs="宋体"/>
          <w:b w:val="0"/>
          <w:bCs w:val="0"/>
          <w:color w:val="auto"/>
          <w:sz w:val="24"/>
          <w:highlight w:val="none"/>
        </w:rPr>
        <w:t>中的顺序及内容逐项填写，漏项的视为不符合招标技术参数要求，扣除相应分值。</w:t>
      </w:r>
    </w:p>
    <w:p w14:paraId="797F9359">
      <w:pPr>
        <w:pStyle w:val="29"/>
        <w:ind w:firstLine="683"/>
        <w:jc w:val="center"/>
        <w:rPr>
          <w:rFonts w:hint="eastAsia" w:ascii="宋体" w:hAnsi="宋体" w:eastAsia="宋体" w:cs="宋体"/>
          <w:b/>
          <w:color w:val="auto"/>
          <w:sz w:val="32"/>
          <w:szCs w:val="32"/>
          <w:highlight w:val="none"/>
        </w:rPr>
      </w:pPr>
    </w:p>
    <w:p w14:paraId="4536DB80">
      <w:pPr>
        <w:pStyle w:val="29"/>
        <w:ind w:firstLine="683"/>
        <w:jc w:val="center"/>
        <w:rPr>
          <w:rFonts w:hint="eastAsia" w:ascii="宋体" w:hAnsi="宋体" w:eastAsia="宋体" w:cs="宋体"/>
          <w:b/>
          <w:color w:val="auto"/>
          <w:sz w:val="32"/>
          <w:szCs w:val="32"/>
          <w:highlight w:val="none"/>
        </w:rPr>
      </w:pPr>
    </w:p>
    <w:p w14:paraId="2785DED7">
      <w:pPr>
        <w:pStyle w:val="29"/>
        <w:ind w:firstLine="683"/>
        <w:jc w:val="center"/>
        <w:rPr>
          <w:rFonts w:hint="eastAsia" w:ascii="宋体" w:hAnsi="宋体" w:eastAsia="宋体" w:cs="宋体"/>
          <w:b/>
          <w:color w:val="auto"/>
          <w:sz w:val="32"/>
          <w:szCs w:val="32"/>
          <w:highlight w:val="none"/>
        </w:rPr>
      </w:pPr>
    </w:p>
    <w:p w14:paraId="61242D74">
      <w:pPr>
        <w:pStyle w:val="29"/>
        <w:ind w:firstLine="683"/>
        <w:jc w:val="center"/>
        <w:rPr>
          <w:rFonts w:hint="eastAsia" w:ascii="宋体" w:hAnsi="宋体" w:eastAsia="宋体" w:cs="宋体"/>
          <w:b/>
          <w:color w:val="auto"/>
          <w:sz w:val="32"/>
          <w:szCs w:val="32"/>
          <w:highlight w:val="none"/>
        </w:rPr>
      </w:pPr>
    </w:p>
    <w:p w14:paraId="77644651">
      <w:pPr>
        <w:pStyle w:val="29"/>
        <w:ind w:firstLine="683"/>
        <w:jc w:val="center"/>
        <w:rPr>
          <w:rFonts w:hint="eastAsia" w:ascii="宋体" w:hAnsi="宋体" w:eastAsia="宋体" w:cs="宋体"/>
          <w:b/>
          <w:color w:val="auto"/>
          <w:sz w:val="32"/>
          <w:szCs w:val="32"/>
          <w:highlight w:val="none"/>
        </w:rPr>
      </w:pPr>
    </w:p>
    <w:p w14:paraId="07A6A225">
      <w:pPr>
        <w:pStyle w:val="29"/>
        <w:ind w:firstLine="683"/>
        <w:jc w:val="both"/>
        <w:rPr>
          <w:rFonts w:hint="eastAsia" w:ascii="宋体" w:hAnsi="宋体" w:eastAsia="宋体" w:cs="宋体"/>
          <w:b/>
          <w:color w:val="auto"/>
          <w:sz w:val="32"/>
          <w:szCs w:val="32"/>
          <w:highlight w:val="none"/>
        </w:rPr>
      </w:pPr>
    </w:p>
    <w:p w14:paraId="1C4AD5D0">
      <w:pPr>
        <w:pStyle w:val="29"/>
        <w:ind w:firstLine="683"/>
        <w:jc w:val="center"/>
        <w:rPr>
          <w:rFonts w:hint="eastAsia" w:ascii="宋体" w:hAnsi="宋体" w:eastAsia="宋体" w:cs="宋体"/>
          <w:b/>
          <w:color w:val="auto"/>
          <w:sz w:val="32"/>
          <w:szCs w:val="32"/>
          <w:highlight w:val="none"/>
        </w:rPr>
      </w:pPr>
    </w:p>
    <w:p w14:paraId="5A9B999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p>
    <w:p w14:paraId="60ED7752">
      <w:pPr>
        <w:jc w:val="center"/>
        <w:rPr>
          <w:rFonts w:hint="eastAsia" w:ascii="宋体" w:hAnsi="宋体" w:eastAsia="宋体" w:cs="宋体"/>
          <w:color w:val="auto"/>
          <w:sz w:val="24"/>
          <w:highlight w:val="none"/>
        </w:rPr>
      </w:pPr>
    </w:p>
    <w:p w14:paraId="0BA732F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343D19C1">
      <w:pPr>
        <w:pStyle w:val="29"/>
        <w:ind w:firstLine="520"/>
        <w:rPr>
          <w:rFonts w:hint="eastAsia" w:ascii="宋体" w:hAnsi="宋体" w:eastAsia="宋体" w:cs="宋体"/>
          <w:color w:val="auto"/>
          <w:highlight w:val="none"/>
        </w:rPr>
      </w:pPr>
    </w:p>
    <w:p w14:paraId="2A1C7C2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690AD61B">
      <w:pPr>
        <w:pStyle w:val="29"/>
        <w:ind w:left="0" w:leftChars="0" w:firstLine="0" w:firstLineChars="0"/>
        <w:jc w:val="center"/>
        <w:rPr>
          <w:rFonts w:hint="eastAsia" w:ascii="宋体" w:hAnsi="宋体" w:eastAsia="宋体" w:cs="宋体"/>
          <w:b/>
          <w:color w:val="auto"/>
          <w:sz w:val="32"/>
          <w:highlight w:val="none"/>
        </w:rPr>
      </w:pPr>
      <w:r>
        <w:rPr>
          <w:rFonts w:hint="eastAsia" w:ascii="宋体" w:hAnsi="宋体" w:eastAsia="宋体" w:cs="宋体"/>
          <w:b/>
          <w:color w:val="auto"/>
          <w:sz w:val="32"/>
          <w:szCs w:val="32"/>
          <w:highlight w:val="none"/>
        </w:rPr>
        <w:t>六、</w:t>
      </w:r>
      <w:r>
        <w:rPr>
          <w:rFonts w:hint="eastAsia" w:ascii="宋体" w:hAnsi="宋体" w:eastAsia="宋体" w:cs="宋体"/>
          <w:b/>
          <w:color w:val="auto"/>
          <w:sz w:val="32"/>
          <w:highlight w:val="none"/>
        </w:rPr>
        <w:t>类似业绩一览表</w:t>
      </w:r>
    </w:p>
    <w:tbl>
      <w:tblPr>
        <w:tblStyle w:val="21"/>
        <w:tblpPr w:leftFromText="180" w:rightFromText="180" w:vertAnchor="text" w:horzAnchor="page" w:tblpX="1788" w:tblpY="443"/>
        <w:tblOverlap w:val="never"/>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6239"/>
      </w:tblGrid>
      <w:tr w14:paraId="1872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2260" w:type="dxa"/>
            <w:noWrap w:val="0"/>
            <w:vAlign w:val="center"/>
          </w:tcPr>
          <w:p w14:paraId="7479DB94">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类似业绩项目名称</w:t>
            </w:r>
          </w:p>
        </w:tc>
        <w:tc>
          <w:tcPr>
            <w:tcW w:w="6239" w:type="dxa"/>
            <w:noWrap w:val="0"/>
            <w:vAlign w:val="top"/>
          </w:tcPr>
          <w:p w14:paraId="526BD8A5">
            <w:pPr>
              <w:topLinePunct/>
              <w:spacing w:line="440" w:lineRule="exact"/>
              <w:rPr>
                <w:rFonts w:hint="eastAsia" w:ascii="宋体" w:hAnsi="宋体" w:eastAsia="宋体" w:cs="宋体"/>
                <w:color w:val="auto"/>
                <w:sz w:val="24"/>
                <w:highlight w:val="none"/>
              </w:rPr>
            </w:pPr>
          </w:p>
        </w:tc>
      </w:tr>
      <w:tr w14:paraId="3D6E0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2260" w:type="dxa"/>
            <w:noWrap w:val="0"/>
            <w:vAlign w:val="center"/>
          </w:tcPr>
          <w:p w14:paraId="787B10D0">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项目简介</w:t>
            </w:r>
          </w:p>
        </w:tc>
        <w:tc>
          <w:tcPr>
            <w:tcW w:w="6239" w:type="dxa"/>
            <w:noWrap w:val="0"/>
            <w:vAlign w:val="top"/>
          </w:tcPr>
          <w:p w14:paraId="710CC652">
            <w:pPr>
              <w:topLinePunct/>
              <w:spacing w:line="440" w:lineRule="exact"/>
              <w:rPr>
                <w:rFonts w:hint="eastAsia" w:ascii="宋体" w:hAnsi="宋体" w:eastAsia="宋体" w:cs="宋体"/>
                <w:color w:val="auto"/>
                <w:sz w:val="24"/>
                <w:highlight w:val="none"/>
              </w:rPr>
            </w:pPr>
          </w:p>
        </w:tc>
      </w:tr>
      <w:tr w14:paraId="55DF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260" w:type="dxa"/>
            <w:noWrap w:val="0"/>
            <w:vAlign w:val="center"/>
          </w:tcPr>
          <w:p w14:paraId="266B173F">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项目所在地</w:t>
            </w:r>
          </w:p>
        </w:tc>
        <w:tc>
          <w:tcPr>
            <w:tcW w:w="6239" w:type="dxa"/>
            <w:noWrap w:val="0"/>
            <w:vAlign w:val="top"/>
          </w:tcPr>
          <w:p w14:paraId="009F97C1">
            <w:pPr>
              <w:topLinePunct/>
              <w:spacing w:line="440" w:lineRule="exact"/>
              <w:rPr>
                <w:rFonts w:hint="eastAsia" w:ascii="宋体" w:hAnsi="宋体" w:eastAsia="宋体" w:cs="宋体"/>
                <w:color w:val="auto"/>
                <w:sz w:val="24"/>
                <w:highlight w:val="none"/>
              </w:rPr>
            </w:pPr>
          </w:p>
        </w:tc>
      </w:tr>
      <w:tr w14:paraId="4AE5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260" w:type="dxa"/>
            <w:noWrap w:val="0"/>
            <w:vAlign w:val="center"/>
          </w:tcPr>
          <w:p w14:paraId="6CECBF59">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发包人名称</w:t>
            </w:r>
          </w:p>
        </w:tc>
        <w:tc>
          <w:tcPr>
            <w:tcW w:w="6239" w:type="dxa"/>
            <w:noWrap w:val="0"/>
            <w:vAlign w:val="top"/>
          </w:tcPr>
          <w:p w14:paraId="7DDC4F94">
            <w:pPr>
              <w:topLinePunct/>
              <w:spacing w:line="440" w:lineRule="exact"/>
              <w:rPr>
                <w:rFonts w:hint="eastAsia" w:ascii="宋体" w:hAnsi="宋体" w:eastAsia="宋体" w:cs="宋体"/>
                <w:color w:val="auto"/>
                <w:sz w:val="24"/>
                <w:highlight w:val="none"/>
              </w:rPr>
            </w:pPr>
          </w:p>
        </w:tc>
      </w:tr>
      <w:tr w14:paraId="33AE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260" w:type="dxa"/>
            <w:noWrap w:val="0"/>
            <w:vAlign w:val="center"/>
          </w:tcPr>
          <w:p w14:paraId="4BBF300A">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发包人地址</w:t>
            </w:r>
          </w:p>
        </w:tc>
        <w:tc>
          <w:tcPr>
            <w:tcW w:w="6239" w:type="dxa"/>
            <w:noWrap w:val="0"/>
            <w:vAlign w:val="top"/>
          </w:tcPr>
          <w:p w14:paraId="64C98FB1">
            <w:pPr>
              <w:topLinePunct/>
              <w:spacing w:line="440" w:lineRule="exact"/>
              <w:rPr>
                <w:rFonts w:hint="eastAsia" w:ascii="宋体" w:hAnsi="宋体" w:eastAsia="宋体" w:cs="宋体"/>
                <w:color w:val="auto"/>
                <w:sz w:val="24"/>
                <w:highlight w:val="none"/>
              </w:rPr>
            </w:pPr>
          </w:p>
        </w:tc>
      </w:tr>
      <w:tr w14:paraId="1210B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260" w:type="dxa"/>
            <w:noWrap w:val="0"/>
            <w:vAlign w:val="center"/>
          </w:tcPr>
          <w:p w14:paraId="2BCE5EFA">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用户联系人</w:t>
            </w:r>
          </w:p>
        </w:tc>
        <w:tc>
          <w:tcPr>
            <w:tcW w:w="6239" w:type="dxa"/>
            <w:noWrap w:val="0"/>
            <w:vAlign w:val="top"/>
          </w:tcPr>
          <w:p w14:paraId="2A193DCB">
            <w:pPr>
              <w:topLinePunct/>
              <w:spacing w:line="440" w:lineRule="exact"/>
              <w:rPr>
                <w:rFonts w:hint="eastAsia" w:ascii="宋体" w:hAnsi="宋体" w:eastAsia="宋体" w:cs="宋体"/>
                <w:color w:val="auto"/>
                <w:sz w:val="24"/>
                <w:highlight w:val="none"/>
              </w:rPr>
            </w:pPr>
          </w:p>
        </w:tc>
      </w:tr>
      <w:tr w14:paraId="209D1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260" w:type="dxa"/>
            <w:noWrap w:val="0"/>
            <w:vAlign w:val="center"/>
          </w:tcPr>
          <w:p w14:paraId="12001A65">
            <w:pPr>
              <w:topLinePunct/>
              <w:spacing w:line="44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用户联系</w:t>
            </w:r>
            <w:r>
              <w:rPr>
                <w:rFonts w:hint="eastAsia" w:ascii="宋体" w:hAnsi="宋体" w:eastAsia="宋体" w:cs="宋体"/>
                <w:color w:val="auto"/>
                <w:sz w:val="24"/>
                <w:highlight w:val="none"/>
              </w:rPr>
              <w:t>电话</w:t>
            </w:r>
          </w:p>
        </w:tc>
        <w:tc>
          <w:tcPr>
            <w:tcW w:w="6239" w:type="dxa"/>
            <w:noWrap w:val="0"/>
            <w:vAlign w:val="top"/>
          </w:tcPr>
          <w:p w14:paraId="29137B50">
            <w:pPr>
              <w:topLinePunct/>
              <w:spacing w:line="440" w:lineRule="exact"/>
              <w:rPr>
                <w:rFonts w:hint="eastAsia" w:ascii="宋体" w:hAnsi="宋体" w:eastAsia="宋体" w:cs="宋体"/>
                <w:color w:val="auto"/>
                <w:sz w:val="24"/>
                <w:highlight w:val="none"/>
              </w:rPr>
            </w:pPr>
          </w:p>
        </w:tc>
      </w:tr>
      <w:tr w14:paraId="072A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260" w:type="dxa"/>
            <w:noWrap w:val="0"/>
            <w:vAlign w:val="center"/>
          </w:tcPr>
          <w:p w14:paraId="26EF4ABE">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合同价格</w:t>
            </w:r>
          </w:p>
        </w:tc>
        <w:tc>
          <w:tcPr>
            <w:tcW w:w="6239" w:type="dxa"/>
            <w:noWrap w:val="0"/>
            <w:vAlign w:val="top"/>
          </w:tcPr>
          <w:p w14:paraId="2C8F8450">
            <w:pPr>
              <w:topLinePunct/>
              <w:spacing w:line="440" w:lineRule="exact"/>
              <w:rPr>
                <w:rFonts w:hint="eastAsia" w:ascii="宋体" w:hAnsi="宋体" w:eastAsia="宋体" w:cs="宋体"/>
                <w:color w:val="auto"/>
                <w:sz w:val="24"/>
                <w:highlight w:val="none"/>
              </w:rPr>
            </w:pPr>
          </w:p>
        </w:tc>
      </w:tr>
      <w:tr w14:paraId="1105D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260" w:type="dxa"/>
            <w:noWrap w:val="0"/>
            <w:vAlign w:val="center"/>
          </w:tcPr>
          <w:p w14:paraId="3750AC4C">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合同签订日期</w:t>
            </w:r>
          </w:p>
        </w:tc>
        <w:tc>
          <w:tcPr>
            <w:tcW w:w="6239" w:type="dxa"/>
            <w:noWrap w:val="0"/>
            <w:vAlign w:val="top"/>
          </w:tcPr>
          <w:p w14:paraId="5362BB06">
            <w:pPr>
              <w:topLinePunct/>
              <w:spacing w:line="440" w:lineRule="exact"/>
              <w:rPr>
                <w:rFonts w:hint="eastAsia" w:ascii="宋体" w:hAnsi="宋体" w:eastAsia="宋体" w:cs="宋体"/>
                <w:color w:val="auto"/>
                <w:sz w:val="24"/>
                <w:highlight w:val="none"/>
              </w:rPr>
            </w:pPr>
          </w:p>
        </w:tc>
      </w:tr>
      <w:tr w14:paraId="48567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260" w:type="dxa"/>
            <w:noWrap w:val="0"/>
            <w:vAlign w:val="center"/>
          </w:tcPr>
          <w:p w14:paraId="7F1676E6">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验收日期</w:t>
            </w:r>
          </w:p>
        </w:tc>
        <w:tc>
          <w:tcPr>
            <w:tcW w:w="6239" w:type="dxa"/>
            <w:noWrap w:val="0"/>
            <w:vAlign w:val="top"/>
          </w:tcPr>
          <w:p w14:paraId="79970FB5">
            <w:pPr>
              <w:topLinePunct/>
              <w:spacing w:line="440" w:lineRule="exact"/>
              <w:rPr>
                <w:rFonts w:hint="eastAsia" w:ascii="宋体" w:hAnsi="宋体" w:eastAsia="宋体" w:cs="宋体"/>
                <w:color w:val="auto"/>
                <w:sz w:val="24"/>
                <w:highlight w:val="none"/>
              </w:rPr>
            </w:pPr>
          </w:p>
        </w:tc>
      </w:tr>
      <w:tr w14:paraId="46DF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2260" w:type="dxa"/>
            <w:noWrap w:val="0"/>
            <w:vAlign w:val="center"/>
          </w:tcPr>
          <w:p w14:paraId="787EF89D">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类似业绩的中标公示官方查询媒体</w:t>
            </w:r>
          </w:p>
        </w:tc>
        <w:tc>
          <w:tcPr>
            <w:tcW w:w="6239" w:type="dxa"/>
            <w:noWrap w:val="0"/>
            <w:vAlign w:val="top"/>
          </w:tcPr>
          <w:p w14:paraId="1BAE0F16">
            <w:pPr>
              <w:topLinePunct/>
              <w:spacing w:line="440" w:lineRule="exact"/>
              <w:rPr>
                <w:rFonts w:hint="eastAsia" w:ascii="宋体" w:hAnsi="宋体" w:eastAsia="宋体" w:cs="宋体"/>
                <w:color w:val="auto"/>
                <w:sz w:val="24"/>
                <w:highlight w:val="none"/>
              </w:rPr>
            </w:pPr>
          </w:p>
        </w:tc>
      </w:tr>
      <w:tr w14:paraId="75EE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2260" w:type="dxa"/>
            <w:noWrap w:val="0"/>
            <w:vAlign w:val="center"/>
          </w:tcPr>
          <w:p w14:paraId="48E67DF4">
            <w:pPr>
              <w:topLinePunct/>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6239" w:type="dxa"/>
            <w:noWrap w:val="0"/>
            <w:vAlign w:val="top"/>
          </w:tcPr>
          <w:p w14:paraId="348CA01F">
            <w:pPr>
              <w:topLinePunct/>
              <w:spacing w:line="440" w:lineRule="exact"/>
              <w:rPr>
                <w:rFonts w:hint="eastAsia" w:ascii="宋体" w:hAnsi="宋体" w:eastAsia="宋体" w:cs="宋体"/>
                <w:color w:val="auto"/>
                <w:sz w:val="24"/>
                <w:highlight w:val="none"/>
              </w:rPr>
            </w:pPr>
          </w:p>
        </w:tc>
      </w:tr>
    </w:tbl>
    <w:p w14:paraId="044A78A7">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注：每个类似项目业绩需单独填表、完整填写，并后附类似项目业绩其它证明材料。</w:t>
      </w:r>
    </w:p>
    <w:p w14:paraId="3B5ECA4E">
      <w:pPr>
        <w:jc w:val="center"/>
        <w:rPr>
          <w:rFonts w:hint="eastAsia" w:ascii="宋体" w:hAnsi="宋体" w:eastAsia="宋体" w:cs="宋体"/>
          <w:color w:val="auto"/>
          <w:sz w:val="24"/>
          <w:highlight w:val="none"/>
        </w:rPr>
      </w:pPr>
    </w:p>
    <w:p w14:paraId="349DD61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p>
    <w:p w14:paraId="6D702D36">
      <w:pPr>
        <w:jc w:val="center"/>
        <w:rPr>
          <w:rFonts w:hint="eastAsia" w:ascii="宋体" w:hAnsi="宋体" w:eastAsia="宋体" w:cs="宋体"/>
          <w:color w:val="auto"/>
          <w:sz w:val="24"/>
          <w:highlight w:val="none"/>
        </w:rPr>
      </w:pPr>
    </w:p>
    <w:p w14:paraId="556EC1E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056D0023">
      <w:pPr>
        <w:pStyle w:val="29"/>
        <w:ind w:firstLine="520"/>
        <w:rPr>
          <w:rFonts w:hint="eastAsia" w:ascii="宋体" w:hAnsi="宋体" w:eastAsia="宋体" w:cs="宋体"/>
          <w:color w:val="auto"/>
          <w:highlight w:val="none"/>
        </w:rPr>
      </w:pPr>
    </w:p>
    <w:p w14:paraId="7DBDE27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1E094A96">
      <w:pPr>
        <w:jc w:val="center"/>
        <w:rPr>
          <w:rFonts w:hint="eastAsia" w:ascii="宋体" w:hAnsi="宋体" w:eastAsia="宋体" w:cs="宋体"/>
          <w:color w:val="auto"/>
          <w:sz w:val="24"/>
          <w:highlight w:val="none"/>
        </w:rPr>
        <w:sectPr>
          <w:footerReference r:id="rId10" w:type="first"/>
          <w:pgSz w:w="11850" w:h="16783"/>
          <w:pgMar w:top="1800" w:right="1440" w:bottom="1800" w:left="1440" w:header="851" w:footer="698" w:gutter="0"/>
          <w:pgNumType w:fmt="numberInDash"/>
          <w:cols w:space="720" w:num="1"/>
          <w:titlePg/>
          <w:docGrid w:type="lines" w:linePitch="312" w:charSpace="0"/>
        </w:sectPr>
      </w:pPr>
    </w:p>
    <w:p w14:paraId="2364E542">
      <w:pPr>
        <w:keepNext/>
        <w:keepLines/>
        <w:spacing w:before="140" w:after="140" w:line="360" w:lineRule="auto"/>
        <w:jc w:val="center"/>
        <w:outlineLvl w:val="1"/>
        <w:rPr>
          <w:rFonts w:hint="eastAsia" w:ascii="宋体" w:hAnsi="宋体" w:eastAsia="宋体" w:cs="宋体"/>
          <w:b/>
          <w:color w:val="auto"/>
          <w:sz w:val="32"/>
          <w:highlight w:val="none"/>
        </w:rPr>
      </w:pPr>
      <w:r>
        <w:rPr>
          <w:rFonts w:hint="eastAsia" w:ascii="宋体" w:hAnsi="宋体" w:eastAsia="宋体" w:cs="宋体"/>
          <w:b/>
          <w:color w:val="auto"/>
          <w:sz w:val="32"/>
          <w:highlight w:val="none"/>
        </w:rPr>
        <w:t>七、技术方案</w:t>
      </w:r>
    </w:p>
    <w:p w14:paraId="513688BE">
      <w:pPr>
        <w:pStyle w:val="12"/>
        <w:ind w:left="1063" w:hanging="643"/>
        <w:jc w:val="center"/>
        <w:rPr>
          <w:rFonts w:hint="eastAsia" w:ascii="宋体" w:hAnsi="宋体" w:eastAsia="宋体" w:cs="宋体"/>
          <w:b/>
          <w:color w:val="auto"/>
          <w:sz w:val="32"/>
          <w:highlight w:val="none"/>
        </w:rPr>
      </w:pPr>
    </w:p>
    <w:p w14:paraId="1439D7FE">
      <w:pPr>
        <w:keepNext/>
        <w:keepLines/>
        <w:spacing w:before="140" w:after="140" w:line="360" w:lineRule="auto"/>
        <w:ind w:left="420"/>
        <w:jc w:val="center"/>
        <w:rPr>
          <w:rFonts w:hint="eastAsia" w:ascii="宋体" w:hAnsi="宋体" w:eastAsia="宋体" w:cs="宋体"/>
          <w:b/>
          <w:color w:val="auto"/>
          <w:sz w:val="32"/>
          <w:highlight w:val="none"/>
        </w:rPr>
      </w:pPr>
    </w:p>
    <w:p w14:paraId="09D31A38">
      <w:pPr>
        <w:keepNext/>
        <w:keepLines/>
        <w:spacing w:before="140" w:after="140" w:line="360" w:lineRule="auto"/>
        <w:ind w:left="4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格式自拟</w:t>
      </w:r>
    </w:p>
    <w:p w14:paraId="6AD677C0">
      <w:pPr>
        <w:keepNext/>
        <w:keepLines/>
        <w:spacing w:before="140" w:after="140" w:line="360" w:lineRule="auto"/>
        <w:ind w:left="420"/>
        <w:jc w:val="center"/>
        <w:rPr>
          <w:rFonts w:hint="eastAsia" w:ascii="宋体" w:hAnsi="宋体" w:eastAsia="宋体" w:cs="宋体"/>
          <w:b/>
          <w:color w:val="auto"/>
          <w:sz w:val="32"/>
          <w:highlight w:val="none"/>
        </w:rPr>
      </w:pPr>
    </w:p>
    <w:p w14:paraId="2092FE10">
      <w:pPr>
        <w:keepNext/>
        <w:keepLines/>
        <w:spacing w:before="140" w:after="140" w:line="360" w:lineRule="auto"/>
        <w:ind w:left="420"/>
        <w:jc w:val="center"/>
        <w:rPr>
          <w:rFonts w:hint="eastAsia" w:ascii="宋体" w:hAnsi="宋体" w:eastAsia="宋体" w:cs="宋体"/>
          <w:b/>
          <w:color w:val="auto"/>
          <w:sz w:val="32"/>
          <w:highlight w:val="none"/>
        </w:rPr>
      </w:pPr>
    </w:p>
    <w:p w14:paraId="24587388">
      <w:pPr>
        <w:keepNext/>
        <w:keepLines/>
        <w:spacing w:before="140" w:after="140" w:line="360" w:lineRule="auto"/>
        <w:ind w:left="420"/>
        <w:jc w:val="center"/>
        <w:rPr>
          <w:rFonts w:hint="eastAsia" w:ascii="宋体" w:hAnsi="宋体" w:eastAsia="宋体" w:cs="宋体"/>
          <w:b/>
          <w:color w:val="auto"/>
          <w:sz w:val="32"/>
          <w:highlight w:val="none"/>
        </w:rPr>
      </w:pPr>
    </w:p>
    <w:p w14:paraId="2A5D8EE5">
      <w:pPr>
        <w:keepNext/>
        <w:keepLines/>
        <w:spacing w:before="140" w:after="140" w:line="360" w:lineRule="auto"/>
        <w:ind w:left="420"/>
        <w:jc w:val="center"/>
        <w:rPr>
          <w:rFonts w:hint="eastAsia" w:ascii="宋体" w:hAnsi="宋体" w:eastAsia="宋体" w:cs="宋体"/>
          <w:b/>
          <w:color w:val="auto"/>
          <w:sz w:val="32"/>
          <w:highlight w:val="none"/>
        </w:rPr>
      </w:pPr>
    </w:p>
    <w:p w14:paraId="25BDD4E2">
      <w:pPr>
        <w:pStyle w:val="29"/>
        <w:ind w:firstLine="683"/>
        <w:rPr>
          <w:rFonts w:hint="eastAsia" w:ascii="宋体" w:hAnsi="宋体" w:eastAsia="宋体" w:cs="宋体"/>
          <w:b/>
          <w:color w:val="auto"/>
          <w:sz w:val="32"/>
          <w:highlight w:val="none"/>
        </w:rPr>
      </w:pPr>
    </w:p>
    <w:p w14:paraId="08493D0F">
      <w:pPr>
        <w:pStyle w:val="29"/>
        <w:ind w:firstLine="683"/>
        <w:rPr>
          <w:rFonts w:hint="eastAsia" w:ascii="宋体" w:hAnsi="宋体" w:eastAsia="宋体" w:cs="宋体"/>
          <w:b/>
          <w:color w:val="auto"/>
          <w:sz w:val="32"/>
          <w:highlight w:val="none"/>
        </w:rPr>
      </w:pPr>
    </w:p>
    <w:p w14:paraId="71C708A1">
      <w:pPr>
        <w:pStyle w:val="29"/>
        <w:ind w:firstLine="683"/>
        <w:rPr>
          <w:rFonts w:hint="eastAsia" w:ascii="宋体" w:hAnsi="宋体" w:eastAsia="宋体" w:cs="宋体"/>
          <w:b/>
          <w:color w:val="auto"/>
          <w:sz w:val="32"/>
          <w:highlight w:val="none"/>
        </w:rPr>
      </w:pPr>
    </w:p>
    <w:p w14:paraId="4A036A19">
      <w:pPr>
        <w:pStyle w:val="29"/>
        <w:ind w:firstLine="683"/>
        <w:rPr>
          <w:rFonts w:hint="eastAsia" w:ascii="宋体" w:hAnsi="宋体" w:eastAsia="宋体" w:cs="宋体"/>
          <w:b/>
          <w:color w:val="auto"/>
          <w:sz w:val="32"/>
          <w:highlight w:val="none"/>
        </w:rPr>
      </w:pPr>
    </w:p>
    <w:p w14:paraId="78499B50">
      <w:pPr>
        <w:pStyle w:val="29"/>
        <w:ind w:firstLine="683"/>
        <w:rPr>
          <w:rFonts w:hint="eastAsia" w:ascii="宋体" w:hAnsi="宋体" w:eastAsia="宋体" w:cs="宋体"/>
          <w:b/>
          <w:color w:val="auto"/>
          <w:sz w:val="32"/>
          <w:highlight w:val="none"/>
        </w:rPr>
      </w:pPr>
    </w:p>
    <w:p w14:paraId="0772C74C">
      <w:pPr>
        <w:pStyle w:val="29"/>
        <w:ind w:firstLine="683"/>
        <w:rPr>
          <w:rFonts w:hint="eastAsia" w:ascii="宋体" w:hAnsi="宋体" w:eastAsia="宋体" w:cs="宋体"/>
          <w:b/>
          <w:color w:val="auto"/>
          <w:sz w:val="32"/>
          <w:highlight w:val="none"/>
        </w:rPr>
      </w:pPr>
    </w:p>
    <w:p w14:paraId="4C98A2E1">
      <w:pPr>
        <w:pStyle w:val="29"/>
        <w:ind w:firstLine="683"/>
        <w:rPr>
          <w:rFonts w:hint="eastAsia" w:ascii="宋体" w:hAnsi="宋体" w:eastAsia="宋体" w:cs="宋体"/>
          <w:b/>
          <w:color w:val="auto"/>
          <w:sz w:val="32"/>
          <w:highlight w:val="none"/>
        </w:rPr>
      </w:pPr>
    </w:p>
    <w:p w14:paraId="180BA2F6">
      <w:pPr>
        <w:pStyle w:val="29"/>
        <w:ind w:firstLine="683"/>
        <w:rPr>
          <w:rFonts w:hint="eastAsia" w:ascii="宋体" w:hAnsi="宋体" w:eastAsia="宋体" w:cs="宋体"/>
          <w:b/>
          <w:color w:val="auto"/>
          <w:sz w:val="32"/>
          <w:highlight w:val="none"/>
        </w:rPr>
      </w:pPr>
    </w:p>
    <w:p w14:paraId="0FA9A930">
      <w:pPr>
        <w:pStyle w:val="29"/>
        <w:ind w:firstLine="683"/>
        <w:rPr>
          <w:rFonts w:hint="eastAsia" w:ascii="宋体" w:hAnsi="宋体" w:eastAsia="宋体" w:cs="宋体"/>
          <w:b/>
          <w:color w:val="auto"/>
          <w:sz w:val="32"/>
          <w:highlight w:val="none"/>
        </w:rPr>
      </w:pPr>
    </w:p>
    <w:p w14:paraId="178C4911">
      <w:pPr>
        <w:pStyle w:val="29"/>
        <w:ind w:firstLine="683"/>
        <w:rPr>
          <w:rFonts w:hint="eastAsia" w:ascii="宋体" w:hAnsi="宋体" w:eastAsia="宋体" w:cs="宋体"/>
          <w:b/>
          <w:color w:val="auto"/>
          <w:sz w:val="32"/>
          <w:highlight w:val="none"/>
        </w:rPr>
      </w:pPr>
    </w:p>
    <w:p w14:paraId="73F3650C">
      <w:pPr>
        <w:pStyle w:val="29"/>
        <w:ind w:firstLine="683"/>
        <w:rPr>
          <w:rFonts w:hint="eastAsia" w:ascii="宋体" w:hAnsi="宋体" w:eastAsia="宋体" w:cs="宋体"/>
          <w:b/>
          <w:color w:val="auto"/>
          <w:sz w:val="32"/>
          <w:highlight w:val="none"/>
        </w:rPr>
      </w:pPr>
    </w:p>
    <w:p w14:paraId="613A5CF0">
      <w:pPr>
        <w:pStyle w:val="29"/>
        <w:ind w:firstLine="683"/>
        <w:rPr>
          <w:rFonts w:hint="eastAsia" w:ascii="宋体" w:hAnsi="宋体" w:eastAsia="宋体" w:cs="宋体"/>
          <w:b/>
          <w:color w:val="auto"/>
          <w:sz w:val="32"/>
          <w:highlight w:val="none"/>
        </w:rPr>
      </w:pPr>
    </w:p>
    <w:p w14:paraId="06388DEA">
      <w:pPr>
        <w:pStyle w:val="29"/>
        <w:ind w:firstLine="683"/>
        <w:rPr>
          <w:rFonts w:hint="eastAsia" w:ascii="宋体" w:hAnsi="宋体" w:eastAsia="宋体" w:cs="宋体"/>
          <w:b/>
          <w:color w:val="auto"/>
          <w:sz w:val="32"/>
          <w:highlight w:val="none"/>
        </w:rPr>
      </w:pPr>
    </w:p>
    <w:bookmarkEnd w:id="37"/>
    <w:bookmarkEnd w:id="38"/>
    <w:p w14:paraId="4B0FCEF1">
      <w:pPr>
        <w:jc w:val="center"/>
        <w:rPr>
          <w:rFonts w:hint="eastAsia" w:ascii="宋体" w:hAnsi="宋体" w:eastAsia="宋体" w:cs="宋体"/>
          <w:color w:val="auto"/>
          <w:highlight w:val="none"/>
        </w:rPr>
        <w:sectPr>
          <w:headerReference r:id="rId12" w:type="first"/>
          <w:headerReference r:id="rId11" w:type="default"/>
          <w:footerReference r:id="rId13" w:type="default"/>
          <w:pgSz w:w="11850" w:h="16783"/>
          <w:pgMar w:top="1800" w:right="1440" w:bottom="1800" w:left="1440" w:header="851" w:footer="698" w:gutter="0"/>
          <w:pgNumType w:fmt="numberInDash"/>
          <w:cols w:space="720" w:num="1"/>
          <w:titlePg/>
          <w:docGrid w:type="lines" w:linePitch="312" w:charSpace="0"/>
        </w:sectPr>
      </w:pPr>
      <w:r>
        <w:rPr>
          <w:rFonts w:hint="eastAsia" w:ascii="宋体" w:hAnsi="宋体" w:eastAsia="宋体" w:cs="宋体"/>
          <w:color w:val="auto"/>
          <w:sz w:val="24"/>
          <w:highlight w:val="none"/>
        </w:rPr>
        <w:t xml:space="preserve"> </w:t>
      </w:r>
    </w:p>
    <w:bookmarkEnd w:id="34"/>
    <w:bookmarkEnd w:id="35"/>
    <w:p w14:paraId="301483FA">
      <w:pPr>
        <w:keepNext/>
        <w:keepLines/>
        <w:spacing w:before="140" w:after="140" w:line="360" w:lineRule="auto"/>
        <w:jc w:val="center"/>
        <w:outlineLvl w:val="1"/>
        <w:rPr>
          <w:rFonts w:hint="eastAsia" w:ascii="宋体" w:hAnsi="宋体" w:eastAsia="宋体" w:cs="宋体"/>
          <w:b/>
          <w:color w:val="auto"/>
          <w:sz w:val="32"/>
          <w:highlight w:val="none"/>
        </w:rPr>
      </w:pPr>
      <w:r>
        <w:rPr>
          <w:rFonts w:hint="eastAsia" w:ascii="宋体" w:hAnsi="宋体" w:eastAsia="宋体" w:cs="宋体"/>
          <w:b/>
          <w:color w:val="auto"/>
          <w:sz w:val="32"/>
          <w:highlight w:val="none"/>
        </w:rPr>
        <w:t>八、资格审查资料</w:t>
      </w:r>
    </w:p>
    <w:p w14:paraId="51FB137F">
      <w:pPr>
        <w:ind w:left="420" w:leftChars="200"/>
        <w:jc w:val="center"/>
        <w:outlineLvl w:val="1"/>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t>（一）投标人基本情况表</w:t>
      </w:r>
    </w:p>
    <w:tbl>
      <w:tblPr>
        <w:tblStyle w:val="21"/>
        <w:tblW w:w="8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73"/>
        <w:gridCol w:w="2847"/>
        <w:gridCol w:w="138"/>
        <w:gridCol w:w="1220"/>
        <w:gridCol w:w="194"/>
        <w:gridCol w:w="2233"/>
      </w:tblGrid>
      <w:tr w14:paraId="2CFF5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2258365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p>
        </w:tc>
        <w:tc>
          <w:tcPr>
            <w:tcW w:w="2985" w:type="dxa"/>
            <w:gridSpan w:val="2"/>
            <w:noWrap w:val="0"/>
            <w:vAlign w:val="center"/>
          </w:tcPr>
          <w:p w14:paraId="3658CFA0">
            <w:pPr>
              <w:spacing w:line="360" w:lineRule="auto"/>
              <w:jc w:val="center"/>
              <w:rPr>
                <w:rFonts w:hint="eastAsia" w:ascii="宋体" w:hAnsi="宋体" w:eastAsia="宋体" w:cs="宋体"/>
                <w:color w:val="auto"/>
                <w:sz w:val="24"/>
                <w:highlight w:val="none"/>
              </w:rPr>
            </w:pPr>
          </w:p>
        </w:tc>
        <w:tc>
          <w:tcPr>
            <w:tcW w:w="1414" w:type="dxa"/>
            <w:gridSpan w:val="2"/>
            <w:noWrap w:val="0"/>
            <w:vAlign w:val="center"/>
          </w:tcPr>
          <w:p w14:paraId="459378C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成立日期</w:t>
            </w:r>
          </w:p>
        </w:tc>
        <w:tc>
          <w:tcPr>
            <w:tcW w:w="2233" w:type="dxa"/>
            <w:noWrap w:val="0"/>
            <w:vAlign w:val="center"/>
          </w:tcPr>
          <w:p w14:paraId="5B19A455">
            <w:pPr>
              <w:spacing w:line="360" w:lineRule="auto"/>
              <w:jc w:val="center"/>
              <w:rPr>
                <w:rFonts w:hint="eastAsia" w:ascii="宋体" w:hAnsi="宋体" w:eastAsia="宋体" w:cs="宋体"/>
                <w:color w:val="auto"/>
                <w:sz w:val="24"/>
                <w:highlight w:val="none"/>
              </w:rPr>
            </w:pPr>
          </w:p>
        </w:tc>
      </w:tr>
      <w:tr w14:paraId="5E64C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4658" w:type="dxa"/>
            <w:gridSpan w:val="3"/>
            <w:noWrap w:val="0"/>
            <w:vAlign w:val="center"/>
          </w:tcPr>
          <w:p w14:paraId="6A7AFCD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企业法人统一社会信用代码</w:t>
            </w:r>
          </w:p>
        </w:tc>
        <w:tc>
          <w:tcPr>
            <w:tcW w:w="3647" w:type="dxa"/>
            <w:gridSpan w:val="3"/>
            <w:noWrap w:val="0"/>
            <w:vAlign w:val="center"/>
          </w:tcPr>
          <w:p w14:paraId="0A843330">
            <w:pPr>
              <w:spacing w:line="360" w:lineRule="auto"/>
              <w:jc w:val="center"/>
              <w:rPr>
                <w:rFonts w:hint="eastAsia" w:ascii="宋体" w:hAnsi="宋体" w:eastAsia="宋体" w:cs="宋体"/>
                <w:color w:val="auto"/>
                <w:sz w:val="24"/>
                <w:highlight w:val="none"/>
              </w:rPr>
            </w:pPr>
          </w:p>
        </w:tc>
      </w:tr>
      <w:tr w14:paraId="4378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4658" w:type="dxa"/>
            <w:gridSpan w:val="3"/>
            <w:noWrap w:val="0"/>
            <w:vAlign w:val="center"/>
          </w:tcPr>
          <w:p w14:paraId="5674380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批准登记机关</w:t>
            </w:r>
          </w:p>
        </w:tc>
        <w:tc>
          <w:tcPr>
            <w:tcW w:w="3647" w:type="dxa"/>
            <w:gridSpan w:val="3"/>
            <w:noWrap w:val="0"/>
            <w:vAlign w:val="center"/>
          </w:tcPr>
          <w:p w14:paraId="1FF15FB9">
            <w:pPr>
              <w:spacing w:line="360" w:lineRule="auto"/>
              <w:jc w:val="center"/>
              <w:rPr>
                <w:rFonts w:hint="eastAsia" w:ascii="宋体" w:hAnsi="宋体" w:eastAsia="宋体" w:cs="宋体"/>
                <w:color w:val="auto"/>
                <w:sz w:val="24"/>
                <w:highlight w:val="none"/>
              </w:rPr>
            </w:pPr>
          </w:p>
        </w:tc>
      </w:tr>
      <w:tr w14:paraId="5A6E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4CECFF4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注册资本</w:t>
            </w:r>
          </w:p>
        </w:tc>
        <w:tc>
          <w:tcPr>
            <w:tcW w:w="6632" w:type="dxa"/>
            <w:gridSpan w:val="5"/>
            <w:noWrap w:val="0"/>
            <w:vAlign w:val="center"/>
          </w:tcPr>
          <w:p w14:paraId="188F9ECF">
            <w:pPr>
              <w:spacing w:line="360" w:lineRule="auto"/>
              <w:jc w:val="center"/>
              <w:rPr>
                <w:rFonts w:hint="eastAsia" w:ascii="宋体" w:hAnsi="宋体" w:eastAsia="宋体" w:cs="宋体"/>
                <w:color w:val="auto"/>
                <w:sz w:val="24"/>
                <w:highlight w:val="none"/>
              </w:rPr>
            </w:pPr>
          </w:p>
        </w:tc>
      </w:tr>
      <w:tr w14:paraId="3A4B5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2904042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985" w:type="dxa"/>
            <w:gridSpan w:val="2"/>
            <w:noWrap w:val="0"/>
            <w:vAlign w:val="center"/>
          </w:tcPr>
          <w:p w14:paraId="033E1DD0">
            <w:pPr>
              <w:spacing w:line="360" w:lineRule="auto"/>
              <w:jc w:val="center"/>
              <w:rPr>
                <w:rFonts w:hint="eastAsia" w:ascii="宋体" w:hAnsi="宋体" w:eastAsia="宋体" w:cs="宋体"/>
                <w:color w:val="auto"/>
                <w:sz w:val="24"/>
                <w:highlight w:val="none"/>
              </w:rPr>
            </w:pPr>
          </w:p>
        </w:tc>
        <w:tc>
          <w:tcPr>
            <w:tcW w:w="1414" w:type="dxa"/>
            <w:gridSpan w:val="2"/>
            <w:noWrap w:val="0"/>
            <w:vAlign w:val="center"/>
          </w:tcPr>
          <w:p w14:paraId="6BA2BAC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营业期限</w:t>
            </w:r>
          </w:p>
        </w:tc>
        <w:tc>
          <w:tcPr>
            <w:tcW w:w="2233" w:type="dxa"/>
            <w:noWrap w:val="0"/>
            <w:vAlign w:val="center"/>
          </w:tcPr>
          <w:p w14:paraId="675085C7">
            <w:pPr>
              <w:spacing w:line="360" w:lineRule="auto"/>
              <w:jc w:val="center"/>
              <w:rPr>
                <w:rFonts w:hint="eastAsia" w:ascii="宋体" w:hAnsi="宋体" w:eastAsia="宋体" w:cs="宋体"/>
                <w:color w:val="auto"/>
                <w:sz w:val="24"/>
                <w:highlight w:val="none"/>
              </w:rPr>
            </w:pPr>
          </w:p>
        </w:tc>
      </w:tr>
      <w:tr w14:paraId="6DF2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68FF687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主营业务</w:t>
            </w:r>
          </w:p>
        </w:tc>
        <w:tc>
          <w:tcPr>
            <w:tcW w:w="6632" w:type="dxa"/>
            <w:gridSpan w:val="5"/>
            <w:noWrap w:val="0"/>
            <w:vAlign w:val="center"/>
          </w:tcPr>
          <w:p w14:paraId="0CDBE7D6">
            <w:pPr>
              <w:spacing w:line="360" w:lineRule="auto"/>
              <w:jc w:val="center"/>
              <w:rPr>
                <w:rFonts w:hint="eastAsia" w:ascii="宋体" w:hAnsi="宋体" w:eastAsia="宋体" w:cs="宋体"/>
                <w:color w:val="auto"/>
                <w:sz w:val="24"/>
                <w:highlight w:val="none"/>
              </w:rPr>
            </w:pPr>
          </w:p>
        </w:tc>
      </w:tr>
      <w:tr w14:paraId="1D2A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455E57F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p>
        </w:tc>
        <w:tc>
          <w:tcPr>
            <w:tcW w:w="6632" w:type="dxa"/>
            <w:gridSpan w:val="5"/>
            <w:noWrap w:val="0"/>
            <w:vAlign w:val="center"/>
          </w:tcPr>
          <w:p w14:paraId="6EF1B0EF">
            <w:pPr>
              <w:spacing w:line="360" w:lineRule="auto"/>
              <w:jc w:val="center"/>
              <w:rPr>
                <w:rFonts w:hint="eastAsia" w:ascii="宋体" w:hAnsi="宋体" w:eastAsia="宋体" w:cs="宋体"/>
                <w:color w:val="auto"/>
                <w:sz w:val="24"/>
                <w:highlight w:val="none"/>
              </w:rPr>
            </w:pPr>
          </w:p>
        </w:tc>
      </w:tr>
      <w:tr w14:paraId="6B379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0257BE2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6632" w:type="dxa"/>
            <w:gridSpan w:val="5"/>
            <w:noWrap w:val="0"/>
            <w:vAlign w:val="center"/>
          </w:tcPr>
          <w:p w14:paraId="68B849D7">
            <w:pPr>
              <w:spacing w:line="360" w:lineRule="auto"/>
              <w:jc w:val="center"/>
              <w:rPr>
                <w:rFonts w:hint="eastAsia" w:ascii="宋体" w:hAnsi="宋体" w:eastAsia="宋体" w:cs="宋体"/>
                <w:color w:val="auto"/>
                <w:sz w:val="24"/>
                <w:highlight w:val="none"/>
              </w:rPr>
            </w:pPr>
          </w:p>
        </w:tc>
      </w:tr>
      <w:tr w14:paraId="38B5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jc w:val="center"/>
        </w:trPr>
        <w:tc>
          <w:tcPr>
            <w:tcW w:w="1673" w:type="dxa"/>
            <w:noWrap w:val="0"/>
            <w:vAlign w:val="center"/>
          </w:tcPr>
          <w:p w14:paraId="36D454A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开户行号</w:t>
            </w:r>
          </w:p>
          <w:p w14:paraId="55B86D7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（如有）</w:t>
            </w:r>
          </w:p>
        </w:tc>
        <w:tc>
          <w:tcPr>
            <w:tcW w:w="6632" w:type="dxa"/>
            <w:gridSpan w:val="5"/>
            <w:noWrap w:val="0"/>
            <w:vAlign w:val="center"/>
          </w:tcPr>
          <w:p w14:paraId="55BE1510">
            <w:pPr>
              <w:spacing w:line="360" w:lineRule="auto"/>
              <w:jc w:val="center"/>
              <w:rPr>
                <w:rFonts w:hint="eastAsia" w:ascii="宋体" w:hAnsi="宋体" w:eastAsia="宋体" w:cs="宋体"/>
                <w:color w:val="auto"/>
                <w:sz w:val="24"/>
                <w:highlight w:val="none"/>
              </w:rPr>
            </w:pPr>
          </w:p>
        </w:tc>
      </w:tr>
      <w:tr w14:paraId="213B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07DF868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银行账号</w:t>
            </w:r>
          </w:p>
        </w:tc>
        <w:tc>
          <w:tcPr>
            <w:tcW w:w="6632" w:type="dxa"/>
            <w:gridSpan w:val="5"/>
            <w:noWrap w:val="0"/>
            <w:vAlign w:val="center"/>
          </w:tcPr>
          <w:p w14:paraId="3837B613">
            <w:pPr>
              <w:spacing w:line="360" w:lineRule="auto"/>
              <w:jc w:val="center"/>
              <w:rPr>
                <w:rFonts w:hint="eastAsia" w:ascii="宋体" w:hAnsi="宋体" w:eastAsia="宋体" w:cs="宋体"/>
                <w:color w:val="auto"/>
                <w:sz w:val="24"/>
                <w:highlight w:val="none"/>
              </w:rPr>
            </w:pPr>
          </w:p>
        </w:tc>
      </w:tr>
      <w:tr w14:paraId="5889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00CDB59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p>
        </w:tc>
        <w:tc>
          <w:tcPr>
            <w:tcW w:w="2847" w:type="dxa"/>
            <w:noWrap w:val="0"/>
            <w:vAlign w:val="center"/>
          </w:tcPr>
          <w:p w14:paraId="4FA06759">
            <w:pPr>
              <w:spacing w:line="360" w:lineRule="auto"/>
              <w:jc w:val="center"/>
              <w:rPr>
                <w:rFonts w:hint="eastAsia" w:ascii="宋体" w:hAnsi="宋体" w:eastAsia="宋体" w:cs="宋体"/>
                <w:color w:val="auto"/>
                <w:sz w:val="24"/>
                <w:highlight w:val="none"/>
              </w:rPr>
            </w:pPr>
          </w:p>
        </w:tc>
        <w:tc>
          <w:tcPr>
            <w:tcW w:w="1358" w:type="dxa"/>
            <w:gridSpan w:val="2"/>
            <w:noWrap w:val="0"/>
            <w:vAlign w:val="center"/>
          </w:tcPr>
          <w:p w14:paraId="157E101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p>
        </w:tc>
        <w:tc>
          <w:tcPr>
            <w:tcW w:w="2427" w:type="dxa"/>
            <w:gridSpan w:val="2"/>
            <w:noWrap w:val="0"/>
            <w:vAlign w:val="center"/>
          </w:tcPr>
          <w:p w14:paraId="7A01E6B0">
            <w:pPr>
              <w:spacing w:line="360" w:lineRule="auto"/>
              <w:jc w:val="center"/>
              <w:rPr>
                <w:rFonts w:hint="eastAsia" w:ascii="宋体" w:hAnsi="宋体" w:eastAsia="宋体" w:cs="宋体"/>
                <w:color w:val="auto"/>
                <w:sz w:val="24"/>
                <w:highlight w:val="none"/>
              </w:rPr>
            </w:pPr>
          </w:p>
        </w:tc>
      </w:tr>
      <w:tr w14:paraId="53F49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1673" w:type="dxa"/>
            <w:noWrap w:val="0"/>
            <w:vAlign w:val="center"/>
          </w:tcPr>
          <w:p w14:paraId="77D8566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  箱</w:t>
            </w:r>
          </w:p>
        </w:tc>
        <w:tc>
          <w:tcPr>
            <w:tcW w:w="2847" w:type="dxa"/>
            <w:noWrap w:val="0"/>
            <w:vAlign w:val="center"/>
          </w:tcPr>
          <w:p w14:paraId="67A85EB4">
            <w:pPr>
              <w:spacing w:line="360" w:lineRule="auto"/>
              <w:jc w:val="center"/>
              <w:rPr>
                <w:rFonts w:hint="eastAsia" w:ascii="宋体" w:hAnsi="宋体" w:eastAsia="宋体" w:cs="宋体"/>
                <w:color w:val="auto"/>
                <w:sz w:val="24"/>
                <w:highlight w:val="none"/>
              </w:rPr>
            </w:pPr>
          </w:p>
        </w:tc>
        <w:tc>
          <w:tcPr>
            <w:tcW w:w="1358" w:type="dxa"/>
            <w:gridSpan w:val="2"/>
            <w:noWrap w:val="0"/>
            <w:vAlign w:val="center"/>
          </w:tcPr>
          <w:p w14:paraId="2AD6920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  编</w:t>
            </w:r>
          </w:p>
        </w:tc>
        <w:tc>
          <w:tcPr>
            <w:tcW w:w="2427" w:type="dxa"/>
            <w:gridSpan w:val="2"/>
            <w:noWrap w:val="0"/>
            <w:vAlign w:val="center"/>
          </w:tcPr>
          <w:p w14:paraId="00CD5857">
            <w:pPr>
              <w:spacing w:line="360" w:lineRule="auto"/>
              <w:jc w:val="center"/>
              <w:rPr>
                <w:rFonts w:hint="eastAsia" w:ascii="宋体" w:hAnsi="宋体" w:eastAsia="宋体" w:cs="宋体"/>
                <w:color w:val="auto"/>
                <w:sz w:val="24"/>
                <w:highlight w:val="none"/>
              </w:rPr>
            </w:pPr>
          </w:p>
        </w:tc>
      </w:tr>
      <w:tr w14:paraId="7361B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1673" w:type="dxa"/>
            <w:noWrap w:val="0"/>
            <w:vAlign w:val="center"/>
          </w:tcPr>
          <w:p w14:paraId="581746B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2847" w:type="dxa"/>
            <w:noWrap w:val="0"/>
            <w:vAlign w:val="center"/>
          </w:tcPr>
          <w:p w14:paraId="29FA78F0">
            <w:pPr>
              <w:spacing w:line="360" w:lineRule="auto"/>
              <w:jc w:val="center"/>
              <w:rPr>
                <w:rFonts w:hint="eastAsia" w:ascii="宋体" w:hAnsi="宋体" w:eastAsia="宋体" w:cs="宋体"/>
                <w:color w:val="auto"/>
                <w:sz w:val="24"/>
                <w:highlight w:val="none"/>
              </w:rPr>
            </w:pPr>
          </w:p>
        </w:tc>
        <w:tc>
          <w:tcPr>
            <w:tcW w:w="1358" w:type="dxa"/>
            <w:gridSpan w:val="2"/>
            <w:noWrap w:val="0"/>
            <w:vAlign w:val="center"/>
          </w:tcPr>
          <w:p w14:paraId="3C66066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2427" w:type="dxa"/>
            <w:gridSpan w:val="2"/>
            <w:noWrap w:val="0"/>
            <w:vAlign w:val="center"/>
          </w:tcPr>
          <w:p w14:paraId="6C0D6B3A">
            <w:pPr>
              <w:spacing w:line="360" w:lineRule="auto"/>
              <w:jc w:val="center"/>
              <w:rPr>
                <w:rFonts w:hint="eastAsia" w:ascii="宋体" w:hAnsi="宋体" w:eastAsia="宋体" w:cs="宋体"/>
                <w:color w:val="auto"/>
                <w:sz w:val="24"/>
                <w:highlight w:val="none"/>
              </w:rPr>
            </w:pPr>
          </w:p>
        </w:tc>
      </w:tr>
    </w:tbl>
    <w:p w14:paraId="27586CE0">
      <w:pPr>
        <w:pStyle w:val="7"/>
        <w:jc w:val="both"/>
        <w:rPr>
          <w:rFonts w:hint="eastAsia" w:ascii="宋体" w:hAnsi="宋体" w:eastAsia="宋体" w:cs="宋体"/>
          <w:b/>
          <w:color w:val="auto"/>
          <w:sz w:val="32"/>
          <w:highlight w:val="none"/>
        </w:rPr>
      </w:pPr>
    </w:p>
    <w:p w14:paraId="2C7AA45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p>
    <w:p w14:paraId="04A40AC7">
      <w:pPr>
        <w:jc w:val="center"/>
        <w:rPr>
          <w:rFonts w:hint="eastAsia" w:ascii="宋体" w:hAnsi="宋体" w:eastAsia="宋体" w:cs="宋体"/>
          <w:color w:val="auto"/>
          <w:sz w:val="24"/>
          <w:highlight w:val="none"/>
        </w:rPr>
      </w:pPr>
    </w:p>
    <w:p w14:paraId="26857FB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CBF50AA">
      <w:pPr>
        <w:jc w:val="center"/>
        <w:rPr>
          <w:rFonts w:hint="eastAsia" w:ascii="宋体" w:hAnsi="宋体" w:eastAsia="宋体" w:cs="宋体"/>
          <w:color w:val="auto"/>
          <w:sz w:val="24"/>
          <w:highlight w:val="none"/>
          <w:u w:val="single"/>
        </w:rPr>
      </w:pPr>
    </w:p>
    <w:p w14:paraId="499D7CC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47914499">
      <w:pPr>
        <w:pStyle w:val="7"/>
        <w:jc w:val="both"/>
        <w:rPr>
          <w:rFonts w:hint="eastAsia" w:ascii="宋体" w:hAnsi="宋体" w:eastAsia="宋体" w:cs="宋体"/>
          <w:b/>
          <w:color w:val="auto"/>
          <w:sz w:val="32"/>
          <w:highlight w:val="none"/>
        </w:rPr>
      </w:pPr>
    </w:p>
    <w:p w14:paraId="57EA655C">
      <w:pPr>
        <w:pStyle w:val="7"/>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（二）资格审查资料</w:t>
      </w:r>
    </w:p>
    <w:p w14:paraId="3F5832AF">
      <w:pPr>
        <w:rPr>
          <w:rFonts w:hint="eastAsia" w:ascii="宋体" w:hAnsi="宋体" w:eastAsia="宋体" w:cs="宋体"/>
          <w:color w:val="auto"/>
          <w:highlight w:val="none"/>
        </w:rPr>
      </w:pPr>
    </w:p>
    <w:p w14:paraId="0030ED4C">
      <w:pPr>
        <w:pStyle w:val="12"/>
        <w:spacing w:line="360" w:lineRule="auto"/>
        <w:ind w:left="0" w:leftChars="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注：供应商须随此表后附“投标人须知前附表</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投标人资质要求”中的全部资格审查资料，并保证资料的真实性。</w:t>
      </w:r>
    </w:p>
    <w:p w14:paraId="62843851">
      <w:pPr>
        <w:pStyle w:val="12"/>
        <w:ind w:left="0" w:leftChars="0" w:firstLine="0" w:firstLineChars="0"/>
        <w:jc w:val="both"/>
        <w:rPr>
          <w:rFonts w:hint="eastAsia" w:ascii="宋体" w:hAnsi="宋体" w:eastAsia="宋体" w:cs="宋体"/>
          <w:color w:val="auto"/>
          <w:sz w:val="24"/>
          <w:highlight w:val="none"/>
        </w:rPr>
      </w:pPr>
    </w:p>
    <w:p w14:paraId="25CF7792">
      <w:pPr>
        <w:pStyle w:val="12"/>
        <w:ind w:left="0" w:leftChars="0" w:firstLine="0" w:firstLineChars="0"/>
        <w:jc w:val="both"/>
        <w:rPr>
          <w:rFonts w:hint="eastAsia" w:ascii="宋体" w:hAnsi="宋体" w:eastAsia="宋体" w:cs="宋体"/>
          <w:color w:val="auto"/>
          <w:sz w:val="24"/>
          <w:highlight w:val="none"/>
        </w:rPr>
      </w:pPr>
    </w:p>
    <w:p w14:paraId="29E628D5">
      <w:pPr>
        <w:pStyle w:val="12"/>
        <w:ind w:left="0" w:leftChars="0" w:firstLine="0" w:firstLineChars="0"/>
        <w:jc w:val="both"/>
        <w:rPr>
          <w:rFonts w:hint="eastAsia" w:ascii="宋体" w:hAnsi="宋体" w:eastAsia="宋体" w:cs="宋体"/>
          <w:color w:val="auto"/>
          <w:sz w:val="24"/>
          <w:highlight w:val="none"/>
        </w:rPr>
      </w:pPr>
    </w:p>
    <w:p w14:paraId="3F8C0BAD">
      <w:pPr>
        <w:pStyle w:val="12"/>
        <w:ind w:left="0" w:leftChars="0" w:firstLine="0" w:firstLineChars="0"/>
        <w:jc w:val="both"/>
        <w:rPr>
          <w:rFonts w:hint="eastAsia" w:ascii="宋体" w:hAnsi="宋体" w:eastAsia="宋体" w:cs="宋体"/>
          <w:color w:val="auto"/>
          <w:sz w:val="24"/>
          <w:highlight w:val="none"/>
        </w:rPr>
      </w:pPr>
    </w:p>
    <w:p w14:paraId="10D8205C">
      <w:pPr>
        <w:pStyle w:val="12"/>
        <w:ind w:left="0" w:leftChars="0" w:firstLine="0" w:firstLineChars="0"/>
        <w:jc w:val="both"/>
        <w:rPr>
          <w:rFonts w:hint="eastAsia" w:ascii="宋体" w:hAnsi="宋体" w:eastAsia="宋体" w:cs="宋体"/>
          <w:color w:val="auto"/>
          <w:sz w:val="24"/>
          <w:highlight w:val="none"/>
        </w:rPr>
      </w:pPr>
    </w:p>
    <w:p w14:paraId="0E09B558">
      <w:pPr>
        <w:pStyle w:val="12"/>
        <w:ind w:left="0" w:leftChars="0" w:firstLine="0" w:firstLineChars="0"/>
        <w:jc w:val="both"/>
        <w:rPr>
          <w:rFonts w:hint="eastAsia" w:ascii="宋体" w:hAnsi="宋体" w:eastAsia="宋体" w:cs="宋体"/>
          <w:color w:val="auto"/>
          <w:sz w:val="24"/>
          <w:highlight w:val="none"/>
        </w:rPr>
      </w:pPr>
    </w:p>
    <w:p w14:paraId="75DEEEB8">
      <w:pPr>
        <w:pStyle w:val="12"/>
        <w:ind w:left="0" w:leftChars="0" w:firstLine="0" w:firstLineChars="0"/>
        <w:jc w:val="both"/>
        <w:rPr>
          <w:rFonts w:hint="eastAsia" w:ascii="宋体" w:hAnsi="宋体" w:eastAsia="宋体" w:cs="宋体"/>
          <w:color w:val="auto"/>
          <w:sz w:val="24"/>
          <w:highlight w:val="none"/>
        </w:rPr>
      </w:pPr>
    </w:p>
    <w:p w14:paraId="1166582C">
      <w:pPr>
        <w:pStyle w:val="12"/>
        <w:ind w:left="0" w:leftChars="0" w:firstLine="0" w:firstLineChars="0"/>
        <w:jc w:val="both"/>
        <w:rPr>
          <w:rFonts w:hint="eastAsia" w:ascii="宋体" w:hAnsi="宋体" w:eastAsia="宋体" w:cs="宋体"/>
          <w:color w:val="auto"/>
          <w:sz w:val="24"/>
          <w:highlight w:val="none"/>
        </w:rPr>
      </w:pPr>
    </w:p>
    <w:p w14:paraId="1F114426">
      <w:pPr>
        <w:pStyle w:val="12"/>
        <w:ind w:left="0" w:leftChars="0" w:firstLine="0" w:firstLineChars="0"/>
        <w:jc w:val="both"/>
        <w:rPr>
          <w:rFonts w:hint="eastAsia" w:ascii="宋体" w:hAnsi="宋体" w:eastAsia="宋体" w:cs="宋体"/>
          <w:color w:val="auto"/>
          <w:sz w:val="24"/>
          <w:highlight w:val="none"/>
        </w:rPr>
      </w:pPr>
    </w:p>
    <w:p w14:paraId="5ECB2F19">
      <w:pPr>
        <w:pStyle w:val="12"/>
        <w:ind w:left="0" w:leftChars="0" w:firstLine="0" w:firstLineChars="0"/>
        <w:jc w:val="both"/>
        <w:rPr>
          <w:rFonts w:hint="eastAsia" w:ascii="宋体" w:hAnsi="宋体" w:eastAsia="宋体" w:cs="宋体"/>
          <w:color w:val="auto"/>
          <w:sz w:val="24"/>
          <w:highlight w:val="none"/>
        </w:rPr>
      </w:pPr>
    </w:p>
    <w:p w14:paraId="1C48C897">
      <w:pPr>
        <w:pStyle w:val="12"/>
        <w:ind w:left="0" w:leftChars="0" w:firstLine="0" w:firstLineChars="0"/>
        <w:jc w:val="both"/>
        <w:rPr>
          <w:rFonts w:hint="eastAsia" w:ascii="宋体" w:hAnsi="宋体" w:eastAsia="宋体" w:cs="宋体"/>
          <w:color w:val="auto"/>
          <w:sz w:val="24"/>
          <w:highlight w:val="none"/>
        </w:rPr>
      </w:pPr>
    </w:p>
    <w:p w14:paraId="3A4AE022">
      <w:pPr>
        <w:pStyle w:val="12"/>
        <w:ind w:left="0" w:leftChars="0" w:firstLine="0" w:firstLineChars="0"/>
        <w:jc w:val="both"/>
        <w:rPr>
          <w:rFonts w:hint="eastAsia" w:ascii="宋体" w:hAnsi="宋体" w:eastAsia="宋体" w:cs="宋体"/>
          <w:color w:val="auto"/>
          <w:sz w:val="24"/>
          <w:highlight w:val="none"/>
        </w:rPr>
      </w:pPr>
    </w:p>
    <w:p w14:paraId="376B3D07">
      <w:pPr>
        <w:pStyle w:val="12"/>
        <w:ind w:left="0" w:leftChars="0" w:firstLine="0" w:firstLineChars="0"/>
        <w:jc w:val="both"/>
        <w:rPr>
          <w:rFonts w:hint="eastAsia" w:ascii="宋体" w:hAnsi="宋体" w:eastAsia="宋体" w:cs="宋体"/>
          <w:color w:val="auto"/>
          <w:sz w:val="24"/>
          <w:highlight w:val="none"/>
        </w:rPr>
      </w:pPr>
    </w:p>
    <w:p w14:paraId="08AE2567">
      <w:pPr>
        <w:pStyle w:val="12"/>
        <w:ind w:left="0" w:leftChars="0" w:firstLine="0" w:firstLineChars="0"/>
        <w:jc w:val="both"/>
        <w:rPr>
          <w:rFonts w:hint="eastAsia" w:ascii="宋体" w:hAnsi="宋体" w:eastAsia="宋体" w:cs="宋体"/>
          <w:color w:val="auto"/>
          <w:sz w:val="24"/>
          <w:highlight w:val="none"/>
        </w:rPr>
      </w:pPr>
    </w:p>
    <w:p w14:paraId="5F06FF9B">
      <w:pPr>
        <w:pStyle w:val="12"/>
        <w:ind w:left="0" w:leftChars="0" w:firstLine="0" w:firstLineChars="0"/>
        <w:jc w:val="both"/>
        <w:rPr>
          <w:rFonts w:hint="eastAsia" w:ascii="宋体" w:hAnsi="宋体" w:eastAsia="宋体" w:cs="宋体"/>
          <w:color w:val="auto"/>
          <w:sz w:val="24"/>
          <w:highlight w:val="none"/>
        </w:rPr>
      </w:pPr>
    </w:p>
    <w:p w14:paraId="33AB377B">
      <w:pPr>
        <w:pStyle w:val="12"/>
        <w:ind w:left="0" w:leftChars="0" w:firstLine="0" w:firstLineChars="0"/>
        <w:jc w:val="both"/>
        <w:rPr>
          <w:rFonts w:hint="eastAsia" w:ascii="宋体" w:hAnsi="宋体" w:eastAsia="宋体" w:cs="宋体"/>
          <w:color w:val="auto"/>
          <w:sz w:val="24"/>
          <w:highlight w:val="none"/>
        </w:rPr>
      </w:pPr>
    </w:p>
    <w:p w14:paraId="23FD0DB5">
      <w:pPr>
        <w:pStyle w:val="12"/>
        <w:ind w:left="0" w:leftChars="0" w:firstLine="0" w:firstLineChars="0"/>
        <w:jc w:val="both"/>
        <w:rPr>
          <w:rFonts w:hint="eastAsia" w:ascii="宋体" w:hAnsi="宋体" w:eastAsia="宋体" w:cs="宋体"/>
          <w:color w:val="auto"/>
          <w:sz w:val="24"/>
          <w:highlight w:val="none"/>
        </w:rPr>
      </w:pPr>
    </w:p>
    <w:p w14:paraId="4A64D410">
      <w:pPr>
        <w:pStyle w:val="12"/>
        <w:ind w:left="0" w:leftChars="0" w:firstLine="0" w:firstLineChars="0"/>
        <w:jc w:val="both"/>
        <w:rPr>
          <w:rFonts w:hint="eastAsia" w:ascii="宋体" w:hAnsi="宋体" w:eastAsia="宋体" w:cs="宋体"/>
          <w:color w:val="auto"/>
          <w:sz w:val="24"/>
          <w:highlight w:val="none"/>
        </w:rPr>
      </w:pPr>
    </w:p>
    <w:p w14:paraId="41CEDD4B">
      <w:pPr>
        <w:pStyle w:val="12"/>
        <w:ind w:left="0" w:leftChars="0" w:firstLine="0" w:firstLineChars="0"/>
        <w:jc w:val="both"/>
        <w:rPr>
          <w:rFonts w:hint="eastAsia" w:ascii="宋体" w:hAnsi="宋体" w:eastAsia="宋体" w:cs="宋体"/>
          <w:color w:val="auto"/>
          <w:sz w:val="24"/>
          <w:highlight w:val="none"/>
        </w:rPr>
      </w:pPr>
    </w:p>
    <w:p w14:paraId="300690F2">
      <w:pPr>
        <w:pStyle w:val="12"/>
        <w:ind w:left="0" w:leftChars="0" w:firstLine="0" w:firstLineChars="0"/>
        <w:jc w:val="both"/>
        <w:rPr>
          <w:rFonts w:hint="eastAsia" w:ascii="宋体" w:hAnsi="宋体" w:eastAsia="宋体" w:cs="宋体"/>
          <w:color w:val="auto"/>
          <w:sz w:val="24"/>
          <w:highlight w:val="none"/>
        </w:rPr>
      </w:pPr>
    </w:p>
    <w:p w14:paraId="2F8F7C41">
      <w:pPr>
        <w:pStyle w:val="12"/>
        <w:ind w:left="0" w:leftChars="0" w:firstLine="0" w:firstLineChars="0"/>
        <w:jc w:val="both"/>
        <w:rPr>
          <w:rFonts w:hint="eastAsia" w:ascii="宋体" w:hAnsi="宋体" w:eastAsia="宋体" w:cs="宋体"/>
          <w:color w:val="auto"/>
          <w:sz w:val="24"/>
          <w:highlight w:val="none"/>
        </w:rPr>
      </w:pPr>
    </w:p>
    <w:p w14:paraId="4FAB6AEF">
      <w:pPr>
        <w:pStyle w:val="12"/>
        <w:ind w:left="0" w:leftChars="0" w:firstLine="0" w:firstLineChars="0"/>
        <w:jc w:val="both"/>
        <w:rPr>
          <w:rFonts w:hint="eastAsia" w:ascii="宋体" w:hAnsi="宋体" w:eastAsia="宋体" w:cs="宋体"/>
          <w:color w:val="auto"/>
          <w:sz w:val="24"/>
          <w:highlight w:val="none"/>
        </w:rPr>
      </w:pPr>
    </w:p>
    <w:p w14:paraId="13F1220E">
      <w:pPr>
        <w:pStyle w:val="12"/>
        <w:ind w:left="0" w:leftChars="0" w:firstLine="0" w:firstLineChars="0"/>
        <w:jc w:val="both"/>
        <w:rPr>
          <w:rFonts w:hint="eastAsia" w:ascii="宋体" w:hAnsi="宋体" w:eastAsia="宋体" w:cs="宋体"/>
          <w:color w:val="auto"/>
          <w:sz w:val="24"/>
          <w:highlight w:val="none"/>
        </w:rPr>
      </w:pPr>
    </w:p>
    <w:p w14:paraId="22D22A17">
      <w:pPr>
        <w:pStyle w:val="12"/>
        <w:ind w:left="0" w:leftChars="0" w:firstLine="0" w:firstLineChars="0"/>
        <w:jc w:val="both"/>
        <w:rPr>
          <w:rFonts w:hint="eastAsia" w:ascii="宋体" w:hAnsi="宋体" w:eastAsia="宋体" w:cs="宋体"/>
          <w:color w:val="auto"/>
          <w:sz w:val="24"/>
          <w:highlight w:val="none"/>
        </w:rPr>
      </w:pPr>
    </w:p>
    <w:p w14:paraId="0F730527">
      <w:pPr>
        <w:pStyle w:val="12"/>
        <w:ind w:left="0" w:leftChars="0" w:firstLine="0" w:firstLineChars="0"/>
        <w:jc w:val="both"/>
        <w:rPr>
          <w:rFonts w:hint="eastAsia" w:ascii="宋体" w:hAnsi="宋体" w:eastAsia="宋体" w:cs="宋体"/>
          <w:color w:val="auto"/>
          <w:sz w:val="24"/>
          <w:highlight w:val="none"/>
        </w:rPr>
      </w:pPr>
    </w:p>
    <w:p w14:paraId="31AE7C25">
      <w:pPr>
        <w:pStyle w:val="12"/>
        <w:ind w:left="0" w:leftChars="0" w:firstLine="0" w:firstLineChars="0"/>
        <w:jc w:val="both"/>
        <w:rPr>
          <w:rFonts w:hint="eastAsia" w:ascii="宋体" w:hAnsi="宋体" w:eastAsia="宋体" w:cs="宋体"/>
          <w:color w:val="auto"/>
          <w:sz w:val="24"/>
          <w:highlight w:val="none"/>
        </w:rPr>
      </w:pPr>
    </w:p>
    <w:p w14:paraId="74E525BA">
      <w:pPr>
        <w:pStyle w:val="12"/>
        <w:ind w:left="0" w:leftChars="0" w:firstLine="0" w:firstLineChars="0"/>
        <w:jc w:val="both"/>
        <w:rPr>
          <w:rFonts w:hint="eastAsia" w:ascii="宋体" w:hAnsi="宋体" w:eastAsia="宋体" w:cs="宋体"/>
          <w:color w:val="auto"/>
          <w:sz w:val="24"/>
          <w:highlight w:val="none"/>
        </w:rPr>
      </w:pPr>
    </w:p>
    <w:p w14:paraId="58D9EF30">
      <w:pPr>
        <w:pStyle w:val="12"/>
        <w:ind w:left="0" w:leftChars="0" w:firstLine="0" w:firstLineChars="0"/>
        <w:jc w:val="both"/>
        <w:rPr>
          <w:rFonts w:hint="eastAsia" w:ascii="宋体" w:hAnsi="宋体" w:eastAsia="宋体" w:cs="宋体"/>
          <w:color w:val="auto"/>
          <w:sz w:val="24"/>
          <w:highlight w:val="none"/>
        </w:rPr>
      </w:pPr>
    </w:p>
    <w:p w14:paraId="0E25AECC">
      <w:pPr>
        <w:pStyle w:val="12"/>
        <w:ind w:left="0" w:leftChars="0" w:firstLine="0" w:firstLineChars="0"/>
        <w:jc w:val="both"/>
        <w:rPr>
          <w:rFonts w:hint="eastAsia" w:ascii="宋体" w:hAnsi="宋体" w:eastAsia="宋体" w:cs="宋体"/>
          <w:color w:val="auto"/>
          <w:sz w:val="24"/>
          <w:highlight w:val="none"/>
        </w:rPr>
      </w:pPr>
    </w:p>
    <w:p w14:paraId="20B1B639">
      <w:pPr>
        <w:pStyle w:val="12"/>
        <w:ind w:left="0" w:leftChars="0" w:firstLine="0" w:firstLineChars="0"/>
        <w:jc w:val="both"/>
        <w:rPr>
          <w:rFonts w:hint="eastAsia" w:ascii="宋体" w:hAnsi="宋体" w:eastAsia="宋体" w:cs="宋体"/>
          <w:color w:val="auto"/>
          <w:sz w:val="24"/>
          <w:highlight w:val="none"/>
        </w:rPr>
      </w:pPr>
    </w:p>
    <w:p w14:paraId="687EFC6D">
      <w:pPr>
        <w:pStyle w:val="12"/>
        <w:ind w:left="0" w:leftChars="0" w:firstLine="0" w:firstLineChars="0"/>
        <w:jc w:val="both"/>
        <w:rPr>
          <w:rFonts w:hint="eastAsia" w:ascii="宋体" w:hAnsi="宋体" w:eastAsia="宋体" w:cs="宋体"/>
          <w:color w:val="auto"/>
          <w:sz w:val="24"/>
          <w:highlight w:val="none"/>
        </w:rPr>
      </w:pPr>
    </w:p>
    <w:p w14:paraId="3CB155EE">
      <w:pPr>
        <w:pStyle w:val="12"/>
        <w:ind w:left="0" w:leftChars="0" w:firstLine="0" w:firstLineChars="0"/>
        <w:jc w:val="both"/>
        <w:rPr>
          <w:rFonts w:hint="eastAsia" w:ascii="宋体" w:hAnsi="宋体" w:eastAsia="宋体" w:cs="宋体"/>
          <w:color w:val="auto"/>
          <w:sz w:val="24"/>
          <w:highlight w:val="none"/>
        </w:rPr>
      </w:pPr>
    </w:p>
    <w:p w14:paraId="1644B275">
      <w:pPr>
        <w:pStyle w:val="12"/>
        <w:ind w:left="0" w:leftChars="0" w:firstLine="0" w:firstLineChars="0"/>
        <w:jc w:val="both"/>
        <w:rPr>
          <w:rFonts w:hint="eastAsia" w:ascii="宋体" w:hAnsi="宋体" w:eastAsia="宋体" w:cs="宋体"/>
          <w:color w:val="auto"/>
          <w:sz w:val="24"/>
          <w:highlight w:val="none"/>
        </w:rPr>
      </w:pPr>
    </w:p>
    <w:p w14:paraId="0AC6B6B8">
      <w:pPr>
        <w:pStyle w:val="12"/>
        <w:ind w:left="0" w:leftChars="0" w:firstLine="0" w:firstLineChars="0"/>
        <w:jc w:val="both"/>
        <w:rPr>
          <w:rFonts w:hint="eastAsia" w:ascii="宋体" w:hAnsi="宋体" w:eastAsia="宋体" w:cs="宋体"/>
          <w:color w:val="auto"/>
          <w:sz w:val="24"/>
          <w:highlight w:val="none"/>
        </w:rPr>
      </w:pPr>
    </w:p>
    <w:p w14:paraId="1FB73EC4">
      <w:pPr>
        <w:keepNext/>
        <w:keepLines/>
        <w:spacing w:before="140" w:after="140" w:line="360" w:lineRule="auto"/>
        <w:jc w:val="center"/>
        <w:outlineLvl w:val="1"/>
        <w:rPr>
          <w:rFonts w:hint="eastAsia" w:ascii="宋体" w:hAnsi="宋体" w:eastAsia="宋体" w:cs="宋体"/>
          <w:b/>
          <w:color w:val="auto"/>
          <w:sz w:val="32"/>
          <w:highlight w:val="none"/>
        </w:rPr>
      </w:pPr>
      <w:r>
        <w:rPr>
          <w:rFonts w:hint="eastAsia" w:ascii="宋体" w:hAnsi="宋体" w:eastAsia="宋体" w:cs="宋体"/>
          <w:b/>
          <w:color w:val="auto"/>
          <w:sz w:val="32"/>
          <w:highlight w:val="none"/>
        </w:rPr>
        <w:t>九、其它资料</w:t>
      </w:r>
    </w:p>
    <w:p w14:paraId="173E2009">
      <w:pPr>
        <w:pStyle w:val="12"/>
        <w:ind w:left="860" w:hanging="440"/>
        <w:rPr>
          <w:rFonts w:hint="eastAsia" w:ascii="宋体" w:hAnsi="宋体" w:eastAsia="宋体" w:cs="宋体"/>
          <w:color w:val="auto"/>
          <w:highlight w:val="none"/>
        </w:rPr>
      </w:pPr>
    </w:p>
    <w:p w14:paraId="1B20D886">
      <w:pPr>
        <w:pStyle w:val="12"/>
        <w:ind w:left="860" w:hanging="440"/>
        <w:rPr>
          <w:rFonts w:hint="eastAsia" w:ascii="宋体" w:hAnsi="宋体" w:eastAsia="宋体" w:cs="宋体"/>
          <w:color w:val="auto"/>
          <w:highlight w:val="none"/>
        </w:rPr>
      </w:pPr>
    </w:p>
    <w:p w14:paraId="02C23CF0">
      <w:pPr>
        <w:pStyle w:val="12"/>
        <w:ind w:left="860" w:hanging="440"/>
        <w:rPr>
          <w:rFonts w:hint="eastAsia" w:ascii="宋体" w:hAnsi="宋体" w:eastAsia="宋体" w:cs="宋体"/>
          <w:color w:val="auto"/>
          <w:highlight w:val="none"/>
        </w:rPr>
      </w:pPr>
    </w:p>
    <w:p w14:paraId="1D59806C">
      <w:pPr>
        <w:pStyle w:val="12"/>
        <w:ind w:left="860" w:hanging="440"/>
        <w:rPr>
          <w:rFonts w:hint="eastAsia" w:ascii="宋体" w:hAnsi="宋体" w:eastAsia="宋体" w:cs="宋体"/>
          <w:color w:val="auto"/>
          <w:highlight w:val="none"/>
        </w:rPr>
      </w:pPr>
    </w:p>
    <w:p w14:paraId="684B75A3">
      <w:pPr>
        <w:pStyle w:val="12"/>
        <w:ind w:left="860" w:hanging="440"/>
        <w:rPr>
          <w:rFonts w:hint="eastAsia" w:ascii="宋体" w:hAnsi="宋体" w:eastAsia="宋体" w:cs="宋体"/>
          <w:color w:val="auto"/>
          <w:highlight w:val="none"/>
        </w:rPr>
      </w:pPr>
    </w:p>
    <w:p w14:paraId="597B860C">
      <w:pPr>
        <w:pStyle w:val="12"/>
        <w:ind w:left="860" w:hanging="440"/>
        <w:rPr>
          <w:rFonts w:hint="eastAsia" w:ascii="宋体" w:hAnsi="宋体" w:eastAsia="宋体" w:cs="宋体"/>
          <w:color w:val="auto"/>
          <w:highlight w:val="none"/>
        </w:rPr>
      </w:pPr>
    </w:p>
    <w:p w14:paraId="5682CB7B">
      <w:pPr>
        <w:pStyle w:val="12"/>
        <w:ind w:left="860" w:hanging="440"/>
        <w:rPr>
          <w:rFonts w:hint="eastAsia" w:ascii="宋体" w:hAnsi="宋体" w:eastAsia="宋体" w:cs="宋体"/>
          <w:color w:val="auto"/>
          <w:highlight w:val="none"/>
        </w:rPr>
      </w:pPr>
    </w:p>
    <w:p w14:paraId="779120D3">
      <w:pPr>
        <w:pStyle w:val="12"/>
        <w:ind w:left="860" w:hanging="440"/>
        <w:rPr>
          <w:rFonts w:hint="eastAsia" w:ascii="宋体" w:hAnsi="宋体" w:eastAsia="宋体" w:cs="宋体"/>
          <w:color w:val="auto"/>
          <w:highlight w:val="none"/>
        </w:rPr>
      </w:pPr>
    </w:p>
    <w:p w14:paraId="70A03709">
      <w:pPr>
        <w:pStyle w:val="12"/>
        <w:ind w:left="860" w:hanging="440"/>
        <w:rPr>
          <w:rFonts w:hint="eastAsia" w:ascii="宋体" w:hAnsi="宋体" w:eastAsia="宋体" w:cs="宋体"/>
          <w:color w:val="auto"/>
          <w:highlight w:val="none"/>
        </w:rPr>
      </w:pPr>
    </w:p>
    <w:p w14:paraId="6188CA3F">
      <w:pPr>
        <w:pStyle w:val="12"/>
        <w:ind w:left="860" w:hanging="440"/>
        <w:rPr>
          <w:rFonts w:hint="eastAsia" w:ascii="宋体" w:hAnsi="宋体" w:eastAsia="宋体" w:cs="宋体"/>
          <w:color w:val="auto"/>
          <w:highlight w:val="none"/>
        </w:rPr>
      </w:pPr>
    </w:p>
    <w:p w14:paraId="5B8EFB6F">
      <w:pPr>
        <w:pStyle w:val="12"/>
        <w:ind w:left="860" w:hanging="440"/>
        <w:rPr>
          <w:rFonts w:hint="eastAsia" w:ascii="宋体" w:hAnsi="宋体" w:eastAsia="宋体" w:cs="宋体"/>
          <w:color w:val="auto"/>
          <w:highlight w:val="none"/>
        </w:rPr>
      </w:pPr>
    </w:p>
    <w:p w14:paraId="6B93594E">
      <w:pPr>
        <w:pStyle w:val="12"/>
        <w:ind w:left="860" w:hanging="440"/>
        <w:rPr>
          <w:rFonts w:hint="eastAsia" w:ascii="宋体" w:hAnsi="宋体" w:eastAsia="宋体" w:cs="宋体"/>
          <w:color w:val="auto"/>
          <w:highlight w:val="none"/>
        </w:rPr>
      </w:pPr>
    </w:p>
    <w:p w14:paraId="3C3485C5">
      <w:pPr>
        <w:pStyle w:val="12"/>
        <w:ind w:left="860" w:hanging="440"/>
        <w:rPr>
          <w:rFonts w:hint="eastAsia" w:ascii="宋体" w:hAnsi="宋体" w:eastAsia="宋体" w:cs="宋体"/>
          <w:color w:val="auto"/>
          <w:highlight w:val="none"/>
        </w:rPr>
      </w:pPr>
    </w:p>
    <w:p w14:paraId="59886A0F">
      <w:pPr>
        <w:pStyle w:val="12"/>
        <w:ind w:left="860" w:hanging="440"/>
        <w:rPr>
          <w:rFonts w:hint="eastAsia" w:ascii="宋体" w:hAnsi="宋体" w:eastAsia="宋体" w:cs="宋体"/>
          <w:color w:val="auto"/>
          <w:highlight w:val="none"/>
        </w:rPr>
      </w:pPr>
    </w:p>
    <w:p w14:paraId="6C9CB322">
      <w:pPr>
        <w:pStyle w:val="12"/>
        <w:ind w:left="860" w:hanging="440"/>
        <w:rPr>
          <w:rFonts w:hint="eastAsia" w:ascii="宋体" w:hAnsi="宋体" w:eastAsia="宋体" w:cs="宋体"/>
          <w:color w:val="auto"/>
          <w:highlight w:val="none"/>
        </w:rPr>
      </w:pPr>
    </w:p>
    <w:p w14:paraId="0B15C256">
      <w:pPr>
        <w:pStyle w:val="12"/>
        <w:ind w:left="860" w:hanging="440"/>
        <w:rPr>
          <w:rFonts w:hint="eastAsia" w:ascii="宋体" w:hAnsi="宋体" w:eastAsia="宋体" w:cs="宋体"/>
          <w:color w:val="auto"/>
          <w:highlight w:val="none"/>
        </w:rPr>
      </w:pPr>
    </w:p>
    <w:p w14:paraId="0D7B9F7F">
      <w:pPr>
        <w:pStyle w:val="12"/>
        <w:ind w:left="860" w:hanging="440"/>
        <w:rPr>
          <w:rFonts w:hint="eastAsia" w:ascii="宋体" w:hAnsi="宋体" w:eastAsia="宋体" w:cs="宋体"/>
          <w:color w:val="auto"/>
          <w:highlight w:val="none"/>
        </w:rPr>
      </w:pPr>
    </w:p>
    <w:p w14:paraId="19A5890C">
      <w:pPr>
        <w:pStyle w:val="12"/>
        <w:ind w:left="860" w:hanging="440"/>
        <w:rPr>
          <w:rFonts w:hint="eastAsia" w:ascii="宋体" w:hAnsi="宋体" w:eastAsia="宋体" w:cs="宋体"/>
          <w:color w:val="auto"/>
          <w:highlight w:val="none"/>
        </w:rPr>
      </w:pPr>
    </w:p>
    <w:p w14:paraId="7B7501A8">
      <w:pPr>
        <w:pStyle w:val="12"/>
        <w:ind w:left="860" w:hanging="440"/>
        <w:rPr>
          <w:rFonts w:hint="eastAsia" w:ascii="宋体" w:hAnsi="宋体" w:eastAsia="宋体" w:cs="宋体"/>
          <w:color w:val="auto"/>
          <w:highlight w:val="none"/>
        </w:rPr>
      </w:pPr>
    </w:p>
    <w:p w14:paraId="181E26E6">
      <w:pPr>
        <w:pStyle w:val="12"/>
        <w:ind w:left="860" w:hanging="440"/>
        <w:rPr>
          <w:rFonts w:hint="eastAsia" w:ascii="宋体" w:hAnsi="宋体" w:eastAsia="宋体" w:cs="宋体"/>
          <w:color w:val="auto"/>
          <w:highlight w:val="none"/>
        </w:rPr>
      </w:pPr>
    </w:p>
    <w:p w14:paraId="082092DD">
      <w:pPr>
        <w:pStyle w:val="12"/>
        <w:ind w:left="860" w:hanging="440"/>
        <w:rPr>
          <w:rFonts w:hint="eastAsia" w:ascii="宋体" w:hAnsi="宋体" w:eastAsia="宋体" w:cs="宋体"/>
          <w:color w:val="auto"/>
          <w:highlight w:val="none"/>
        </w:rPr>
      </w:pPr>
    </w:p>
    <w:p w14:paraId="20025B16">
      <w:pPr>
        <w:pStyle w:val="12"/>
        <w:ind w:left="860" w:hanging="440"/>
        <w:rPr>
          <w:rFonts w:hint="eastAsia" w:ascii="宋体" w:hAnsi="宋体" w:eastAsia="宋体" w:cs="宋体"/>
          <w:color w:val="auto"/>
          <w:highlight w:val="none"/>
        </w:rPr>
      </w:pPr>
    </w:p>
    <w:p w14:paraId="3BB7C66C">
      <w:pPr>
        <w:pStyle w:val="12"/>
        <w:ind w:left="860" w:hanging="440"/>
        <w:rPr>
          <w:rFonts w:hint="eastAsia" w:ascii="宋体" w:hAnsi="宋体" w:eastAsia="宋体" w:cs="宋体"/>
          <w:color w:val="auto"/>
          <w:highlight w:val="none"/>
        </w:rPr>
      </w:pPr>
    </w:p>
    <w:p w14:paraId="44794C16">
      <w:pPr>
        <w:pStyle w:val="12"/>
        <w:ind w:left="860" w:hanging="440"/>
        <w:rPr>
          <w:rFonts w:hint="eastAsia" w:ascii="宋体" w:hAnsi="宋体" w:eastAsia="宋体" w:cs="宋体"/>
          <w:color w:val="auto"/>
          <w:highlight w:val="none"/>
        </w:rPr>
      </w:pPr>
    </w:p>
    <w:p w14:paraId="7012DBDB">
      <w:pPr>
        <w:pStyle w:val="12"/>
        <w:ind w:left="860" w:hanging="440"/>
        <w:rPr>
          <w:rFonts w:hint="eastAsia" w:ascii="宋体" w:hAnsi="宋体" w:eastAsia="宋体" w:cs="宋体"/>
          <w:color w:val="auto"/>
          <w:highlight w:val="none"/>
        </w:rPr>
      </w:pPr>
    </w:p>
    <w:p w14:paraId="592C9FAD">
      <w:pPr>
        <w:pStyle w:val="12"/>
        <w:ind w:left="860" w:hanging="440"/>
        <w:rPr>
          <w:rFonts w:hint="eastAsia" w:ascii="宋体" w:hAnsi="宋体" w:eastAsia="宋体" w:cs="宋体"/>
          <w:color w:val="auto"/>
          <w:highlight w:val="none"/>
        </w:rPr>
      </w:pPr>
    </w:p>
    <w:p w14:paraId="42F4FB32">
      <w:pPr>
        <w:pStyle w:val="12"/>
        <w:ind w:left="860" w:hanging="440"/>
        <w:rPr>
          <w:rFonts w:hint="eastAsia" w:ascii="宋体" w:hAnsi="宋体" w:eastAsia="宋体" w:cs="宋体"/>
          <w:color w:val="auto"/>
          <w:highlight w:val="none"/>
        </w:rPr>
      </w:pPr>
    </w:p>
    <w:p w14:paraId="3EF78CF6">
      <w:pPr>
        <w:pStyle w:val="12"/>
        <w:ind w:left="860" w:hanging="440"/>
        <w:rPr>
          <w:rFonts w:hint="eastAsia" w:ascii="宋体" w:hAnsi="宋体" w:eastAsia="宋体" w:cs="宋体"/>
          <w:color w:val="auto"/>
          <w:highlight w:val="none"/>
        </w:rPr>
      </w:pPr>
    </w:p>
    <w:p w14:paraId="3D1D75C3">
      <w:pPr>
        <w:pStyle w:val="12"/>
        <w:ind w:left="860" w:hanging="440"/>
        <w:rPr>
          <w:rFonts w:hint="eastAsia" w:ascii="宋体" w:hAnsi="宋体" w:eastAsia="宋体" w:cs="宋体"/>
          <w:color w:val="auto"/>
          <w:highlight w:val="none"/>
        </w:rPr>
      </w:pPr>
    </w:p>
    <w:p w14:paraId="2E05CC7A">
      <w:pPr>
        <w:pStyle w:val="12"/>
        <w:ind w:left="860" w:hanging="440"/>
        <w:rPr>
          <w:rFonts w:hint="eastAsia" w:ascii="宋体" w:hAnsi="宋体" w:eastAsia="宋体" w:cs="宋体"/>
          <w:color w:val="auto"/>
          <w:highlight w:val="none"/>
        </w:rPr>
      </w:pPr>
    </w:p>
    <w:p w14:paraId="4B47EA18">
      <w:pPr>
        <w:pStyle w:val="12"/>
        <w:ind w:left="860" w:hanging="440"/>
        <w:rPr>
          <w:rFonts w:hint="eastAsia" w:ascii="宋体" w:hAnsi="宋体" w:eastAsia="宋体" w:cs="宋体"/>
          <w:color w:val="auto"/>
          <w:highlight w:val="none"/>
        </w:rPr>
      </w:pPr>
    </w:p>
    <w:p w14:paraId="2A745069">
      <w:pPr>
        <w:pStyle w:val="12"/>
        <w:ind w:left="860" w:hanging="440"/>
        <w:rPr>
          <w:rFonts w:hint="eastAsia" w:ascii="宋体" w:hAnsi="宋体" w:eastAsia="宋体" w:cs="宋体"/>
          <w:color w:val="auto"/>
          <w:highlight w:val="none"/>
        </w:rPr>
      </w:pPr>
    </w:p>
    <w:p w14:paraId="6F6A76C8">
      <w:pPr>
        <w:pStyle w:val="12"/>
        <w:ind w:left="860" w:hanging="440"/>
        <w:rPr>
          <w:rFonts w:hint="eastAsia" w:ascii="宋体" w:hAnsi="宋体" w:eastAsia="宋体" w:cs="宋体"/>
          <w:color w:val="auto"/>
          <w:highlight w:val="none"/>
        </w:rPr>
      </w:pPr>
    </w:p>
    <w:p w14:paraId="0C4D2EEE">
      <w:pPr>
        <w:pStyle w:val="12"/>
        <w:ind w:left="860" w:hanging="440"/>
        <w:rPr>
          <w:rFonts w:hint="eastAsia" w:ascii="宋体" w:hAnsi="宋体" w:eastAsia="宋体" w:cs="宋体"/>
          <w:color w:val="auto"/>
          <w:highlight w:val="none"/>
        </w:rPr>
      </w:pPr>
    </w:p>
    <w:p w14:paraId="354636B6">
      <w:pPr>
        <w:pStyle w:val="12"/>
        <w:ind w:left="860" w:hanging="440"/>
        <w:rPr>
          <w:rFonts w:hint="eastAsia" w:ascii="宋体" w:hAnsi="宋体" w:eastAsia="宋体" w:cs="宋体"/>
          <w:color w:val="auto"/>
          <w:highlight w:val="none"/>
        </w:rPr>
      </w:pPr>
    </w:p>
    <w:p w14:paraId="0F8A1E43">
      <w:pPr>
        <w:pStyle w:val="12"/>
        <w:ind w:left="860" w:hanging="440"/>
        <w:rPr>
          <w:rFonts w:hint="eastAsia" w:ascii="宋体" w:hAnsi="宋体" w:eastAsia="宋体" w:cs="宋体"/>
          <w:color w:val="auto"/>
          <w:highlight w:val="none"/>
        </w:rPr>
      </w:pPr>
    </w:p>
    <w:p w14:paraId="3704295D">
      <w:pPr>
        <w:pStyle w:val="12"/>
        <w:ind w:left="860" w:hanging="440"/>
        <w:rPr>
          <w:rFonts w:hint="eastAsia" w:ascii="宋体" w:hAnsi="宋体" w:eastAsia="宋体" w:cs="宋体"/>
          <w:color w:val="auto"/>
          <w:highlight w:val="none"/>
        </w:rPr>
      </w:pPr>
    </w:p>
    <w:p w14:paraId="77AC2EA1">
      <w:pPr>
        <w:pStyle w:val="12"/>
        <w:ind w:left="860" w:hanging="440"/>
        <w:rPr>
          <w:rFonts w:hint="eastAsia" w:ascii="宋体" w:hAnsi="宋体" w:eastAsia="宋体" w:cs="宋体"/>
          <w:color w:val="auto"/>
          <w:highlight w:val="none"/>
        </w:rPr>
      </w:pPr>
    </w:p>
    <w:p w14:paraId="272978A4">
      <w:pPr>
        <w:pStyle w:val="12"/>
        <w:ind w:left="860" w:hanging="440"/>
        <w:rPr>
          <w:rFonts w:hint="eastAsia" w:ascii="宋体" w:hAnsi="宋体" w:eastAsia="宋体" w:cs="宋体"/>
          <w:color w:val="auto"/>
          <w:highlight w:val="none"/>
        </w:rPr>
      </w:pPr>
    </w:p>
    <w:p w14:paraId="6E49C76D">
      <w:pPr>
        <w:pStyle w:val="12"/>
        <w:ind w:left="860" w:hanging="440"/>
        <w:rPr>
          <w:rFonts w:hint="eastAsia" w:ascii="宋体" w:hAnsi="宋体" w:eastAsia="宋体" w:cs="宋体"/>
          <w:color w:val="auto"/>
          <w:highlight w:val="none"/>
        </w:rPr>
      </w:pPr>
    </w:p>
    <w:p w14:paraId="43723911">
      <w:pPr>
        <w:pStyle w:val="12"/>
        <w:ind w:left="860" w:hanging="440"/>
        <w:rPr>
          <w:rFonts w:hint="eastAsia" w:ascii="宋体" w:hAnsi="宋体" w:eastAsia="宋体" w:cs="宋体"/>
          <w:color w:val="auto"/>
          <w:highlight w:val="none"/>
        </w:rPr>
      </w:pPr>
    </w:p>
    <w:p w14:paraId="21A3F863">
      <w:pPr>
        <w:spacing w:line="276" w:lineRule="auto"/>
        <w:jc w:val="left"/>
        <w:rPr>
          <w:rFonts w:hint="eastAsia" w:ascii="宋体" w:hAnsi="宋体" w:eastAsia="宋体" w:cs="宋体"/>
          <w:color w:val="auto"/>
          <w:highlight w:val="none"/>
        </w:rPr>
      </w:pPr>
      <w:r>
        <w:rPr>
          <w:rFonts w:hint="eastAsia" w:ascii="宋体" w:hAnsi="宋体" w:eastAsia="宋体" w:cs="宋体"/>
          <w:b/>
          <w:bCs/>
          <w:color w:val="auto"/>
          <w:sz w:val="30"/>
          <w:szCs w:val="30"/>
          <w:highlight w:val="none"/>
        </w:rPr>
        <w:t>附件</w:t>
      </w:r>
    </w:p>
    <w:p w14:paraId="614F9E2D">
      <w:pPr>
        <w:pStyle w:val="3"/>
        <w:numPr>
          <w:ilvl w:val="0"/>
          <w:numId w:val="0"/>
        </w:numPr>
        <w:spacing w:before="162"/>
        <w:ind w:right="18" w:rightChars="0"/>
        <w:rPr>
          <w:rFonts w:hint="eastAsia" w:ascii="宋体" w:hAnsi="宋体" w:eastAsia="宋体" w:cs="宋体"/>
          <w:color w:val="auto"/>
          <w:sz w:val="28"/>
          <w:szCs w:val="28"/>
          <w:highlight w:val="none"/>
        </w:rPr>
      </w:pPr>
      <w:bookmarkStart w:id="39" w:name="_Toc28996"/>
      <w:bookmarkStart w:id="40" w:name="_Toc24571"/>
      <w:r>
        <w:rPr>
          <w:rFonts w:hint="eastAsia" w:ascii="宋体" w:hAnsi="宋体" w:eastAsia="宋体" w:cs="宋体"/>
          <w:b/>
          <w:bCs/>
          <w:color w:val="auto"/>
          <w:kern w:val="0"/>
          <w:sz w:val="28"/>
          <w:szCs w:val="28"/>
          <w:highlight w:val="none"/>
          <w:lang w:val="zh-CN" w:eastAsia="zh-CN" w:bidi="ar-SA"/>
        </w:rPr>
        <w:t>(一)</w:t>
      </w:r>
      <w:r>
        <w:rPr>
          <w:rFonts w:hint="eastAsia" w:ascii="宋体" w:hAnsi="宋体" w:eastAsia="宋体" w:cs="宋体"/>
          <w:color w:val="auto"/>
          <w:sz w:val="28"/>
          <w:szCs w:val="28"/>
          <w:highlight w:val="none"/>
        </w:rPr>
        <w:t>中小企业声明函（货物）</w:t>
      </w:r>
      <w:bookmarkEnd w:id="39"/>
      <w:bookmarkEnd w:id="40"/>
    </w:p>
    <w:p w14:paraId="70EF273C">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（注：符合中小企业划型标准的企业请提供本函，不符合的不提供本函）</w:t>
      </w:r>
    </w:p>
    <w:p w14:paraId="534C19D4">
      <w:pPr>
        <w:pStyle w:val="9"/>
        <w:keepNext w:val="0"/>
        <w:keepLines w:val="0"/>
        <w:pageBreakBefore w:val="0"/>
        <w:widowControl w:val="0"/>
        <w:kinsoku/>
        <w:wordWrap/>
        <w:overflowPunct/>
        <w:topLinePunct w:val="0"/>
        <w:bidi w:val="0"/>
        <w:adjustRightInd w:val="0"/>
        <w:snapToGrid w:val="0"/>
        <w:spacing w:line="360" w:lineRule="auto"/>
        <w:ind w:right="415" w:firstLine="64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5"/>
          <w:sz w:val="24"/>
          <w:szCs w:val="24"/>
          <w:highlight w:val="none"/>
          <w:u w:val="single"/>
        </w:rPr>
        <w:t>（单位名称）</w:t>
      </w:r>
      <w:r>
        <w:rPr>
          <w:rFonts w:hint="eastAsia" w:ascii="宋体" w:hAnsi="宋体" w:eastAsia="宋体" w:cs="宋体"/>
          <w:color w:val="auto"/>
          <w:spacing w:val="-5"/>
          <w:sz w:val="24"/>
          <w:szCs w:val="24"/>
          <w:highlight w:val="none"/>
        </w:rPr>
        <w:t>的</w:t>
      </w:r>
      <w:r>
        <w:rPr>
          <w:rFonts w:hint="eastAsia" w:ascii="宋体" w:hAnsi="宋体" w:eastAsia="宋体" w:cs="宋体"/>
          <w:color w:val="auto"/>
          <w:spacing w:val="-5"/>
          <w:sz w:val="24"/>
          <w:szCs w:val="24"/>
          <w:highlight w:val="none"/>
          <w:u w:val="single"/>
        </w:rPr>
        <w:t>（项目名称</w:t>
      </w:r>
      <w:r>
        <w:rPr>
          <w:rFonts w:hint="eastAsia" w:ascii="宋体" w:hAnsi="宋体" w:eastAsia="宋体" w:cs="宋体"/>
          <w:color w:val="auto"/>
          <w:spacing w:val="-5"/>
          <w:sz w:val="24"/>
          <w:szCs w:val="24"/>
          <w:highlight w:val="none"/>
        </w:rPr>
        <w:t>）采购活动，提供的货物全部由符合政策要求的中小企业制造。相关企业（含联合体中的中小企业、签订分包意向协议的中小企业） 的具体情况如下：</w:t>
      </w:r>
    </w:p>
    <w:p w14:paraId="6143AC2A">
      <w:pPr>
        <w:pStyle w:val="9"/>
        <w:keepNext w:val="0"/>
        <w:keepLines w:val="0"/>
        <w:pageBreakBefore w:val="0"/>
        <w:widowControl w:val="0"/>
        <w:kinsoku/>
        <w:wordWrap/>
        <w:overflowPunct/>
        <w:topLinePunct w:val="0"/>
        <w:bidi w:val="0"/>
        <w:adjustRightInd w:val="0"/>
        <w:snapToGrid w:val="0"/>
        <w:spacing w:line="360" w:lineRule="auto"/>
        <w:ind w:right="415" w:firstLine="64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lang w:val="en-US"/>
        </w:rPr>
        <w:t>1.</w:t>
      </w:r>
      <w:r>
        <w:rPr>
          <w:rFonts w:hint="eastAsia" w:ascii="宋体" w:hAnsi="宋体" w:eastAsia="宋体" w:cs="宋体"/>
          <w:color w:val="auto"/>
          <w:spacing w:val="-5"/>
          <w:sz w:val="24"/>
          <w:szCs w:val="24"/>
          <w:highlight w:val="none"/>
          <w:u w:val="single"/>
        </w:rPr>
        <w:t xml:space="preserve">（ 标 的 名 称 ） </w:t>
      </w:r>
      <w:r>
        <w:rPr>
          <w:rFonts w:hint="eastAsia" w:ascii="宋体" w:hAnsi="宋体" w:eastAsia="宋体" w:cs="宋体"/>
          <w:color w:val="auto"/>
          <w:spacing w:val="-5"/>
          <w:sz w:val="24"/>
          <w:szCs w:val="24"/>
          <w:highlight w:val="none"/>
        </w:rPr>
        <w:t xml:space="preserve">， 属 于 </w:t>
      </w:r>
      <w:r>
        <w:rPr>
          <w:rFonts w:hint="eastAsia" w:ascii="宋体" w:hAnsi="宋体" w:eastAsia="宋体" w:cs="宋体"/>
          <w:color w:val="auto"/>
          <w:spacing w:val="-5"/>
          <w:sz w:val="24"/>
          <w:szCs w:val="24"/>
          <w:highlight w:val="none"/>
          <w:u w:val="single"/>
        </w:rPr>
        <w:t>（ 采 购 文 件 中 明 确 的 所 属 行 业 ）</w:t>
      </w:r>
      <w:r>
        <w:rPr>
          <w:rFonts w:hint="eastAsia" w:ascii="宋体" w:hAnsi="宋体" w:eastAsia="宋体" w:cs="宋体"/>
          <w:color w:val="auto"/>
          <w:spacing w:val="-5"/>
          <w:sz w:val="24"/>
          <w:szCs w:val="24"/>
          <w:highlight w:val="none"/>
        </w:rPr>
        <w:t xml:space="preserve"> 行业；制造商为</w:t>
      </w:r>
      <w:r>
        <w:rPr>
          <w:rFonts w:hint="eastAsia" w:ascii="宋体" w:hAnsi="宋体" w:eastAsia="宋体" w:cs="宋体"/>
          <w:color w:val="auto"/>
          <w:spacing w:val="-5"/>
          <w:sz w:val="24"/>
          <w:szCs w:val="24"/>
          <w:highlight w:val="none"/>
          <w:u w:val="single"/>
        </w:rPr>
        <w:t>（企业名称）</w:t>
      </w:r>
      <w:r>
        <w:rPr>
          <w:rFonts w:hint="eastAsia" w:ascii="宋体" w:hAnsi="宋体" w:eastAsia="宋体" w:cs="宋体"/>
          <w:color w:val="auto"/>
          <w:spacing w:val="-5"/>
          <w:sz w:val="24"/>
          <w:szCs w:val="24"/>
          <w:highlight w:val="none"/>
        </w:rPr>
        <w:t>，从业人员</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rPr>
        <w:tab/>
      </w:r>
      <w:r>
        <w:rPr>
          <w:rFonts w:hint="eastAsia" w:ascii="宋体" w:hAnsi="宋体" w:eastAsia="宋体" w:cs="宋体"/>
          <w:color w:val="auto"/>
          <w:spacing w:val="-5"/>
          <w:sz w:val="24"/>
          <w:szCs w:val="24"/>
          <w:highlight w:val="none"/>
        </w:rPr>
        <w:t>人，营业收入为</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rPr>
        <w:tab/>
      </w:r>
      <w:r>
        <w:rPr>
          <w:rFonts w:hint="eastAsia" w:ascii="宋体" w:hAnsi="宋体" w:eastAsia="宋体" w:cs="宋体"/>
          <w:color w:val="auto"/>
          <w:spacing w:val="-5"/>
          <w:sz w:val="24"/>
          <w:szCs w:val="24"/>
          <w:highlight w:val="none"/>
          <w:u w:val="single"/>
          <w:lang w:val="en-US"/>
        </w:rPr>
        <w:t xml:space="preserve"> </w:t>
      </w:r>
      <w:r>
        <w:rPr>
          <w:rFonts w:hint="eastAsia" w:ascii="宋体" w:hAnsi="宋体" w:eastAsia="宋体" w:cs="宋体"/>
          <w:color w:val="auto"/>
          <w:spacing w:val="-5"/>
          <w:sz w:val="24"/>
          <w:szCs w:val="24"/>
          <w:highlight w:val="none"/>
        </w:rPr>
        <w:t>万元，资产总额为</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rPr>
        <w:tab/>
      </w:r>
      <w:r>
        <w:rPr>
          <w:rFonts w:hint="eastAsia" w:ascii="宋体" w:hAnsi="宋体" w:eastAsia="宋体" w:cs="宋体"/>
          <w:color w:val="auto"/>
          <w:spacing w:val="-5"/>
          <w:sz w:val="24"/>
          <w:szCs w:val="24"/>
          <w:highlight w:val="none"/>
        </w:rPr>
        <w:t>万元，属于（中型企业、小型企业、微型企业）；</w:t>
      </w:r>
    </w:p>
    <w:p w14:paraId="535FBAF8">
      <w:pPr>
        <w:pStyle w:val="9"/>
        <w:keepNext w:val="0"/>
        <w:keepLines w:val="0"/>
        <w:pageBreakBefore w:val="0"/>
        <w:widowControl w:val="0"/>
        <w:kinsoku/>
        <w:wordWrap/>
        <w:overflowPunct/>
        <w:topLinePunct w:val="0"/>
        <w:bidi w:val="0"/>
        <w:adjustRightInd w:val="0"/>
        <w:snapToGrid w:val="0"/>
        <w:spacing w:line="360" w:lineRule="auto"/>
        <w:ind w:right="415" w:firstLine="64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5"/>
          <w:sz w:val="24"/>
          <w:szCs w:val="24"/>
          <w:highlight w:val="none"/>
          <w:lang w:val="en-US"/>
        </w:rPr>
        <w:t>2.</w:t>
      </w:r>
      <w:r>
        <w:rPr>
          <w:rFonts w:hint="eastAsia" w:ascii="宋体" w:hAnsi="宋体" w:eastAsia="宋体" w:cs="宋体"/>
          <w:color w:val="auto"/>
          <w:spacing w:val="-5"/>
          <w:sz w:val="24"/>
          <w:szCs w:val="24"/>
          <w:highlight w:val="none"/>
          <w:u w:val="single"/>
        </w:rPr>
        <w:t>（ 标 的 名 称 ）</w:t>
      </w:r>
      <w:r>
        <w:rPr>
          <w:rFonts w:hint="eastAsia" w:ascii="宋体" w:hAnsi="宋体" w:eastAsia="宋体" w:cs="宋体"/>
          <w:color w:val="auto"/>
          <w:spacing w:val="-5"/>
          <w:sz w:val="24"/>
          <w:szCs w:val="24"/>
          <w:highlight w:val="none"/>
        </w:rPr>
        <w:t xml:space="preserve"> ， 属 于 </w:t>
      </w:r>
      <w:r>
        <w:rPr>
          <w:rFonts w:hint="eastAsia" w:ascii="宋体" w:hAnsi="宋体" w:eastAsia="宋体" w:cs="宋体"/>
          <w:color w:val="auto"/>
          <w:spacing w:val="-5"/>
          <w:sz w:val="24"/>
          <w:szCs w:val="24"/>
          <w:highlight w:val="none"/>
          <w:u w:val="single"/>
        </w:rPr>
        <w:t>（ 采 购 文 件 中 明 确 的 所 属 行 业 ）</w:t>
      </w:r>
      <w:r>
        <w:rPr>
          <w:rFonts w:hint="eastAsia" w:ascii="宋体" w:hAnsi="宋体" w:eastAsia="宋体" w:cs="宋体"/>
          <w:color w:val="auto"/>
          <w:spacing w:val="-5"/>
          <w:sz w:val="24"/>
          <w:szCs w:val="24"/>
          <w:highlight w:val="none"/>
        </w:rPr>
        <w:t xml:space="preserve"> 行业；制造商为（</w:t>
      </w:r>
      <w:r>
        <w:rPr>
          <w:rFonts w:hint="eastAsia" w:ascii="宋体" w:hAnsi="宋体" w:eastAsia="宋体" w:cs="宋体"/>
          <w:color w:val="auto"/>
          <w:spacing w:val="-5"/>
          <w:sz w:val="24"/>
          <w:szCs w:val="24"/>
          <w:highlight w:val="none"/>
          <w:u w:val="single"/>
        </w:rPr>
        <w:t>企业名称）</w:t>
      </w:r>
      <w:r>
        <w:rPr>
          <w:rFonts w:hint="eastAsia" w:ascii="宋体" w:hAnsi="宋体" w:eastAsia="宋体" w:cs="宋体"/>
          <w:color w:val="auto"/>
          <w:spacing w:val="-5"/>
          <w:sz w:val="24"/>
          <w:szCs w:val="24"/>
          <w:highlight w:val="none"/>
        </w:rPr>
        <w:t>，从业人员</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rPr>
        <w:tab/>
      </w:r>
      <w:r>
        <w:rPr>
          <w:rFonts w:hint="eastAsia" w:ascii="宋体" w:hAnsi="宋体" w:eastAsia="宋体" w:cs="宋体"/>
          <w:color w:val="auto"/>
          <w:spacing w:val="-5"/>
          <w:sz w:val="24"/>
          <w:szCs w:val="24"/>
          <w:highlight w:val="none"/>
        </w:rPr>
        <w:t>人，营业收入为</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rPr>
        <w:tab/>
      </w:r>
      <w:r>
        <w:rPr>
          <w:rFonts w:hint="eastAsia" w:ascii="宋体" w:hAnsi="宋体" w:eastAsia="宋体" w:cs="宋体"/>
          <w:color w:val="auto"/>
          <w:spacing w:val="-5"/>
          <w:sz w:val="24"/>
          <w:szCs w:val="24"/>
          <w:highlight w:val="none"/>
        </w:rPr>
        <w:t>万元，资产总额为</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rPr>
        <w:tab/>
      </w:r>
      <w:r>
        <w:rPr>
          <w:rFonts w:hint="eastAsia" w:ascii="宋体" w:hAnsi="宋体" w:eastAsia="宋体" w:cs="宋体"/>
          <w:color w:val="auto"/>
          <w:spacing w:val="-5"/>
          <w:sz w:val="24"/>
          <w:szCs w:val="24"/>
          <w:highlight w:val="none"/>
        </w:rPr>
        <w:t>万元，属于（中型企业、小型企业、微型企业）；</w:t>
      </w:r>
    </w:p>
    <w:p w14:paraId="3D441C7E">
      <w:pPr>
        <w:pStyle w:val="9"/>
        <w:keepNext w:val="0"/>
        <w:keepLines w:val="0"/>
        <w:pageBreakBefore w:val="0"/>
        <w:widowControl w:val="0"/>
        <w:kinsoku/>
        <w:wordWrap/>
        <w:overflowPunct/>
        <w:topLinePunct w:val="0"/>
        <w:bidi w:val="0"/>
        <w:adjustRightInd w:val="0"/>
        <w:snapToGrid w:val="0"/>
        <w:spacing w:line="360" w:lineRule="auto"/>
        <w:ind w:right="415" w:firstLine="64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w:t>
      </w:r>
    </w:p>
    <w:p w14:paraId="06DCCBDB">
      <w:pPr>
        <w:pStyle w:val="9"/>
        <w:keepNext w:val="0"/>
        <w:keepLines w:val="0"/>
        <w:pageBreakBefore w:val="0"/>
        <w:widowControl w:val="0"/>
        <w:kinsoku/>
        <w:wordWrap/>
        <w:overflowPunct/>
        <w:topLinePunct w:val="0"/>
        <w:bidi w:val="0"/>
        <w:adjustRightInd w:val="0"/>
        <w:snapToGrid w:val="0"/>
        <w:spacing w:line="360" w:lineRule="auto"/>
        <w:ind w:right="415" w:firstLine="64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以上企业，不属于大企业的分支机构，不存在控股股东为大企业的情形，也不存在与大企业的负责人为同一人的情形。</w:t>
      </w:r>
    </w:p>
    <w:p w14:paraId="2E99C202">
      <w:pPr>
        <w:pStyle w:val="9"/>
        <w:keepNext w:val="0"/>
        <w:keepLines w:val="0"/>
        <w:pageBreakBefore w:val="0"/>
        <w:widowControl w:val="0"/>
        <w:kinsoku/>
        <w:wordWrap/>
        <w:overflowPunct/>
        <w:topLinePunct w:val="0"/>
        <w:bidi w:val="0"/>
        <w:adjustRightInd w:val="0"/>
        <w:snapToGrid w:val="0"/>
        <w:spacing w:line="360" w:lineRule="auto"/>
        <w:ind w:right="415"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本企业对上述声明内容的真实性负责</w:t>
      </w:r>
      <w:r>
        <w:rPr>
          <w:rFonts w:hint="eastAsia" w:ascii="宋体" w:hAnsi="宋体" w:eastAsia="宋体" w:cs="宋体"/>
          <w:color w:val="auto"/>
          <w:sz w:val="24"/>
          <w:szCs w:val="24"/>
          <w:highlight w:val="none"/>
        </w:rPr>
        <w:t>。如有虚假，将依法承担相应责任。</w:t>
      </w:r>
    </w:p>
    <w:p w14:paraId="2384A5C1">
      <w:pPr>
        <w:pStyle w:val="9"/>
        <w:keepNext w:val="0"/>
        <w:keepLines w:val="0"/>
        <w:pageBreakBefore w:val="0"/>
        <w:widowControl w:val="0"/>
        <w:kinsoku/>
        <w:wordWrap/>
        <w:overflowPunct/>
        <w:topLinePunct w:val="0"/>
        <w:bidi w:val="0"/>
        <w:adjustRightInd w:val="0"/>
        <w:snapToGrid w:val="0"/>
        <w:spacing w:line="360" w:lineRule="auto"/>
        <w:ind w:left="4060" w:right="2166"/>
        <w:textAlignment w:val="auto"/>
        <w:rPr>
          <w:rFonts w:hint="eastAsia" w:ascii="宋体" w:hAnsi="宋体" w:eastAsia="宋体" w:cs="宋体"/>
          <w:color w:val="auto"/>
          <w:w w:val="99"/>
          <w:sz w:val="24"/>
          <w:szCs w:val="24"/>
          <w:highlight w:val="none"/>
        </w:rPr>
      </w:pPr>
    </w:p>
    <w:p w14:paraId="29BDAD5D">
      <w:pPr>
        <w:pStyle w:val="9"/>
        <w:keepNext w:val="0"/>
        <w:keepLines w:val="0"/>
        <w:pageBreakBefore w:val="0"/>
        <w:widowControl w:val="0"/>
        <w:kinsoku/>
        <w:wordWrap/>
        <w:overflowPunct/>
        <w:topLinePunct w:val="0"/>
        <w:bidi w:val="0"/>
        <w:adjustRightInd w:val="0"/>
        <w:snapToGrid w:val="0"/>
        <w:spacing w:line="360" w:lineRule="auto"/>
        <w:ind w:right="2166" w:firstLine="3744" w:firstLineChars="1300"/>
        <w:textAlignment w:val="auto"/>
        <w:rPr>
          <w:rFonts w:hint="eastAsia" w:ascii="宋体" w:hAnsi="宋体" w:eastAsia="宋体" w:cs="宋体"/>
          <w:color w:val="auto"/>
          <w:spacing w:val="24"/>
          <w:sz w:val="24"/>
          <w:szCs w:val="24"/>
          <w:highlight w:val="none"/>
        </w:rPr>
      </w:pPr>
      <w:r>
        <w:rPr>
          <w:rFonts w:hint="eastAsia" w:ascii="宋体" w:hAnsi="宋体" w:eastAsia="宋体" w:cs="宋体"/>
          <w:color w:val="auto"/>
          <w:spacing w:val="24"/>
          <w:sz w:val="24"/>
          <w:szCs w:val="24"/>
          <w:highlight w:val="none"/>
        </w:rPr>
        <w:t>企业名称（盖章）：</w:t>
      </w:r>
    </w:p>
    <w:p w14:paraId="0137C1AA">
      <w:pPr>
        <w:pStyle w:val="9"/>
        <w:keepNext w:val="0"/>
        <w:keepLines w:val="0"/>
        <w:pageBreakBefore w:val="0"/>
        <w:widowControl w:val="0"/>
        <w:kinsoku/>
        <w:wordWrap/>
        <w:overflowPunct/>
        <w:topLinePunct w:val="0"/>
        <w:bidi w:val="0"/>
        <w:adjustRightInd w:val="0"/>
        <w:snapToGrid w:val="0"/>
        <w:spacing w:line="360" w:lineRule="auto"/>
        <w:ind w:right="2166" w:firstLine="3744" w:firstLineChars="13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日期：</w:t>
      </w:r>
    </w:p>
    <w:p w14:paraId="5559C543">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eastAsia="宋体" w:cs="宋体"/>
          <w:b/>
          <w:bCs/>
          <w:color w:val="auto"/>
          <w:sz w:val="24"/>
          <w:szCs w:val="24"/>
          <w:highlight w:val="none"/>
        </w:rPr>
      </w:pPr>
    </w:p>
    <w:p w14:paraId="17B45ABC">
      <w:pPr>
        <w:pStyle w:val="2"/>
        <w:rPr>
          <w:rFonts w:hint="eastAsia"/>
        </w:rPr>
      </w:pPr>
    </w:p>
    <w:p w14:paraId="083557B6">
      <w:pPr>
        <w:rPr>
          <w:rFonts w:ascii="宋体" w:hAnsi="宋体" w:eastAsia="宋体" w:cs="宋体"/>
          <w:szCs w:val="21"/>
        </w:rPr>
      </w:pPr>
      <w:r>
        <w:rPr>
          <w:rFonts w:hint="eastAsia" w:ascii="宋体" w:hAnsi="宋体" w:eastAsia="宋体" w:cs="宋体"/>
          <w:szCs w:val="21"/>
        </w:rPr>
        <w:t>从业人员、营业收入、资产总额填报上一年度数据，无上一年度数据的新成立企业可不填报。</w:t>
      </w:r>
    </w:p>
    <w:p w14:paraId="1C31B57A">
      <w:pPr>
        <w:spacing w:beforeAutospacing="1" w:after="160"/>
        <w:rPr>
          <w:rFonts w:ascii="宋体" w:hAnsi="宋体" w:eastAsia="宋体" w:cs="宋体"/>
          <w:b/>
          <w:szCs w:val="21"/>
        </w:rPr>
      </w:pPr>
      <w:r>
        <w:rPr>
          <w:rFonts w:hint="eastAsia" w:ascii="宋体" w:hAnsi="宋体" w:eastAsia="宋体" w:cs="宋体"/>
          <w:b/>
          <w:spacing w:val="10"/>
          <w:szCs w:val="21"/>
          <w:lang w:bidi="ar"/>
        </w:rPr>
        <w:t>（注：如果投标单位不是中小型及微型企业，本声明函可删除）</w:t>
      </w:r>
      <w:r>
        <w:rPr>
          <w:rFonts w:hint="eastAsia" w:ascii="宋体" w:hAnsi="宋体" w:eastAsia="宋体" w:cs="宋体"/>
          <w:b/>
          <w:szCs w:val="21"/>
          <w:lang w:bidi="ar"/>
        </w:rPr>
        <w:t xml:space="preserve"> </w:t>
      </w:r>
    </w:p>
    <w:p w14:paraId="6BEE88A4">
      <w:pPr>
        <w:pStyle w:val="33"/>
        <w:rPr>
          <w:rFonts w:hint="eastAsia" w:ascii="宋体" w:hAnsi="宋体" w:eastAsia="宋体" w:cs="宋体"/>
          <w:color w:val="auto"/>
          <w:highlight w:val="none"/>
        </w:rPr>
      </w:pPr>
    </w:p>
    <w:p w14:paraId="3996F415">
      <w:pPr>
        <w:pStyle w:val="33"/>
        <w:rPr>
          <w:rFonts w:hint="eastAsia" w:ascii="宋体" w:hAnsi="宋体" w:eastAsia="宋体" w:cs="宋体"/>
          <w:color w:val="auto"/>
          <w:highlight w:val="none"/>
        </w:rPr>
      </w:pPr>
    </w:p>
    <w:p w14:paraId="74F0F76B">
      <w:pPr>
        <w:pStyle w:val="33"/>
        <w:rPr>
          <w:rFonts w:hint="eastAsia" w:ascii="宋体" w:hAnsi="宋体" w:eastAsia="宋体" w:cs="宋体"/>
          <w:color w:val="auto"/>
          <w:highlight w:val="none"/>
        </w:rPr>
      </w:pPr>
    </w:p>
    <w:p w14:paraId="0028BFC3">
      <w:pPr>
        <w:pStyle w:val="33"/>
        <w:rPr>
          <w:rFonts w:hint="eastAsia" w:ascii="宋体" w:hAnsi="宋体" w:eastAsia="宋体" w:cs="宋体"/>
          <w:color w:val="auto"/>
          <w:highlight w:val="none"/>
        </w:rPr>
      </w:pPr>
    </w:p>
    <w:p w14:paraId="71A09C7C">
      <w:pPr>
        <w:pStyle w:val="33"/>
        <w:rPr>
          <w:rFonts w:hint="eastAsia" w:ascii="宋体" w:hAnsi="宋体" w:eastAsia="宋体" w:cs="宋体"/>
          <w:color w:val="auto"/>
          <w:highlight w:val="none"/>
        </w:rPr>
      </w:pPr>
    </w:p>
    <w:p w14:paraId="4EC0F0F8">
      <w:pPr>
        <w:pStyle w:val="33"/>
        <w:rPr>
          <w:rFonts w:hint="eastAsia" w:ascii="宋体" w:hAnsi="宋体" w:eastAsia="宋体" w:cs="宋体"/>
          <w:color w:val="auto"/>
          <w:highlight w:val="none"/>
        </w:rPr>
      </w:pPr>
    </w:p>
    <w:p w14:paraId="1C697709">
      <w:pPr>
        <w:pStyle w:val="33"/>
        <w:rPr>
          <w:rFonts w:hint="eastAsia" w:ascii="宋体" w:hAnsi="宋体" w:eastAsia="宋体" w:cs="宋体"/>
          <w:color w:val="auto"/>
          <w:highlight w:val="none"/>
        </w:rPr>
      </w:pPr>
    </w:p>
    <w:p w14:paraId="19743AA3">
      <w:pPr>
        <w:autoSpaceDE w:val="0"/>
        <w:autoSpaceDN w:val="0"/>
        <w:adjustRightInd w:val="0"/>
        <w:snapToGrid w:val="0"/>
        <w:jc w:val="center"/>
        <w:rPr>
          <w:rFonts w:hint="eastAsia" w:ascii="宋体" w:hAnsi="宋体" w:eastAsia="宋体" w:cs="宋体"/>
          <w:b/>
          <w:bCs/>
          <w:color w:val="auto"/>
          <w:kern w:val="0"/>
          <w:sz w:val="32"/>
          <w:szCs w:val="32"/>
          <w:highlight w:val="none"/>
          <w:lang w:val="zh-CN"/>
        </w:rPr>
      </w:pPr>
      <w:r>
        <w:rPr>
          <w:rFonts w:hint="eastAsia" w:ascii="宋体" w:hAnsi="宋体" w:eastAsia="宋体" w:cs="宋体"/>
          <w:b/>
          <w:bCs/>
          <w:color w:val="auto"/>
          <w:kern w:val="0"/>
          <w:sz w:val="32"/>
          <w:szCs w:val="32"/>
          <w:highlight w:val="none"/>
        </w:rPr>
        <w:t>(二)</w:t>
      </w:r>
      <w:r>
        <w:rPr>
          <w:rFonts w:hint="eastAsia" w:ascii="宋体" w:hAnsi="宋体" w:eastAsia="宋体" w:cs="宋体"/>
          <w:b/>
          <w:bCs/>
          <w:color w:val="auto"/>
          <w:kern w:val="0"/>
          <w:sz w:val="32"/>
          <w:szCs w:val="32"/>
          <w:highlight w:val="none"/>
          <w:lang w:val="zh-CN"/>
        </w:rPr>
        <w:t>监狱企业证明</w:t>
      </w:r>
    </w:p>
    <w:p w14:paraId="35602613">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注：符合条件的监狱企业请提供本函，不符合的不提供本函）</w:t>
      </w:r>
    </w:p>
    <w:p w14:paraId="1A2283AD">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zh-CN"/>
        </w:rPr>
      </w:pPr>
    </w:p>
    <w:p w14:paraId="4BF1DB66">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zh-CN"/>
        </w:rPr>
      </w:pPr>
    </w:p>
    <w:p w14:paraId="2261989E">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xml:space="preserve">提供由省级以上监狱管理局、戒毒管理局（含新疆生产建设兵团）出具的属于监狱企业的证明文件。 </w:t>
      </w:r>
    </w:p>
    <w:p w14:paraId="2ED55EC7">
      <w:pPr>
        <w:autoSpaceDE w:val="0"/>
        <w:autoSpaceDN w:val="0"/>
        <w:adjustRightInd w:val="0"/>
        <w:snapToGrid w:val="0"/>
        <w:spacing w:line="360" w:lineRule="auto"/>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xml:space="preserve"> </w:t>
      </w:r>
    </w:p>
    <w:p w14:paraId="1963CF56">
      <w:pPr>
        <w:pStyle w:val="36"/>
        <w:spacing w:line="360" w:lineRule="auto"/>
        <w:rPr>
          <w:rFonts w:hint="eastAsia" w:ascii="宋体" w:hAnsi="宋体" w:eastAsia="宋体" w:cs="宋体"/>
          <w:color w:val="auto"/>
          <w:sz w:val="24"/>
          <w:szCs w:val="24"/>
          <w:highlight w:val="none"/>
          <w:lang w:val="zh-CN"/>
        </w:rPr>
      </w:pPr>
    </w:p>
    <w:p w14:paraId="7932BF23">
      <w:pPr>
        <w:pStyle w:val="36"/>
        <w:spacing w:line="360" w:lineRule="auto"/>
        <w:rPr>
          <w:rFonts w:hint="eastAsia" w:ascii="宋体" w:hAnsi="宋体" w:eastAsia="宋体" w:cs="宋体"/>
          <w:color w:val="auto"/>
          <w:sz w:val="24"/>
          <w:szCs w:val="24"/>
          <w:highlight w:val="none"/>
          <w:lang w:val="zh-CN"/>
        </w:rPr>
      </w:pPr>
    </w:p>
    <w:p w14:paraId="449C5FA8">
      <w:pPr>
        <w:pStyle w:val="36"/>
        <w:spacing w:line="360" w:lineRule="auto"/>
        <w:rPr>
          <w:rFonts w:hint="eastAsia" w:ascii="宋体" w:hAnsi="宋体" w:eastAsia="宋体" w:cs="宋体"/>
          <w:color w:val="auto"/>
          <w:sz w:val="24"/>
          <w:szCs w:val="24"/>
          <w:highlight w:val="none"/>
          <w:lang w:val="zh-CN"/>
        </w:rPr>
      </w:pPr>
    </w:p>
    <w:p w14:paraId="75AEE277">
      <w:pPr>
        <w:pStyle w:val="36"/>
        <w:rPr>
          <w:rFonts w:hint="eastAsia" w:ascii="宋体" w:hAnsi="宋体" w:eastAsia="宋体" w:cs="宋体"/>
          <w:color w:val="auto"/>
          <w:sz w:val="28"/>
          <w:szCs w:val="28"/>
          <w:highlight w:val="none"/>
          <w:lang w:val="zh-CN"/>
        </w:rPr>
      </w:pPr>
    </w:p>
    <w:p w14:paraId="47433609">
      <w:pPr>
        <w:pStyle w:val="36"/>
        <w:rPr>
          <w:rFonts w:hint="eastAsia" w:ascii="宋体" w:hAnsi="宋体" w:eastAsia="宋体" w:cs="宋体"/>
          <w:color w:val="auto"/>
          <w:sz w:val="28"/>
          <w:szCs w:val="28"/>
          <w:highlight w:val="none"/>
          <w:lang w:val="zh-CN"/>
        </w:rPr>
      </w:pPr>
    </w:p>
    <w:p w14:paraId="50935B69">
      <w:pPr>
        <w:pStyle w:val="36"/>
        <w:rPr>
          <w:rFonts w:hint="eastAsia" w:ascii="宋体" w:hAnsi="宋体" w:eastAsia="宋体" w:cs="宋体"/>
          <w:color w:val="auto"/>
          <w:sz w:val="28"/>
          <w:szCs w:val="28"/>
          <w:highlight w:val="none"/>
          <w:lang w:val="zh-CN"/>
        </w:rPr>
      </w:pPr>
    </w:p>
    <w:p w14:paraId="4E8D7028">
      <w:pPr>
        <w:pStyle w:val="36"/>
        <w:rPr>
          <w:rFonts w:hint="eastAsia" w:ascii="宋体" w:hAnsi="宋体" w:eastAsia="宋体" w:cs="宋体"/>
          <w:color w:val="auto"/>
          <w:sz w:val="28"/>
          <w:szCs w:val="28"/>
          <w:highlight w:val="none"/>
          <w:lang w:val="zh-CN"/>
        </w:rPr>
      </w:pPr>
    </w:p>
    <w:p w14:paraId="53C43F59">
      <w:pPr>
        <w:pStyle w:val="36"/>
        <w:rPr>
          <w:rFonts w:hint="eastAsia" w:ascii="宋体" w:hAnsi="宋体" w:eastAsia="宋体" w:cs="宋体"/>
          <w:color w:val="auto"/>
          <w:sz w:val="28"/>
          <w:szCs w:val="28"/>
          <w:highlight w:val="none"/>
          <w:lang w:val="zh-CN"/>
        </w:rPr>
      </w:pPr>
    </w:p>
    <w:p w14:paraId="1FBBE28C">
      <w:pPr>
        <w:pStyle w:val="33"/>
        <w:rPr>
          <w:rFonts w:hint="eastAsia" w:ascii="宋体" w:hAnsi="宋体" w:eastAsia="宋体" w:cs="宋体"/>
          <w:color w:val="auto"/>
          <w:highlight w:val="none"/>
        </w:rPr>
      </w:pPr>
    </w:p>
    <w:p w14:paraId="631F911D">
      <w:pPr>
        <w:pStyle w:val="33"/>
        <w:rPr>
          <w:rFonts w:hint="eastAsia" w:ascii="宋体" w:hAnsi="宋体" w:eastAsia="宋体" w:cs="宋体"/>
          <w:color w:val="auto"/>
          <w:highlight w:val="none"/>
        </w:rPr>
      </w:pPr>
    </w:p>
    <w:p w14:paraId="224C5B28">
      <w:pPr>
        <w:pStyle w:val="33"/>
        <w:rPr>
          <w:rFonts w:hint="eastAsia" w:ascii="宋体" w:hAnsi="宋体" w:eastAsia="宋体" w:cs="宋体"/>
          <w:color w:val="auto"/>
          <w:highlight w:val="none"/>
        </w:rPr>
      </w:pPr>
    </w:p>
    <w:p w14:paraId="777B6887">
      <w:pPr>
        <w:pStyle w:val="33"/>
        <w:rPr>
          <w:rFonts w:hint="eastAsia" w:ascii="宋体" w:hAnsi="宋体" w:eastAsia="宋体" w:cs="宋体"/>
          <w:color w:val="auto"/>
          <w:highlight w:val="none"/>
        </w:rPr>
      </w:pPr>
    </w:p>
    <w:p w14:paraId="3481C7A4">
      <w:pPr>
        <w:pStyle w:val="29"/>
        <w:ind w:firstLine="520"/>
        <w:rPr>
          <w:rFonts w:hint="eastAsia" w:ascii="宋体" w:hAnsi="宋体" w:eastAsia="宋体" w:cs="宋体"/>
          <w:color w:val="auto"/>
          <w:highlight w:val="none"/>
        </w:rPr>
      </w:pPr>
    </w:p>
    <w:p w14:paraId="7C1ADD8A">
      <w:pPr>
        <w:rPr>
          <w:rFonts w:hint="eastAsia" w:ascii="宋体" w:hAnsi="宋体" w:eastAsia="宋体" w:cs="宋体"/>
          <w:color w:val="auto"/>
          <w:highlight w:val="none"/>
        </w:rPr>
      </w:pPr>
    </w:p>
    <w:p w14:paraId="2162E65E">
      <w:pPr>
        <w:pStyle w:val="7"/>
        <w:rPr>
          <w:rFonts w:hint="eastAsia" w:ascii="宋体" w:hAnsi="宋体" w:eastAsia="宋体" w:cs="宋体"/>
          <w:color w:val="auto"/>
          <w:highlight w:val="none"/>
        </w:rPr>
      </w:pPr>
    </w:p>
    <w:p w14:paraId="40AAD2CE">
      <w:pPr>
        <w:pStyle w:val="7"/>
        <w:rPr>
          <w:rFonts w:hint="eastAsia" w:ascii="宋体" w:hAnsi="宋体" w:eastAsia="宋体" w:cs="宋体"/>
          <w:color w:val="auto"/>
          <w:highlight w:val="none"/>
        </w:rPr>
      </w:pPr>
    </w:p>
    <w:p w14:paraId="113666D9">
      <w:pPr>
        <w:pStyle w:val="7"/>
        <w:rPr>
          <w:rFonts w:hint="eastAsia" w:ascii="宋体" w:hAnsi="宋体" w:eastAsia="宋体" w:cs="宋体"/>
          <w:color w:val="auto"/>
          <w:highlight w:val="none"/>
        </w:rPr>
      </w:pPr>
    </w:p>
    <w:p w14:paraId="2724C0F6">
      <w:pPr>
        <w:pStyle w:val="7"/>
        <w:rPr>
          <w:rFonts w:hint="eastAsia" w:ascii="宋体" w:hAnsi="宋体" w:eastAsia="宋体" w:cs="宋体"/>
          <w:color w:val="auto"/>
          <w:highlight w:val="none"/>
        </w:rPr>
      </w:pPr>
    </w:p>
    <w:p w14:paraId="01D83BFF">
      <w:pPr>
        <w:pStyle w:val="7"/>
        <w:rPr>
          <w:rFonts w:hint="eastAsia" w:ascii="宋体" w:hAnsi="宋体" w:eastAsia="宋体" w:cs="宋体"/>
          <w:color w:val="auto"/>
          <w:highlight w:val="none"/>
        </w:rPr>
      </w:pPr>
    </w:p>
    <w:p w14:paraId="6D760592">
      <w:pPr>
        <w:pStyle w:val="7"/>
        <w:rPr>
          <w:rFonts w:hint="eastAsia" w:ascii="宋体" w:hAnsi="宋体" w:eastAsia="宋体" w:cs="宋体"/>
          <w:color w:val="auto"/>
          <w:highlight w:val="none"/>
        </w:rPr>
      </w:pPr>
    </w:p>
    <w:p w14:paraId="6B2E3B0A">
      <w:pPr>
        <w:pStyle w:val="7"/>
        <w:rPr>
          <w:rFonts w:hint="eastAsia" w:ascii="宋体" w:hAnsi="宋体" w:eastAsia="宋体" w:cs="宋体"/>
          <w:color w:val="auto"/>
          <w:highlight w:val="none"/>
        </w:rPr>
      </w:pPr>
    </w:p>
    <w:p w14:paraId="3B8F4CE4">
      <w:pPr>
        <w:pStyle w:val="7"/>
        <w:rPr>
          <w:rFonts w:hint="eastAsia" w:ascii="宋体" w:hAnsi="宋体" w:eastAsia="宋体" w:cs="宋体"/>
          <w:color w:val="auto"/>
          <w:highlight w:val="none"/>
        </w:rPr>
      </w:pPr>
    </w:p>
    <w:p w14:paraId="4B56CDA5">
      <w:pPr>
        <w:rPr>
          <w:rFonts w:hint="eastAsia" w:ascii="宋体" w:hAnsi="宋体" w:eastAsia="宋体" w:cs="宋体"/>
          <w:color w:val="auto"/>
          <w:highlight w:val="none"/>
        </w:rPr>
      </w:pPr>
    </w:p>
    <w:p w14:paraId="392FCAA3">
      <w:pPr>
        <w:rPr>
          <w:rFonts w:hint="eastAsia" w:ascii="宋体" w:hAnsi="宋体" w:eastAsia="宋体" w:cs="宋体"/>
          <w:color w:val="auto"/>
          <w:highlight w:val="none"/>
        </w:rPr>
      </w:pPr>
    </w:p>
    <w:p w14:paraId="68D0856C">
      <w:pPr>
        <w:autoSpaceDE w:val="0"/>
        <w:autoSpaceDN w:val="0"/>
        <w:adjustRightInd w:val="0"/>
        <w:snapToGrid w:val="0"/>
        <w:jc w:val="center"/>
        <w:rPr>
          <w:rFonts w:hint="eastAsia" w:ascii="宋体" w:hAnsi="宋体" w:eastAsia="宋体" w:cs="宋体"/>
          <w:b/>
          <w:bCs/>
          <w:color w:val="auto"/>
          <w:kern w:val="0"/>
          <w:sz w:val="32"/>
          <w:szCs w:val="32"/>
          <w:highlight w:val="none"/>
          <w:lang w:val="zh-CN"/>
        </w:rPr>
      </w:pPr>
      <w:r>
        <w:rPr>
          <w:rFonts w:hint="eastAsia" w:ascii="宋体" w:hAnsi="宋体" w:eastAsia="宋体" w:cs="宋体"/>
          <w:color w:val="auto"/>
          <w:highlight w:val="none"/>
        </w:rPr>
        <w:tab/>
      </w:r>
      <w:r>
        <w:rPr>
          <w:rFonts w:hint="eastAsia" w:ascii="宋体" w:hAnsi="宋体" w:eastAsia="宋体" w:cs="宋体"/>
          <w:b/>
          <w:bCs/>
          <w:color w:val="auto"/>
          <w:kern w:val="0"/>
          <w:sz w:val="32"/>
          <w:szCs w:val="32"/>
          <w:highlight w:val="none"/>
        </w:rPr>
        <w:t>(三)</w:t>
      </w:r>
      <w:r>
        <w:rPr>
          <w:rFonts w:hint="eastAsia" w:ascii="宋体" w:hAnsi="宋体" w:eastAsia="宋体" w:cs="宋体"/>
          <w:b/>
          <w:bCs/>
          <w:color w:val="auto"/>
          <w:kern w:val="0"/>
          <w:sz w:val="32"/>
          <w:szCs w:val="32"/>
          <w:highlight w:val="none"/>
          <w:lang w:val="zh-CN"/>
        </w:rPr>
        <w:t>残疾人福利性单位声明函</w:t>
      </w:r>
    </w:p>
    <w:p w14:paraId="177AF269">
      <w:pPr>
        <w:spacing w:before="132" w:line="360" w:lineRule="auto"/>
        <w:ind w:left="505" w:right="54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（注：符合条件的残疾人福利性企业请提供本函，不符合的不提供本函）</w:t>
      </w:r>
    </w:p>
    <w:p w14:paraId="5B554879">
      <w:pPr>
        <w:autoSpaceDE w:val="0"/>
        <w:autoSpaceDN w:val="0"/>
        <w:adjustRightInd w:val="0"/>
        <w:snapToGrid w:val="0"/>
        <w:spacing w:line="360" w:lineRule="auto"/>
        <w:jc w:val="left"/>
        <w:rPr>
          <w:rFonts w:hint="eastAsia" w:ascii="宋体" w:hAnsi="宋体" w:eastAsia="宋体" w:cs="宋体"/>
          <w:color w:val="auto"/>
          <w:kern w:val="0"/>
          <w:sz w:val="24"/>
          <w:szCs w:val="24"/>
          <w:highlight w:val="none"/>
          <w:lang w:val="zh-CN"/>
        </w:rPr>
      </w:pPr>
    </w:p>
    <w:p w14:paraId="14ED6ECF">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本单位郑重声明，根据《财政部民政部中国残疾人联合会关于促进残疾人就业政府采购政策的通知》（财库〔2017〕141 号）的规定，本单位为符合条件的残疾人福利性单位，且本单位参加____________单位的____________项目采购活动提供本单位制造的货物（由本单位承担工程/提供服务），或者提供其他残疾人福利性单位制造的货物（不包括使用非残疾人福利性单位注册商标的货物）。</w:t>
      </w:r>
    </w:p>
    <w:p w14:paraId="049F684A">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本单位对上述声明的真实性负责。如有虚假，将依法承担相应责任。</w:t>
      </w:r>
    </w:p>
    <w:p w14:paraId="27DE611E">
      <w:pPr>
        <w:autoSpaceDE w:val="0"/>
        <w:autoSpaceDN w:val="0"/>
        <w:adjustRightInd w:val="0"/>
        <w:snapToGrid w:val="0"/>
        <w:spacing w:line="360" w:lineRule="auto"/>
        <w:ind w:firstLine="2400" w:firstLineChars="1000"/>
        <w:jc w:val="left"/>
        <w:rPr>
          <w:rFonts w:hint="eastAsia" w:ascii="宋体" w:hAnsi="宋体" w:eastAsia="宋体" w:cs="宋体"/>
          <w:color w:val="auto"/>
          <w:kern w:val="0"/>
          <w:sz w:val="24"/>
          <w:szCs w:val="24"/>
          <w:highlight w:val="none"/>
          <w:lang w:val="zh-CN"/>
        </w:rPr>
      </w:pPr>
    </w:p>
    <w:p w14:paraId="26AF9306">
      <w:pPr>
        <w:autoSpaceDE w:val="0"/>
        <w:autoSpaceDN w:val="0"/>
        <w:adjustRightInd w:val="0"/>
        <w:snapToGrid w:val="0"/>
        <w:spacing w:line="360" w:lineRule="auto"/>
        <w:ind w:firstLine="2400" w:firstLineChars="1000"/>
        <w:jc w:val="left"/>
        <w:rPr>
          <w:rFonts w:hint="eastAsia" w:ascii="宋体" w:hAnsi="宋体" w:eastAsia="宋体" w:cs="宋体"/>
          <w:color w:val="auto"/>
          <w:kern w:val="0"/>
          <w:sz w:val="24"/>
          <w:szCs w:val="24"/>
          <w:highlight w:val="none"/>
          <w:lang w:val="zh-CN"/>
        </w:rPr>
      </w:pPr>
    </w:p>
    <w:p w14:paraId="0D877148">
      <w:pPr>
        <w:pStyle w:val="5"/>
        <w:spacing w:line="360" w:lineRule="auto"/>
        <w:rPr>
          <w:rFonts w:hint="eastAsia" w:ascii="宋体" w:hAnsi="宋体" w:eastAsia="宋体" w:cs="宋体"/>
          <w:color w:val="auto"/>
          <w:sz w:val="24"/>
          <w:szCs w:val="24"/>
          <w:highlight w:val="none"/>
        </w:rPr>
      </w:pPr>
    </w:p>
    <w:p w14:paraId="2374BFA0">
      <w:pPr>
        <w:spacing w:line="360" w:lineRule="auto"/>
        <w:rPr>
          <w:rFonts w:hint="eastAsia" w:ascii="宋体" w:hAnsi="宋体" w:eastAsia="宋体" w:cs="宋体"/>
          <w:color w:val="auto"/>
          <w:sz w:val="24"/>
          <w:szCs w:val="24"/>
          <w:highlight w:val="none"/>
          <w:lang w:val="zh-CN"/>
        </w:rPr>
      </w:pPr>
    </w:p>
    <w:p w14:paraId="7AA94C2A">
      <w:pPr>
        <w:autoSpaceDE w:val="0"/>
        <w:autoSpaceDN w:val="0"/>
        <w:adjustRightInd w:val="0"/>
        <w:snapToGrid w:val="0"/>
        <w:spacing w:line="360" w:lineRule="auto"/>
        <w:ind w:firstLine="2400" w:firstLineChars="10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投标人名称：          （盖单位公章）</w:t>
      </w:r>
    </w:p>
    <w:p w14:paraId="2A0FF34E">
      <w:pPr>
        <w:autoSpaceDE w:val="0"/>
        <w:autoSpaceDN w:val="0"/>
        <w:adjustRightInd w:val="0"/>
        <w:snapToGrid w:val="0"/>
        <w:spacing w:line="360" w:lineRule="auto"/>
        <w:ind w:firstLine="3600" w:firstLineChars="15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年    月    日</w:t>
      </w:r>
    </w:p>
    <w:p w14:paraId="5014F8A0">
      <w:pPr>
        <w:tabs>
          <w:tab w:val="left" w:pos="1192"/>
        </w:tabs>
        <w:jc w:val="left"/>
        <w:rPr>
          <w:rFonts w:hint="eastAsia" w:ascii="宋体" w:hAnsi="宋体" w:eastAsia="宋体" w:cs="宋体"/>
          <w:color w:val="auto"/>
          <w:highlight w:val="none"/>
        </w:rPr>
      </w:pPr>
    </w:p>
    <w:p w14:paraId="1D44C26A">
      <w:pPr>
        <w:rPr>
          <w:rFonts w:hint="eastAsia" w:ascii="宋体" w:hAnsi="宋体" w:eastAsia="宋体" w:cs="宋体"/>
          <w:color w:val="auto"/>
          <w:highlight w:val="none"/>
        </w:rPr>
      </w:pPr>
    </w:p>
    <w:p w14:paraId="112D4C55">
      <w:pPr>
        <w:rPr>
          <w:rFonts w:hint="eastAsia" w:ascii="宋体" w:hAnsi="宋体" w:eastAsia="宋体" w:cs="宋体"/>
          <w:color w:val="auto"/>
          <w:highlight w:val="none"/>
        </w:rPr>
      </w:pPr>
    </w:p>
    <w:p w14:paraId="3A387290">
      <w:pPr>
        <w:pStyle w:val="9"/>
        <w:rPr>
          <w:rFonts w:hint="eastAsia" w:ascii="宋体" w:hAnsi="宋体" w:eastAsia="宋体" w:cs="宋体"/>
          <w:color w:val="auto"/>
          <w:highlight w:val="none"/>
          <w:lang w:val="en-US"/>
        </w:rPr>
      </w:pPr>
    </w:p>
    <w:p w14:paraId="3BBEAF5E">
      <w:pPr>
        <w:pStyle w:val="33"/>
        <w:rPr>
          <w:rFonts w:hint="eastAsia" w:ascii="宋体" w:hAnsi="宋体" w:eastAsia="宋体" w:cs="宋体"/>
          <w:color w:val="auto"/>
          <w:highlight w:val="none"/>
        </w:rPr>
      </w:pPr>
    </w:p>
    <w:p w14:paraId="7B702D5B">
      <w:pPr>
        <w:rPr>
          <w:rFonts w:hint="eastAsia" w:ascii="宋体" w:hAnsi="宋体" w:eastAsia="宋体" w:cs="宋体"/>
          <w:color w:val="auto"/>
          <w:highlight w:val="none"/>
        </w:rPr>
      </w:pPr>
    </w:p>
    <w:p w14:paraId="657A708B">
      <w:pPr>
        <w:pStyle w:val="9"/>
        <w:rPr>
          <w:rFonts w:hint="eastAsia" w:ascii="宋体" w:hAnsi="宋体" w:eastAsia="宋体" w:cs="宋体"/>
          <w:color w:val="auto"/>
          <w:highlight w:val="none"/>
          <w:lang w:val="en-US"/>
        </w:rPr>
      </w:pPr>
    </w:p>
    <w:p w14:paraId="3540ADFF">
      <w:pPr>
        <w:pStyle w:val="33"/>
        <w:rPr>
          <w:rFonts w:hint="eastAsia" w:ascii="宋体" w:hAnsi="宋体" w:eastAsia="宋体" w:cs="宋体"/>
          <w:color w:val="auto"/>
          <w:highlight w:val="none"/>
        </w:rPr>
      </w:pPr>
    </w:p>
    <w:p w14:paraId="3ED803B8">
      <w:pPr>
        <w:rPr>
          <w:rFonts w:hint="eastAsia" w:ascii="宋体" w:hAnsi="宋体" w:eastAsia="宋体" w:cs="宋体"/>
          <w:color w:val="auto"/>
          <w:highlight w:val="none"/>
        </w:rPr>
      </w:pPr>
    </w:p>
    <w:p w14:paraId="72DF04CB">
      <w:pPr>
        <w:pStyle w:val="9"/>
        <w:rPr>
          <w:rFonts w:hint="eastAsia" w:ascii="宋体" w:hAnsi="宋体" w:eastAsia="宋体" w:cs="宋体"/>
          <w:color w:val="auto"/>
          <w:highlight w:val="none"/>
          <w:lang w:val="en-US"/>
        </w:rPr>
      </w:pPr>
    </w:p>
    <w:p w14:paraId="4E938AD6">
      <w:pPr>
        <w:pStyle w:val="33"/>
        <w:rPr>
          <w:rFonts w:hint="eastAsia" w:ascii="宋体" w:hAnsi="宋体" w:eastAsia="宋体" w:cs="宋体"/>
          <w:color w:val="auto"/>
          <w:highlight w:val="none"/>
        </w:rPr>
      </w:pPr>
    </w:p>
    <w:p w14:paraId="5976EEE7">
      <w:pPr>
        <w:rPr>
          <w:rFonts w:hint="eastAsia" w:ascii="宋体" w:hAnsi="宋体" w:eastAsia="宋体" w:cs="宋体"/>
          <w:color w:val="auto"/>
          <w:highlight w:val="none"/>
        </w:rPr>
      </w:pPr>
    </w:p>
    <w:p w14:paraId="74517CB8">
      <w:pPr>
        <w:pStyle w:val="9"/>
        <w:rPr>
          <w:rFonts w:hint="eastAsia" w:ascii="宋体" w:hAnsi="宋体" w:eastAsia="宋体" w:cs="宋体"/>
          <w:color w:val="auto"/>
          <w:highlight w:val="none"/>
          <w:lang w:val="en-US"/>
        </w:rPr>
      </w:pPr>
    </w:p>
    <w:p w14:paraId="49E5E69A">
      <w:pPr>
        <w:pStyle w:val="33"/>
        <w:rPr>
          <w:rFonts w:hint="eastAsia" w:ascii="宋体" w:hAnsi="宋体" w:eastAsia="宋体" w:cs="宋体"/>
          <w:color w:val="auto"/>
          <w:highlight w:val="none"/>
        </w:rPr>
      </w:pPr>
    </w:p>
    <w:p w14:paraId="5326C087">
      <w:pPr>
        <w:rPr>
          <w:rFonts w:hint="eastAsia" w:ascii="宋体" w:hAnsi="宋体" w:eastAsia="宋体" w:cs="宋体"/>
          <w:color w:val="auto"/>
          <w:highlight w:val="none"/>
        </w:rPr>
      </w:pPr>
    </w:p>
    <w:p w14:paraId="6AB04051">
      <w:pPr>
        <w:pStyle w:val="9"/>
        <w:rPr>
          <w:rFonts w:hint="eastAsia" w:ascii="宋体" w:hAnsi="宋体" w:eastAsia="宋体" w:cs="宋体"/>
          <w:color w:val="auto"/>
          <w:highlight w:val="none"/>
          <w:lang w:val="en-US"/>
        </w:rPr>
      </w:pPr>
    </w:p>
    <w:p w14:paraId="6D25D650">
      <w:pPr>
        <w:pStyle w:val="33"/>
        <w:rPr>
          <w:rFonts w:hint="eastAsia" w:ascii="宋体" w:hAnsi="宋体" w:eastAsia="宋体" w:cs="宋体"/>
          <w:color w:val="auto"/>
          <w:highlight w:val="none"/>
        </w:rPr>
      </w:pPr>
    </w:p>
    <w:p w14:paraId="13374318">
      <w:pPr>
        <w:rPr>
          <w:rFonts w:hint="eastAsia" w:ascii="宋体" w:hAnsi="宋体" w:eastAsia="宋体" w:cs="宋体"/>
          <w:color w:val="auto"/>
          <w:highlight w:val="none"/>
        </w:rPr>
      </w:pPr>
    </w:p>
    <w:p w14:paraId="7110F7A9">
      <w:pPr>
        <w:pStyle w:val="9"/>
        <w:rPr>
          <w:rFonts w:hint="eastAsia" w:ascii="宋体" w:hAnsi="宋体" w:eastAsia="宋体" w:cs="宋体"/>
          <w:color w:val="auto"/>
          <w:highlight w:val="none"/>
          <w:lang w:val="en-US"/>
        </w:rPr>
      </w:pPr>
    </w:p>
    <w:p w14:paraId="212EE076">
      <w:pPr>
        <w:pStyle w:val="33"/>
        <w:rPr>
          <w:rFonts w:hint="eastAsia" w:ascii="宋体" w:hAnsi="宋体" w:eastAsia="宋体" w:cs="宋体"/>
          <w:color w:val="auto"/>
          <w:highlight w:val="none"/>
        </w:rPr>
      </w:pPr>
    </w:p>
    <w:p w14:paraId="22D2937F">
      <w:pPr>
        <w:pStyle w:val="9"/>
        <w:spacing w:line="360" w:lineRule="auto"/>
        <w:ind w:left="63" w:right="63"/>
        <w:jc w:val="center"/>
        <w:rPr>
          <w:rFonts w:hint="eastAsia" w:ascii="宋体" w:hAnsi="宋体" w:eastAsia="宋体" w:cs="宋体"/>
          <w:b/>
          <w:bCs/>
          <w:color w:val="auto"/>
          <w:sz w:val="32"/>
          <w:szCs w:val="32"/>
          <w:highlight w:val="none"/>
        </w:rPr>
      </w:pPr>
      <w:bookmarkStart w:id="41" w:name="_Toc28346"/>
      <w:r>
        <w:rPr>
          <w:rFonts w:hint="eastAsia" w:ascii="宋体" w:hAnsi="宋体" w:eastAsia="宋体" w:cs="宋体"/>
          <w:b/>
          <w:bCs/>
          <w:color w:val="auto"/>
          <w:sz w:val="32"/>
          <w:szCs w:val="32"/>
          <w:highlight w:val="none"/>
          <w:lang w:val="en-US"/>
        </w:rPr>
        <w:t>（四）：河南省政府采购合同融资政策告知函</w:t>
      </w:r>
      <w:bookmarkEnd w:id="41"/>
    </w:p>
    <w:p w14:paraId="3BE76AA2">
      <w:pPr>
        <w:spacing w:line="360" w:lineRule="auto"/>
        <w:rPr>
          <w:rFonts w:hint="eastAsia" w:ascii="宋体" w:hAnsi="宋体" w:eastAsia="宋体" w:cs="宋体"/>
          <w:color w:val="auto"/>
          <w:sz w:val="24"/>
          <w:szCs w:val="20"/>
          <w:highlight w:val="none"/>
          <w:lang w:bidi="ar"/>
        </w:rPr>
      </w:pPr>
      <w:r>
        <w:rPr>
          <w:rFonts w:hint="eastAsia" w:ascii="宋体" w:hAnsi="宋体" w:eastAsia="宋体" w:cs="宋体"/>
          <w:color w:val="auto"/>
          <w:sz w:val="24"/>
          <w:szCs w:val="20"/>
          <w:highlight w:val="none"/>
          <w:lang w:bidi="ar"/>
        </w:rPr>
        <w:t>各供应商：</w:t>
      </w:r>
    </w:p>
    <w:p w14:paraId="4EB51558">
      <w:pPr>
        <w:spacing w:line="360" w:lineRule="auto"/>
        <w:ind w:firstLine="600" w:firstLineChars="250"/>
        <w:rPr>
          <w:rFonts w:hint="eastAsia" w:ascii="宋体" w:hAnsi="宋体" w:eastAsia="宋体" w:cs="宋体"/>
          <w:color w:val="auto"/>
          <w:sz w:val="24"/>
          <w:szCs w:val="20"/>
          <w:highlight w:val="none"/>
          <w:lang w:bidi="ar"/>
        </w:rPr>
      </w:pPr>
      <w:r>
        <w:rPr>
          <w:rFonts w:hint="eastAsia" w:ascii="宋体" w:hAnsi="宋体" w:eastAsia="宋体" w:cs="宋体"/>
          <w:color w:val="auto"/>
          <w:sz w:val="24"/>
          <w:szCs w:val="20"/>
          <w:highlight w:val="none"/>
          <w:lang w:bidi="ar"/>
        </w:rPr>
        <w:t>欢迎贵公司参与河南省政府采购活动！政府采购合同融资是河南省财政厅支持中小微企业发展，针对参与政府采购活动的供应商融资难、融资贵问题推出的一项融资政策。贵 公司若成为本次政府采购项目的中标成交供应商，可持政府采购合同向金融机构申请贷款， 无需抵押、担保，融资机构将根据《河南省政府采购合同融资工作实施方案》（豫财购［2017]10 号），按照双方自愿的原则提供便捷、优惠的贷款服务。</w:t>
      </w:r>
    </w:p>
    <w:p w14:paraId="1AD09E23">
      <w:pPr>
        <w:spacing w:line="360" w:lineRule="auto"/>
        <w:ind w:firstLine="600" w:firstLineChars="250"/>
        <w:rPr>
          <w:rFonts w:hint="eastAsia" w:ascii="宋体" w:hAnsi="宋体" w:eastAsia="宋体" w:cs="宋体"/>
          <w:color w:val="auto"/>
          <w:sz w:val="24"/>
          <w:szCs w:val="20"/>
          <w:highlight w:val="none"/>
          <w:lang w:bidi="ar"/>
        </w:rPr>
      </w:pPr>
    </w:p>
    <w:p w14:paraId="1A0E8AAA">
      <w:pPr>
        <w:spacing w:line="360" w:lineRule="auto"/>
        <w:ind w:firstLine="600" w:firstLineChars="250"/>
        <w:rPr>
          <w:rFonts w:hint="eastAsia" w:ascii="宋体" w:hAnsi="宋体" w:eastAsia="宋体" w:cs="宋体"/>
          <w:color w:val="auto"/>
          <w:sz w:val="24"/>
          <w:szCs w:val="20"/>
          <w:highlight w:val="none"/>
          <w:lang w:bidi="ar"/>
        </w:rPr>
      </w:pPr>
      <w:r>
        <w:rPr>
          <w:rFonts w:hint="eastAsia" w:ascii="宋体" w:hAnsi="宋体" w:eastAsia="宋体" w:cs="宋体"/>
          <w:color w:val="auto"/>
          <w:sz w:val="24"/>
          <w:szCs w:val="20"/>
          <w:highlight w:val="none"/>
          <w:lang w:bidi="ar"/>
        </w:rPr>
        <w:t>贷款渠道和提供贷款的金融机构，可在河南省政府采购网“河南省政府采购合同融资平台”查询联系。</w:t>
      </w:r>
    </w:p>
    <w:p w14:paraId="710BA86E">
      <w:pPr>
        <w:spacing w:line="360" w:lineRule="auto"/>
        <w:rPr>
          <w:rFonts w:hint="eastAsia" w:ascii="宋体" w:hAnsi="宋体" w:eastAsia="宋体" w:cs="宋体"/>
          <w:color w:val="auto"/>
          <w:highlight w:val="none"/>
        </w:rPr>
      </w:pPr>
    </w:p>
    <w:p w14:paraId="76F358B9">
      <w:pPr>
        <w:rPr>
          <w:rFonts w:hint="eastAsia" w:ascii="宋体" w:hAnsi="宋体" w:eastAsia="宋体" w:cs="宋体"/>
          <w:color w:val="auto"/>
          <w:highlight w:val="none"/>
        </w:rPr>
      </w:pPr>
    </w:p>
    <w:p w14:paraId="5DF11A20">
      <w:pPr>
        <w:rPr>
          <w:rFonts w:hint="eastAsia" w:ascii="宋体" w:hAnsi="宋体" w:eastAsia="宋体" w:cs="宋体"/>
          <w:color w:val="auto"/>
          <w:highlight w:val="none"/>
        </w:rPr>
      </w:pPr>
    </w:p>
    <w:p w14:paraId="2136B031">
      <w:pPr>
        <w:rPr>
          <w:rFonts w:hint="eastAsia" w:ascii="宋体" w:hAnsi="宋体" w:eastAsia="宋体" w:cs="宋体"/>
          <w:color w:val="auto"/>
          <w:highlight w:val="none"/>
        </w:rPr>
      </w:pPr>
    </w:p>
    <w:p w14:paraId="68EB260C">
      <w:pPr>
        <w:rPr>
          <w:rFonts w:hint="eastAsia" w:ascii="宋体" w:hAnsi="宋体" w:eastAsia="宋体" w:cs="宋体"/>
          <w:color w:val="auto"/>
          <w:highlight w:val="none"/>
        </w:rPr>
      </w:pPr>
    </w:p>
    <w:p w14:paraId="14EC46F3">
      <w:pPr>
        <w:rPr>
          <w:rFonts w:hint="eastAsia" w:ascii="宋体" w:hAnsi="宋体" w:eastAsia="宋体" w:cs="宋体"/>
          <w:color w:val="auto"/>
          <w:highlight w:val="none"/>
        </w:rPr>
      </w:pPr>
    </w:p>
    <w:p w14:paraId="11BF525A">
      <w:pPr>
        <w:rPr>
          <w:rFonts w:hint="eastAsia" w:ascii="宋体" w:hAnsi="宋体" w:eastAsia="宋体" w:cs="宋体"/>
          <w:color w:val="auto"/>
          <w:highlight w:val="none"/>
        </w:rPr>
      </w:pPr>
    </w:p>
    <w:p w14:paraId="46DB6B93">
      <w:pPr>
        <w:rPr>
          <w:rFonts w:hint="eastAsia" w:ascii="宋体" w:hAnsi="宋体" w:eastAsia="宋体" w:cs="宋体"/>
          <w:color w:val="auto"/>
          <w:highlight w:val="none"/>
        </w:rPr>
      </w:pPr>
    </w:p>
    <w:p w14:paraId="0C5DCAC4">
      <w:pPr>
        <w:rPr>
          <w:rFonts w:hint="eastAsia" w:ascii="宋体" w:hAnsi="宋体" w:eastAsia="宋体" w:cs="宋体"/>
          <w:color w:val="auto"/>
          <w:highlight w:val="none"/>
        </w:rPr>
      </w:pPr>
    </w:p>
    <w:p w14:paraId="3ECCDD01">
      <w:pPr>
        <w:rPr>
          <w:rFonts w:hint="eastAsia" w:ascii="宋体" w:hAnsi="宋体" w:eastAsia="宋体" w:cs="宋体"/>
          <w:color w:val="auto"/>
          <w:highlight w:val="none"/>
        </w:rPr>
      </w:pPr>
    </w:p>
    <w:p w14:paraId="42BDBE05">
      <w:pPr>
        <w:rPr>
          <w:rFonts w:hint="eastAsia" w:ascii="宋体" w:hAnsi="宋体" w:eastAsia="宋体" w:cs="宋体"/>
          <w:color w:val="auto"/>
          <w:highlight w:val="none"/>
        </w:rPr>
      </w:pPr>
    </w:p>
    <w:p w14:paraId="73E80C5D">
      <w:pPr>
        <w:rPr>
          <w:rFonts w:hint="eastAsia" w:ascii="宋体" w:hAnsi="宋体" w:eastAsia="宋体" w:cs="宋体"/>
          <w:color w:val="auto"/>
          <w:highlight w:val="none"/>
        </w:rPr>
      </w:pPr>
    </w:p>
    <w:p w14:paraId="6167A7EE">
      <w:pPr>
        <w:rPr>
          <w:rFonts w:hint="eastAsia" w:ascii="宋体" w:hAnsi="宋体" w:eastAsia="宋体" w:cs="宋体"/>
          <w:color w:val="auto"/>
          <w:highlight w:val="none"/>
        </w:rPr>
      </w:pPr>
    </w:p>
    <w:p w14:paraId="1DC51E52">
      <w:pPr>
        <w:rPr>
          <w:rFonts w:hint="eastAsia" w:ascii="宋体" w:hAnsi="宋体" w:eastAsia="宋体" w:cs="宋体"/>
          <w:color w:val="auto"/>
          <w:highlight w:val="none"/>
        </w:rPr>
      </w:pPr>
    </w:p>
    <w:p w14:paraId="16157E96">
      <w:pPr>
        <w:rPr>
          <w:rFonts w:hint="eastAsia" w:ascii="宋体" w:hAnsi="宋体" w:eastAsia="宋体" w:cs="宋体"/>
          <w:color w:val="auto"/>
          <w:highlight w:val="none"/>
        </w:rPr>
      </w:pPr>
    </w:p>
    <w:p w14:paraId="15F85E59">
      <w:pPr>
        <w:rPr>
          <w:rFonts w:hint="eastAsia" w:ascii="宋体" w:hAnsi="宋体" w:eastAsia="宋体" w:cs="宋体"/>
          <w:color w:val="auto"/>
          <w:highlight w:val="none"/>
        </w:rPr>
      </w:pPr>
    </w:p>
    <w:p w14:paraId="7853C8AE">
      <w:pPr>
        <w:rPr>
          <w:rFonts w:hint="eastAsia" w:ascii="宋体" w:hAnsi="宋体" w:eastAsia="宋体" w:cs="宋体"/>
          <w:color w:val="auto"/>
          <w:highlight w:val="none"/>
        </w:rPr>
      </w:pPr>
    </w:p>
    <w:p w14:paraId="1F7D1667">
      <w:pPr>
        <w:rPr>
          <w:rFonts w:hint="eastAsia" w:ascii="宋体" w:hAnsi="宋体" w:eastAsia="宋体" w:cs="宋体"/>
          <w:color w:val="auto"/>
          <w:highlight w:val="none"/>
        </w:rPr>
      </w:pPr>
    </w:p>
    <w:p w14:paraId="65AC9829">
      <w:pPr>
        <w:rPr>
          <w:rFonts w:hint="eastAsia" w:ascii="宋体" w:hAnsi="宋体" w:eastAsia="宋体" w:cs="宋体"/>
          <w:color w:val="auto"/>
          <w:highlight w:val="none"/>
        </w:rPr>
      </w:pPr>
    </w:p>
    <w:p w14:paraId="09865699">
      <w:pPr>
        <w:rPr>
          <w:rFonts w:hint="eastAsia" w:ascii="宋体" w:hAnsi="宋体" w:eastAsia="宋体" w:cs="宋体"/>
          <w:color w:val="auto"/>
          <w:highlight w:val="none"/>
        </w:rPr>
      </w:pPr>
    </w:p>
    <w:p w14:paraId="242E3FD6">
      <w:pPr>
        <w:rPr>
          <w:rFonts w:hint="eastAsia" w:ascii="宋体" w:hAnsi="宋体" w:eastAsia="宋体" w:cs="宋体"/>
          <w:color w:val="auto"/>
          <w:highlight w:val="none"/>
        </w:rPr>
      </w:pPr>
    </w:p>
    <w:p w14:paraId="1BAA0479">
      <w:pPr>
        <w:rPr>
          <w:rFonts w:hint="eastAsia" w:ascii="宋体" w:hAnsi="宋体" w:eastAsia="宋体" w:cs="宋体"/>
          <w:color w:val="auto"/>
          <w:highlight w:val="none"/>
        </w:rPr>
      </w:pPr>
    </w:p>
    <w:p w14:paraId="70D72F55">
      <w:pPr>
        <w:rPr>
          <w:rFonts w:hint="eastAsia" w:ascii="宋体" w:hAnsi="宋体" w:eastAsia="宋体" w:cs="宋体"/>
          <w:color w:val="auto"/>
          <w:highlight w:val="none"/>
        </w:rPr>
      </w:pPr>
    </w:p>
    <w:p w14:paraId="51A81AEC">
      <w:pPr>
        <w:rPr>
          <w:rFonts w:hint="eastAsia" w:ascii="宋体" w:hAnsi="宋体" w:eastAsia="宋体" w:cs="宋体"/>
          <w:color w:val="auto"/>
          <w:highlight w:val="none"/>
        </w:rPr>
      </w:pPr>
    </w:p>
    <w:p w14:paraId="711EBED3">
      <w:pPr>
        <w:rPr>
          <w:rFonts w:hint="eastAsia" w:ascii="宋体" w:hAnsi="宋体" w:eastAsia="宋体" w:cs="宋体"/>
          <w:color w:val="auto"/>
          <w:highlight w:val="none"/>
        </w:rPr>
      </w:pPr>
    </w:p>
    <w:p w14:paraId="328FB8F1">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6"/>
          <w:sz w:val="31"/>
          <w:szCs w:val="31"/>
          <w:highlight w:val="none"/>
          <w:lang w:val="en-US" w:eastAsia="zh-CN"/>
        </w:rPr>
        <w:t>（五）、关于符合本国产品标准的声明函</w:t>
      </w:r>
    </w:p>
    <w:p w14:paraId="2BFE5AD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6871580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1.</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（产品名称1）</w:t>
      </w:r>
      <w:r>
        <w:rPr>
          <w:rStyle w:val="25"/>
          <w:rFonts w:hint="eastAsia" w:ascii="宋体" w:hAnsi="宋体" w:eastAsia="宋体" w:cs="宋体"/>
          <w:i w:val="0"/>
          <w:iCs w:val="0"/>
          <w:caps w:val="0"/>
          <w:color w:val="auto"/>
          <w:spacing w:val="0"/>
          <w:sz w:val="21"/>
          <w:szCs w:val="21"/>
          <w:highlight w:val="none"/>
          <w:u w:val="none"/>
          <w:shd w:val="clear" w:color="auto" w:fill="FFFFFF"/>
          <w:vertAlign w:val="baseline"/>
        </w:rPr>
        <w:t>1</w:t>
      </w:r>
      <w:r>
        <w:rPr>
          <w:rFonts w:hint="eastAsia" w:ascii="宋体" w:hAnsi="宋体" w:eastAsia="宋体" w:cs="宋体"/>
          <w:i w:val="0"/>
          <w:iCs w:val="0"/>
          <w:caps w:val="0"/>
          <w:color w:val="auto"/>
          <w:spacing w:val="0"/>
          <w:sz w:val="21"/>
          <w:szCs w:val="21"/>
          <w:highlight w:val="none"/>
          <w:u w:val="none"/>
          <w:shd w:val="clear" w:color="auto" w:fill="FFFFFF"/>
          <w:vertAlign w:val="baseline"/>
        </w:rPr>
        <w:t>，生产厂为</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（厂名）</w:t>
      </w:r>
      <w:r>
        <w:rPr>
          <w:rStyle w:val="25"/>
          <w:rFonts w:hint="eastAsia" w:ascii="宋体" w:hAnsi="宋体" w:eastAsia="宋体" w:cs="宋体"/>
          <w:i w:val="0"/>
          <w:iCs w:val="0"/>
          <w:caps w:val="0"/>
          <w:color w:val="auto"/>
          <w:spacing w:val="0"/>
          <w:sz w:val="21"/>
          <w:szCs w:val="21"/>
          <w:highlight w:val="none"/>
          <w:u w:val="none"/>
          <w:shd w:val="clear" w:color="auto" w:fill="FFFFFF"/>
          <w:vertAlign w:val="baseline"/>
        </w:rPr>
        <w:t>2</w:t>
      </w:r>
      <w:r>
        <w:rPr>
          <w:rFonts w:hint="eastAsia" w:ascii="宋体" w:hAnsi="宋体" w:eastAsia="宋体" w:cs="宋体"/>
          <w:i w:val="0"/>
          <w:iCs w:val="0"/>
          <w:caps w:val="0"/>
          <w:color w:val="auto"/>
          <w:spacing w:val="0"/>
          <w:sz w:val="21"/>
          <w:szCs w:val="21"/>
          <w:highlight w:val="none"/>
          <w:u w:val="none"/>
          <w:shd w:val="clear" w:color="auto" w:fill="FFFFFF"/>
          <w:vertAlign w:val="baseline"/>
        </w:rPr>
        <w:t>，厂址为</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（生产厂址）</w:t>
      </w:r>
      <w:r>
        <w:rPr>
          <w:rFonts w:hint="eastAsia" w:ascii="宋体" w:hAnsi="宋体" w:eastAsia="宋体" w:cs="宋体"/>
          <w:i w:val="0"/>
          <w:iCs w:val="0"/>
          <w:caps w:val="0"/>
          <w:color w:val="auto"/>
          <w:spacing w:val="0"/>
          <w:sz w:val="21"/>
          <w:szCs w:val="21"/>
          <w:highlight w:val="none"/>
          <w:u w:val="none"/>
          <w:shd w:val="clear" w:color="auto" w:fill="FFFFFF"/>
          <w:vertAlign w:val="baseline"/>
        </w:rPr>
        <w:t>。</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u w:val="none"/>
          <w:shd w:val="clear" w:color="auto" w:fill="FFFFFF"/>
          <w:vertAlign w:val="baseline"/>
        </w:rPr>
        <w:t>的中国境内生产的组件成本占比≥</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（规定比例）</w:t>
      </w:r>
      <w:r>
        <w:rPr>
          <w:rStyle w:val="25"/>
          <w:rFonts w:hint="eastAsia" w:ascii="宋体" w:hAnsi="宋体" w:eastAsia="宋体" w:cs="宋体"/>
          <w:i w:val="0"/>
          <w:iCs w:val="0"/>
          <w:caps w:val="0"/>
          <w:color w:val="auto"/>
          <w:spacing w:val="0"/>
          <w:sz w:val="21"/>
          <w:szCs w:val="21"/>
          <w:highlight w:val="none"/>
          <w:u w:val="none"/>
          <w:shd w:val="clear" w:color="auto" w:fill="FFFFFF"/>
          <w:vertAlign w:val="baseline"/>
        </w:rPr>
        <w:t>3</w:t>
      </w:r>
      <w:r>
        <w:rPr>
          <w:rFonts w:hint="eastAsia" w:ascii="宋体" w:hAnsi="宋体" w:eastAsia="宋体" w:cs="宋体"/>
          <w:i w:val="0"/>
          <w:iCs w:val="0"/>
          <w:caps w:val="0"/>
          <w:color w:val="auto"/>
          <w:spacing w:val="0"/>
          <w:sz w:val="21"/>
          <w:szCs w:val="21"/>
          <w:highlight w:val="none"/>
          <w:u w:val="none"/>
          <w:shd w:val="clear" w:color="auto" w:fill="FFFFFF"/>
          <w:vertAlign w:val="baseline"/>
        </w:rPr>
        <w:t>。</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u w:val="none"/>
          <w:shd w:val="clear" w:color="auto" w:fill="FFFFFF"/>
          <w:vertAlign w:val="baseline"/>
        </w:rPr>
        <w:t>的</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（关键组件）</w:t>
      </w:r>
      <w:r>
        <w:rPr>
          <w:rStyle w:val="25"/>
          <w:rFonts w:hint="eastAsia" w:ascii="宋体" w:hAnsi="宋体" w:eastAsia="宋体" w:cs="宋体"/>
          <w:i w:val="0"/>
          <w:iCs w:val="0"/>
          <w:caps w:val="0"/>
          <w:color w:val="auto"/>
          <w:spacing w:val="0"/>
          <w:sz w:val="21"/>
          <w:szCs w:val="21"/>
          <w:highlight w:val="none"/>
          <w:u w:val="none"/>
          <w:shd w:val="clear" w:color="auto" w:fill="FFFFFF"/>
          <w:vertAlign w:val="baseline"/>
        </w:rPr>
        <w:t>4</w:t>
      </w:r>
      <w:r>
        <w:rPr>
          <w:rFonts w:hint="eastAsia" w:ascii="宋体" w:hAnsi="宋体" w:eastAsia="宋体" w:cs="宋体"/>
          <w:i w:val="0"/>
          <w:iCs w:val="0"/>
          <w:caps w:val="0"/>
          <w:color w:val="auto"/>
          <w:spacing w:val="0"/>
          <w:sz w:val="21"/>
          <w:szCs w:val="21"/>
          <w:highlight w:val="none"/>
          <w:u w:val="none"/>
          <w:shd w:val="clear" w:color="auto" w:fill="FFFFFF"/>
          <w:vertAlign w:val="baseline"/>
        </w:rPr>
        <w:t>在中国境内生产。</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u w:val="none"/>
          <w:shd w:val="clear" w:color="auto" w:fill="FFFFFF"/>
          <w:vertAlign w:val="baseline"/>
        </w:rPr>
        <w:t>的</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（关键工序）</w:t>
      </w:r>
      <w:r>
        <w:rPr>
          <w:rStyle w:val="25"/>
          <w:rFonts w:hint="eastAsia" w:ascii="宋体" w:hAnsi="宋体" w:eastAsia="宋体" w:cs="宋体"/>
          <w:i w:val="0"/>
          <w:iCs w:val="0"/>
          <w:caps w:val="0"/>
          <w:color w:val="auto"/>
          <w:spacing w:val="0"/>
          <w:sz w:val="21"/>
          <w:szCs w:val="21"/>
          <w:highlight w:val="none"/>
          <w:u w:val="none"/>
          <w:shd w:val="clear" w:color="auto" w:fill="FFFFFF"/>
          <w:vertAlign w:val="baseline"/>
        </w:rPr>
        <w:t>5</w:t>
      </w:r>
      <w:r>
        <w:rPr>
          <w:rFonts w:hint="eastAsia" w:ascii="宋体" w:hAnsi="宋体" w:eastAsia="宋体" w:cs="宋体"/>
          <w:i w:val="0"/>
          <w:iCs w:val="0"/>
          <w:caps w:val="0"/>
          <w:color w:val="auto"/>
          <w:spacing w:val="0"/>
          <w:sz w:val="21"/>
          <w:szCs w:val="21"/>
          <w:highlight w:val="none"/>
          <w:u w:val="none"/>
          <w:shd w:val="clear" w:color="auto" w:fill="FFFFFF"/>
          <w:vertAlign w:val="baseline"/>
        </w:rPr>
        <w:t>在中国境内完成。</w:t>
      </w:r>
    </w:p>
    <w:p w14:paraId="7E0C739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2.</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u w:val="none"/>
          <w:shd w:val="clear" w:color="auto" w:fill="FFFFFF"/>
          <w:vertAlign w:val="baseline"/>
        </w:rPr>
        <w:t>，生产厂为</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（厂名）</w:t>
      </w:r>
      <w:r>
        <w:rPr>
          <w:rFonts w:hint="eastAsia" w:ascii="宋体" w:hAnsi="宋体" w:eastAsia="宋体" w:cs="宋体"/>
          <w:i w:val="0"/>
          <w:iCs w:val="0"/>
          <w:caps w:val="0"/>
          <w:color w:val="auto"/>
          <w:spacing w:val="0"/>
          <w:sz w:val="21"/>
          <w:szCs w:val="21"/>
          <w:highlight w:val="none"/>
          <w:u w:val="none"/>
          <w:shd w:val="clear" w:color="auto" w:fill="FFFFFF"/>
          <w:vertAlign w:val="baseline"/>
        </w:rPr>
        <w:t>，厂址为</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（生产厂址）</w:t>
      </w:r>
      <w:r>
        <w:rPr>
          <w:rFonts w:hint="eastAsia" w:ascii="宋体" w:hAnsi="宋体" w:eastAsia="宋体" w:cs="宋体"/>
          <w:i w:val="0"/>
          <w:iCs w:val="0"/>
          <w:caps w:val="0"/>
          <w:color w:val="auto"/>
          <w:spacing w:val="0"/>
          <w:sz w:val="21"/>
          <w:szCs w:val="21"/>
          <w:highlight w:val="none"/>
          <w:u w:val="none"/>
          <w:shd w:val="clear" w:color="auto" w:fill="FFFFFF"/>
          <w:vertAlign w:val="baseline"/>
        </w:rPr>
        <w:t>。</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u w:val="none"/>
          <w:shd w:val="clear" w:color="auto" w:fill="FFFFFF"/>
          <w:vertAlign w:val="baseline"/>
        </w:rPr>
        <w:t>的中国境内生产的组件成本占比≥</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（规定比例）</w:t>
      </w:r>
      <w:r>
        <w:rPr>
          <w:rFonts w:hint="eastAsia" w:ascii="宋体" w:hAnsi="宋体" w:eastAsia="宋体" w:cs="宋体"/>
          <w:i w:val="0"/>
          <w:iCs w:val="0"/>
          <w:caps w:val="0"/>
          <w:color w:val="auto"/>
          <w:spacing w:val="0"/>
          <w:sz w:val="21"/>
          <w:szCs w:val="21"/>
          <w:highlight w:val="none"/>
          <w:u w:val="none"/>
          <w:shd w:val="clear" w:color="auto" w:fill="FFFFFF"/>
          <w:vertAlign w:val="baseline"/>
        </w:rPr>
        <w:t>。</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u w:val="none"/>
          <w:shd w:val="clear" w:color="auto" w:fill="FFFFFF"/>
          <w:vertAlign w:val="baseline"/>
        </w:rPr>
        <w:t>的</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（关键组件）</w:t>
      </w:r>
      <w:r>
        <w:rPr>
          <w:rFonts w:hint="eastAsia" w:ascii="宋体" w:hAnsi="宋体" w:eastAsia="宋体" w:cs="宋体"/>
          <w:i w:val="0"/>
          <w:iCs w:val="0"/>
          <w:caps w:val="0"/>
          <w:color w:val="auto"/>
          <w:spacing w:val="0"/>
          <w:sz w:val="21"/>
          <w:szCs w:val="21"/>
          <w:highlight w:val="none"/>
          <w:u w:val="none"/>
          <w:shd w:val="clear" w:color="auto" w:fill="FFFFFF"/>
          <w:vertAlign w:val="baseline"/>
        </w:rPr>
        <w:t>在中国境内生产。</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u w:val="none"/>
          <w:shd w:val="clear" w:color="auto" w:fill="FFFFFF"/>
          <w:vertAlign w:val="baseline"/>
        </w:rPr>
        <w:t>的</w:t>
      </w:r>
      <w:r>
        <w:rPr>
          <w:rStyle w:val="25"/>
          <w:rFonts w:hint="eastAsia" w:ascii="宋体" w:hAnsi="宋体" w:eastAsia="宋体" w:cs="宋体"/>
          <w:i w:val="0"/>
          <w:iCs w:val="0"/>
          <w:caps w:val="0"/>
          <w:color w:val="auto"/>
          <w:spacing w:val="0"/>
          <w:sz w:val="21"/>
          <w:szCs w:val="21"/>
          <w:highlight w:val="none"/>
          <w:u w:val="single"/>
          <w:shd w:val="clear" w:color="auto" w:fill="FFFFFF"/>
          <w:vertAlign w:val="baseline"/>
        </w:rPr>
        <w:t>（关键工序）</w:t>
      </w:r>
      <w:r>
        <w:rPr>
          <w:rFonts w:hint="eastAsia" w:ascii="宋体" w:hAnsi="宋体" w:eastAsia="宋体" w:cs="宋体"/>
          <w:i w:val="0"/>
          <w:iCs w:val="0"/>
          <w:caps w:val="0"/>
          <w:color w:val="auto"/>
          <w:spacing w:val="0"/>
          <w:sz w:val="21"/>
          <w:szCs w:val="21"/>
          <w:highlight w:val="none"/>
          <w:u w:val="none"/>
          <w:shd w:val="clear" w:color="auto" w:fill="FFFFFF"/>
          <w:vertAlign w:val="baseline"/>
        </w:rPr>
        <w:t>在中国境内完成。</w:t>
      </w:r>
    </w:p>
    <w:p w14:paraId="4EFB61CF">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w:t>
      </w:r>
    </w:p>
    <w:p w14:paraId="5C5BF6B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本公司（单位）对上述声明内容的真实性负责。如有虚假，愿承担相应法律责任。</w:t>
      </w:r>
    </w:p>
    <w:p w14:paraId="5B3EB66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righ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公司（单位）名称（盖章）：　        </w:t>
      </w:r>
    </w:p>
    <w:p w14:paraId="0AC7274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right"/>
        <w:textAlignment w:val="baseline"/>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日期：　     年　  月　  日       </w:t>
      </w:r>
      <w:r>
        <w:rPr>
          <w:rFonts w:hint="eastAsia" w:ascii="宋体" w:hAnsi="宋体" w:eastAsia="宋体" w:cs="宋体"/>
          <w:i w:val="0"/>
          <w:iCs w:val="0"/>
          <w:caps w:val="0"/>
          <w:color w:val="auto"/>
          <w:spacing w:val="0"/>
          <w:sz w:val="28"/>
          <w:szCs w:val="28"/>
          <w:highlight w:val="none"/>
          <w:u w:val="none"/>
          <w:shd w:val="clear" w:color="auto" w:fill="FFFFFF"/>
          <w:vertAlign w:val="baseline"/>
        </w:rPr>
        <w:t>  </w:t>
      </w:r>
    </w:p>
    <w:p w14:paraId="0DE72D1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textAlignment w:val="baseline"/>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8"/>
          <w:szCs w:val="28"/>
          <w:highlight w:val="none"/>
          <w:u w:val="none"/>
          <w:shd w:val="clear" w:color="auto" w:fill="FFFFFF"/>
          <w:vertAlign w:val="baseline"/>
        </w:rPr>
        <w:t>__________________</w:t>
      </w:r>
    </w:p>
    <w:p w14:paraId="38C5C25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1.产品如有型号，请在“产品名称”栏一并填写。</w:t>
      </w:r>
    </w:p>
    <w:p w14:paraId="7A7D410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2.生产厂名与厂址应与生产厂营业执照载明的相关信息保持一致。</w:t>
      </w:r>
    </w:p>
    <w:p w14:paraId="67C971E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3.该产品的中国境内生产的组件成本占比相关要求实施前，“规定比例”栏可不填，下同。</w:t>
      </w:r>
    </w:p>
    <w:p w14:paraId="51868EF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4.该产品的关键组件要求实施前，“关键组件”栏可不填，下同。</w:t>
      </w:r>
    </w:p>
    <w:p w14:paraId="5E221AE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5.该产品的关键工序要求实施前，“关键工序”栏可不填，下同。</w:t>
      </w:r>
    </w:p>
    <w:p w14:paraId="5D11EBEB">
      <w:pPr>
        <w:rPr>
          <w:rFonts w:hint="eastAsia" w:ascii="宋体" w:hAnsi="宋体" w:eastAsia="宋体" w:cs="宋体"/>
          <w:color w:val="auto"/>
          <w:highlight w:val="none"/>
        </w:rPr>
      </w:pPr>
    </w:p>
    <w:p w14:paraId="6F7A32EF">
      <w:pPr>
        <w:rPr>
          <w:rFonts w:hint="eastAsia" w:ascii="宋体" w:hAnsi="宋体" w:eastAsia="宋体" w:cs="宋体"/>
          <w:color w:val="auto"/>
          <w:highlight w:val="none"/>
        </w:rPr>
      </w:pPr>
    </w:p>
    <w:p w14:paraId="571DEB83">
      <w:pPr>
        <w:rPr>
          <w:rFonts w:hint="eastAsia" w:ascii="宋体" w:hAnsi="宋体" w:eastAsia="宋体" w:cs="宋体"/>
          <w:color w:val="auto"/>
          <w:highlight w:val="none"/>
        </w:rPr>
      </w:pPr>
    </w:p>
    <w:p w14:paraId="7D14C669">
      <w:pPr>
        <w:rPr>
          <w:rFonts w:hint="eastAsia" w:ascii="宋体" w:hAnsi="宋体" w:eastAsia="宋体" w:cs="宋体"/>
          <w:color w:val="auto"/>
          <w:highlight w:val="none"/>
        </w:rPr>
      </w:pPr>
    </w:p>
    <w:p w14:paraId="0057A0A6">
      <w:pPr>
        <w:rPr>
          <w:rFonts w:hint="eastAsia" w:ascii="宋体" w:hAnsi="宋体" w:eastAsia="宋体" w:cs="宋体"/>
          <w:color w:val="auto"/>
          <w:highlight w:val="none"/>
        </w:rPr>
      </w:pPr>
    </w:p>
    <w:p w14:paraId="3A32BBF0">
      <w:pPr>
        <w:rPr>
          <w:rFonts w:hint="eastAsia" w:ascii="宋体" w:hAnsi="宋体" w:eastAsia="宋体" w:cs="宋体"/>
          <w:color w:val="auto"/>
          <w:highlight w:val="none"/>
        </w:rPr>
      </w:pPr>
    </w:p>
    <w:p w14:paraId="1DF253D6">
      <w:pPr>
        <w:keepNext w:val="0"/>
        <w:keepLines w:val="0"/>
        <w:widowControl/>
        <w:suppressLineNumbers w:val="0"/>
        <w:spacing w:line="360" w:lineRule="auto"/>
        <w:ind w:firstLine="2891" w:firstLineChars="1200"/>
        <w:jc w:val="lef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关于产品成本的声明函 </w:t>
      </w:r>
    </w:p>
    <w:p w14:paraId="2D4D07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本公司（单位）郑重声明，根据《国务院办公厅关于在政府采购中实施本国产品标准及相关政策的通知》（国办发〔2025〕34 号）的规定，本公司参加</w:t>
      </w:r>
      <w:r>
        <w:rPr>
          <w:rFonts w:hint="eastAsia" w:ascii="宋体" w:hAnsi="宋体" w:eastAsia="宋体" w:cs="宋体"/>
          <w:color w:val="auto"/>
          <w:sz w:val="24"/>
          <w:szCs w:val="24"/>
          <w:highlight w:val="none"/>
          <w:u w:val="single"/>
          <w:lang w:val="en-US" w:eastAsia="zh-CN"/>
        </w:rPr>
        <w:t>（单位名称）</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lang w:val="en-US" w:eastAsia="zh-CN"/>
        </w:rPr>
        <w:t>采购活动，为本项目（采购包或标段）提供的全部产品（采购清单中的货物）总报价为（大写）：      万元。</w:t>
      </w:r>
    </w:p>
    <w:p w14:paraId="028F59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其中：符合本国产品标准的产品成本之和为（大写）：   万元，全部产品成本之和为（大写）：   万元。 </w:t>
      </w:r>
    </w:p>
    <w:p w14:paraId="6CE7A5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符合本国产品标准的产品成本之和占全部产品成本之和的比例为</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本公司（单位）对上述声明内容的真实性负责。如有虚假，愿承担相应法律责任。 </w:t>
      </w:r>
    </w:p>
    <w:p w14:paraId="5B5A2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008B72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公司（单位）名称（盖章）： </w:t>
      </w:r>
    </w:p>
    <w:p w14:paraId="523BBD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日期： 年 月 日 </w:t>
      </w:r>
    </w:p>
    <w:p w14:paraId="6D9F2B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__________________ </w:t>
      </w:r>
    </w:p>
    <w:p w14:paraId="7A934009">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符合本国产品标准的产品成本之和占全部产品成本之和的比例= 符合本国产品标准的产品成本之和÷全部产品成本之和×100</w:t>
      </w:r>
    </w:p>
    <w:p w14:paraId="52BC3B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2.全部产品指采购清单中“适用本国产品标准的货物”。</w:t>
      </w:r>
    </w:p>
    <w:p w14:paraId="7C42CB61">
      <w:pPr>
        <w:rPr>
          <w:rFonts w:hint="eastAsia" w:ascii="宋体" w:hAnsi="宋体" w:eastAsia="宋体" w:cs="宋体"/>
          <w:color w:val="auto"/>
          <w:highlight w:val="none"/>
        </w:rPr>
      </w:pPr>
    </w:p>
    <w:p w14:paraId="771AE981">
      <w:pPr>
        <w:rPr>
          <w:rFonts w:hint="eastAsia" w:ascii="宋体" w:hAnsi="宋体" w:eastAsia="宋体" w:cs="宋体"/>
          <w:color w:val="auto"/>
          <w:highlight w:val="none"/>
        </w:rPr>
      </w:pPr>
    </w:p>
    <w:p w14:paraId="37F31D7E">
      <w:pPr>
        <w:rPr>
          <w:rFonts w:hint="eastAsia" w:ascii="宋体" w:hAnsi="宋体" w:eastAsia="宋体" w:cs="宋体"/>
          <w:color w:val="auto"/>
          <w:highlight w:val="none"/>
        </w:rPr>
      </w:pPr>
    </w:p>
    <w:p w14:paraId="28D99B26">
      <w:pPr>
        <w:rPr>
          <w:rFonts w:hint="eastAsia" w:ascii="宋体" w:hAnsi="宋体" w:eastAsia="宋体" w:cs="宋体"/>
          <w:color w:val="auto"/>
          <w:highlight w:val="none"/>
        </w:rPr>
      </w:pPr>
    </w:p>
    <w:p w14:paraId="0D30D6E2">
      <w:pPr>
        <w:rPr>
          <w:rFonts w:hint="eastAsia" w:ascii="宋体" w:hAnsi="宋体" w:eastAsia="宋体" w:cs="宋体"/>
          <w:color w:val="auto"/>
          <w:highlight w:val="none"/>
        </w:rPr>
      </w:pPr>
    </w:p>
    <w:p w14:paraId="110AA195">
      <w:pPr>
        <w:rPr>
          <w:rFonts w:hint="eastAsia" w:ascii="宋体" w:hAnsi="宋体" w:eastAsia="宋体" w:cs="宋体"/>
          <w:color w:val="auto"/>
          <w:highlight w:val="none"/>
        </w:rPr>
      </w:pPr>
    </w:p>
    <w:p w14:paraId="4B8C3724">
      <w:pPr>
        <w:rPr>
          <w:rFonts w:hint="eastAsia" w:ascii="宋体" w:hAnsi="宋体" w:eastAsia="宋体" w:cs="宋体"/>
          <w:color w:val="auto"/>
          <w:highlight w:val="none"/>
        </w:rPr>
      </w:pPr>
    </w:p>
    <w:p w14:paraId="5DCC0752">
      <w:pPr>
        <w:rPr>
          <w:rFonts w:hint="eastAsia" w:ascii="宋体" w:hAnsi="宋体" w:eastAsia="宋体" w:cs="宋体"/>
          <w:color w:val="auto"/>
          <w:highlight w:val="none"/>
        </w:rPr>
      </w:pPr>
    </w:p>
    <w:p w14:paraId="56D97077">
      <w:pPr>
        <w:rPr>
          <w:rFonts w:hint="eastAsia" w:ascii="宋体" w:hAnsi="宋体" w:eastAsia="宋体" w:cs="宋体"/>
          <w:color w:val="auto"/>
          <w:highlight w:val="none"/>
        </w:rPr>
      </w:pPr>
    </w:p>
    <w:p w14:paraId="3FB85D2E">
      <w:pPr>
        <w:rPr>
          <w:rFonts w:hint="eastAsia" w:ascii="宋体" w:hAnsi="宋体" w:eastAsia="宋体" w:cs="宋体"/>
          <w:color w:val="auto"/>
          <w:highlight w:val="none"/>
        </w:rPr>
      </w:pPr>
    </w:p>
    <w:p w14:paraId="5D244FA9">
      <w:pPr>
        <w:rPr>
          <w:rFonts w:hint="eastAsia" w:ascii="宋体" w:hAnsi="宋体" w:eastAsia="宋体" w:cs="宋体"/>
          <w:color w:val="auto"/>
          <w:highlight w:val="none"/>
        </w:rPr>
      </w:pPr>
    </w:p>
    <w:p w14:paraId="60EF2569">
      <w:pPr>
        <w:rPr>
          <w:rFonts w:hint="eastAsia" w:ascii="宋体" w:hAnsi="宋体" w:eastAsia="宋体" w:cs="宋体"/>
          <w:color w:val="auto"/>
          <w:highlight w:val="none"/>
        </w:rPr>
      </w:pPr>
    </w:p>
    <w:p w14:paraId="422857E6">
      <w:pPr>
        <w:rPr>
          <w:rFonts w:hint="eastAsia" w:ascii="宋体" w:hAnsi="宋体" w:eastAsia="宋体" w:cs="宋体"/>
          <w:color w:val="auto"/>
          <w:highlight w:val="none"/>
        </w:rPr>
      </w:pPr>
    </w:p>
    <w:p w14:paraId="3871B256">
      <w:pPr>
        <w:rPr>
          <w:rFonts w:hint="eastAsia" w:ascii="宋体" w:hAnsi="宋体" w:eastAsia="宋体" w:cs="宋体"/>
          <w:color w:val="auto"/>
          <w:highlight w:val="none"/>
        </w:rPr>
      </w:pPr>
    </w:p>
    <w:p w14:paraId="6EFDB657">
      <w:pPr>
        <w:rPr>
          <w:rFonts w:hint="eastAsia" w:ascii="宋体" w:hAnsi="宋体" w:eastAsia="宋体" w:cs="宋体"/>
          <w:color w:val="auto"/>
          <w:highlight w:val="none"/>
        </w:rPr>
      </w:pPr>
    </w:p>
    <w:p w14:paraId="0F7AEA58">
      <w:pPr>
        <w:rPr>
          <w:rFonts w:hint="eastAsia" w:ascii="宋体" w:hAnsi="宋体" w:eastAsia="宋体" w:cs="宋体"/>
          <w:color w:val="auto"/>
          <w:highlight w:val="none"/>
        </w:rPr>
      </w:pPr>
    </w:p>
    <w:p w14:paraId="06A629C4">
      <w:pPr>
        <w:keepNext/>
        <w:keepLines/>
        <w:spacing w:before="260" w:after="260" w:line="412" w:lineRule="auto"/>
        <w:jc w:val="center"/>
        <w:outlineLvl w:val="2"/>
        <w:rPr>
          <w:rFonts w:hint="eastAsia" w:ascii="宋体" w:hAnsi="宋体" w:eastAsia="宋体" w:cs="宋体"/>
          <w:b/>
          <w:bCs/>
          <w:color w:val="auto"/>
          <w:kern w:val="0"/>
          <w:sz w:val="32"/>
          <w:szCs w:val="32"/>
          <w:highlight w:val="none"/>
        </w:rPr>
      </w:pPr>
      <w:bookmarkStart w:id="42" w:name="_Toc137818588"/>
      <w:r>
        <w:rPr>
          <w:rFonts w:hint="eastAsia" w:ascii="宋体" w:hAnsi="宋体" w:eastAsia="宋体" w:cs="宋体"/>
          <w:b/>
          <w:bCs/>
          <w:color w:val="auto"/>
          <w:kern w:val="0"/>
          <w:sz w:val="32"/>
          <w:szCs w:val="32"/>
          <w:highlight w:val="none"/>
          <w:lang w:eastAsia="zh-CN"/>
        </w:rPr>
        <w:t>（六）</w:t>
      </w:r>
      <w:r>
        <w:rPr>
          <w:rFonts w:hint="eastAsia" w:ascii="宋体" w:hAnsi="宋体" w:eastAsia="宋体" w:cs="宋体"/>
          <w:b/>
          <w:bCs/>
          <w:color w:val="auto"/>
          <w:kern w:val="0"/>
          <w:sz w:val="32"/>
          <w:szCs w:val="32"/>
          <w:highlight w:val="none"/>
        </w:rPr>
        <w:t>关于印发中小企业划型标准规定的通知</w:t>
      </w:r>
      <w:bookmarkEnd w:id="42"/>
    </w:p>
    <w:p w14:paraId="0142F2A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关于印发中小企业划型标准规定的通知</w:t>
      </w:r>
    </w:p>
    <w:p w14:paraId="415D953C">
      <w:pPr>
        <w:spacing w:line="360" w:lineRule="auto"/>
        <w:ind w:firstLine="315" w:firstLineChars="1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工信部联企业[2011]300号</w:t>
      </w:r>
    </w:p>
    <w:p w14:paraId="78865492">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各省、自治区、直辖市人民政府，国务院各部委、各直属机构及有关单位：</w:t>
      </w:r>
    </w:p>
    <w:p w14:paraId="3697FAAD">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1B8C9305">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工业和信息化部　国家统计局</w:t>
      </w:r>
    </w:p>
    <w:p w14:paraId="61588610">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国家发展和改革委员会　财政部</w:t>
      </w:r>
    </w:p>
    <w:p w14:paraId="40EFAEBF">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二〇一一年六月十八日</w:t>
      </w:r>
    </w:p>
    <w:p w14:paraId="2DC9916A">
      <w:pPr>
        <w:spacing w:line="360" w:lineRule="auto"/>
        <w:ind w:firstLine="315" w:firstLineChars="150"/>
        <w:rPr>
          <w:rFonts w:hint="eastAsia" w:ascii="宋体" w:hAnsi="宋体" w:eastAsia="宋体" w:cs="宋体"/>
          <w:color w:val="auto"/>
          <w:szCs w:val="21"/>
          <w:highlight w:val="none"/>
        </w:rPr>
      </w:pPr>
    </w:p>
    <w:p w14:paraId="11DE913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中小企业划型标准规定</w:t>
      </w:r>
    </w:p>
    <w:p w14:paraId="22B66992">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一、根据《中华人民共和国中小企业促进法》和《国务院关于进一步促进中小企业发展的若干意见》(国发〔2009〕36号)，制定本规定。</w:t>
      </w:r>
    </w:p>
    <w:p w14:paraId="67BFC4CF">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二、中小企业划分为中型、小型、微型三种类型，具体标准根据企业从业人员、营业收入、资产总额等指标，结合行业特点制定。</w:t>
      </w:r>
    </w:p>
    <w:p w14:paraId="2F6F378E">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6781818">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四、各行业划型标准为：</w:t>
      </w:r>
    </w:p>
    <w:p w14:paraId="0F808051">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（一）农、林、牧、渔业。营业收入20000万元以下的为中小微型企业。其中，营业收入500万元及以上的为中型企业，营业收入50万元及以上的为小型企业，营业收入50万元以下的为微型企业。</w:t>
      </w:r>
    </w:p>
    <w:p w14:paraId="27E92245">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D051B43">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171C0F6">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68E162C">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960B407">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B23F422">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50C5142">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7E190C6">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66F58E">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318FE4B">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8B5AC6B">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3FA5729">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4ED0C1D">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50DC5C9">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1F3E87B">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（十六）其他未列明行业。从业人员300人以下的为中小微型企业。其中，从业人员100人及以上的为中型企业；从业人员10人及以上的为小型企业；从业人员10人以下的为微型企业。</w:t>
      </w:r>
    </w:p>
    <w:p w14:paraId="65456071">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五、企业类型的划分以统计部门的统计数据为依据。</w:t>
      </w:r>
    </w:p>
    <w:p w14:paraId="43FFEAB7">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六、本规定适用于在中华人民共和国境内依法设立的各类所有制和各种组织形式的企业。个体工商户和本规定以外的行业，参照本规定进行划型。</w:t>
      </w:r>
    </w:p>
    <w:p w14:paraId="7D744805">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D2A5DDA">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八、本规定由工业和信息化部、国家统计局会同有关部门根据《国民经济行业分类》修订情况和企业发展变化情况适时修订。</w:t>
      </w:r>
    </w:p>
    <w:p w14:paraId="5CA3BE41">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九、本规定由工业和信息化部、国家统计局会同有关部门负责解释。</w:t>
      </w:r>
    </w:p>
    <w:p w14:paraId="26000477">
      <w:pPr>
        <w:rPr>
          <w:rFonts w:hint="eastAsia" w:ascii="宋体" w:hAnsi="宋体" w:eastAsia="宋体" w:cs="宋体"/>
          <w:color w:val="auto"/>
          <w:highlight w:val="none"/>
        </w:rPr>
      </w:pPr>
      <w:r>
        <w:rPr>
          <w:rFonts w:hint="eastAsia" w:ascii="宋体" w:hAnsi="宋体" w:eastAsia="宋体" w:cs="宋体"/>
          <w:color w:val="auto"/>
          <w:szCs w:val="21"/>
          <w:highlight w:val="none"/>
        </w:rPr>
        <w:t>十、本规定自发布之日起执行，原国家经贸委、原国家计委、财政部和国家统计局2003年颁布的《中小企业标准暂行规定》同时废止。</w:t>
      </w:r>
    </w:p>
    <w:p w14:paraId="094CE052">
      <w:pPr>
        <w:rPr>
          <w:rFonts w:hint="eastAsia" w:ascii="宋体" w:hAnsi="宋体" w:eastAsia="宋体" w:cs="宋体"/>
          <w:color w:val="auto"/>
          <w:highlight w:val="none"/>
        </w:rPr>
      </w:pPr>
    </w:p>
    <w:p w14:paraId="41EDF97A">
      <w:pPr>
        <w:rPr>
          <w:rFonts w:hint="eastAsia" w:ascii="宋体" w:hAnsi="宋体" w:eastAsia="宋体" w:cs="宋体"/>
          <w:color w:val="auto"/>
          <w:highlight w:val="none"/>
        </w:rPr>
      </w:pPr>
    </w:p>
    <w:p w14:paraId="00528D9F">
      <w:pPr>
        <w:rPr>
          <w:rFonts w:hint="eastAsia" w:ascii="宋体" w:hAnsi="宋体" w:eastAsia="宋体" w:cs="宋体"/>
          <w:color w:val="auto"/>
          <w:highlight w:val="none"/>
        </w:rPr>
      </w:pPr>
    </w:p>
    <w:p w14:paraId="2F56374A">
      <w:pPr>
        <w:rPr>
          <w:rFonts w:hint="eastAsia" w:ascii="宋体" w:hAnsi="宋体" w:eastAsia="宋体" w:cs="宋体"/>
          <w:color w:val="auto"/>
          <w:highlight w:val="none"/>
        </w:rPr>
      </w:pPr>
    </w:p>
    <w:p w14:paraId="4A4DACBE">
      <w:pPr>
        <w:rPr>
          <w:rFonts w:hint="eastAsia" w:ascii="宋体" w:hAnsi="宋体" w:eastAsia="宋体" w:cs="宋体"/>
          <w:color w:val="auto"/>
          <w:highlight w:val="none"/>
        </w:rPr>
      </w:pPr>
    </w:p>
    <w:p w14:paraId="449DA981">
      <w:pPr>
        <w:rPr>
          <w:rFonts w:hint="eastAsia" w:ascii="宋体" w:hAnsi="宋体" w:eastAsia="宋体" w:cs="宋体"/>
          <w:color w:val="auto"/>
          <w:highlight w:val="none"/>
        </w:rPr>
      </w:pPr>
    </w:p>
    <w:p w14:paraId="0E54AB1C">
      <w:pPr>
        <w:rPr>
          <w:rFonts w:hint="eastAsia" w:ascii="宋体" w:hAnsi="宋体" w:eastAsia="宋体" w:cs="宋体"/>
          <w:color w:val="auto"/>
          <w:highlight w:val="none"/>
        </w:rPr>
      </w:pPr>
    </w:p>
    <w:p w14:paraId="3FA21DDE">
      <w:pPr>
        <w:rPr>
          <w:rFonts w:hint="eastAsia" w:ascii="宋体" w:hAnsi="宋体" w:eastAsia="宋体" w:cs="宋体"/>
          <w:color w:val="auto"/>
          <w:highlight w:val="none"/>
        </w:rPr>
      </w:pPr>
    </w:p>
    <w:p w14:paraId="3EB64C95">
      <w:pPr>
        <w:rPr>
          <w:rFonts w:hint="eastAsia" w:ascii="宋体" w:hAnsi="宋体" w:eastAsia="宋体" w:cs="宋体"/>
          <w:color w:val="auto"/>
          <w:highlight w:val="none"/>
        </w:rPr>
      </w:pPr>
    </w:p>
    <w:p w14:paraId="15CA9CAA">
      <w:pPr>
        <w:rPr>
          <w:rFonts w:hint="eastAsia" w:ascii="宋体" w:hAnsi="宋体" w:eastAsia="宋体" w:cs="宋体"/>
          <w:color w:val="auto"/>
          <w:highlight w:val="none"/>
        </w:rPr>
      </w:pPr>
    </w:p>
    <w:p w14:paraId="2217C9E3">
      <w:pPr>
        <w:rPr>
          <w:rFonts w:hint="eastAsia" w:ascii="宋体" w:hAnsi="宋体" w:eastAsia="宋体" w:cs="宋体"/>
          <w:color w:val="auto"/>
          <w:highlight w:val="none"/>
        </w:rPr>
      </w:pPr>
    </w:p>
    <w:p w14:paraId="2B23E0CE">
      <w:pPr>
        <w:rPr>
          <w:rFonts w:hint="eastAsia" w:ascii="宋体" w:hAnsi="宋体" w:eastAsia="宋体" w:cs="宋体"/>
          <w:color w:val="auto"/>
          <w:highlight w:val="none"/>
        </w:rPr>
      </w:pPr>
    </w:p>
    <w:p w14:paraId="183321BA">
      <w:pPr>
        <w:rPr>
          <w:rFonts w:hint="eastAsia" w:ascii="宋体" w:hAnsi="宋体" w:eastAsia="宋体" w:cs="宋体"/>
          <w:color w:val="auto"/>
          <w:highlight w:val="none"/>
        </w:rPr>
      </w:pPr>
    </w:p>
    <w:p w14:paraId="2D56A68E">
      <w:pPr>
        <w:rPr>
          <w:rFonts w:hint="eastAsia" w:ascii="宋体" w:hAnsi="宋体" w:eastAsia="宋体" w:cs="宋体"/>
          <w:color w:val="auto"/>
          <w:highlight w:val="none"/>
        </w:rPr>
      </w:pPr>
    </w:p>
    <w:p w14:paraId="50657D1E">
      <w:pPr>
        <w:rPr>
          <w:rFonts w:hint="eastAsia" w:ascii="宋体" w:hAnsi="宋体" w:eastAsia="宋体" w:cs="宋体"/>
          <w:color w:val="auto"/>
          <w:highlight w:val="none"/>
        </w:rPr>
      </w:pPr>
    </w:p>
    <w:p w14:paraId="6674D4EF">
      <w:pPr>
        <w:rPr>
          <w:rFonts w:hint="eastAsia" w:ascii="宋体" w:hAnsi="宋体" w:eastAsia="宋体" w:cs="宋体"/>
          <w:color w:val="auto"/>
          <w:highlight w:val="none"/>
        </w:rPr>
      </w:pPr>
    </w:p>
    <w:p w14:paraId="66B1EF59">
      <w:pPr>
        <w:rPr>
          <w:rFonts w:hint="eastAsia" w:ascii="宋体" w:hAnsi="宋体" w:eastAsia="宋体" w:cs="宋体"/>
          <w:color w:val="auto"/>
          <w:highlight w:val="none"/>
        </w:rPr>
      </w:pPr>
    </w:p>
    <w:p w14:paraId="2A411A41">
      <w:pPr>
        <w:rPr>
          <w:rFonts w:hint="eastAsia" w:ascii="宋体" w:hAnsi="宋体" w:eastAsia="宋体" w:cs="宋体"/>
          <w:color w:val="auto"/>
          <w:highlight w:val="none"/>
        </w:rPr>
      </w:pPr>
    </w:p>
    <w:p w14:paraId="7CDE3020">
      <w:pPr>
        <w:rPr>
          <w:rFonts w:hint="eastAsia" w:ascii="宋体" w:hAnsi="宋体" w:eastAsia="宋体" w:cs="宋体"/>
          <w:color w:val="auto"/>
          <w:highlight w:val="none"/>
        </w:rPr>
      </w:pPr>
    </w:p>
    <w:p w14:paraId="79147C7C">
      <w:pPr>
        <w:rPr>
          <w:rFonts w:hint="eastAsia" w:ascii="宋体" w:hAnsi="宋体" w:eastAsia="宋体" w:cs="宋体"/>
          <w:color w:val="auto"/>
          <w:highlight w:val="none"/>
        </w:rPr>
      </w:pPr>
    </w:p>
    <w:p w14:paraId="0C476B7D">
      <w:pPr>
        <w:rPr>
          <w:rFonts w:hint="eastAsia" w:ascii="宋体" w:hAnsi="宋体" w:eastAsia="宋体" w:cs="宋体"/>
          <w:color w:val="auto"/>
          <w:highlight w:val="none"/>
        </w:rPr>
      </w:pPr>
    </w:p>
    <w:p w14:paraId="0FCC3564">
      <w:pPr>
        <w:rPr>
          <w:rFonts w:hint="eastAsia" w:ascii="宋体" w:hAnsi="宋体" w:eastAsia="宋体" w:cs="宋体"/>
          <w:color w:val="auto"/>
          <w:highlight w:val="none"/>
        </w:rPr>
      </w:pPr>
    </w:p>
    <w:p w14:paraId="0E88006D">
      <w:pPr>
        <w:rPr>
          <w:rFonts w:hint="eastAsia" w:ascii="宋体" w:hAnsi="宋体" w:eastAsia="宋体" w:cs="宋体"/>
          <w:color w:val="auto"/>
          <w:highlight w:val="none"/>
        </w:rPr>
      </w:pPr>
    </w:p>
    <w:p w14:paraId="47D4352E">
      <w:pPr>
        <w:rPr>
          <w:rFonts w:hint="eastAsia" w:ascii="宋体" w:hAnsi="宋体" w:eastAsia="宋体" w:cs="宋体"/>
          <w:color w:val="auto"/>
          <w:highlight w:val="none"/>
        </w:rPr>
      </w:pPr>
    </w:p>
    <w:p w14:paraId="6A1EA357">
      <w:pPr>
        <w:rPr>
          <w:rFonts w:hint="eastAsia" w:ascii="宋体" w:hAnsi="宋体" w:eastAsia="宋体" w:cs="宋体"/>
          <w:color w:val="auto"/>
          <w:highlight w:val="none"/>
        </w:rPr>
      </w:pPr>
    </w:p>
    <w:p w14:paraId="5112346E">
      <w:pPr>
        <w:rPr>
          <w:rFonts w:hint="eastAsia" w:ascii="宋体" w:hAnsi="宋体" w:eastAsia="宋体" w:cs="宋体"/>
          <w:color w:val="auto"/>
          <w:highlight w:val="none"/>
        </w:rPr>
      </w:pPr>
    </w:p>
    <w:p w14:paraId="04310F8F">
      <w:pPr>
        <w:rPr>
          <w:rFonts w:hint="eastAsia" w:ascii="宋体" w:hAnsi="宋体" w:eastAsia="宋体" w:cs="宋体"/>
          <w:color w:val="auto"/>
          <w:highlight w:val="none"/>
        </w:rPr>
      </w:pPr>
    </w:p>
    <w:p w14:paraId="1D3BDA7F">
      <w:pPr>
        <w:rPr>
          <w:rFonts w:hint="eastAsia" w:ascii="宋体" w:hAnsi="宋体" w:eastAsia="宋体" w:cs="宋体"/>
          <w:color w:val="auto"/>
          <w:highlight w:val="none"/>
        </w:rPr>
      </w:pPr>
    </w:p>
    <w:p w14:paraId="15EAC376">
      <w:pPr>
        <w:rPr>
          <w:rFonts w:hint="eastAsia" w:ascii="宋体" w:hAnsi="宋体" w:eastAsia="宋体" w:cs="宋体"/>
          <w:color w:val="auto"/>
          <w:highlight w:val="none"/>
        </w:rPr>
      </w:pPr>
    </w:p>
    <w:p w14:paraId="2E0F3BEF">
      <w:pPr>
        <w:rPr>
          <w:rFonts w:hint="eastAsia" w:ascii="宋体" w:hAnsi="宋体" w:eastAsia="宋体" w:cs="宋体"/>
          <w:color w:val="auto"/>
          <w:highlight w:val="none"/>
        </w:rPr>
      </w:pPr>
    </w:p>
    <w:p w14:paraId="1C013C05">
      <w:pPr>
        <w:rPr>
          <w:rFonts w:hint="eastAsia" w:ascii="宋体" w:hAnsi="宋体" w:eastAsia="宋体" w:cs="宋体"/>
          <w:color w:val="auto"/>
          <w:highlight w:val="none"/>
        </w:rPr>
      </w:pPr>
    </w:p>
    <w:p w14:paraId="4CF4D83E">
      <w:pPr>
        <w:rPr>
          <w:rFonts w:hint="eastAsia" w:ascii="宋体" w:hAnsi="宋体" w:eastAsia="宋体" w:cs="宋体"/>
          <w:color w:val="auto"/>
          <w:highlight w:val="none"/>
        </w:rPr>
      </w:pPr>
    </w:p>
    <w:p w14:paraId="7F5F6F59">
      <w:pPr>
        <w:rPr>
          <w:rFonts w:hint="eastAsia" w:ascii="宋体" w:hAnsi="宋体" w:eastAsia="宋体" w:cs="宋体"/>
          <w:color w:val="auto"/>
          <w:highlight w:val="none"/>
        </w:rPr>
      </w:pPr>
    </w:p>
    <w:p w14:paraId="73E7A470">
      <w:pPr>
        <w:rPr>
          <w:rFonts w:hint="eastAsia" w:ascii="宋体" w:hAnsi="宋体" w:eastAsia="宋体" w:cs="宋体"/>
          <w:color w:val="auto"/>
          <w:highlight w:val="none"/>
        </w:rPr>
      </w:pPr>
    </w:p>
    <w:p w14:paraId="49D783EE">
      <w:pPr>
        <w:rPr>
          <w:rFonts w:hint="eastAsia" w:ascii="宋体" w:hAnsi="宋体" w:eastAsia="宋体" w:cs="宋体"/>
          <w:color w:val="auto"/>
          <w:highlight w:val="none"/>
        </w:rPr>
      </w:pPr>
    </w:p>
    <w:p w14:paraId="6A44F05A">
      <w:pPr>
        <w:spacing w:before="64" w:line="225" w:lineRule="auto"/>
        <w:jc w:val="center"/>
        <w:outlineLvl w:val="1"/>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lang w:val="en-US" w:eastAsia="zh-CN"/>
        </w:rPr>
        <w:t>（七）、贯彻落实《国务院办公厅关于在政府采购中实施本国产品标准及相关政策的通知》的意见</w:t>
      </w:r>
    </w:p>
    <w:p w14:paraId="0A26A00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50" w:lineRule="atLeast"/>
        <w:ind w:left="0" w:right="0" w:firstLine="0"/>
        <w:jc w:val="center"/>
        <w:textAlignment w:val="baseline"/>
        <w:rPr>
          <w:rFonts w:hint="eastAsia" w:ascii="宋体" w:hAnsi="宋体" w:eastAsia="宋体" w:cs="宋体"/>
          <w:i w:val="0"/>
          <w:iCs w:val="0"/>
          <w:caps w:val="0"/>
          <w:color w:val="auto"/>
          <w:spacing w:val="0"/>
          <w:sz w:val="21"/>
          <w:szCs w:val="21"/>
          <w:highlight w:val="none"/>
          <w:u w:val="none"/>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 </w:t>
      </w:r>
      <w:r>
        <w:rPr>
          <w:rFonts w:hint="eastAsia" w:ascii="宋体" w:hAnsi="宋体" w:eastAsia="宋体" w:cs="宋体"/>
          <w:b/>
          <w:bCs/>
          <w:i w:val="0"/>
          <w:iCs w:val="0"/>
          <w:caps w:val="0"/>
          <w:color w:val="auto"/>
          <w:spacing w:val="0"/>
          <w:kern w:val="0"/>
          <w:sz w:val="21"/>
          <w:szCs w:val="21"/>
          <w:highlight w:val="none"/>
          <w:u w:val="none"/>
          <w:shd w:val="clear" w:color="auto" w:fill="FFFFFF"/>
          <w:vertAlign w:val="baseline"/>
          <w:lang w:val="en-US" w:eastAsia="zh-CN" w:bidi="ar"/>
        </w:rPr>
        <w:t>财库〔2025〕30号</w:t>
      </w:r>
    </w:p>
    <w:p w14:paraId="4679C9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right="0" w:firstLine="412" w:firstLineChars="200"/>
        <w:jc w:val="both"/>
        <w:textAlignment w:val="baseline"/>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各中央预算单位，各省、自治区、直辖市、计划单列市财政厅（局）、工业和信息化主管部门，新疆生产建设兵团财政局、工业和信息化局：</w:t>
      </w:r>
    </w:p>
    <w:p w14:paraId="2D6B9E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32"/>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为深入贯彻落实《国务院办公厅关于在政府采购中实施本国产品标准及相关政策的通知》（国办发〔2025〕34号，以下简称《通知》），加快构建统一开放、竞争有序的政府采购市场体系，现提出以下意见。</w:t>
      </w:r>
    </w:p>
    <w:p w14:paraId="69FD9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32"/>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b/>
          <w:bCs/>
          <w:i w:val="0"/>
          <w:iCs w:val="0"/>
          <w:caps w:val="0"/>
          <w:color w:val="auto"/>
          <w:spacing w:val="-2"/>
          <w:kern w:val="0"/>
          <w:sz w:val="21"/>
          <w:szCs w:val="21"/>
          <w:highlight w:val="none"/>
          <w:u w:val="none"/>
          <w:shd w:val="clear" w:color="auto" w:fill="FFFFFF"/>
          <w:vertAlign w:val="baseline"/>
          <w:lang w:val="en-US" w:eastAsia="zh-CN" w:bidi="ar"/>
        </w:rPr>
        <w:t>一、充分认识在政府采购中实施本国产品标准及相关政策的重要意义</w:t>
      </w:r>
    </w:p>
    <w:p w14:paraId="2F1F23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5"/>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通知》以习近平新时代中国特色社会主义思想为指导，全面贯彻党的二十大和二十届历次全会精神，紧扣高质量发展要求，结合我国发展实际，对接国际高标准经贸规则，系统提出了构建政府采购中本国产品标准体系以及对本国产品予以支持的工作要求，为进一步保障各类经营主体平等参与政府采购活动提供了制度依据。</w:t>
      </w:r>
    </w:p>
    <w:p w14:paraId="7A2502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通知》是政府采购领域的重要制度创新，也是优化营商环境的重要举措，还是落实政府采购领域外资企业国民待遇的务实行动，对构建以国内大循环为主体、国内国际双循环相互促进的新发展格局具有重要意义。</w:t>
      </w:r>
    </w:p>
    <w:p w14:paraId="6CDB9A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在政府采购中实施本国产品标准及相关政策,是一项长期性、系统性工作。各地区各部门要提高站位，准确把握本国产品标准及相关政策的核心内涵，进一步增强责任感和使命感，将《通知》要求落实落细落到位。</w:t>
      </w:r>
    </w:p>
    <w:p w14:paraId="661D2C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b/>
          <w:bCs/>
          <w:i w:val="0"/>
          <w:iCs w:val="0"/>
          <w:caps w:val="0"/>
          <w:color w:val="auto"/>
          <w:spacing w:val="-2"/>
          <w:kern w:val="0"/>
          <w:sz w:val="21"/>
          <w:szCs w:val="21"/>
          <w:highlight w:val="none"/>
          <w:u w:val="none"/>
          <w:shd w:val="clear" w:color="auto" w:fill="FFFFFF"/>
          <w:vertAlign w:val="baseline"/>
          <w:lang w:val="en-US" w:eastAsia="zh-CN" w:bidi="ar"/>
        </w:rPr>
        <w:t>二、全面理解在政府采购中实施本国产品标准及相关政策的内涵和要求</w:t>
      </w:r>
    </w:p>
    <w:p w14:paraId="18ACD9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32"/>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一）准确界定产品在中国境内生产。《通知》明确，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940D0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二）科学制定本国产品具体标准要求。财政部将会同工业和信息化部等有关行业主管部门，分类施策、稳妥推进，根据不同行业特点和我国产业发展实际，在充分征求有关内外资企业、行业商会协会等方面意见的基础上，依据企业产品成本核算制度等，分产品制定中国境内生产的组件成本占比要求，以及特定产品的关键组件、关键工序相关要求，明确成本核算规则，并合理设置过渡期，保障标准符合实际、具有可操作性。</w:t>
      </w:r>
    </w:p>
    <w:p w14:paraId="043776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三）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29970E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32"/>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四）加强对本国产品标准及相关政策实施的监管。县级以上财政部门在处理涉及本国产品标准及相关政策的投诉或者开展监督检查时，要加强与有关部门的协调，必要时可以会同当地工业和信息化等有关部门，依托会计师事务所等专业机构，对产品和组件的生产地、工序完成地以及组件成本占比等进行核实、鉴定。一旦发现供应商假冒本国产品的，依法依规予以严肃处理。县级以上工业和信息化等有关部门要按照《通知》要求，配合财政部门做好涉及本国产品标准相关事项的核实、鉴定工作。</w:t>
      </w:r>
    </w:p>
    <w:p w14:paraId="7D5696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五）严格落实平等对待内外资企业的相关要求。各地区、各部门要依法落实政府采购领域外资企业国民待遇。如发现在政府采购活动中指定品牌或者限制品牌注册地、所有者，以所有制形式、组织形式、股权结构、投资者国别或者其他不合理条件对供应商实行差别待遇或者歧视待遇的，要依法依规予以严肃处理，保障符合本国产品标准的外资企业产品平等参与政府采购活动。</w:t>
      </w:r>
    </w:p>
    <w:p w14:paraId="62DF20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b/>
          <w:bCs/>
          <w:i w:val="0"/>
          <w:iCs w:val="0"/>
          <w:caps w:val="0"/>
          <w:color w:val="auto"/>
          <w:spacing w:val="-2"/>
          <w:kern w:val="0"/>
          <w:sz w:val="21"/>
          <w:szCs w:val="21"/>
          <w:highlight w:val="none"/>
          <w:u w:val="none"/>
          <w:shd w:val="clear" w:color="auto" w:fill="FFFFFF"/>
          <w:vertAlign w:val="baseline"/>
          <w:lang w:val="en-US" w:eastAsia="zh-CN" w:bidi="ar"/>
        </w:rPr>
        <w:t>三、抓好贯彻落实</w:t>
      </w:r>
    </w:p>
    <w:p w14:paraId="209DF8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一）加强政策指导。地方各级财政部门要对此项工作高度重视、周密部署，通过组织培训、政策宣讲等方式，统一思想认识，制定切实可行的落实举措。要强化采购人的责任意识，加强对评审专家和供应商的监督指导，及时总结经验做法，营造有利于政策实施的良好环境，确保《通知》顺利实施。</w:t>
      </w:r>
    </w:p>
    <w:p w14:paraId="0196C3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二）完善内控机制。各级预算单位要强化采购人主体责任，结合本单位业务特点和《通知》要求，进一步健全内控制度，优化内部工作流程，将本国产品标准和相关政策要求嵌入采购需求、采购文件、采购合同、履约验收等政府采购各个环节中，确保于2026年1月1日起在政府采购中落实政策要求。</w:t>
      </w:r>
    </w:p>
    <w:p w14:paraId="7D5314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color w:val="auto"/>
          <w:spacing w:val="-2"/>
          <w:sz w:val="21"/>
          <w:szCs w:val="21"/>
          <w:highlight w:val="none"/>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三）建立健全部门间协调机制。地方各级财政部门要积极加强和相关行业主管部门的沟通，推动建立健全部门间协调机制，着力解决在政府采购投诉处理、监督检查中涉及本国产品标准争议事项的专业认定问题，形成工作合力，保障政府采购供应商合法权益。</w:t>
      </w:r>
    </w:p>
    <w:p w14:paraId="638CA4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both"/>
        <w:textAlignment w:val="baseline"/>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（四）强化监督检查。地方各级财政部门要加强对政府采购相关当事人落实《通知》要求的监督检查，畅通供应商投诉救济渠道，对未落实本国产品标准及相关政策的单位和相关责任人依法依规追究责任。</w:t>
      </w:r>
    </w:p>
    <w:p w14:paraId="6CCAA1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right"/>
        <w:textAlignment w:val="baseline"/>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财政部 工业和信息化部 </w:t>
      </w:r>
    </w:p>
    <w:p w14:paraId="00197A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8" w:lineRule="atLeast"/>
        <w:ind w:left="0" w:right="0" w:firstLine="640"/>
        <w:jc w:val="right"/>
        <w:textAlignment w:val="baseline"/>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2"/>
          <w:kern w:val="0"/>
          <w:sz w:val="21"/>
          <w:szCs w:val="21"/>
          <w:highlight w:val="none"/>
          <w:u w:val="none"/>
          <w:shd w:val="clear" w:color="auto" w:fill="FFFFFF"/>
          <w:vertAlign w:val="baseline"/>
          <w:lang w:val="en-US" w:eastAsia="zh-CN" w:bidi="ar"/>
        </w:rPr>
        <w:t>                   2025年12月15日</w:t>
      </w:r>
    </w:p>
    <w:p w14:paraId="157E3C31">
      <w:pPr>
        <w:rPr>
          <w:rFonts w:hint="eastAsia" w:ascii="宋体" w:hAnsi="宋体" w:eastAsia="宋体" w:cs="宋体"/>
          <w:color w:val="auto"/>
          <w:highlight w:val="none"/>
          <w:lang w:val="en-US" w:eastAsia="zh-CN"/>
        </w:rPr>
      </w:pPr>
    </w:p>
    <w:p w14:paraId="2420D3A3">
      <w:pPr>
        <w:rPr>
          <w:rFonts w:hint="eastAsia" w:ascii="宋体" w:hAnsi="宋体" w:eastAsia="宋体" w:cs="宋体"/>
          <w:color w:val="auto"/>
          <w:highlight w:val="none"/>
          <w:lang w:val="en-US" w:eastAsia="zh-CN"/>
        </w:rPr>
      </w:pPr>
    </w:p>
    <w:p w14:paraId="711A3AB1">
      <w:pPr>
        <w:rPr>
          <w:rFonts w:hint="eastAsia" w:ascii="宋体" w:hAnsi="宋体" w:eastAsia="宋体" w:cs="宋体"/>
          <w:color w:val="auto"/>
          <w:highlight w:val="none"/>
          <w:lang w:val="en-US" w:eastAsia="zh-CN"/>
        </w:rPr>
      </w:pPr>
    </w:p>
    <w:p w14:paraId="4619CEEA">
      <w:pPr>
        <w:rPr>
          <w:rFonts w:hint="eastAsia" w:ascii="宋体" w:hAnsi="宋体" w:eastAsia="宋体" w:cs="宋体"/>
          <w:color w:val="auto"/>
          <w:highlight w:val="none"/>
          <w:lang w:val="en-US" w:eastAsia="zh-CN"/>
        </w:rPr>
      </w:pPr>
    </w:p>
    <w:p w14:paraId="3D88C72D">
      <w:pPr>
        <w:rPr>
          <w:rFonts w:hint="eastAsia" w:ascii="宋体" w:hAnsi="宋体" w:eastAsia="宋体" w:cs="宋体"/>
          <w:color w:val="auto"/>
          <w:highlight w:val="none"/>
          <w:lang w:val="en-US" w:eastAsia="zh-CN"/>
        </w:rPr>
      </w:pPr>
    </w:p>
    <w:p w14:paraId="1F7769CC">
      <w:pPr>
        <w:rPr>
          <w:rFonts w:hint="eastAsia" w:ascii="宋体" w:hAnsi="宋体" w:eastAsia="宋体" w:cs="宋体"/>
          <w:color w:val="auto"/>
          <w:highlight w:val="none"/>
          <w:lang w:val="en-US" w:eastAsia="zh-CN"/>
        </w:rPr>
      </w:pPr>
    </w:p>
    <w:p w14:paraId="5E6447C1">
      <w:pPr>
        <w:rPr>
          <w:rFonts w:hint="eastAsia" w:ascii="宋体" w:hAnsi="宋体" w:eastAsia="宋体" w:cs="宋体"/>
          <w:color w:val="auto"/>
          <w:highlight w:val="none"/>
          <w:lang w:val="en-US" w:eastAsia="zh-CN"/>
        </w:rPr>
      </w:pPr>
    </w:p>
    <w:p w14:paraId="2BF98FA8">
      <w:pPr>
        <w:rPr>
          <w:rFonts w:hint="eastAsia" w:ascii="宋体" w:hAnsi="宋体" w:eastAsia="宋体" w:cs="宋体"/>
          <w:color w:val="auto"/>
          <w:highlight w:val="none"/>
          <w:lang w:val="en-US" w:eastAsia="zh-CN"/>
        </w:rPr>
      </w:pPr>
    </w:p>
    <w:p w14:paraId="0FEA0AFE">
      <w:pPr>
        <w:keepNext w:val="0"/>
        <w:keepLines w:val="0"/>
        <w:pageBreakBefore w:val="0"/>
        <w:widowControl w:val="0"/>
        <w:kinsoku/>
        <w:wordWrap/>
        <w:overflowPunct/>
        <w:topLinePunct w:val="0"/>
        <w:bidi w:val="0"/>
        <w:adjustRightInd w:val="0"/>
        <w:snapToGrid w:val="0"/>
        <w:spacing w:line="360" w:lineRule="auto"/>
        <w:ind w:firstLine="480" w:firstLineChars="20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全流程电子化交易注意事项</w:t>
      </w:r>
    </w:p>
    <w:p w14:paraId="3B2D82C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化交易项目投标文件是投标人、供应商（以下简称“投标人”）通过中心投标文件制作系统制作，并经过签章和加密后生成的电子版投标文件。（电子化投标文件具体制作教材请投标人通过CA证书登录公共资源电子化交易系统在右上角“组件下载”中查看）制作电子化投标文件，需仔细阅读以下条款。</w:t>
      </w:r>
    </w:p>
    <w:p w14:paraId="6812E0A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一、电子化投标</w:t>
      </w:r>
    </w:p>
    <w:p w14:paraId="6A7D6983">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（一）网上投标保证金的缴纳</w:t>
      </w:r>
    </w:p>
    <w:p w14:paraId="71F0411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1、递交形式: 投标人的投标保证金必须通过投标人基本账户以转账或电汇的形式缴纳（账户必须是已加入平顶山市公共资源交易投标人或供应商诚信库中的账户）。</w:t>
      </w:r>
    </w:p>
    <w:p w14:paraId="3D3F2D3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投标人缴纳投标保证金后，应在规定的缴纳截止时间前通过平顶山市公共资源电子化交易系统将保证金成功绑定至所投标项目和标段。保证金绑定操作手册，请登录平顶山市公共资源交易中心网站在办事指南中网上投标栏目查看。</w:t>
      </w:r>
    </w:p>
    <w:p w14:paraId="4E09512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3、投标人在成功绑定后，可以将系统生成的回执单图片制作在投标文件中，作为缴纳保证金的依据。</w:t>
      </w:r>
    </w:p>
    <w:p w14:paraId="0326284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4、投标人应仔细阅读操作手册并充分考虑异地跨行转账到账时间等因素，因投标人操作不当或银行到账时间等问题造成保证金无法正常绑定影响投标的，由投标人自行承担后果。</w:t>
      </w:r>
    </w:p>
    <w:p w14:paraId="1165FEE2">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5、未中标投标人的投标保证金在项目结束后，由中介服务机构向中心项目负责人提出退款申请，项目负责人同意并经财务部门核对后，通过中心交易平台退还给投标人。</w:t>
      </w:r>
    </w:p>
    <w:p w14:paraId="78DD358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（二）电子化投标文件的签章</w:t>
      </w:r>
    </w:p>
    <w:p w14:paraId="0890A212">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1、投标人在生成电子化投标文件后，应对电子化投标文件进行签章，未进行签章的视为无效投标。</w:t>
      </w:r>
    </w:p>
    <w:p w14:paraId="386FC544">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招标文件中要求法定代表人或授权委托人签字或盖章的，投标人在进行电子化投标文件签章时，以签盖法定代表人签章为准。电子化投标文件具体制作教材请投标人通过CA证书登录平顶山市公共资源电子化交易系统在右上角“组建下载”中查看。</w:t>
      </w:r>
    </w:p>
    <w:p w14:paraId="4349134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（三）电子化投标文件的格式及上传投标</w:t>
      </w:r>
    </w:p>
    <w:p w14:paraId="369ECECF">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1、投标人所上传的电子化投标文件，应是通过中心投标文件制作系统制作的，经过签章和加密后生成的电子版投标文件。生成的电子版投标文件包含用于投标文件上传的主文件（项目文件格式为：xxx公司_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项目名称.bin），备份文件主要用于电子化开标出现技术问题后的补救，请投标人随身携带。</w:t>
      </w:r>
    </w:p>
    <w:p w14:paraId="1CEDEA0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注：（1）投标人投报多个标段的，根据标段制作各个标段的投标文件后上传</w:t>
      </w:r>
    </w:p>
    <w:p w14:paraId="41B145C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2、电子化投标文件应在投标截止时间前成功上传至平顶山市公共资源电子化交易系统。至投标截止时间止，仍未上传成功的电子化投标文件将不予接收。</w:t>
      </w:r>
    </w:p>
    <w:p w14:paraId="13EA4373">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0EDBFD7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（四）电子化项目开标、解密、唱标、评标</w:t>
      </w:r>
    </w:p>
    <w:p w14:paraId="06FEEA14">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1、电子化投标文件采用双重加密方式。开标时，首先由投标人使用CA证书，在规定时间内对其电子化投标文件进行首次解密，投标人解密完成后，再由中介服务机构使用CA证书对投标文件进行再次解密。</w:t>
      </w:r>
    </w:p>
    <w:p w14:paraId="53814A7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2、电子化投标文件解密异常的处理</w:t>
      </w:r>
    </w:p>
    <w:p w14:paraId="32DDF80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如出现投标人的电子投标文件无法解密的情况，投标人应及时联系中介服务机构说明。投标文件解密异常，按以下步骤进行处理：</w:t>
      </w:r>
    </w:p>
    <w:p w14:paraId="7988AA8F">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（1）首先由技术人员进行问题排查。</w:t>
      </w:r>
    </w:p>
    <w:p w14:paraId="26D8012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（2）经技术人员排查后，是投标人文件自身问题导致投标文件无法解密的，该投标文件将不予接收、解密和唱标，开标会议继续进行。</w:t>
      </w:r>
    </w:p>
    <w:p w14:paraId="41EAE50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5604869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3、待所有投标人投标文件解密完成后，由中介服务机构操作，对所有已解密投标文件进行唱标。</w:t>
      </w:r>
    </w:p>
    <w:p w14:paraId="6821EB7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评标时，评标委员会对电子化投标文件有质疑的，将通过电子化交易系统对投标人发起质疑。质疑回复内容确认后，投标人的回复文件必须以经过投标人和其法定代表人签章的PDF格式文件为准，并通过电子化交易系统提交至评标委员会。</w:t>
      </w:r>
    </w:p>
    <w:p w14:paraId="09D00A9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5、如评标委员会对需要回复的投标人回复内容有异议的，经过几次回复仍不清楚的，需在监督下进行免提电话进行质疑。</w:t>
      </w:r>
    </w:p>
    <w:p w14:paraId="6CF8B3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6、评标时如因系统异常、停电、电脑病毒、网络堵塞等原因无法正常进行的，由技术人员排查解决，短时间无法解决的，经监督部门同意后，暂停评标活动，待问题解决后继续评标。</w:t>
      </w:r>
    </w:p>
    <w:p w14:paraId="410CC4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p>
    <w:sectPr>
      <w:footerReference r:id="rId14"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3BECA">
    <w:pPr>
      <w:pStyle w:val="14"/>
      <w:ind w:right="360"/>
      <w:rPr>
        <w:sz w:val="21"/>
        <w:szCs w:val="21"/>
      </w:rPr>
    </w:pPr>
    <w:r>
      <w:rPr>
        <w:rFonts w:hint="eastAsia"/>
        <w:sz w:val="21"/>
        <w:szCs w:val="21"/>
      </w:rPr>
      <w:t xml:space="preserve">          </w:t>
    </w:r>
    <w:r>
      <w:rPr>
        <w:sz w:val="21"/>
        <w:szCs w:val="21"/>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3C396">
    <w:pPr>
      <w:pStyle w:val="9"/>
      <w:spacing w:line="14" w:lineRule="auto"/>
      <w:rPr>
        <w:sz w:val="18"/>
      </w:rPr>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5234CD5">
                          <w:pPr>
                            <w:pStyle w:val="14"/>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fv9MOUBAADPAwAA&#10;DgAAAAAAAAABACAAAAAeAQAAZHJzL2Uyb0RvYy54bWxQSwUGAAAAAAYABgBZAQAAdQUAAAAA&#10;">
              <v:fill on="f" focussize="0,0"/>
              <v:stroke on="f"/>
              <v:imagedata o:title=""/>
              <o:lock v:ext="edit" aspectratio="f"/>
              <v:textbox inset="0mm,0mm,0mm,0mm" style="mso-fit-shape-to-text:t;">
                <w:txbxContent>
                  <w:p w14:paraId="25234CD5">
                    <w:pPr>
                      <w:pStyle w:val="14"/>
                    </w:pPr>
                    <w:r>
                      <w:fldChar w:fldCharType="begin"/>
                    </w:r>
                    <w:r>
                      <w:instrText xml:space="preserve"> PAGE  \* MERGEFORMAT </w:instrText>
                    </w:r>
                    <w:r>
                      <w:fldChar w:fldCharType="separate"/>
                    </w:r>
                    <w:r>
                      <w:t>2</w:t>
                    </w:r>
                    <w:r>
                      <w:fldChar w:fldCharType="end"/>
                    </w:r>
                  </w:p>
                </w:txbxContent>
              </v:textbox>
            </v:shape>
          </w:pict>
        </mc:Fallback>
      </mc:AlternateContent>
    </w:r>
    <w:r>
      <w:rPr>
        <w:lang w:val="en-US"/>
      </w:rPr>
      <mc:AlternateContent>
        <mc:Choice Requires="wps">
          <w:drawing>
            <wp:anchor distT="0" distB="0" distL="114300" distR="114300" simplePos="0" relativeHeight="251662336" behindDoc="0" locked="0" layoutInCell="1" allowOverlap="1">
              <wp:simplePos x="0" y="0"/>
              <wp:positionH relativeFrom="margin">
                <wp:posOffset>2428875</wp:posOffset>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98BB0F4">
                          <w:pPr>
                            <w:pStyle w:val="14"/>
                          </w:pPr>
                        </w:p>
                      </w:txbxContent>
                    </wps:txbx>
                    <wps:bodyPr vert="horz" wrap="none" lIns="0" tIns="0" rIns="0" bIns="0" anchor="t" anchorCtr="0" upright="1">
                      <a:spAutoFit/>
                    </wps:bodyPr>
                  </wps:wsp>
                </a:graphicData>
              </a:graphic>
            </wp:anchor>
          </w:drawing>
        </mc:Choice>
        <mc:Fallback>
          <w:pict>
            <v:shape id="文本框 4" o:spid="_x0000_s1026" o:spt="202" type="#_x0000_t202" style="position:absolute;left:0pt;margin-left:191.25pt;margin-top:0pt;height:144pt;width:144pt;mso-position-horizontal-relative:margin;mso-wrap-style:none;z-index:251662336;mso-width-relative:page;mso-height-relative:page;" filled="f" stroked="f" coordsize="21600,21600" o:gfxdata="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C2rXPnUAAAACAEAAA8A&#10;AAAAAAAAAQAgAAAAIgAAAGRycy9kb3ducmV2LnhtbFBLAQIUABQAAAAIAIdO4kBC3KM54gEAAMwD&#10;AAAOAAAAAAAAAAEAIAAAACMBAABkcnMvZTJvRG9jLnhtbFBLBQYAAAAABgAGAFkBAAB3BQAAAAA=&#10;">
              <v:fill on="f" focussize="0,0"/>
              <v:stroke on="f"/>
              <v:imagedata o:title=""/>
              <o:lock v:ext="edit" aspectratio="f"/>
              <v:textbox inset="0mm,0mm,0mm,0mm" style="mso-fit-shape-to-text:t;">
                <w:txbxContent>
                  <w:p w14:paraId="398BB0F4">
                    <w:pPr>
                      <w:pStyle w:val="14"/>
                    </w:pPr>
                  </w:p>
                </w:txbxContent>
              </v:textbox>
            </v:shape>
          </w:pict>
        </mc:Fallback>
      </mc:AlternateContent>
    </w:r>
    <w:r>
      <w:rPr>
        <w:lang w:val="en-US"/>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28930" cy="1828800"/>
              <wp:effectExtent l="0" t="0" r="0" b="0"/>
              <wp:wrapNone/>
              <wp:docPr id="6" name="文本框 5"/>
              <wp:cNvGraphicFramePr/>
              <a:graphic xmlns:a="http://schemas.openxmlformats.org/drawingml/2006/main">
                <a:graphicData uri="http://schemas.microsoft.com/office/word/2010/wordprocessingShape">
                  <wps:wsp>
                    <wps:cNvSpPr txBox="1"/>
                    <wps:spPr>
                      <a:xfrm>
                        <a:off x="0" y="0"/>
                        <a:ext cx="328930" cy="1828800"/>
                      </a:xfrm>
                      <a:prstGeom prst="rect">
                        <a:avLst/>
                      </a:prstGeom>
                      <a:noFill/>
                      <a:ln w="6350">
                        <a:noFill/>
                      </a:ln>
                      <a:effectLst/>
                    </wps:spPr>
                    <wps:txbx>
                      <w:txbxContent>
                        <w:p w14:paraId="191EAAAC">
                          <w:pPr>
                            <w:pStyle w:val="14"/>
                            <w:rPr>
                              <w:b/>
                              <w:bCs/>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25.9pt;mso-position-horizontal:center;mso-position-horizontal-relative:margin;z-index:251663360;mso-width-relative:page;mso-height-relative:page;" filled="f" stroked="f" coordsize="21600,21600" o:gfxdata="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vXN5W0wAAAAQBAAAPAAAAAAAAAAEAIAAAACIAAABkcnMvZG93bnJldi54&#10;bWxQSwECFAAUAAAACACHTuJAqMIMyDgCAABkBAAADgAAAAAAAAABACAAAAAiAQAAZHJzL2Uyb0Rv&#10;Yy54bWxQSwUGAAAAAAYABgBZAQAAzAUAAAAA&#10;">
              <v:fill on="f" focussize="0,0"/>
              <v:stroke on="f" weight="0.5pt"/>
              <v:imagedata o:title=""/>
              <o:lock v:ext="edit" aspectratio="f"/>
              <v:textbox inset="0mm,0mm,0mm,0mm" style="mso-fit-shape-to-text:t;">
                <w:txbxContent>
                  <w:p w14:paraId="191EAAAC">
                    <w:pPr>
                      <w:pStyle w:val="14"/>
                      <w:rPr>
                        <w:b/>
                        <w:bCs/>
                      </w:rPr>
                    </w:pPr>
                  </w:p>
                </w:txbxContent>
              </v:textbox>
            </v:shape>
          </w:pict>
        </mc:Fallback>
      </mc:AlternateContent>
    </w:r>
    <w:r>
      <w:rPr>
        <w:lang w:val="en-US"/>
      </w:rPr>
      <mc:AlternateContent>
        <mc:Choice Requires="wps">
          <w:drawing>
            <wp:anchor distT="0" distB="0" distL="114300" distR="114300" simplePos="0" relativeHeight="251659264" behindDoc="1" locked="0" layoutInCell="1" allowOverlap="1">
              <wp:simplePos x="0" y="0"/>
              <wp:positionH relativeFrom="page">
                <wp:posOffset>3766820</wp:posOffset>
              </wp:positionH>
              <wp:positionV relativeFrom="page">
                <wp:posOffset>9704070</wp:posOffset>
              </wp:positionV>
              <wp:extent cx="167005" cy="152400"/>
              <wp:effectExtent l="0" t="0" r="0" b="0"/>
              <wp:wrapNone/>
              <wp:docPr id="11" name="文本框 6"/>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w="9525">
                        <a:noFill/>
                      </a:ln>
                      <a:effectLst/>
                    </wps:spPr>
                    <wps:txbx>
                      <w:txbxContent>
                        <w:p w14:paraId="56A41B06">
                          <w:pPr>
                            <w:spacing w:before="12"/>
                            <w:rPr>
                              <w:rFonts w:ascii="Times New Roman"/>
                              <w:sz w:val="18"/>
                            </w:rPr>
                          </w:pPr>
                        </w:p>
                      </w:txbxContent>
                    </wps:txbx>
                    <wps:bodyPr vert="horz" wrap="square" lIns="0" tIns="0" rIns="0" bIns="0" anchor="t" anchorCtr="0" upright="1"/>
                  </wps:wsp>
                </a:graphicData>
              </a:graphic>
            </wp:anchor>
          </w:drawing>
        </mc:Choice>
        <mc:Fallback>
          <w:pict>
            <v:shape id="文本框 6" o:spid="_x0000_s1026" o:spt="202" type="#_x0000_t202" style="position:absolute;left:0pt;margin-left:296.6pt;margin-top:764.1pt;height:12pt;width:13.15pt;mso-position-horizontal-relative:page;mso-position-vertical-relative:page;z-index:-251657216;mso-width-relative:page;mso-height-relative:page;" filled="f" stroked="f" coordsize="21600,21600" o:gfxdata="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fTlip&#10;2gAAAA0BAAAPAAAAAAAAAAEAIAAAACIAAABkcnMvZG93bnJldi54bWxQSwECFAAUAAAACACHTuJA&#10;JeCnk+YBAAC8AwAADgAAAAAAAAABACAAAAApAQAAZHJzL2Uyb0RvYy54bWxQSwUGAAAAAAYABgBZ&#10;AQAAgQUAAAAA&#10;">
              <v:fill on="f" focussize="0,0"/>
              <v:stroke on="f"/>
              <v:imagedata o:title=""/>
              <o:lock v:ext="edit" aspectratio="f"/>
              <v:textbox inset="0mm,0mm,0mm,0mm">
                <w:txbxContent>
                  <w:p w14:paraId="56A41B06">
                    <w:pPr>
                      <w:spacing w:before="12"/>
                      <w:rPr>
                        <w:rFonts w:ascii="Times New Roman"/>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8AF37">
    <w:pPr>
      <w:pStyle w:val="14"/>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D928574">
                          <w:pPr>
                            <w:pStyle w:val="1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- 35 -</w:t>
                          </w:r>
                          <w:r>
                            <w:rPr>
                              <w:b/>
                              <w:bCs/>
                              <w:sz w:val="24"/>
                              <w:szCs w:val="24"/>
                            </w:rPr>
                            <w:fldChar w:fldCharType="end"/>
                          </w:r>
                          <w:r>
                            <w:rPr>
                              <w:lang w:val="zh-CN"/>
                            </w:rPr>
                            <w:t xml:space="preserve"> </w:t>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4OzU6uUBAADPAwAA&#10;DgAAAAAAAAABACAAAAAeAQAAZHJzL2Uyb0RvYy54bWxQSwUGAAAAAAYABgBZAQAAdQUAAAAA&#10;">
              <v:fill on="f" focussize="0,0"/>
              <v:stroke on="f"/>
              <v:imagedata o:title=""/>
              <o:lock v:ext="edit" aspectratio="f"/>
              <v:textbox inset="0mm,0mm,0mm,0mm" style="mso-fit-shape-to-text:t;">
                <w:txbxContent>
                  <w:p w14:paraId="6D928574">
                    <w:pPr>
                      <w:pStyle w:val="1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- 35 -</w:t>
                    </w:r>
                    <w:r>
                      <w:rPr>
                        <w:b/>
                        <w:bCs/>
                        <w:sz w:val="24"/>
                        <w:szCs w:val="24"/>
                      </w:rPr>
                      <w:fldChar w:fldCharType="end"/>
                    </w:r>
                    <w:r>
                      <w:rPr>
                        <w:lang w:val="zh-CN"/>
                      </w:rPr>
                      <w:t xml:space="preserve"> </w:t>
                    </w:r>
                  </w:p>
                </w:txbxContent>
              </v:textbox>
            </v:shape>
          </w:pict>
        </mc:Fallback>
      </mc:AlternateContent>
    </w:r>
  </w:p>
  <w:p w14:paraId="70D9BCD7">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7BBA4">
    <w:pPr>
      <w:pStyle w:val="14"/>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4FAA310">
                          <w:pPr>
                            <w:pStyle w:val="14"/>
                          </w:pPr>
                          <w:r>
                            <w:fldChar w:fldCharType="begin"/>
                          </w:r>
                          <w:r>
                            <w:instrText xml:space="preserve"> PAGE  \* MERGEFORMAT </w:instrText>
                          </w:r>
                          <w:r>
                            <w:fldChar w:fldCharType="separate"/>
                          </w:r>
                          <w:r>
                            <w:t>- 46 -</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ZVTyBuUBAADPAwAA&#10;DgAAAAAAAAABACAAAAAeAQAAZHJzL2Uyb0RvYy54bWxQSwUGAAAAAAYABgBZAQAAdQUAAAAA&#10;">
              <v:fill on="f" focussize="0,0"/>
              <v:stroke on="f"/>
              <v:imagedata o:title=""/>
              <o:lock v:ext="edit" aspectratio="f"/>
              <v:textbox inset="0mm,0mm,0mm,0mm" style="mso-fit-shape-to-text:t;">
                <w:txbxContent>
                  <w:p w14:paraId="34FAA310">
                    <w:pPr>
                      <w:pStyle w:val="14"/>
                    </w:pPr>
                    <w:r>
                      <w:fldChar w:fldCharType="begin"/>
                    </w:r>
                    <w:r>
                      <w:instrText xml:space="preserve"> PAGE  \* MERGEFORMAT </w:instrText>
                    </w:r>
                    <w:r>
                      <w:fldChar w:fldCharType="separate"/>
                    </w:r>
                    <w:r>
                      <w:t>- 46 -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8FC1F">
    <w:pPr>
      <w:pStyle w:val="14"/>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D80C13C">
                          <w:pPr>
                            <w:pStyle w:val="14"/>
                          </w:pPr>
                          <w:r>
                            <w:fldChar w:fldCharType="begin"/>
                          </w:r>
                          <w:r>
                            <w:instrText xml:space="preserve"> PAGE  \* MERGEFORMAT </w:instrText>
                          </w:r>
                          <w:r>
                            <w:fldChar w:fldCharType="separate"/>
                          </w:r>
                          <w:r>
                            <w:t>- 55 -</w:t>
                          </w:r>
                          <w:r>
                            <w:fldChar w:fldCharType="end"/>
                          </w:r>
                        </w:p>
                      </w:txbxContent>
                    </wps:txbx>
                    <wps:bodyPr vert="horz" wrap="none" lIns="0" tIns="0" rIns="0" bIns="0" anchor="t" anchorCtr="0" upright="1">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R7bpuuUBAADPAwAA&#10;DgAAAAAAAAABACAAAAAeAQAAZHJzL2Uyb0RvYy54bWxQSwUGAAAAAAYABgBZAQAAdQUAAAAA&#10;">
              <v:fill on="f" focussize="0,0"/>
              <v:stroke on="f"/>
              <v:imagedata o:title=""/>
              <o:lock v:ext="edit" aspectratio="f"/>
              <v:textbox inset="0mm,0mm,0mm,0mm" style="mso-fit-shape-to-text:t;">
                <w:txbxContent>
                  <w:p w14:paraId="2D80C13C">
                    <w:pPr>
                      <w:pStyle w:val="14"/>
                    </w:pPr>
                    <w:r>
                      <w:fldChar w:fldCharType="begin"/>
                    </w:r>
                    <w:r>
                      <w:instrText xml:space="preserve"> PAGE  \* MERGEFORMAT </w:instrText>
                    </w:r>
                    <w:r>
                      <w:fldChar w:fldCharType="separate"/>
                    </w:r>
                    <w:r>
                      <w:t>- 55 -</w:t>
                    </w:r>
                    <w:r>
                      <w:fldChar w:fldCharType="end"/>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63195" cy="200660"/>
              <wp:effectExtent l="0" t="0" r="0" b="0"/>
              <wp:wrapNone/>
              <wp:docPr id="10" name="文本框 2059"/>
              <wp:cNvGraphicFramePr/>
              <a:graphic xmlns:a="http://schemas.openxmlformats.org/drawingml/2006/main">
                <a:graphicData uri="http://schemas.microsoft.com/office/word/2010/wordprocessingShape">
                  <wps:wsp>
                    <wps:cNvSpPr txBox="1"/>
                    <wps:spPr>
                      <a:xfrm>
                        <a:off x="0" y="0"/>
                        <a:ext cx="163195" cy="200660"/>
                      </a:xfrm>
                      <a:prstGeom prst="rect">
                        <a:avLst/>
                      </a:prstGeom>
                      <a:noFill/>
                      <a:ln>
                        <a:noFill/>
                      </a:ln>
                      <a:effectLst/>
                    </wps:spPr>
                    <wps:txbx>
                      <w:txbxContent>
                        <w:p w14:paraId="1C7495EE">
                          <w:pPr>
                            <w:pStyle w:val="14"/>
                          </w:pPr>
                          <w:r>
                            <w:t xml:space="preserve"> </w:t>
                          </w:r>
                        </w:p>
                      </w:txbxContent>
                    </wps:txbx>
                    <wps:bodyPr vert="horz" wrap="square" lIns="0" tIns="0" rIns="0" bIns="0" anchor="t" anchorCtr="0" upright="1"/>
                  </wps:wsp>
                </a:graphicData>
              </a:graphic>
            </wp:anchor>
          </w:drawing>
        </mc:Choice>
        <mc:Fallback>
          <w:pict>
            <v:shape id="文本框 2059" o:spid="_x0000_s1026" o:spt="202" type="#_x0000_t202" style="position:absolute;left:0pt;margin-top:0pt;height:15.8pt;width:12.85pt;mso-position-horizontal:center;mso-position-horizontal-relative:margin;z-index:251669504;mso-width-relative:page;mso-height-relative:page;" filled="f" stroked="f" coordsize="21600,21600" o:gfxdata="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2APptQAAAADAQAADwAAAAAA&#10;AAABACAAAAAiAAAAZHJzL2Rvd25yZXYueG1sUEsBAhQAFAAAAAgAh07iQAUU41jeAQAAtgMAAA4A&#10;AAAAAAAAAQAgAAAAIwEAAGRycy9lMm9Eb2MueG1sUEsFBgAAAAAGAAYAWQEAAHMFAAAAAA==&#10;">
              <v:fill on="f" focussize="0,0"/>
              <v:stroke on="f"/>
              <v:imagedata o:title=""/>
              <o:lock v:ext="edit" aspectratio="f"/>
              <v:textbox inset="0mm,0mm,0mm,0mm">
                <w:txbxContent>
                  <w:p w14:paraId="1C7495EE">
                    <w:pPr>
                      <w:pStyle w:val="14"/>
                    </w:pP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D2A06">
    <w:pPr>
      <w:pStyle w:val="9"/>
      <w:spacing w:line="229" w:lineRule="auto"/>
      <w:ind w:right="14"/>
      <w:jc w:val="right"/>
      <w:rPr>
        <w:sz w:val="18"/>
        <w:szCs w:val="18"/>
      </w:rPr>
    </w:pPr>
    <w:r>
      <w:rPr>
        <w:spacing w:val="-5"/>
        <w:sz w:val="18"/>
        <w:szCs w:val="18"/>
      </w:rPr>
      <w:t>52</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B59BD">
    <w:pPr>
      <w:pStyle w:val="32"/>
    </w:pPr>
  </w:p>
  <w:p w14:paraId="083BFD37">
    <w:pPr>
      <w:pStyle w:val="32"/>
    </w:pPr>
  </w:p>
  <w:p w14:paraId="3DEAF2B2">
    <w:pPr>
      <w:widowControl/>
      <w:shd w:val="clear" w:color="auto" w:fill="FFFFFF"/>
      <w:spacing w:line="420" w:lineRule="atLeast"/>
      <w:jc w:val="left"/>
      <w:rPr>
        <w:color w:val="000000"/>
        <w:sz w:val="18"/>
        <w:szCs w:val="18"/>
      </w:rPr>
    </w:pPr>
    <w:r>
      <w:rPr>
        <w:rFonts w:hint="eastAsia"/>
        <w:color w:val="000000"/>
        <w:sz w:val="15"/>
        <w:szCs w:val="15"/>
        <w:lang w:eastAsia="zh-CN"/>
      </w:rPr>
      <w:t>平顶山学院能源互联网信息安全实训平台项目</w:t>
    </w:r>
    <w:r>
      <w:rPr>
        <w:rFonts w:hint="eastAsia"/>
        <w:color w:val="000000"/>
        <w:sz w:val="15"/>
        <w:szCs w:val="15"/>
        <w:lang w:eastAsia="zh-CN"/>
      </w:rPr>
      <w:tab/>
    </w:r>
    <w:r>
      <w:rPr>
        <w:rFonts w:hint="eastAsia"/>
        <w:color w:val="000000"/>
        <w:sz w:val="15"/>
        <w:szCs w:val="15"/>
      </w:rPr>
      <w:t xml:space="preserve">          </w:t>
    </w:r>
    <w:r>
      <w:rPr>
        <w:rFonts w:hint="eastAsia"/>
        <w:color w:val="000000"/>
        <w:sz w:val="15"/>
        <w:szCs w:val="15"/>
        <w:lang w:val="en-US" w:eastAsia="zh-CN"/>
      </w:rPr>
      <w:t xml:space="preserve">      </w:t>
    </w:r>
    <w:r>
      <w:rPr>
        <w:rFonts w:hint="eastAsia"/>
        <w:color w:val="000000"/>
        <w:sz w:val="15"/>
        <w:szCs w:val="15"/>
      </w:rPr>
      <w:t xml:space="preserve">   </w:t>
    </w:r>
    <w:r>
      <w:rPr>
        <w:rFonts w:hint="eastAsia"/>
        <w:color w:val="000000"/>
        <w:sz w:val="15"/>
        <w:szCs w:val="15"/>
        <w:lang w:val="en-US" w:eastAsia="zh-CN"/>
      </w:rPr>
      <w:t xml:space="preserve">                                   </w:t>
    </w:r>
    <w:r>
      <w:rPr>
        <w:rFonts w:hint="eastAsia"/>
        <w:color w:val="000000"/>
        <w:sz w:val="15"/>
        <w:szCs w:val="15"/>
      </w:rPr>
      <w:t xml:space="preserve"> 招标文件</w:t>
    </w:r>
  </w:p>
  <w:p w14:paraId="206C0F51">
    <w:pPr>
      <w:pStyle w:val="16"/>
      <w:pBdr>
        <w:bottom w:val="none" w:color="auto" w:sz="0" w:space="0"/>
      </w:pBdr>
      <w:ind w:right="1306" w:rightChars="622"/>
    </w:pPr>
    <w: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20955</wp:posOffset>
              </wp:positionV>
              <wp:extent cx="5252720" cy="17780"/>
              <wp:effectExtent l="0" t="28575" r="5080" b="29845"/>
              <wp:wrapNone/>
              <wp:docPr id="3" name="直接箭头连接符 3"/>
              <wp:cNvGraphicFramePr/>
              <a:graphic xmlns:a="http://schemas.openxmlformats.org/drawingml/2006/main">
                <a:graphicData uri="http://schemas.microsoft.com/office/word/2010/wordprocessingShape">
                  <wps:wsp>
                    <wps:cNvCnPr/>
                    <wps:spPr>
                      <a:xfrm>
                        <a:off x="0" y="0"/>
                        <a:ext cx="5252720" cy="17780"/>
                      </a:xfrm>
                      <a:prstGeom prst="straightConnector1">
                        <a:avLst/>
                      </a:prstGeom>
                      <a:ln w="57150" cap="flat" cmpd="thickThin">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0.3pt;margin-top:1.65pt;height:1.4pt;width:413.6pt;z-index:251660288;mso-width-relative:page;mso-height-relative:page;" filled="f" stroked="t" coordsize="21600,21600" o:gfxdata="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36TIG0wAAAAQBAAAPAAAAAAAAAAEAIAAAACIAAABk&#10;cnMvZG93bnJldi54bWxQSwECFAAUAAAACACHTuJAHzK8BQsCAAAFBAAADgAAAAAAAAABACAAAAAi&#10;AQAAZHJzL2Uyb0RvYy54bWxQSwUGAAAAAAYABgBZAQAAnwUAAAAA&#10;">
              <v:fill on="f" focussize="0,0"/>
              <v:stroke weight="4.5pt" color="#000000" linestyle="thickThin" joinstyle="round"/>
              <v:imagedata o:title=""/>
              <o:lock v:ext="edit" aspectratio="f"/>
            </v:shape>
          </w:pict>
        </mc:Fallback>
      </mc:AlternateConten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3B731">
    <w:pPr>
      <w:widowControl/>
      <w:shd w:val="clear" w:color="auto" w:fill="FFFFFF"/>
      <w:spacing w:line="420" w:lineRule="atLeast"/>
      <w:rPr>
        <w:color w:val="000000"/>
        <w:sz w:val="15"/>
        <w:szCs w:val="15"/>
      </w:rPr>
    </w:pPr>
  </w:p>
  <w:p w14:paraId="5180CC87">
    <w:pPr>
      <w:widowControl/>
      <w:shd w:val="clear" w:color="auto" w:fill="FFFFFF"/>
      <w:spacing w:line="420" w:lineRule="atLeast"/>
      <w:jc w:val="left"/>
      <w:rPr>
        <w:color w:val="000000"/>
        <w:sz w:val="15"/>
        <w:szCs w:val="15"/>
      </w:rPr>
    </w:pPr>
    <w:r>
      <w:rPr>
        <w:rFonts w:hint="eastAsia"/>
        <w:color w:val="000000"/>
        <w:sz w:val="15"/>
        <w:szCs w:val="15"/>
        <w:lang w:eastAsia="zh-CN"/>
      </w:rPr>
      <w:t>平顶山学院能源互联网信息安全实训平台项目</w:t>
    </w:r>
    <w:r>
      <w:rPr>
        <w:rFonts w:hint="eastAsia"/>
        <w:color w:val="000000"/>
        <w:sz w:val="15"/>
        <w:szCs w:val="15"/>
        <w:lang w:eastAsia="zh-CN"/>
      </w:rPr>
      <w:tab/>
    </w:r>
    <w:r>
      <w:rPr>
        <w:rFonts w:hint="eastAsia"/>
        <w:color w:val="000000"/>
        <w:sz w:val="15"/>
        <w:szCs w:val="15"/>
      </w:rPr>
      <w:t xml:space="preserve">                     </w:t>
    </w:r>
    <w:r>
      <w:rPr>
        <w:rFonts w:hint="eastAsia"/>
        <w:color w:val="000000"/>
        <w:sz w:val="15"/>
        <w:szCs w:val="15"/>
        <w:lang w:val="en-US" w:eastAsia="zh-CN"/>
      </w:rPr>
      <w:t xml:space="preserve">                                         </w:t>
    </w:r>
    <w:r>
      <w:rPr>
        <w:rFonts w:hint="eastAsia"/>
        <w:color w:val="000000"/>
        <w:sz w:val="15"/>
        <w:szCs w:val="15"/>
      </w:rPr>
      <w:t xml:space="preserve">  招标文件</w:t>
    </w:r>
  </w:p>
  <w:p w14:paraId="27319127">
    <w:pPr>
      <w:pStyle w:val="16"/>
      <w:pBdr>
        <w:bottom w:val="none" w:color="auto" w:sz="0" w:space="1"/>
      </w:pBdr>
    </w:pPr>
    <w:r>
      <mc:AlternateContent>
        <mc:Choice Requires="wps">
          <w:drawing>
            <wp:anchor distT="0" distB="0" distL="114300" distR="114300" simplePos="0" relativeHeight="251664384" behindDoc="0" locked="0" layoutInCell="1" allowOverlap="1">
              <wp:simplePos x="0" y="0"/>
              <wp:positionH relativeFrom="column">
                <wp:posOffset>6985</wp:posOffset>
              </wp:positionH>
              <wp:positionV relativeFrom="paragraph">
                <wp:posOffset>59055</wp:posOffset>
              </wp:positionV>
              <wp:extent cx="5678170" cy="635"/>
              <wp:effectExtent l="0" t="28575" r="6350" b="31750"/>
              <wp:wrapNone/>
              <wp:docPr id="2" name="直接连接符 2"/>
              <wp:cNvGraphicFramePr/>
              <a:graphic xmlns:a="http://schemas.openxmlformats.org/drawingml/2006/main">
                <a:graphicData uri="http://schemas.microsoft.com/office/word/2010/wordprocessingShape">
                  <wps:wsp>
                    <wps:cNvCnPr/>
                    <wps:spPr>
                      <a:xfrm>
                        <a:off x="0" y="0"/>
                        <a:ext cx="5678170" cy="635"/>
                      </a:xfrm>
                      <a:prstGeom prst="line">
                        <a:avLst/>
                      </a:prstGeom>
                      <a:ln w="57150" cap="flat" cmpd="thickThin">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55pt;margin-top:4.65pt;height:0.05pt;width:447.1pt;z-index:251664384;mso-width-relative:page;mso-height-relative:page;" filled="f" stroked="t" coordsize="21600,21600" o:gfxdata="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8CDF60QAAAAUBAAAPAAAAAAAAAAEAIAAAACIAAABkcnMvZG93bnJldi54bWxQSwECFAAUAAAA&#10;CACHTuJAVAIg7fUBAADvAwAADgAAAAAAAAABACAAAAAgAQAAZHJzL2Uyb0RvYy54bWxQSwUGAAAA&#10;AAYABgBZAQAAhwUAAAAA&#10;">
              <v:fill on="f" focussize="0,0"/>
              <v:stroke weight="4.5pt" color="#000000" linestyle="thickThin"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3668C">
    <w:pPr>
      <w:pStyle w:val="16"/>
      <w:pBdr>
        <w:bottom w:val="thinThickThinSmallGap" w:color="auto" w:sz="18" w:space="1"/>
      </w:pBdr>
      <w:rPr>
        <w:rFonts w:hint="default" w:eastAsia="宋体"/>
        <w:color w:val="000000"/>
        <w:lang w:val="en-US" w:eastAsia="zh-CN"/>
      </w:rPr>
    </w:pPr>
    <w:r>
      <w:rPr>
        <w:rFonts w:hint="eastAsia"/>
        <w:color w:val="000000"/>
        <w:lang w:val="en-US" w:eastAsia="zh-CN"/>
      </w:rPr>
      <w:t xml:space="preserve">    </w:t>
    </w:r>
  </w:p>
  <w:p w14:paraId="0D7BE793">
    <w:pPr>
      <w:pStyle w:val="16"/>
      <w:pBdr>
        <w:bottom w:val="thinThickThinSmallGap" w:color="auto" w:sz="18" w:space="1"/>
      </w:pBdr>
      <w:jc w:val="both"/>
      <w:rPr>
        <w:sz w:val="15"/>
        <w:szCs w:val="15"/>
      </w:rPr>
    </w:pPr>
    <w:r>
      <w:rPr>
        <w:rFonts w:hint="eastAsia"/>
        <w:color w:val="000000"/>
        <w:sz w:val="15"/>
        <w:szCs w:val="15"/>
        <w:lang w:eastAsia="zh-CN"/>
      </w:rPr>
      <w:t>平顶山学院能源互联网信息安全实训平台项目</w:t>
    </w:r>
    <w:r>
      <w:rPr>
        <w:rFonts w:hint="eastAsia"/>
        <w:color w:val="000000"/>
        <w:sz w:val="15"/>
        <w:szCs w:val="15"/>
        <w:lang w:eastAsia="zh-CN"/>
      </w:rPr>
      <w:tab/>
    </w:r>
    <w:r>
      <w:rPr>
        <w:rFonts w:hint="eastAsia"/>
        <w:color w:val="000000"/>
        <w:sz w:val="15"/>
        <w:szCs w:val="15"/>
      </w:rPr>
      <w:t xml:space="preserve">   </w:t>
    </w:r>
    <w:r>
      <w:rPr>
        <w:rFonts w:hint="eastAsia"/>
        <w:color w:val="000000"/>
        <w:sz w:val="15"/>
        <w:szCs w:val="15"/>
        <w:lang w:val="en-US" w:eastAsia="zh-CN"/>
      </w:rPr>
      <w:t xml:space="preserve">       </w:t>
    </w:r>
    <w:r>
      <w:rPr>
        <w:rFonts w:hint="eastAsia"/>
        <w:color w:val="000000"/>
        <w:sz w:val="15"/>
        <w:szCs w:val="15"/>
      </w:rPr>
      <w:t xml:space="preserve">   </w:t>
    </w:r>
    <w:r>
      <w:rPr>
        <w:rFonts w:hint="eastAsia"/>
        <w:color w:val="000000"/>
        <w:sz w:val="15"/>
        <w:szCs w:val="15"/>
        <w:lang w:val="en-US" w:eastAsia="zh-CN"/>
      </w:rPr>
      <w:t xml:space="preserve">                                                          </w:t>
    </w:r>
    <w:r>
      <w:rPr>
        <w:rFonts w:hint="eastAsia"/>
        <w:color w:val="000000"/>
        <w:sz w:val="15"/>
        <w:szCs w:val="15"/>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47DCF">
    <w:pPr>
      <w:widowControl/>
      <w:pBdr>
        <w:bottom w:val="thinThickThinSmallGap" w:color="000000" w:sz="18" w:space="0"/>
      </w:pBdr>
      <w:shd w:val="clear" w:color="auto" w:fill="FFFFFF"/>
      <w:spacing w:line="420" w:lineRule="atLeast"/>
      <w:jc w:val="left"/>
    </w:pPr>
    <w:r>
      <w:rPr>
        <w:rFonts w:hint="eastAsia"/>
        <w:color w:val="000000"/>
        <w:sz w:val="15"/>
        <w:szCs w:val="15"/>
        <w:lang w:eastAsia="zh-CN"/>
      </w:rPr>
      <w:t>平顶山学院能源互联网信息安全实训平台项目</w:t>
    </w:r>
    <w:r>
      <w:rPr>
        <w:rFonts w:hint="eastAsia"/>
        <w:color w:val="000000"/>
        <w:sz w:val="15"/>
        <w:szCs w:val="15"/>
        <w:lang w:eastAsia="zh-CN"/>
      </w:rPr>
      <w:tab/>
    </w:r>
    <w:r>
      <w:rPr>
        <w:rFonts w:hint="eastAsia"/>
        <w:color w:val="000000"/>
        <w:sz w:val="15"/>
        <w:szCs w:val="15"/>
      </w:rPr>
      <w:t xml:space="preserve">          </w:t>
    </w:r>
    <w:r>
      <w:rPr>
        <w:rFonts w:hint="eastAsia"/>
        <w:color w:val="000000"/>
        <w:sz w:val="15"/>
        <w:szCs w:val="15"/>
        <w:lang w:val="en-US" w:eastAsia="zh-CN"/>
      </w:rPr>
      <w:t xml:space="preserve">                                            </w:t>
    </w:r>
    <w:r>
      <w:rPr>
        <w:rFonts w:hint="eastAsia"/>
        <w:color w:val="000000"/>
        <w:sz w:val="15"/>
        <w:szCs w:val="15"/>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1F52E">
    <w:pPr>
      <w:widowControl/>
      <w:shd w:val="clear" w:color="auto" w:fill="FFFFFF"/>
      <w:spacing w:line="420" w:lineRule="atLeast"/>
      <w:jc w:val="left"/>
      <w:rPr>
        <w:color w:val="000000"/>
        <w:sz w:val="18"/>
        <w:szCs w:val="18"/>
      </w:rPr>
    </w:pPr>
    <w:r>
      <w:rPr>
        <w:color w:val="000000"/>
        <w:sz w:val="15"/>
        <w:szCs w:val="15"/>
      </w:rPr>
      <mc:AlternateContent>
        <mc:Choice Requires="wps">
          <w:drawing>
            <wp:anchor distT="0" distB="0" distL="114300" distR="114300" simplePos="0" relativeHeight="251667456" behindDoc="0" locked="0" layoutInCell="1" allowOverlap="1">
              <wp:simplePos x="0" y="0"/>
              <wp:positionH relativeFrom="column">
                <wp:posOffset>-27305</wp:posOffset>
              </wp:positionH>
              <wp:positionV relativeFrom="paragraph">
                <wp:posOffset>304800</wp:posOffset>
              </wp:positionV>
              <wp:extent cx="5292090" cy="5715"/>
              <wp:effectExtent l="0" t="28575" r="11430" b="41910"/>
              <wp:wrapNone/>
              <wp:docPr id="13" name="直接箭头连接符 13"/>
              <wp:cNvGraphicFramePr/>
              <a:graphic xmlns:a="http://schemas.openxmlformats.org/drawingml/2006/main">
                <a:graphicData uri="http://schemas.microsoft.com/office/word/2010/wordprocessingShape">
                  <wps:wsp>
                    <wps:cNvCnPr/>
                    <wps:spPr>
                      <a:xfrm flipV="1">
                        <a:off x="0" y="0"/>
                        <a:ext cx="5292090" cy="5715"/>
                      </a:xfrm>
                      <a:prstGeom prst="straightConnector1">
                        <a:avLst/>
                      </a:prstGeom>
                      <a:ln w="57150" cap="flat" cmpd="thickThin">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15pt;margin-top:24pt;height:0.45pt;width:416.7pt;z-index:251667456;mso-width-relative:page;mso-height-relative:page;" filled="f" stroked="t" coordsize="21600,21600" o:gfxdata="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x2nlPNYAAAAIAQAADwAAAAAAAAABACAAAAAi&#10;AAAAZHJzL2Rvd25yZXYueG1sUEsBAhQAFAAAAAgAh07iQLJzeyQMAgAAEAQAAA4AAAAAAAAAAQAg&#10;AAAAJQEAAGRycy9lMm9Eb2MueG1sUEsFBgAAAAAGAAYAWQEAAKMFAAAAAA==&#10;">
              <v:fill on="f" focussize="0,0"/>
              <v:stroke weight="4.5pt" color="#000000" linestyle="thickThin" joinstyle="round"/>
              <v:imagedata o:title=""/>
              <o:lock v:ext="edit" aspectratio="f"/>
            </v:shape>
          </w:pict>
        </mc:Fallback>
      </mc:AlternateContent>
    </w:r>
    <w:r>
      <w:rPr>
        <w:rFonts w:hint="eastAsia"/>
        <w:color w:val="000000"/>
        <w:sz w:val="15"/>
        <w:szCs w:val="15"/>
        <w:lang w:eastAsia="zh-CN"/>
      </w:rPr>
      <w:t>平顶山学院能源互联网信息安全实训平台项目</w:t>
    </w:r>
    <w:r>
      <w:rPr>
        <w:rFonts w:hint="eastAsia"/>
        <w:color w:val="000000"/>
        <w:sz w:val="15"/>
        <w:szCs w:val="15"/>
        <w:lang w:eastAsia="zh-CN"/>
      </w:rPr>
      <w:tab/>
    </w:r>
    <w:r>
      <w:rPr>
        <w:rFonts w:hint="eastAsia"/>
        <w:color w:val="000000"/>
        <w:sz w:val="15"/>
        <w:szCs w:val="15"/>
      </w:rPr>
      <w:t xml:space="preserve">     </w:t>
    </w:r>
    <w:r>
      <w:rPr>
        <w:color w:val="000000"/>
        <w:sz w:val="15"/>
        <w:szCs w:val="15"/>
      </w:rPr>
      <w:t xml:space="preserve"> </w:t>
    </w:r>
    <w:r>
      <w:rPr>
        <w:rFonts w:hint="eastAsia"/>
        <w:color w:val="000000"/>
        <w:sz w:val="15"/>
        <w:szCs w:val="15"/>
      </w:rPr>
      <w:t xml:space="preserve">        </w:t>
    </w:r>
    <w:r>
      <w:rPr>
        <w:rFonts w:hint="eastAsia"/>
        <w:color w:val="000000"/>
        <w:sz w:val="15"/>
        <w:szCs w:val="15"/>
        <w:lang w:val="en-US" w:eastAsia="zh-CN"/>
      </w:rPr>
      <w:t xml:space="preserve">                                         </w:t>
    </w:r>
    <w:r>
      <w:rPr>
        <w:rFonts w:hint="eastAsia"/>
        <w:color w:val="000000"/>
        <w:sz w:val="15"/>
        <w:szCs w:val="15"/>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2C0D7">
    <w:pPr>
      <w:widowControl/>
      <w:shd w:val="clear" w:color="auto" w:fill="FFFFFF"/>
      <w:spacing w:line="420" w:lineRule="atLeast"/>
      <w:rPr>
        <w:color w:val="000000"/>
        <w:sz w:val="15"/>
        <w:szCs w:val="15"/>
      </w:rPr>
    </w:pPr>
  </w:p>
  <w:p w14:paraId="12885581">
    <w:pPr>
      <w:widowControl/>
      <w:shd w:val="clear" w:color="auto" w:fill="FFFFFF"/>
      <w:spacing w:line="420" w:lineRule="atLeast"/>
      <w:jc w:val="left"/>
      <w:rPr>
        <w:sz w:val="15"/>
        <w:szCs w:val="15"/>
      </w:rPr>
    </w:pPr>
    <w:r>
      <w:rPr>
        <w:sz w:val="15"/>
        <w:szCs w:val="15"/>
      </w:rPr>
      <mc:AlternateContent>
        <mc:Choice Requires="wps">
          <w:drawing>
            <wp:anchor distT="0" distB="0" distL="114300" distR="114300" simplePos="0" relativeHeight="251670528" behindDoc="0" locked="0" layoutInCell="1" allowOverlap="1">
              <wp:simplePos x="0" y="0"/>
              <wp:positionH relativeFrom="column">
                <wp:posOffset>-11430</wp:posOffset>
              </wp:positionH>
              <wp:positionV relativeFrom="paragraph">
                <wp:posOffset>280035</wp:posOffset>
              </wp:positionV>
              <wp:extent cx="5718810" cy="9525"/>
              <wp:effectExtent l="0" t="28575" r="11430" b="38100"/>
              <wp:wrapNone/>
              <wp:docPr id="18" name="直接连接符 18"/>
              <wp:cNvGraphicFramePr/>
              <a:graphic xmlns:a="http://schemas.openxmlformats.org/drawingml/2006/main">
                <a:graphicData uri="http://schemas.microsoft.com/office/word/2010/wordprocessingShape">
                  <wps:wsp>
                    <wps:cNvCnPr/>
                    <wps:spPr>
                      <a:xfrm flipV="1">
                        <a:off x="0" y="0"/>
                        <a:ext cx="5690870" cy="18415"/>
                      </a:xfrm>
                      <a:prstGeom prst="line">
                        <a:avLst/>
                      </a:prstGeom>
                      <a:ln w="57150" cap="flat" cmpd="thickThin">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flip:y;margin-left:-0.9pt;margin-top:22.05pt;height:0.75pt;width:450.3pt;z-index:251670528;mso-width-relative:page;mso-height-relative:page;" filled="f" stroked="t" coordsize="21600,21600" o:gfxdata="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TXKDyNcAAAAIAQAADwAAAAAAAAABACAAAAAiAAAAZHJzL2Rvd25y&#10;ZXYueG1sUEsBAhQAFAAAAAgAh07iQPfrVV//AQAA/QMAAA4AAAAAAAAAAQAgAAAAJgEAAGRycy9l&#10;Mm9Eb2MueG1sUEsFBgAAAAAGAAYAWQEAAJcFAAAAAA==&#10;">
              <v:fill on="f" focussize="0,0"/>
              <v:stroke weight="4.5pt" color="#000000" linestyle="thickThin" joinstyle="round"/>
              <v:imagedata o:title=""/>
              <o:lock v:ext="edit" aspectratio="f"/>
            </v:line>
          </w:pict>
        </mc:Fallback>
      </mc:AlternateContent>
    </w:r>
    <w:r>
      <w:rPr>
        <w:rFonts w:hint="eastAsia"/>
        <w:color w:val="000000"/>
        <w:sz w:val="15"/>
        <w:szCs w:val="15"/>
        <w:lang w:eastAsia="zh-CN"/>
      </w:rPr>
      <w:t>平顶山学院能源互联网信息安全实训平台项目</w:t>
    </w:r>
    <w:r>
      <w:rPr>
        <w:rFonts w:hint="eastAsia"/>
        <w:color w:val="000000"/>
        <w:sz w:val="15"/>
        <w:szCs w:val="15"/>
        <w:lang w:eastAsia="zh-CN"/>
      </w:rPr>
      <w:tab/>
    </w:r>
    <w:r>
      <w:rPr>
        <w:rFonts w:hint="eastAsia"/>
        <w:color w:val="000000"/>
        <w:sz w:val="15"/>
        <w:szCs w:val="15"/>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F998C7"/>
    <w:multiLevelType w:val="singleLevel"/>
    <w:tmpl w:val="8FF998C7"/>
    <w:lvl w:ilvl="0" w:tentative="0">
      <w:start w:val="1"/>
      <w:numFmt w:val="chineseCounting"/>
      <w:suff w:val="nothing"/>
      <w:lvlText w:val="%1、"/>
      <w:lvlJc w:val="left"/>
      <w:pPr>
        <w:ind w:left="210"/>
      </w:pPr>
      <w:rPr>
        <w:rFonts w:hint="eastAsia"/>
      </w:rPr>
    </w:lvl>
  </w:abstractNum>
  <w:abstractNum w:abstractNumId="1">
    <w:nsid w:val="9EB69EBB"/>
    <w:multiLevelType w:val="singleLevel"/>
    <w:tmpl w:val="9EB69EBB"/>
    <w:lvl w:ilvl="0" w:tentative="0">
      <w:start w:val="1"/>
      <w:numFmt w:val="chineseCounting"/>
      <w:suff w:val="space"/>
      <w:lvlText w:val="第%1章"/>
      <w:lvlJc w:val="left"/>
      <w:rPr>
        <w:rFonts w:hint="eastAsia" w:cs="Times New Roman"/>
      </w:rPr>
    </w:lvl>
  </w:abstractNum>
  <w:abstractNum w:abstractNumId="2">
    <w:nsid w:val="C8879AEF"/>
    <w:multiLevelType w:val="multilevel"/>
    <w:tmpl w:val="C8879AEF"/>
    <w:lvl w:ilvl="0" w:tentative="0">
      <w:start w:val="1"/>
      <w:numFmt w:val="decimal"/>
      <w:lvlText w:val="%1"/>
      <w:lvlJc w:val="left"/>
      <w:pPr>
        <w:ind w:left="703" w:hanging="485"/>
      </w:pPr>
      <w:rPr>
        <w:rFonts w:hint="default" w:cs="Times New Roman"/>
      </w:rPr>
    </w:lvl>
    <w:lvl w:ilvl="1" w:tentative="0">
      <w:start w:val="1"/>
      <w:numFmt w:val="decimal"/>
      <w:lvlText w:val="%1.%2"/>
      <w:lvlJc w:val="left"/>
      <w:pPr>
        <w:ind w:left="703" w:hanging="485"/>
      </w:pPr>
      <w:rPr>
        <w:rFonts w:hint="default" w:ascii="宋体" w:hAnsi="宋体" w:eastAsia="宋体" w:cs="宋体"/>
        <w:b/>
        <w:bCs/>
        <w:spacing w:val="0"/>
        <w:w w:val="99"/>
        <w:sz w:val="24"/>
        <w:szCs w:val="24"/>
      </w:rPr>
    </w:lvl>
    <w:lvl w:ilvl="2" w:tentative="0">
      <w:start w:val="1"/>
      <w:numFmt w:val="decimal"/>
      <w:lvlText w:val="%1.%2.%3"/>
      <w:lvlJc w:val="left"/>
      <w:pPr>
        <w:ind w:left="218" w:hanging="632"/>
      </w:pPr>
      <w:rPr>
        <w:rFonts w:hint="default" w:ascii="宋体" w:hAnsi="宋体" w:eastAsia="宋体" w:cs="宋体"/>
        <w:spacing w:val="-3"/>
        <w:w w:val="100"/>
        <w:sz w:val="21"/>
        <w:szCs w:val="21"/>
      </w:rPr>
    </w:lvl>
    <w:lvl w:ilvl="3" w:tentative="0">
      <w:start w:val="0"/>
      <w:numFmt w:val="bullet"/>
      <w:lvlText w:val="•"/>
      <w:lvlJc w:val="left"/>
      <w:pPr>
        <w:ind w:left="1340" w:hanging="632"/>
      </w:pPr>
      <w:rPr>
        <w:rFonts w:hint="default"/>
      </w:rPr>
    </w:lvl>
    <w:lvl w:ilvl="4" w:tentative="0">
      <w:start w:val="0"/>
      <w:numFmt w:val="bullet"/>
      <w:lvlText w:val="•"/>
      <w:lvlJc w:val="left"/>
      <w:pPr>
        <w:ind w:left="2600" w:hanging="632"/>
      </w:pPr>
      <w:rPr>
        <w:rFonts w:hint="default"/>
      </w:rPr>
    </w:lvl>
    <w:lvl w:ilvl="5" w:tentative="0">
      <w:start w:val="0"/>
      <w:numFmt w:val="bullet"/>
      <w:lvlText w:val="•"/>
      <w:lvlJc w:val="left"/>
      <w:pPr>
        <w:ind w:left="3860" w:hanging="632"/>
      </w:pPr>
      <w:rPr>
        <w:rFonts w:hint="default"/>
      </w:rPr>
    </w:lvl>
    <w:lvl w:ilvl="6" w:tentative="0">
      <w:start w:val="0"/>
      <w:numFmt w:val="bullet"/>
      <w:lvlText w:val="•"/>
      <w:lvlJc w:val="left"/>
      <w:pPr>
        <w:ind w:left="5120" w:hanging="632"/>
      </w:pPr>
      <w:rPr>
        <w:rFonts w:hint="default"/>
      </w:rPr>
    </w:lvl>
    <w:lvl w:ilvl="7" w:tentative="0">
      <w:start w:val="0"/>
      <w:numFmt w:val="bullet"/>
      <w:lvlText w:val="•"/>
      <w:lvlJc w:val="left"/>
      <w:pPr>
        <w:ind w:left="6380" w:hanging="632"/>
      </w:pPr>
      <w:rPr>
        <w:rFonts w:hint="default"/>
      </w:rPr>
    </w:lvl>
    <w:lvl w:ilvl="8" w:tentative="0">
      <w:start w:val="0"/>
      <w:numFmt w:val="bullet"/>
      <w:lvlText w:val="•"/>
      <w:lvlJc w:val="left"/>
      <w:pPr>
        <w:ind w:left="7640" w:hanging="632"/>
      </w:pPr>
      <w:rPr>
        <w:rFonts w:hint="default"/>
      </w:rPr>
    </w:lvl>
  </w:abstractNum>
  <w:abstractNum w:abstractNumId="3">
    <w:nsid w:val="F2AEAEA6"/>
    <w:multiLevelType w:val="singleLevel"/>
    <w:tmpl w:val="F2AEAEA6"/>
    <w:lvl w:ilvl="0" w:tentative="0">
      <w:start w:val="1"/>
      <w:numFmt w:val="decimal"/>
      <w:suff w:val="nothing"/>
      <w:lvlText w:val="（%1）"/>
      <w:lvlJc w:val="left"/>
      <w:rPr>
        <w:rFonts w:cs="Times New Roman"/>
      </w:rPr>
    </w:lvl>
  </w:abstractNum>
  <w:abstractNum w:abstractNumId="4">
    <w:nsid w:val="0052F3E9"/>
    <w:multiLevelType w:val="singleLevel"/>
    <w:tmpl w:val="0052F3E9"/>
    <w:lvl w:ilvl="0" w:tentative="0">
      <w:start w:val="1"/>
      <w:numFmt w:val="decimal"/>
      <w:lvlText w:val="（%1)"/>
      <w:lvlJc w:val="left"/>
      <w:pPr>
        <w:tabs>
          <w:tab w:val="left" w:pos="312"/>
        </w:tabs>
      </w:pPr>
      <w:rPr>
        <w:rFonts w:cs="Times New Roman"/>
      </w:rPr>
    </w:lvl>
  </w:abstractNum>
  <w:abstractNum w:abstractNumId="5">
    <w:nsid w:val="0E640482"/>
    <w:multiLevelType w:val="multilevel"/>
    <w:tmpl w:val="0E640482"/>
    <w:lvl w:ilvl="0" w:tentative="0">
      <w:start w:val="5"/>
      <w:numFmt w:val="decimal"/>
      <w:lvlText w:val="%1"/>
      <w:lvlJc w:val="left"/>
      <w:pPr>
        <w:ind w:left="703" w:hanging="485"/>
      </w:pPr>
      <w:rPr>
        <w:rFonts w:hint="default" w:cs="Times New Roman"/>
      </w:rPr>
    </w:lvl>
    <w:lvl w:ilvl="1" w:tentative="0">
      <w:start w:val="1"/>
      <w:numFmt w:val="decimal"/>
      <w:lvlText w:val="%1.%2"/>
      <w:lvlJc w:val="left"/>
      <w:pPr>
        <w:ind w:left="703" w:hanging="485"/>
      </w:pPr>
      <w:rPr>
        <w:rFonts w:hint="default" w:ascii="宋体" w:hAnsi="宋体" w:eastAsia="宋体" w:cs="宋体"/>
        <w:b/>
        <w:bCs/>
        <w:spacing w:val="0"/>
        <w:w w:val="99"/>
        <w:sz w:val="24"/>
        <w:szCs w:val="24"/>
      </w:rPr>
    </w:lvl>
    <w:lvl w:ilvl="2" w:tentative="0">
      <w:start w:val="1"/>
      <w:numFmt w:val="decimal"/>
      <w:lvlText w:val="%1.%2.%3"/>
      <w:lvlJc w:val="left"/>
      <w:pPr>
        <w:ind w:left="1330" w:hanging="632"/>
      </w:pPr>
      <w:rPr>
        <w:rFonts w:hint="default" w:ascii="宋体" w:hAnsi="宋体" w:eastAsia="宋体" w:cs="宋体"/>
        <w:spacing w:val="-1"/>
        <w:w w:val="100"/>
        <w:sz w:val="21"/>
        <w:szCs w:val="21"/>
      </w:rPr>
    </w:lvl>
    <w:lvl w:ilvl="3" w:tentative="0">
      <w:start w:val="0"/>
      <w:numFmt w:val="bullet"/>
      <w:lvlText w:val="•"/>
      <w:lvlJc w:val="left"/>
      <w:pPr>
        <w:ind w:left="3300" w:hanging="632"/>
      </w:pPr>
      <w:rPr>
        <w:rFonts w:hint="default"/>
      </w:rPr>
    </w:lvl>
    <w:lvl w:ilvl="4" w:tentative="0">
      <w:start w:val="0"/>
      <w:numFmt w:val="bullet"/>
      <w:lvlText w:val="•"/>
      <w:lvlJc w:val="left"/>
      <w:pPr>
        <w:ind w:left="4280" w:hanging="632"/>
      </w:pPr>
      <w:rPr>
        <w:rFonts w:hint="default"/>
      </w:rPr>
    </w:lvl>
    <w:lvl w:ilvl="5" w:tentative="0">
      <w:start w:val="0"/>
      <w:numFmt w:val="bullet"/>
      <w:lvlText w:val="•"/>
      <w:lvlJc w:val="left"/>
      <w:pPr>
        <w:ind w:left="5260" w:hanging="632"/>
      </w:pPr>
      <w:rPr>
        <w:rFonts w:hint="default"/>
      </w:rPr>
    </w:lvl>
    <w:lvl w:ilvl="6" w:tentative="0">
      <w:start w:val="0"/>
      <w:numFmt w:val="bullet"/>
      <w:lvlText w:val="•"/>
      <w:lvlJc w:val="left"/>
      <w:pPr>
        <w:ind w:left="6240" w:hanging="632"/>
      </w:pPr>
      <w:rPr>
        <w:rFonts w:hint="default"/>
      </w:rPr>
    </w:lvl>
    <w:lvl w:ilvl="7" w:tentative="0">
      <w:start w:val="0"/>
      <w:numFmt w:val="bullet"/>
      <w:lvlText w:val="•"/>
      <w:lvlJc w:val="left"/>
      <w:pPr>
        <w:ind w:left="7220" w:hanging="632"/>
      </w:pPr>
      <w:rPr>
        <w:rFonts w:hint="default"/>
      </w:rPr>
    </w:lvl>
    <w:lvl w:ilvl="8" w:tentative="0">
      <w:start w:val="0"/>
      <w:numFmt w:val="bullet"/>
      <w:lvlText w:val="•"/>
      <w:lvlJc w:val="left"/>
      <w:pPr>
        <w:ind w:left="8200" w:hanging="632"/>
      </w:pPr>
      <w:rPr>
        <w:rFonts w:hint="default"/>
      </w:rPr>
    </w:lvl>
  </w:abstractNum>
  <w:abstractNum w:abstractNumId="6">
    <w:nsid w:val="161E28A6"/>
    <w:multiLevelType w:val="multilevel"/>
    <w:tmpl w:val="161E28A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9A3A9FB"/>
    <w:multiLevelType w:val="singleLevel"/>
    <w:tmpl w:val="19A3A9FB"/>
    <w:lvl w:ilvl="0" w:tentative="0">
      <w:start w:val="1"/>
      <w:numFmt w:val="decimal"/>
      <w:suff w:val="nothing"/>
      <w:lvlText w:val="（%1）"/>
      <w:lvlJc w:val="left"/>
    </w:lvl>
  </w:abstractNum>
  <w:abstractNum w:abstractNumId="8">
    <w:nsid w:val="2470EC97"/>
    <w:multiLevelType w:val="multilevel"/>
    <w:tmpl w:val="2470EC97"/>
    <w:lvl w:ilvl="0" w:tentative="0">
      <w:start w:val="2"/>
      <w:numFmt w:val="decimal"/>
      <w:lvlText w:val="%1"/>
      <w:lvlJc w:val="left"/>
      <w:pPr>
        <w:ind w:left="703" w:hanging="485"/>
      </w:pPr>
      <w:rPr>
        <w:rFonts w:hint="default" w:cs="Times New Roman"/>
      </w:rPr>
    </w:lvl>
    <w:lvl w:ilvl="1" w:tentative="0">
      <w:start w:val="1"/>
      <w:numFmt w:val="decimal"/>
      <w:lvlText w:val="%1.%2"/>
      <w:lvlJc w:val="left"/>
      <w:pPr>
        <w:ind w:left="703" w:hanging="485"/>
      </w:pPr>
      <w:rPr>
        <w:rFonts w:hint="default" w:ascii="宋体" w:hAnsi="宋体" w:eastAsia="宋体" w:cs="宋体"/>
        <w:b/>
        <w:bCs/>
        <w:spacing w:val="0"/>
        <w:w w:val="99"/>
        <w:sz w:val="24"/>
        <w:szCs w:val="24"/>
      </w:rPr>
    </w:lvl>
    <w:lvl w:ilvl="2" w:tentative="0">
      <w:start w:val="1"/>
      <w:numFmt w:val="decimal"/>
      <w:lvlText w:val="（%3）"/>
      <w:lvlJc w:val="left"/>
      <w:pPr>
        <w:ind w:left="1227" w:hanging="529"/>
      </w:pPr>
      <w:rPr>
        <w:rFonts w:hint="default" w:ascii="宋体" w:hAnsi="宋体" w:eastAsia="宋体" w:cs="宋体"/>
        <w:spacing w:val="-3"/>
        <w:w w:val="100"/>
        <w:sz w:val="19"/>
        <w:szCs w:val="19"/>
      </w:rPr>
    </w:lvl>
    <w:lvl w:ilvl="3" w:tentative="0">
      <w:start w:val="0"/>
      <w:numFmt w:val="bullet"/>
      <w:lvlText w:val="•"/>
      <w:lvlJc w:val="left"/>
      <w:pPr>
        <w:ind w:left="3206" w:hanging="529"/>
      </w:pPr>
      <w:rPr>
        <w:rFonts w:hint="default"/>
      </w:rPr>
    </w:lvl>
    <w:lvl w:ilvl="4" w:tentative="0">
      <w:start w:val="0"/>
      <w:numFmt w:val="bullet"/>
      <w:lvlText w:val="•"/>
      <w:lvlJc w:val="left"/>
      <w:pPr>
        <w:ind w:left="4200" w:hanging="529"/>
      </w:pPr>
      <w:rPr>
        <w:rFonts w:hint="default"/>
      </w:rPr>
    </w:lvl>
    <w:lvl w:ilvl="5" w:tentative="0">
      <w:start w:val="0"/>
      <w:numFmt w:val="bullet"/>
      <w:lvlText w:val="•"/>
      <w:lvlJc w:val="left"/>
      <w:pPr>
        <w:ind w:left="5193" w:hanging="529"/>
      </w:pPr>
      <w:rPr>
        <w:rFonts w:hint="default"/>
      </w:rPr>
    </w:lvl>
    <w:lvl w:ilvl="6" w:tentative="0">
      <w:start w:val="0"/>
      <w:numFmt w:val="bullet"/>
      <w:lvlText w:val="•"/>
      <w:lvlJc w:val="left"/>
      <w:pPr>
        <w:ind w:left="6187" w:hanging="529"/>
      </w:pPr>
      <w:rPr>
        <w:rFonts w:hint="default"/>
      </w:rPr>
    </w:lvl>
    <w:lvl w:ilvl="7" w:tentative="0">
      <w:start w:val="0"/>
      <w:numFmt w:val="bullet"/>
      <w:lvlText w:val="•"/>
      <w:lvlJc w:val="left"/>
      <w:pPr>
        <w:ind w:left="7180" w:hanging="529"/>
      </w:pPr>
      <w:rPr>
        <w:rFonts w:hint="default"/>
      </w:rPr>
    </w:lvl>
    <w:lvl w:ilvl="8" w:tentative="0">
      <w:start w:val="0"/>
      <w:numFmt w:val="bullet"/>
      <w:lvlText w:val="•"/>
      <w:lvlJc w:val="left"/>
      <w:pPr>
        <w:ind w:left="8173" w:hanging="529"/>
      </w:pPr>
      <w:rPr>
        <w:rFonts w:hint="default"/>
      </w:rPr>
    </w:lvl>
  </w:abstractNum>
  <w:abstractNum w:abstractNumId="9">
    <w:nsid w:val="46A08BB8"/>
    <w:multiLevelType w:val="multilevel"/>
    <w:tmpl w:val="46A08BB8"/>
    <w:lvl w:ilvl="0" w:tentative="0">
      <w:start w:val="6"/>
      <w:numFmt w:val="decimal"/>
      <w:lvlText w:val="%1"/>
      <w:lvlJc w:val="left"/>
      <w:pPr>
        <w:ind w:left="703" w:hanging="485"/>
      </w:pPr>
      <w:rPr>
        <w:rFonts w:hint="default" w:cs="Times New Roman"/>
      </w:rPr>
    </w:lvl>
    <w:lvl w:ilvl="1" w:tentative="0">
      <w:start w:val="1"/>
      <w:numFmt w:val="decimal"/>
      <w:lvlText w:val="%1.%2"/>
      <w:lvlJc w:val="left"/>
      <w:pPr>
        <w:ind w:left="703" w:hanging="485"/>
      </w:pPr>
      <w:rPr>
        <w:rFonts w:hint="default" w:ascii="宋体" w:hAnsi="宋体" w:eastAsia="宋体" w:cs="宋体"/>
        <w:b/>
        <w:bCs/>
        <w:spacing w:val="0"/>
        <w:w w:val="99"/>
        <w:sz w:val="24"/>
        <w:szCs w:val="24"/>
      </w:rPr>
    </w:lvl>
    <w:lvl w:ilvl="2" w:tentative="0">
      <w:start w:val="1"/>
      <w:numFmt w:val="decimal"/>
      <w:lvlText w:val="%1.%2.%3"/>
      <w:lvlJc w:val="left"/>
      <w:pPr>
        <w:ind w:left="218" w:hanging="632"/>
      </w:pPr>
      <w:rPr>
        <w:rFonts w:hint="default" w:ascii="宋体" w:hAnsi="宋体" w:eastAsia="宋体" w:cs="宋体"/>
        <w:w w:val="100"/>
        <w:sz w:val="21"/>
        <w:szCs w:val="21"/>
      </w:rPr>
    </w:lvl>
    <w:lvl w:ilvl="3" w:tentative="0">
      <w:start w:val="0"/>
      <w:numFmt w:val="bullet"/>
      <w:lvlText w:val="•"/>
      <w:lvlJc w:val="left"/>
      <w:pPr>
        <w:ind w:left="2802" w:hanging="632"/>
      </w:pPr>
      <w:rPr>
        <w:rFonts w:hint="default"/>
      </w:rPr>
    </w:lvl>
    <w:lvl w:ilvl="4" w:tentative="0">
      <w:start w:val="0"/>
      <w:numFmt w:val="bullet"/>
      <w:lvlText w:val="•"/>
      <w:lvlJc w:val="left"/>
      <w:pPr>
        <w:ind w:left="3853" w:hanging="632"/>
      </w:pPr>
      <w:rPr>
        <w:rFonts w:hint="default"/>
      </w:rPr>
    </w:lvl>
    <w:lvl w:ilvl="5" w:tentative="0">
      <w:start w:val="0"/>
      <w:numFmt w:val="bullet"/>
      <w:lvlText w:val="•"/>
      <w:lvlJc w:val="left"/>
      <w:pPr>
        <w:ind w:left="4904" w:hanging="632"/>
      </w:pPr>
      <w:rPr>
        <w:rFonts w:hint="default"/>
      </w:rPr>
    </w:lvl>
    <w:lvl w:ilvl="6" w:tentative="0">
      <w:start w:val="0"/>
      <w:numFmt w:val="bullet"/>
      <w:lvlText w:val="•"/>
      <w:lvlJc w:val="left"/>
      <w:pPr>
        <w:ind w:left="5956" w:hanging="632"/>
      </w:pPr>
      <w:rPr>
        <w:rFonts w:hint="default"/>
      </w:rPr>
    </w:lvl>
    <w:lvl w:ilvl="7" w:tentative="0">
      <w:start w:val="0"/>
      <w:numFmt w:val="bullet"/>
      <w:lvlText w:val="•"/>
      <w:lvlJc w:val="left"/>
      <w:pPr>
        <w:ind w:left="7007" w:hanging="632"/>
      </w:pPr>
      <w:rPr>
        <w:rFonts w:hint="default"/>
      </w:rPr>
    </w:lvl>
    <w:lvl w:ilvl="8" w:tentative="0">
      <w:start w:val="0"/>
      <w:numFmt w:val="bullet"/>
      <w:lvlText w:val="•"/>
      <w:lvlJc w:val="left"/>
      <w:pPr>
        <w:ind w:left="8058" w:hanging="632"/>
      </w:pPr>
      <w:rPr>
        <w:rFonts w:hint="default"/>
      </w:rPr>
    </w:lvl>
  </w:abstractNum>
  <w:abstractNum w:abstractNumId="10">
    <w:nsid w:val="4F3DB04E"/>
    <w:multiLevelType w:val="singleLevel"/>
    <w:tmpl w:val="4F3DB04E"/>
    <w:lvl w:ilvl="0" w:tentative="0">
      <w:start w:val="2"/>
      <w:numFmt w:val="decimal"/>
      <w:suff w:val="nothing"/>
      <w:lvlText w:val="（%1）"/>
      <w:lvlJc w:val="left"/>
    </w:lvl>
  </w:abstractNum>
  <w:abstractNum w:abstractNumId="11">
    <w:nsid w:val="5345346A"/>
    <w:multiLevelType w:val="singleLevel"/>
    <w:tmpl w:val="5345346A"/>
    <w:lvl w:ilvl="0" w:tentative="0">
      <w:start w:val="1"/>
      <w:numFmt w:val="decimal"/>
      <w:suff w:val="nothing"/>
      <w:lvlText w:val="%1．"/>
      <w:lvlJc w:val="left"/>
      <w:pPr>
        <w:ind w:left="0" w:firstLine="400"/>
      </w:pPr>
      <w:rPr>
        <w:rFonts w:hint="default"/>
      </w:rPr>
    </w:lvl>
  </w:abstractNum>
  <w:abstractNum w:abstractNumId="12">
    <w:nsid w:val="60382F6E"/>
    <w:multiLevelType w:val="multilevel"/>
    <w:tmpl w:val="60382F6E"/>
    <w:lvl w:ilvl="0" w:tentative="0">
      <w:start w:val="4"/>
      <w:numFmt w:val="decimal"/>
      <w:lvlText w:val="%1"/>
      <w:lvlJc w:val="left"/>
      <w:pPr>
        <w:ind w:left="703" w:hanging="485"/>
      </w:pPr>
      <w:rPr>
        <w:rFonts w:hint="default" w:cs="Times New Roman"/>
      </w:rPr>
    </w:lvl>
    <w:lvl w:ilvl="1" w:tentative="0">
      <w:start w:val="1"/>
      <w:numFmt w:val="decimal"/>
      <w:lvlText w:val="%1.%2"/>
      <w:lvlJc w:val="left"/>
      <w:pPr>
        <w:ind w:left="703" w:hanging="485"/>
      </w:pPr>
      <w:rPr>
        <w:rFonts w:hint="default" w:ascii="宋体" w:hAnsi="宋体" w:eastAsia="宋体" w:cs="宋体"/>
        <w:b/>
        <w:bCs/>
        <w:spacing w:val="0"/>
        <w:w w:val="99"/>
        <w:sz w:val="24"/>
        <w:szCs w:val="24"/>
      </w:rPr>
    </w:lvl>
    <w:lvl w:ilvl="2" w:tentative="0">
      <w:start w:val="1"/>
      <w:numFmt w:val="decimal"/>
      <w:lvlText w:val="%1.%2.%3"/>
      <w:lvlJc w:val="left"/>
      <w:pPr>
        <w:ind w:left="218" w:hanging="632"/>
      </w:pPr>
      <w:rPr>
        <w:rFonts w:hint="default" w:ascii="宋体" w:hAnsi="宋体" w:eastAsia="宋体" w:cs="宋体"/>
        <w:w w:val="100"/>
        <w:sz w:val="21"/>
        <w:szCs w:val="21"/>
      </w:rPr>
    </w:lvl>
    <w:lvl w:ilvl="3" w:tentative="0">
      <w:start w:val="0"/>
      <w:numFmt w:val="bullet"/>
      <w:lvlText w:val="•"/>
      <w:lvlJc w:val="left"/>
      <w:pPr>
        <w:ind w:left="2442" w:hanging="632"/>
      </w:pPr>
      <w:rPr>
        <w:rFonts w:hint="default"/>
      </w:rPr>
    </w:lvl>
    <w:lvl w:ilvl="4" w:tentative="0">
      <w:start w:val="0"/>
      <w:numFmt w:val="bullet"/>
      <w:lvlText w:val="•"/>
      <w:lvlJc w:val="left"/>
      <w:pPr>
        <w:ind w:left="3545" w:hanging="632"/>
      </w:pPr>
      <w:rPr>
        <w:rFonts w:hint="default"/>
      </w:rPr>
    </w:lvl>
    <w:lvl w:ilvl="5" w:tentative="0">
      <w:start w:val="0"/>
      <w:numFmt w:val="bullet"/>
      <w:lvlText w:val="•"/>
      <w:lvlJc w:val="left"/>
      <w:pPr>
        <w:ind w:left="4647" w:hanging="632"/>
      </w:pPr>
      <w:rPr>
        <w:rFonts w:hint="default"/>
      </w:rPr>
    </w:lvl>
    <w:lvl w:ilvl="6" w:tentative="0">
      <w:start w:val="0"/>
      <w:numFmt w:val="bullet"/>
      <w:lvlText w:val="•"/>
      <w:lvlJc w:val="left"/>
      <w:pPr>
        <w:ind w:left="5750" w:hanging="632"/>
      </w:pPr>
      <w:rPr>
        <w:rFonts w:hint="default"/>
      </w:rPr>
    </w:lvl>
    <w:lvl w:ilvl="7" w:tentative="0">
      <w:start w:val="0"/>
      <w:numFmt w:val="bullet"/>
      <w:lvlText w:val="•"/>
      <w:lvlJc w:val="left"/>
      <w:pPr>
        <w:ind w:left="6853" w:hanging="632"/>
      </w:pPr>
      <w:rPr>
        <w:rFonts w:hint="default"/>
      </w:rPr>
    </w:lvl>
    <w:lvl w:ilvl="8" w:tentative="0">
      <w:start w:val="0"/>
      <w:numFmt w:val="bullet"/>
      <w:lvlText w:val="•"/>
      <w:lvlJc w:val="left"/>
      <w:pPr>
        <w:ind w:left="7955" w:hanging="632"/>
      </w:pPr>
      <w:rPr>
        <w:rFonts w:hint="default"/>
      </w:rPr>
    </w:lvl>
  </w:abstractNum>
  <w:abstractNum w:abstractNumId="13">
    <w:nsid w:val="6BA5B19B"/>
    <w:multiLevelType w:val="singleLevel"/>
    <w:tmpl w:val="6BA5B19B"/>
    <w:lvl w:ilvl="0" w:tentative="0">
      <w:start w:val="1"/>
      <w:numFmt w:val="decimal"/>
      <w:suff w:val="nothing"/>
      <w:lvlText w:val="（%1）"/>
      <w:lvlJc w:val="left"/>
    </w:lvl>
  </w:abstractNum>
  <w:abstractNum w:abstractNumId="14">
    <w:nsid w:val="7127AAB9"/>
    <w:multiLevelType w:val="singleLevel"/>
    <w:tmpl w:val="7127AAB9"/>
    <w:lvl w:ilvl="0" w:tentative="0">
      <w:start w:val="1"/>
      <w:numFmt w:val="decimal"/>
      <w:lvlText w:val="%1."/>
      <w:lvlJc w:val="left"/>
      <w:pPr>
        <w:tabs>
          <w:tab w:val="left" w:pos="312"/>
        </w:tabs>
      </w:pPr>
    </w:lvl>
  </w:abstractNum>
  <w:abstractNum w:abstractNumId="15">
    <w:nsid w:val="7C246926"/>
    <w:multiLevelType w:val="multilevel"/>
    <w:tmpl w:val="7C246926"/>
    <w:lvl w:ilvl="0" w:tentative="0">
      <w:start w:val="7"/>
      <w:numFmt w:val="decimal"/>
      <w:lvlText w:val="%1"/>
      <w:lvlJc w:val="left"/>
      <w:pPr>
        <w:ind w:left="703" w:hanging="485"/>
      </w:pPr>
      <w:rPr>
        <w:rFonts w:hint="default" w:cs="Times New Roman"/>
      </w:rPr>
    </w:lvl>
    <w:lvl w:ilvl="1" w:tentative="0">
      <w:start w:val="1"/>
      <w:numFmt w:val="decimal"/>
      <w:lvlText w:val="%1.%2"/>
      <w:lvlJc w:val="left"/>
      <w:pPr>
        <w:ind w:left="703" w:hanging="485"/>
      </w:pPr>
      <w:rPr>
        <w:rFonts w:hint="default" w:ascii="宋体" w:hAnsi="宋体" w:eastAsia="宋体" w:cs="宋体"/>
        <w:b/>
        <w:bCs/>
        <w:spacing w:val="0"/>
        <w:w w:val="99"/>
        <w:sz w:val="24"/>
        <w:szCs w:val="24"/>
      </w:rPr>
    </w:lvl>
    <w:lvl w:ilvl="2" w:tentative="0">
      <w:start w:val="1"/>
      <w:numFmt w:val="decimal"/>
      <w:lvlText w:val="%1.%2.%3"/>
      <w:lvlJc w:val="left"/>
      <w:pPr>
        <w:ind w:left="1330" w:hanging="632"/>
      </w:pPr>
      <w:rPr>
        <w:rFonts w:hint="default" w:ascii="宋体" w:hAnsi="宋体" w:eastAsia="宋体" w:cs="宋体"/>
        <w:w w:val="100"/>
        <w:sz w:val="21"/>
        <w:szCs w:val="21"/>
      </w:rPr>
    </w:lvl>
    <w:lvl w:ilvl="3" w:tentative="0">
      <w:start w:val="0"/>
      <w:numFmt w:val="bullet"/>
      <w:lvlText w:val="•"/>
      <w:lvlJc w:val="left"/>
      <w:pPr>
        <w:ind w:left="2442" w:hanging="632"/>
      </w:pPr>
      <w:rPr>
        <w:rFonts w:hint="default"/>
      </w:rPr>
    </w:lvl>
    <w:lvl w:ilvl="4" w:tentative="0">
      <w:start w:val="0"/>
      <w:numFmt w:val="bullet"/>
      <w:lvlText w:val="•"/>
      <w:lvlJc w:val="left"/>
      <w:pPr>
        <w:ind w:left="3545" w:hanging="632"/>
      </w:pPr>
      <w:rPr>
        <w:rFonts w:hint="default"/>
      </w:rPr>
    </w:lvl>
    <w:lvl w:ilvl="5" w:tentative="0">
      <w:start w:val="0"/>
      <w:numFmt w:val="bullet"/>
      <w:lvlText w:val="•"/>
      <w:lvlJc w:val="left"/>
      <w:pPr>
        <w:ind w:left="4647" w:hanging="632"/>
      </w:pPr>
      <w:rPr>
        <w:rFonts w:hint="default"/>
      </w:rPr>
    </w:lvl>
    <w:lvl w:ilvl="6" w:tentative="0">
      <w:start w:val="0"/>
      <w:numFmt w:val="bullet"/>
      <w:lvlText w:val="•"/>
      <w:lvlJc w:val="left"/>
      <w:pPr>
        <w:ind w:left="5750" w:hanging="632"/>
      </w:pPr>
      <w:rPr>
        <w:rFonts w:hint="default"/>
      </w:rPr>
    </w:lvl>
    <w:lvl w:ilvl="7" w:tentative="0">
      <w:start w:val="0"/>
      <w:numFmt w:val="bullet"/>
      <w:lvlText w:val="•"/>
      <w:lvlJc w:val="left"/>
      <w:pPr>
        <w:ind w:left="6853" w:hanging="632"/>
      </w:pPr>
      <w:rPr>
        <w:rFonts w:hint="default"/>
      </w:rPr>
    </w:lvl>
    <w:lvl w:ilvl="8" w:tentative="0">
      <w:start w:val="0"/>
      <w:numFmt w:val="bullet"/>
      <w:lvlText w:val="•"/>
      <w:lvlJc w:val="left"/>
      <w:pPr>
        <w:ind w:left="7955" w:hanging="632"/>
      </w:pPr>
      <w:rPr>
        <w:rFonts w:hint="default"/>
      </w:rPr>
    </w:lvl>
  </w:abstractNum>
  <w:num w:numId="1">
    <w:abstractNumId w:val="1"/>
  </w:num>
  <w:num w:numId="2">
    <w:abstractNumId w:val="0"/>
  </w:num>
  <w:num w:numId="3">
    <w:abstractNumId w:val="6"/>
  </w:num>
  <w:num w:numId="4">
    <w:abstractNumId w:val="2"/>
  </w:num>
  <w:num w:numId="5">
    <w:abstractNumId w:val="8"/>
  </w:num>
  <w:num w:numId="6">
    <w:abstractNumId w:val="12"/>
  </w:num>
  <w:num w:numId="7">
    <w:abstractNumId w:val="5"/>
  </w:num>
  <w:num w:numId="8">
    <w:abstractNumId w:val="9"/>
  </w:num>
  <w:num w:numId="9">
    <w:abstractNumId w:val="15"/>
  </w:num>
  <w:num w:numId="10">
    <w:abstractNumId w:val="10"/>
  </w:num>
  <w:num w:numId="11">
    <w:abstractNumId w:val="7"/>
  </w:num>
  <w:num w:numId="12">
    <w:abstractNumId w:val="13"/>
  </w:num>
  <w:num w:numId="13">
    <w:abstractNumId w:val="4"/>
  </w:num>
  <w:num w:numId="14">
    <w:abstractNumId w:val="3"/>
  </w:num>
  <w:num w:numId="15">
    <w:abstractNumId w:val="1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5540D"/>
    <w:rsid w:val="03BA3DBA"/>
    <w:rsid w:val="070D0E94"/>
    <w:rsid w:val="079E5C2C"/>
    <w:rsid w:val="07DB1A2F"/>
    <w:rsid w:val="095560C5"/>
    <w:rsid w:val="0B49159E"/>
    <w:rsid w:val="0C7B478E"/>
    <w:rsid w:val="0F824086"/>
    <w:rsid w:val="10417A9D"/>
    <w:rsid w:val="106060E1"/>
    <w:rsid w:val="110E2A64"/>
    <w:rsid w:val="11C43117"/>
    <w:rsid w:val="12C37A0D"/>
    <w:rsid w:val="135B73A9"/>
    <w:rsid w:val="137C2E5A"/>
    <w:rsid w:val="15115C90"/>
    <w:rsid w:val="154E33F7"/>
    <w:rsid w:val="163836F0"/>
    <w:rsid w:val="16C75DE1"/>
    <w:rsid w:val="17465999"/>
    <w:rsid w:val="1776627E"/>
    <w:rsid w:val="1ACD08AB"/>
    <w:rsid w:val="1AD2194F"/>
    <w:rsid w:val="1B1D66B9"/>
    <w:rsid w:val="1B251B18"/>
    <w:rsid w:val="1B2F18B4"/>
    <w:rsid w:val="1E5F6569"/>
    <w:rsid w:val="20046B2A"/>
    <w:rsid w:val="20140D2A"/>
    <w:rsid w:val="207A35E5"/>
    <w:rsid w:val="211A5ECC"/>
    <w:rsid w:val="22606E82"/>
    <w:rsid w:val="22837AA1"/>
    <w:rsid w:val="23EE7070"/>
    <w:rsid w:val="247C0C4C"/>
    <w:rsid w:val="25874EB6"/>
    <w:rsid w:val="25D72DDF"/>
    <w:rsid w:val="25D9578E"/>
    <w:rsid w:val="25E57105"/>
    <w:rsid w:val="25FA2895"/>
    <w:rsid w:val="26060C93"/>
    <w:rsid w:val="265A4FBD"/>
    <w:rsid w:val="26BF6B28"/>
    <w:rsid w:val="270E64D3"/>
    <w:rsid w:val="270F224B"/>
    <w:rsid w:val="28296BA0"/>
    <w:rsid w:val="2845738A"/>
    <w:rsid w:val="287F1375"/>
    <w:rsid w:val="28C3509B"/>
    <w:rsid w:val="29AC55DD"/>
    <w:rsid w:val="2A557F75"/>
    <w:rsid w:val="2C2C601B"/>
    <w:rsid w:val="2CE35D0C"/>
    <w:rsid w:val="2E682E3D"/>
    <w:rsid w:val="305875FE"/>
    <w:rsid w:val="31E90C11"/>
    <w:rsid w:val="333C005C"/>
    <w:rsid w:val="34F311A7"/>
    <w:rsid w:val="356470DA"/>
    <w:rsid w:val="360D3DFA"/>
    <w:rsid w:val="36C46BAE"/>
    <w:rsid w:val="37D60756"/>
    <w:rsid w:val="39D4535A"/>
    <w:rsid w:val="3AA34D2C"/>
    <w:rsid w:val="3BA66882"/>
    <w:rsid w:val="3C4147FD"/>
    <w:rsid w:val="3DA22FC6"/>
    <w:rsid w:val="3DA52B6A"/>
    <w:rsid w:val="3DE11806"/>
    <w:rsid w:val="3EAD43CC"/>
    <w:rsid w:val="40510038"/>
    <w:rsid w:val="411D014C"/>
    <w:rsid w:val="41517290"/>
    <w:rsid w:val="4253528A"/>
    <w:rsid w:val="42A239EF"/>
    <w:rsid w:val="42AF682B"/>
    <w:rsid w:val="42CA3C47"/>
    <w:rsid w:val="43D21F61"/>
    <w:rsid w:val="47182D4F"/>
    <w:rsid w:val="47B22BD9"/>
    <w:rsid w:val="47C315D3"/>
    <w:rsid w:val="48425DC0"/>
    <w:rsid w:val="489A776F"/>
    <w:rsid w:val="49052B05"/>
    <w:rsid w:val="494B2817"/>
    <w:rsid w:val="4A483ECB"/>
    <w:rsid w:val="4ABA6BBC"/>
    <w:rsid w:val="4C6E4D74"/>
    <w:rsid w:val="4CD7788D"/>
    <w:rsid w:val="4D771CAC"/>
    <w:rsid w:val="4ECF5E5B"/>
    <w:rsid w:val="4F9E16F6"/>
    <w:rsid w:val="4FE6773D"/>
    <w:rsid w:val="4FEE03A0"/>
    <w:rsid w:val="52F83A10"/>
    <w:rsid w:val="5314011E"/>
    <w:rsid w:val="542177B1"/>
    <w:rsid w:val="55D4109F"/>
    <w:rsid w:val="55FA37D1"/>
    <w:rsid w:val="568D0311"/>
    <w:rsid w:val="590948E6"/>
    <w:rsid w:val="59431EE9"/>
    <w:rsid w:val="59F6057D"/>
    <w:rsid w:val="5B9B1A2B"/>
    <w:rsid w:val="5C3E620B"/>
    <w:rsid w:val="5D45063D"/>
    <w:rsid w:val="5DC310BE"/>
    <w:rsid w:val="5DDB1F64"/>
    <w:rsid w:val="5E203E1A"/>
    <w:rsid w:val="5E39312E"/>
    <w:rsid w:val="5E5E2B95"/>
    <w:rsid w:val="5FF92322"/>
    <w:rsid w:val="602A189C"/>
    <w:rsid w:val="614C1849"/>
    <w:rsid w:val="65295CAB"/>
    <w:rsid w:val="65554CF2"/>
    <w:rsid w:val="65FE301B"/>
    <w:rsid w:val="66101DFF"/>
    <w:rsid w:val="664E2064"/>
    <w:rsid w:val="66504EFE"/>
    <w:rsid w:val="6796339F"/>
    <w:rsid w:val="67BC574F"/>
    <w:rsid w:val="687E00BB"/>
    <w:rsid w:val="68A67612"/>
    <w:rsid w:val="68F20AA9"/>
    <w:rsid w:val="69502BDD"/>
    <w:rsid w:val="6999141B"/>
    <w:rsid w:val="69E5464A"/>
    <w:rsid w:val="6A0A31AB"/>
    <w:rsid w:val="6B5E2D2B"/>
    <w:rsid w:val="6B8D6AB2"/>
    <w:rsid w:val="6BF45444"/>
    <w:rsid w:val="6BFB1A23"/>
    <w:rsid w:val="6BFE1561"/>
    <w:rsid w:val="6D08585E"/>
    <w:rsid w:val="6EE419FC"/>
    <w:rsid w:val="6F3F564B"/>
    <w:rsid w:val="70AC0383"/>
    <w:rsid w:val="71155335"/>
    <w:rsid w:val="722805AB"/>
    <w:rsid w:val="74367A9C"/>
    <w:rsid w:val="747904AC"/>
    <w:rsid w:val="74F811F5"/>
    <w:rsid w:val="7513602F"/>
    <w:rsid w:val="751C7632"/>
    <w:rsid w:val="753544C5"/>
    <w:rsid w:val="757969D7"/>
    <w:rsid w:val="75D160D9"/>
    <w:rsid w:val="76644565"/>
    <w:rsid w:val="76A6513F"/>
    <w:rsid w:val="785726D7"/>
    <w:rsid w:val="78AE08CD"/>
    <w:rsid w:val="78DE200E"/>
    <w:rsid w:val="799962DC"/>
    <w:rsid w:val="7A825E85"/>
    <w:rsid w:val="7B6875DF"/>
    <w:rsid w:val="7B9B28DB"/>
    <w:rsid w:val="7CB80EEC"/>
    <w:rsid w:val="7CB85E3C"/>
    <w:rsid w:val="7ECA3C03"/>
    <w:rsid w:val="7FBA3755"/>
    <w:rsid w:val="7FF509A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nhideWhenUsed="0" w:uiPriority="99" w:semiHidden="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9"/>
    <w:pPr>
      <w:autoSpaceDE w:val="0"/>
      <w:autoSpaceDN w:val="0"/>
      <w:spacing w:before="34"/>
      <w:ind w:right="18"/>
      <w:jc w:val="center"/>
      <w:outlineLvl w:val="0"/>
    </w:pPr>
    <w:rPr>
      <w:rFonts w:ascii="宋体" w:hAnsi="宋体" w:cs="宋体"/>
      <w:b/>
      <w:bCs/>
      <w:kern w:val="0"/>
      <w:sz w:val="32"/>
      <w:szCs w:val="32"/>
      <w:lang w:val="zh-CN"/>
    </w:rPr>
  </w:style>
  <w:style w:type="paragraph" w:styleId="4">
    <w:name w:val="heading 2"/>
    <w:basedOn w:val="1"/>
    <w:next w:val="1"/>
    <w:qFormat/>
    <w:uiPriority w:val="99"/>
    <w:pPr>
      <w:autoSpaceDE w:val="0"/>
      <w:autoSpaceDN w:val="0"/>
      <w:ind w:left="1339"/>
      <w:jc w:val="left"/>
      <w:outlineLvl w:val="1"/>
    </w:pPr>
    <w:rPr>
      <w:rFonts w:ascii="黑体" w:hAnsi="黑体" w:eastAsia="黑体" w:cs="黑体"/>
      <w:kern w:val="0"/>
      <w:sz w:val="32"/>
      <w:szCs w:val="32"/>
      <w:lang w:val="zh-CN"/>
    </w:rPr>
  </w:style>
  <w:style w:type="paragraph" w:styleId="5">
    <w:name w:val="heading 4"/>
    <w:basedOn w:val="1"/>
    <w:next w:val="1"/>
    <w:qFormat/>
    <w:uiPriority w:val="99"/>
    <w:pPr>
      <w:autoSpaceDE w:val="0"/>
      <w:autoSpaceDN w:val="0"/>
      <w:ind w:left="703" w:hanging="485"/>
      <w:jc w:val="left"/>
      <w:outlineLvl w:val="3"/>
    </w:pPr>
    <w:rPr>
      <w:rFonts w:ascii="宋体" w:hAnsi="宋体" w:cs="宋体"/>
      <w:b/>
      <w:bCs/>
      <w:kern w:val="0"/>
      <w:sz w:val="24"/>
      <w:lang w:val="zh-CN"/>
    </w:rPr>
  </w:style>
  <w:style w:type="paragraph" w:styleId="6">
    <w:name w:val="heading 5"/>
    <w:basedOn w:val="1"/>
    <w:next w:val="1"/>
    <w:qFormat/>
    <w:uiPriority w:val="99"/>
    <w:pPr>
      <w:autoSpaceDE w:val="0"/>
      <w:autoSpaceDN w:val="0"/>
      <w:spacing w:before="161"/>
      <w:ind w:left="2709"/>
      <w:jc w:val="left"/>
      <w:outlineLvl w:val="4"/>
    </w:pPr>
    <w:rPr>
      <w:rFonts w:ascii="宋体" w:hAnsi="宋体" w:cs="宋体"/>
      <w:kern w:val="0"/>
      <w:sz w:val="24"/>
      <w:lang w:val="zh-CN"/>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99"/>
    <w:pPr>
      <w:autoSpaceDE w:val="0"/>
      <w:autoSpaceDN w:val="0"/>
      <w:ind w:firstLine="570"/>
      <w:jc w:val="left"/>
    </w:pPr>
    <w:rPr>
      <w:rFonts w:ascii="宋体" w:hAnsi="宋体" w:cs="宋体"/>
      <w:kern w:val="0"/>
      <w:sz w:val="32"/>
      <w:szCs w:val="32"/>
      <w:lang w:val="zh-CN"/>
    </w:rPr>
  </w:style>
  <w:style w:type="paragraph" w:styleId="7">
    <w:name w:val="Normal Indent"/>
    <w:basedOn w:val="1"/>
    <w:next w:val="8"/>
    <w:qFormat/>
    <w:uiPriority w:val="0"/>
    <w:pPr>
      <w:widowControl/>
      <w:spacing w:before="100" w:beforeAutospacing="1" w:after="100" w:afterAutospacing="1"/>
      <w:jc w:val="left"/>
    </w:pPr>
    <w:rPr>
      <w:rFonts w:ascii="宋体" w:hAnsi="宋体" w:cs="宋体"/>
      <w:kern w:val="0"/>
      <w:sz w:val="24"/>
    </w:rPr>
  </w:style>
  <w:style w:type="paragraph" w:styleId="8">
    <w:name w:val="Body Text 2"/>
    <w:basedOn w:val="1"/>
    <w:next w:val="9"/>
    <w:unhideWhenUsed/>
    <w:qFormat/>
    <w:uiPriority w:val="99"/>
    <w:pPr>
      <w:widowControl/>
      <w:spacing w:before="100" w:beforeAutospacing="1" w:after="100" w:afterAutospacing="1"/>
      <w:jc w:val="left"/>
    </w:pPr>
    <w:rPr>
      <w:rFonts w:ascii="宋体" w:hAnsi="宋体"/>
      <w:kern w:val="0"/>
      <w:sz w:val="24"/>
    </w:rPr>
  </w:style>
  <w:style w:type="paragraph" w:styleId="9">
    <w:name w:val="Body Text"/>
    <w:basedOn w:val="1"/>
    <w:next w:val="1"/>
    <w:qFormat/>
    <w:uiPriority w:val="99"/>
    <w:pPr>
      <w:autoSpaceDE w:val="0"/>
      <w:autoSpaceDN w:val="0"/>
      <w:jc w:val="left"/>
    </w:pPr>
    <w:rPr>
      <w:rFonts w:ascii="宋体" w:hAnsi="宋体" w:cs="宋体"/>
      <w:kern w:val="0"/>
      <w:szCs w:val="21"/>
      <w:lang w:val="zh-CN"/>
    </w:rPr>
  </w:style>
  <w:style w:type="paragraph" w:styleId="10">
    <w:name w:val="annotation text"/>
    <w:basedOn w:val="1"/>
    <w:qFormat/>
    <w:uiPriority w:val="0"/>
    <w:pPr>
      <w:jc w:val="left"/>
    </w:pPr>
  </w:style>
  <w:style w:type="paragraph" w:styleId="11">
    <w:name w:val="Body Text Indent"/>
    <w:basedOn w:val="1"/>
    <w:next w:val="1"/>
    <w:unhideWhenUsed/>
    <w:qFormat/>
    <w:uiPriority w:val="99"/>
    <w:pPr>
      <w:autoSpaceDE w:val="0"/>
      <w:autoSpaceDN w:val="0"/>
      <w:spacing w:after="120"/>
      <w:ind w:left="420" w:leftChars="200"/>
      <w:jc w:val="left"/>
    </w:pPr>
    <w:rPr>
      <w:rFonts w:ascii="宋体" w:hAnsi="宋体" w:cs="宋体"/>
      <w:kern w:val="0"/>
      <w:sz w:val="22"/>
      <w:lang w:val="zh-CN"/>
    </w:rPr>
  </w:style>
  <w:style w:type="paragraph" w:styleId="12">
    <w:name w:val="List 2"/>
    <w:basedOn w:val="1"/>
    <w:qFormat/>
    <w:uiPriority w:val="99"/>
    <w:pPr>
      <w:autoSpaceDE w:val="0"/>
      <w:autoSpaceDN w:val="0"/>
      <w:ind w:left="100" w:leftChars="200" w:hanging="200" w:hangingChars="200"/>
      <w:contextualSpacing/>
      <w:jc w:val="left"/>
    </w:pPr>
    <w:rPr>
      <w:rFonts w:ascii="宋体" w:hAnsi="宋体" w:cs="宋体"/>
      <w:kern w:val="0"/>
      <w:sz w:val="22"/>
      <w:lang w:val="zh-CN"/>
    </w:rPr>
  </w:style>
  <w:style w:type="paragraph" w:styleId="13">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envelope return"/>
    <w:basedOn w:val="1"/>
    <w:qFormat/>
    <w:uiPriority w:val="0"/>
    <w:pPr>
      <w:snapToGrid w:val="0"/>
    </w:pPr>
    <w:rPr>
      <w:rFonts w:ascii="Arial" w:hAnsi="Arial"/>
    </w:rPr>
  </w:style>
  <w:style w:type="paragraph" w:styleId="1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99"/>
    <w:pPr>
      <w:autoSpaceDE w:val="0"/>
      <w:autoSpaceDN w:val="0"/>
      <w:spacing w:before="3"/>
      <w:ind w:left="430"/>
      <w:jc w:val="left"/>
    </w:pPr>
    <w:rPr>
      <w:rFonts w:ascii="宋体" w:hAnsi="宋体" w:cs="宋体"/>
      <w:kern w:val="0"/>
      <w:sz w:val="20"/>
      <w:szCs w:val="20"/>
      <w:lang w:val="zh-CN"/>
    </w:rPr>
  </w:style>
  <w:style w:type="paragraph" w:styleId="18">
    <w:name w:val="Normal (Web)"/>
    <w:basedOn w:val="1"/>
    <w:qFormat/>
    <w:uiPriority w:val="0"/>
    <w:pPr>
      <w:spacing w:before="100" w:beforeAutospacing="1" w:after="100" w:afterAutospacing="1"/>
      <w:jc w:val="left"/>
    </w:pPr>
    <w:rPr>
      <w:kern w:val="0"/>
      <w:sz w:val="24"/>
    </w:rPr>
  </w:style>
  <w:style w:type="paragraph" w:styleId="19">
    <w:name w:val="Body Text First Indent"/>
    <w:basedOn w:val="9"/>
    <w:qFormat/>
    <w:uiPriority w:val="99"/>
    <w:pPr>
      <w:spacing w:after="120"/>
      <w:ind w:firstLine="420" w:firstLineChars="100"/>
    </w:pPr>
    <w:rPr>
      <w:rFonts w:ascii="Times New Roman" w:hAnsi="Times New Roman"/>
      <w:szCs w:val="20"/>
    </w:rPr>
  </w:style>
  <w:style w:type="paragraph" w:styleId="20">
    <w:name w:val="Body Text First Indent 2"/>
    <w:basedOn w:val="11"/>
    <w:next w:val="7"/>
    <w:unhideWhenUsed/>
    <w:qFormat/>
    <w:uiPriority w:val="99"/>
    <w:pPr>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22"/>
    <w:rPr>
      <w:b/>
      <w:bCs/>
    </w:rPr>
  </w:style>
  <w:style w:type="character" w:styleId="25">
    <w:name w:val="Emphasis"/>
    <w:qFormat/>
    <w:uiPriority w:val="0"/>
  </w:style>
  <w:style w:type="paragraph" w:customStyle="1" w:styleId="26">
    <w:name w:val="cjk"/>
    <w:basedOn w:val="1"/>
    <w:qFormat/>
    <w:uiPriority w:val="0"/>
    <w:pPr>
      <w:widowControl/>
      <w:spacing w:line="480" w:lineRule="auto"/>
      <w:jc w:val="left"/>
    </w:pPr>
    <w:rPr>
      <w:rFonts w:ascii="宋体" w:hAnsi="宋体" w:cs="宋体"/>
      <w:kern w:val="0"/>
      <w:sz w:val="24"/>
    </w:rPr>
  </w:style>
  <w:style w:type="paragraph" w:styleId="27">
    <w:name w:val="List Paragraph"/>
    <w:basedOn w:val="1"/>
    <w:qFormat/>
    <w:uiPriority w:val="99"/>
    <w:pPr>
      <w:autoSpaceDE w:val="0"/>
      <w:autoSpaceDN w:val="0"/>
      <w:ind w:left="218" w:hanging="529"/>
      <w:jc w:val="left"/>
    </w:pPr>
    <w:rPr>
      <w:rFonts w:ascii="宋体" w:hAnsi="宋体" w:cs="宋体"/>
      <w:kern w:val="0"/>
      <w:sz w:val="22"/>
      <w:lang w:val="zh-CN"/>
    </w:rPr>
  </w:style>
  <w:style w:type="paragraph" w:customStyle="1" w:styleId="28">
    <w:name w:val="Table Paragraph"/>
    <w:basedOn w:val="1"/>
    <w:qFormat/>
    <w:uiPriority w:val="99"/>
    <w:pPr>
      <w:autoSpaceDE w:val="0"/>
      <w:autoSpaceDN w:val="0"/>
      <w:jc w:val="left"/>
    </w:pPr>
    <w:rPr>
      <w:rFonts w:ascii="宋体" w:hAnsi="宋体" w:cs="宋体"/>
      <w:kern w:val="0"/>
      <w:sz w:val="22"/>
      <w:lang w:val="zh-CN"/>
    </w:rPr>
  </w:style>
  <w:style w:type="paragraph" w:customStyle="1" w:styleId="29">
    <w:name w:val="表格文字"/>
    <w:basedOn w:val="30"/>
    <w:qFormat/>
    <w:uiPriority w:val="0"/>
    <w:pPr>
      <w:spacing w:before="25" w:after="25"/>
      <w:ind w:firstLine="0"/>
      <w:jc w:val="left"/>
    </w:pPr>
    <w:rPr>
      <w:bCs/>
      <w:spacing w:val="10"/>
      <w:kern w:val="0"/>
      <w:sz w:val="24"/>
    </w:rPr>
  </w:style>
  <w:style w:type="paragraph" w:customStyle="1" w:styleId="30">
    <w:name w:val="表格文字图表文字"/>
    <w:basedOn w:val="1"/>
    <w:qFormat/>
    <w:uiPriority w:val="0"/>
    <w:pPr>
      <w:snapToGrid w:val="0"/>
      <w:ind w:firstLine="200" w:firstLineChars="200"/>
      <w:jc w:val="center"/>
    </w:pPr>
    <w:rPr>
      <w:color w:val="7030A0"/>
    </w:rPr>
  </w:style>
  <w:style w:type="character" w:customStyle="1" w:styleId="31">
    <w:name w:val="NormalCharacter"/>
    <w:qFormat/>
    <w:uiPriority w:val="0"/>
    <w:rPr>
      <w:kern w:val="2"/>
      <w:sz w:val="21"/>
      <w:szCs w:val="22"/>
      <w:lang w:val="en-US" w:eastAsia="zh-CN" w:bidi="ar-SA"/>
    </w:rPr>
  </w:style>
  <w:style w:type="paragraph" w:customStyle="1" w:styleId="32">
    <w:name w:val="No Spacing1"/>
    <w:basedOn w:val="1"/>
    <w:qFormat/>
    <w:uiPriority w:val="0"/>
    <w:pPr>
      <w:autoSpaceDE w:val="0"/>
      <w:autoSpaceDN w:val="0"/>
      <w:spacing w:line="400" w:lineRule="exact"/>
      <w:jc w:val="left"/>
    </w:pPr>
    <w:rPr>
      <w:rFonts w:ascii="宋体" w:hAnsi="宋体" w:cs="宋体"/>
      <w:kern w:val="0"/>
      <w:sz w:val="24"/>
      <w:lang w:val="zh-CN"/>
    </w:rPr>
  </w:style>
  <w:style w:type="paragraph" w:customStyle="1" w:styleId="33">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4">
    <w:name w:val="style4"/>
    <w:basedOn w:val="1"/>
    <w:next w:val="35"/>
    <w:qFormat/>
    <w:uiPriority w:val="0"/>
    <w:pPr>
      <w:widowControl/>
      <w:spacing w:before="280" w:after="280"/>
    </w:pPr>
    <w:rPr>
      <w:sz w:val="18"/>
    </w:rPr>
  </w:style>
  <w:style w:type="paragraph" w:customStyle="1" w:styleId="35">
    <w:name w:val="2"/>
    <w:next w:val="1"/>
    <w:qFormat/>
    <w:uiPriority w:val="0"/>
    <w:pPr>
      <w:widowControl w:val="0"/>
      <w:jc w:val="both"/>
    </w:pPr>
    <w:rPr>
      <w:rFonts w:ascii="Calibri" w:hAnsi="Calibri" w:eastAsia="宋体" w:cs="Times New Roman"/>
      <w:sz w:val="21"/>
      <w:szCs w:val="22"/>
      <w:lang w:val="en-US" w:eastAsia="zh-CN" w:bidi="ar-SA"/>
    </w:rPr>
  </w:style>
  <w:style w:type="paragraph" w:customStyle="1" w:styleId="36">
    <w:name w:val="无间隔1"/>
    <w:basedOn w:val="1"/>
    <w:qFormat/>
    <w:uiPriority w:val="99"/>
    <w:pPr>
      <w:spacing w:line="400" w:lineRule="exact"/>
    </w:pPr>
    <w:rPr>
      <w:sz w:val="24"/>
    </w:rPr>
  </w:style>
  <w:style w:type="paragraph" w:customStyle="1" w:styleId="37">
    <w:name w:val="UserStyle_0"/>
    <w:basedOn w:val="1"/>
    <w:qFormat/>
    <w:uiPriority w:val="0"/>
    <w:pPr>
      <w:ind w:firstLine="570"/>
      <w:jc w:val="both"/>
      <w:textAlignment w:val="baseline"/>
    </w:pPr>
    <w:rPr>
      <w:rFonts w:eastAsia="仿宋_GB2312"/>
      <w:kern w:val="2"/>
      <w:sz w:val="32"/>
      <w:lang w:val="en-US" w:eastAsia="zh-CN" w:bidi="ar-SA"/>
    </w:rPr>
  </w:style>
  <w:style w:type="paragraph" w:customStyle="1" w:styleId="38">
    <w:name w:val="样式 小四 行距: 1.5 倍行距 首行缩进:  2 字符"/>
    <w:basedOn w:val="1"/>
    <w:qFormat/>
    <w:uiPriority w:val="0"/>
    <w:pPr>
      <w:spacing w:line="360" w:lineRule="auto"/>
      <w:ind w:firstLine="480" w:firstLineChars="200"/>
    </w:pPr>
    <w:rPr>
      <w:rFonts w:ascii="Times New Roman" w:hAnsi="Times New Roman" w:cs="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17072</Words>
  <Characters>17956</Characters>
  <Lines>0</Lines>
  <Paragraphs>0</Paragraphs>
  <TotalTime>29</TotalTime>
  <ScaleCrop>false</ScaleCrop>
  <LinksUpToDate>false</LinksUpToDate>
  <CharactersWithSpaces>18221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2026-06-09T07:49:00Z</dcterms:created>
  <dc:creator>琉璃雨</dc:creator>
  <cp:lastModifiedBy>慧霖建设发展集团有限公司:冀广彪</cp:lastModifiedBy>
  <cp:lastPrinted>2026-07-16T02:42:00Z</cp:lastPrinted>
  <dcterms:modified xsi:type="dcterms:W3CDTF">2026-07-16T07:55:44Z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eyJoZGlkIjoiODdjYmY3M2ZiYTEyOTQ1ODlmMjI4MjlkYmIwOWNiMGQiLCJ1c2VySWQiOiIzODk5Nzg2MDkifQ==</vt:lpwstr>
  </property>
  <property fmtid="{D5CDD505-2E9C-101B-9397-08002B2CF9AE}" pid="4" name="ICV">
    <vt:lpwstr>6A573BFC8B914F67B01C12A9C2C46648_13</vt:lpwstr>
  </property>
</Properties>
</file>