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D4761">
      <w:pPr>
        <w:tabs>
          <w:tab w:val="left" w:pos="840"/>
        </w:tabs>
        <w:spacing w:before="19"/>
        <w:ind w:right="83"/>
        <w:rPr>
          <w:rFonts w:hint="eastAsia" w:ascii="宋体" w:hAnsi="宋体" w:eastAsia="宋体" w:cs="宋体"/>
          <w:b/>
          <w:color w:val="auto"/>
          <w:sz w:val="44"/>
          <w:lang w:eastAsia="zh-CN"/>
        </w:rPr>
      </w:pPr>
      <w:r>
        <w:rPr>
          <w:rFonts w:hint="eastAsia" w:ascii="宋体" w:hAnsi="宋体" w:eastAsia="宋体" w:cs="宋体"/>
          <w:b/>
          <w:color w:val="auto"/>
          <w:sz w:val="44"/>
          <w:lang w:eastAsia="zh-CN"/>
        </w:rPr>
        <w:drawing>
          <wp:inline distT="0" distB="0" distL="114300" distR="114300">
            <wp:extent cx="8525510" cy="5633720"/>
            <wp:effectExtent l="0" t="0" r="5080" b="8890"/>
            <wp:docPr id="12" name="图片 12" descr="20260605185523873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0260605185523873_0001"/>
                    <pic:cNvPicPr>
                      <a:picLocks noChangeAspect="1"/>
                    </pic:cNvPicPr>
                  </pic:nvPicPr>
                  <pic:blipFill>
                    <a:blip r:embed="rId15"/>
                    <a:stretch>
                      <a:fillRect/>
                    </a:stretch>
                  </pic:blipFill>
                  <pic:spPr>
                    <a:xfrm rot="16200000">
                      <a:off x="0" y="0"/>
                      <a:ext cx="8525510" cy="5633720"/>
                    </a:xfrm>
                    <a:prstGeom prst="rect">
                      <a:avLst/>
                    </a:prstGeom>
                  </pic:spPr>
                </pic:pic>
              </a:graphicData>
            </a:graphic>
          </wp:inline>
        </w:drawing>
      </w:r>
    </w:p>
    <w:p w14:paraId="761745CE">
      <w:pPr>
        <w:tabs>
          <w:tab w:val="left" w:pos="840"/>
        </w:tabs>
        <w:spacing w:before="19"/>
        <w:ind w:right="83"/>
        <w:jc w:val="center"/>
        <w:rPr>
          <w:rFonts w:hint="eastAsia" w:ascii="宋体" w:hAnsi="宋体" w:cs="宋体"/>
          <w:b/>
          <w:color w:val="auto"/>
          <w:sz w:val="32"/>
          <w:szCs w:val="32"/>
        </w:rPr>
      </w:pPr>
    </w:p>
    <w:p w14:paraId="4EEBC7A4">
      <w:pPr>
        <w:tabs>
          <w:tab w:val="left" w:pos="840"/>
        </w:tabs>
        <w:spacing w:before="19"/>
        <w:ind w:right="83"/>
        <w:jc w:val="center"/>
        <w:rPr>
          <w:rFonts w:hint="eastAsia" w:ascii="宋体" w:hAnsi="宋体" w:cs="宋体"/>
          <w:b/>
          <w:color w:val="auto"/>
          <w:sz w:val="32"/>
          <w:szCs w:val="32"/>
        </w:rPr>
      </w:pPr>
    </w:p>
    <w:p w14:paraId="713959E9">
      <w:pPr>
        <w:tabs>
          <w:tab w:val="left" w:pos="840"/>
        </w:tabs>
        <w:spacing w:before="19"/>
        <w:ind w:right="83"/>
        <w:jc w:val="center"/>
        <w:rPr>
          <w:rFonts w:ascii="宋体" w:hAnsi="宋体" w:cs="宋体"/>
          <w:b/>
          <w:color w:val="auto"/>
          <w:sz w:val="32"/>
          <w:szCs w:val="32"/>
        </w:rPr>
      </w:pPr>
      <w:r>
        <w:rPr>
          <w:rFonts w:hint="eastAsia" w:ascii="宋体" w:hAnsi="宋体" w:cs="宋体"/>
          <w:b/>
          <w:color w:val="auto"/>
          <w:sz w:val="32"/>
          <w:szCs w:val="32"/>
        </w:rPr>
        <w:t>目</w:t>
      </w:r>
      <w:r>
        <w:rPr>
          <w:rFonts w:hint="eastAsia" w:ascii="宋体" w:hAnsi="宋体" w:cs="宋体"/>
          <w:b/>
          <w:color w:val="auto"/>
          <w:sz w:val="32"/>
          <w:szCs w:val="32"/>
        </w:rPr>
        <w:tab/>
      </w:r>
      <w:r>
        <w:rPr>
          <w:rFonts w:hint="eastAsia" w:ascii="宋体" w:hAnsi="宋体" w:cs="宋体"/>
          <w:b/>
          <w:color w:val="auto"/>
          <w:sz w:val="32"/>
          <w:szCs w:val="32"/>
        </w:rPr>
        <w:t>录</w:t>
      </w:r>
    </w:p>
    <w:p w14:paraId="013EED0B">
      <w:pPr>
        <w:pStyle w:val="9"/>
        <w:spacing w:before="11" w:line="480" w:lineRule="auto"/>
        <w:rPr>
          <w:b/>
          <w:color w:val="auto"/>
          <w:sz w:val="23"/>
        </w:rPr>
      </w:pPr>
    </w:p>
    <w:p w14:paraId="7AF4A83D">
      <w:pPr>
        <w:pStyle w:val="21"/>
        <w:tabs>
          <w:tab w:val="right" w:leader="dot" w:pos="8250"/>
        </w:tabs>
        <w:spacing w:line="480" w:lineRule="auto"/>
        <w:rPr>
          <w:color w:val="auto"/>
          <w:sz w:val="24"/>
          <w:szCs w:val="24"/>
        </w:rPr>
      </w:pPr>
      <w:r>
        <w:rPr>
          <w:rFonts w:hint="eastAsia"/>
          <w:b/>
          <w:color w:val="auto"/>
          <w:sz w:val="24"/>
          <w:szCs w:val="24"/>
        </w:rPr>
        <w:fldChar w:fldCharType="begin"/>
      </w:r>
      <w:r>
        <w:rPr>
          <w:rFonts w:hint="eastAsia"/>
          <w:b/>
          <w:color w:val="auto"/>
          <w:sz w:val="24"/>
          <w:szCs w:val="24"/>
        </w:rPr>
        <w:instrText xml:space="preserve">TOC \o "1-1" \h \u </w:instrText>
      </w:r>
      <w:r>
        <w:rPr>
          <w:rFonts w:hint="eastAsia"/>
          <w:b/>
          <w:color w:val="auto"/>
          <w:sz w:val="24"/>
          <w:szCs w:val="24"/>
        </w:rPr>
        <w:fldChar w:fldCharType="separate"/>
      </w:r>
      <w:r>
        <w:rPr>
          <w:color w:val="auto"/>
        </w:rPr>
        <w:fldChar w:fldCharType="begin"/>
      </w:r>
      <w:r>
        <w:rPr>
          <w:color w:val="auto"/>
        </w:rPr>
        <w:instrText xml:space="preserve"> HYPERLINK \l "_Toc25172" </w:instrText>
      </w:r>
      <w:r>
        <w:rPr>
          <w:color w:val="auto"/>
        </w:rPr>
        <w:fldChar w:fldCharType="separate"/>
      </w:r>
      <w:r>
        <w:rPr>
          <w:rFonts w:hint="eastAsia"/>
          <w:color w:val="auto"/>
          <w:sz w:val="24"/>
          <w:szCs w:val="24"/>
        </w:rPr>
        <w:t>第一章</w:t>
      </w:r>
      <w:r>
        <w:rPr>
          <w:rFonts w:hint="eastAsia"/>
          <w:color w:val="auto"/>
          <w:sz w:val="24"/>
          <w:szCs w:val="24"/>
          <w:lang w:val="en-US"/>
        </w:rPr>
        <w:t xml:space="preserve"> </w:t>
      </w:r>
      <w:r>
        <w:rPr>
          <w:rFonts w:hint="eastAsia"/>
          <w:color w:val="auto"/>
          <w:sz w:val="24"/>
          <w:szCs w:val="24"/>
        </w:rPr>
        <w:t>招标公告</w:t>
      </w:r>
      <w:r>
        <w:rPr>
          <w:color w:val="auto"/>
          <w:sz w:val="24"/>
          <w:szCs w:val="24"/>
        </w:rPr>
        <w:tab/>
      </w:r>
      <w:r>
        <w:rPr>
          <w:color w:val="auto"/>
          <w:sz w:val="24"/>
          <w:szCs w:val="24"/>
        </w:rPr>
        <w:fldChar w:fldCharType="begin"/>
      </w:r>
      <w:r>
        <w:rPr>
          <w:color w:val="auto"/>
          <w:sz w:val="24"/>
          <w:szCs w:val="24"/>
        </w:rPr>
        <w:instrText xml:space="preserve"> PAGEREF _Toc25172 \h </w:instrText>
      </w:r>
      <w:r>
        <w:rPr>
          <w:color w:val="auto"/>
          <w:sz w:val="24"/>
          <w:szCs w:val="24"/>
        </w:rPr>
        <w:fldChar w:fldCharType="separate"/>
      </w:r>
      <w:r>
        <w:rPr>
          <w:color w:val="auto"/>
          <w:sz w:val="24"/>
          <w:szCs w:val="24"/>
        </w:rPr>
        <w:t>- 1 -</w:t>
      </w:r>
      <w:r>
        <w:rPr>
          <w:color w:val="auto"/>
          <w:sz w:val="24"/>
          <w:szCs w:val="24"/>
        </w:rPr>
        <w:fldChar w:fldCharType="end"/>
      </w:r>
      <w:r>
        <w:rPr>
          <w:color w:val="auto"/>
          <w:sz w:val="24"/>
          <w:szCs w:val="24"/>
        </w:rPr>
        <w:fldChar w:fldCharType="end"/>
      </w:r>
    </w:p>
    <w:p w14:paraId="4E098685">
      <w:pPr>
        <w:pStyle w:val="21"/>
        <w:tabs>
          <w:tab w:val="right" w:leader="dot" w:pos="8250"/>
        </w:tabs>
        <w:spacing w:line="480" w:lineRule="auto"/>
        <w:rPr>
          <w:color w:val="auto"/>
          <w:sz w:val="24"/>
          <w:szCs w:val="24"/>
        </w:rPr>
      </w:pPr>
      <w:r>
        <w:rPr>
          <w:color w:val="auto"/>
        </w:rPr>
        <w:fldChar w:fldCharType="begin"/>
      </w:r>
      <w:r>
        <w:rPr>
          <w:color w:val="auto"/>
        </w:rPr>
        <w:instrText xml:space="preserve"> HYPERLINK \l "_Toc5796" </w:instrText>
      </w:r>
      <w:r>
        <w:rPr>
          <w:color w:val="auto"/>
        </w:rPr>
        <w:fldChar w:fldCharType="separate"/>
      </w:r>
      <w:r>
        <w:rPr>
          <w:rFonts w:hint="eastAsia" w:cs="Times New Roman"/>
          <w:color w:val="auto"/>
          <w:sz w:val="24"/>
          <w:szCs w:val="24"/>
        </w:rPr>
        <w:t xml:space="preserve">第二章 </w:t>
      </w:r>
      <w:r>
        <w:rPr>
          <w:rFonts w:hint="eastAsia"/>
          <w:color w:val="auto"/>
          <w:sz w:val="24"/>
          <w:szCs w:val="24"/>
        </w:rPr>
        <w:t>投标人须知</w:t>
      </w:r>
      <w:r>
        <w:rPr>
          <w:color w:val="auto"/>
          <w:sz w:val="24"/>
          <w:szCs w:val="24"/>
        </w:rPr>
        <w:tab/>
      </w:r>
      <w:r>
        <w:rPr>
          <w:color w:val="auto"/>
          <w:sz w:val="24"/>
          <w:szCs w:val="24"/>
        </w:rPr>
        <w:fldChar w:fldCharType="begin"/>
      </w:r>
      <w:r>
        <w:rPr>
          <w:color w:val="auto"/>
          <w:sz w:val="24"/>
          <w:szCs w:val="24"/>
        </w:rPr>
        <w:instrText xml:space="preserve"> PAGEREF _Toc5796 \h </w:instrText>
      </w:r>
      <w:r>
        <w:rPr>
          <w:color w:val="auto"/>
          <w:sz w:val="24"/>
          <w:szCs w:val="24"/>
        </w:rPr>
        <w:fldChar w:fldCharType="separate"/>
      </w:r>
      <w:r>
        <w:rPr>
          <w:color w:val="auto"/>
          <w:sz w:val="24"/>
          <w:szCs w:val="24"/>
        </w:rPr>
        <w:t>- 5 -</w:t>
      </w:r>
      <w:r>
        <w:rPr>
          <w:color w:val="auto"/>
          <w:sz w:val="24"/>
          <w:szCs w:val="24"/>
        </w:rPr>
        <w:fldChar w:fldCharType="end"/>
      </w:r>
      <w:r>
        <w:rPr>
          <w:color w:val="auto"/>
          <w:sz w:val="24"/>
          <w:szCs w:val="24"/>
        </w:rPr>
        <w:fldChar w:fldCharType="end"/>
      </w:r>
    </w:p>
    <w:p w14:paraId="3EF1E1DF">
      <w:pPr>
        <w:pStyle w:val="21"/>
        <w:tabs>
          <w:tab w:val="right" w:leader="dot" w:pos="8250"/>
        </w:tabs>
        <w:spacing w:line="480" w:lineRule="auto"/>
        <w:rPr>
          <w:color w:val="auto"/>
          <w:sz w:val="24"/>
          <w:szCs w:val="24"/>
        </w:rPr>
      </w:pPr>
      <w:r>
        <w:rPr>
          <w:color w:val="auto"/>
        </w:rPr>
        <w:fldChar w:fldCharType="begin"/>
      </w:r>
      <w:r>
        <w:rPr>
          <w:color w:val="auto"/>
        </w:rPr>
        <w:instrText xml:space="preserve"> HYPERLINK \l "_Toc12010" </w:instrText>
      </w:r>
      <w:r>
        <w:rPr>
          <w:color w:val="auto"/>
        </w:rPr>
        <w:fldChar w:fldCharType="separate"/>
      </w:r>
      <w:r>
        <w:rPr>
          <w:rFonts w:hint="eastAsia" w:cs="Times New Roman"/>
          <w:color w:val="auto"/>
          <w:sz w:val="24"/>
          <w:szCs w:val="24"/>
        </w:rPr>
        <w:t xml:space="preserve">第三章 </w:t>
      </w:r>
      <w:r>
        <w:rPr>
          <w:rFonts w:hint="eastAsia"/>
          <w:color w:val="auto"/>
          <w:sz w:val="24"/>
          <w:szCs w:val="24"/>
        </w:rPr>
        <w:t>评标办法</w:t>
      </w:r>
      <w:r>
        <w:rPr>
          <w:color w:val="auto"/>
          <w:sz w:val="24"/>
          <w:szCs w:val="24"/>
        </w:rPr>
        <w:tab/>
      </w:r>
      <w:r>
        <w:rPr>
          <w:color w:val="auto"/>
          <w:sz w:val="24"/>
          <w:szCs w:val="24"/>
        </w:rPr>
        <w:fldChar w:fldCharType="begin"/>
      </w:r>
      <w:r>
        <w:rPr>
          <w:color w:val="auto"/>
          <w:sz w:val="24"/>
          <w:szCs w:val="24"/>
        </w:rPr>
        <w:instrText xml:space="preserve"> PAGEREF _Toc12010 \h </w:instrText>
      </w:r>
      <w:r>
        <w:rPr>
          <w:color w:val="auto"/>
          <w:sz w:val="24"/>
          <w:szCs w:val="24"/>
        </w:rPr>
        <w:fldChar w:fldCharType="separate"/>
      </w:r>
      <w:r>
        <w:rPr>
          <w:color w:val="auto"/>
          <w:sz w:val="24"/>
          <w:szCs w:val="24"/>
        </w:rPr>
        <w:t>- 22 -</w:t>
      </w:r>
      <w:r>
        <w:rPr>
          <w:color w:val="auto"/>
          <w:sz w:val="24"/>
          <w:szCs w:val="24"/>
        </w:rPr>
        <w:fldChar w:fldCharType="end"/>
      </w:r>
      <w:r>
        <w:rPr>
          <w:color w:val="auto"/>
          <w:sz w:val="24"/>
          <w:szCs w:val="24"/>
        </w:rPr>
        <w:fldChar w:fldCharType="end"/>
      </w:r>
    </w:p>
    <w:p w14:paraId="1BFA05C2">
      <w:pPr>
        <w:pStyle w:val="21"/>
        <w:tabs>
          <w:tab w:val="right" w:leader="dot" w:pos="8250"/>
        </w:tabs>
        <w:spacing w:line="480" w:lineRule="auto"/>
        <w:rPr>
          <w:color w:val="auto"/>
          <w:sz w:val="24"/>
          <w:szCs w:val="24"/>
        </w:rPr>
      </w:pPr>
      <w:r>
        <w:rPr>
          <w:color w:val="auto"/>
        </w:rPr>
        <w:fldChar w:fldCharType="begin"/>
      </w:r>
      <w:r>
        <w:rPr>
          <w:color w:val="auto"/>
        </w:rPr>
        <w:instrText xml:space="preserve"> HYPERLINK \l "_Toc15842" </w:instrText>
      </w:r>
      <w:r>
        <w:rPr>
          <w:color w:val="auto"/>
        </w:rPr>
        <w:fldChar w:fldCharType="separate"/>
      </w:r>
      <w:r>
        <w:rPr>
          <w:rFonts w:hint="eastAsia"/>
          <w:color w:val="auto"/>
          <w:sz w:val="24"/>
          <w:szCs w:val="24"/>
        </w:rPr>
        <w:t>第四章</w:t>
      </w:r>
      <w:r>
        <w:rPr>
          <w:rFonts w:hint="eastAsia"/>
          <w:color w:val="auto"/>
          <w:sz w:val="24"/>
          <w:szCs w:val="24"/>
          <w:lang w:val="en-US"/>
        </w:rPr>
        <w:t xml:space="preserve"> </w:t>
      </w:r>
      <w:r>
        <w:rPr>
          <w:rFonts w:hint="eastAsia"/>
          <w:color w:val="auto"/>
          <w:sz w:val="24"/>
          <w:szCs w:val="24"/>
        </w:rPr>
        <w:t>合同条款及格式</w:t>
      </w:r>
      <w:r>
        <w:rPr>
          <w:color w:val="auto"/>
          <w:sz w:val="24"/>
          <w:szCs w:val="24"/>
        </w:rPr>
        <w:tab/>
      </w:r>
      <w:r>
        <w:rPr>
          <w:color w:val="auto"/>
          <w:sz w:val="24"/>
          <w:szCs w:val="24"/>
        </w:rPr>
        <w:fldChar w:fldCharType="begin"/>
      </w:r>
      <w:r>
        <w:rPr>
          <w:color w:val="auto"/>
          <w:sz w:val="24"/>
          <w:szCs w:val="24"/>
        </w:rPr>
        <w:instrText xml:space="preserve"> PAGEREF _Toc15842 \h </w:instrText>
      </w:r>
      <w:r>
        <w:rPr>
          <w:color w:val="auto"/>
          <w:sz w:val="24"/>
          <w:szCs w:val="24"/>
        </w:rPr>
        <w:fldChar w:fldCharType="separate"/>
      </w:r>
      <w:r>
        <w:rPr>
          <w:color w:val="auto"/>
          <w:sz w:val="24"/>
          <w:szCs w:val="24"/>
        </w:rPr>
        <w:t>- 30 -</w:t>
      </w:r>
      <w:r>
        <w:rPr>
          <w:color w:val="auto"/>
          <w:sz w:val="24"/>
          <w:szCs w:val="24"/>
        </w:rPr>
        <w:fldChar w:fldCharType="end"/>
      </w:r>
      <w:r>
        <w:rPr>
          <w:color w:val="auto"/>
          <w:sz w:val="24"/>
          <w:szCs w:val="24"/>
        </w:rPr>
        <w:fldChar w:fldCharType="end"/>
      </w:r>
    </w:p>
    <w:p w14:paraId="475ADA5E">
      <w:pPr>
        <w:pStyle w:val="21"/>
        <w:tabs>
          <w:tab w:val="right" w:leader="dot" w:pos="8250"/>
        </w:tabs>
        <w:spacing w:line="480" w:lineRule="auto"/>
        <w:rPr>
          <w:color w:val="auto"/>
          <w:sz w:val="24"/>
          <w:szCs w:val="24"/>
        </w:rPr>
      </w:pPr>
      <w:r>
        <w:rPr>
          <w:color w:val="auto"/>
        </w:rPr>
        <w:fldChar w:fldCharType="begin"/>
      </w:r>
      <w:r>
        <w:rPr>
          <w:color w:val="auto"/>
        </w:rPr>
        <w:instrText xml:space="preserve"> HYPERLINK \l "_Toc16106" </w:instrText>
      </w:r>
      <w:r>
        <w:rPr>
          <w:color w:val="auto"/>
        </w:rPr>
        <w:fldChar w:fldCharType="separate"/>
      </w:r>
      <w:r>
        <w:rPr>
          <w:rFonts w:hint="eastAsia"/>
          <w:color w:val="auto"/>
          <w:sz w:val="24"/>
          <w:szCs w:val="24"/>
        </w:rPr>
        <w:t>第五章  采购内容及技术要求</w:t>
      </w:r>
      <w:r>
        <w:rPr>
          <w:color w:val="auto"/>
          <w:sz w:val="24"/>
          <w:szCs w:val="24"/>
        </w:rPr>
        <w:tab/>
      </w:r>
      <w:r>
        <w:rPr>
          <w:color w:val="auto"/>
          <w:sz w:val="24"/>
          <w:szCs w:val="24"/>
        </w:rPr>
        <w:fldChar w:fldCharType="begin"/>
      </w:r>
      <w:r>
        <w:rPr>
          <w:color w:val="auto"/>
          <w:sz w:val="24"/>
          <w:szCs w:val="24"/>
        </w:rPr>
        <w:instrText xml:space="preserve"> PAGEREF _Toc16106 \h </w:instrText>
      </w:r>
      <w:r>
        <w:rPr>
          <w:color w:val="auto"/>
          <w:sz w:val="24"/>
          <w:szCs w:val="24"/>
        </w:rPr>
        <w:fldChar w:fldCharType="separate"/>
      </w:r>
      <w:r>
        <w:rPr>
          <w:color w:val="auto"/>
          <w:sz w:val="24"/>
          <w:szCs w:val="24"/>
        </w:rPr>
        <w:t>- 3</w:t>
      </w:r>
      <w:r>
        <w:rPr>
          <w:rFonts w:hint="eastAsia"/>
          <w:color w:val="auto"/>
          <w:sz w:val="24"/>
          <w:szCs w:val="24"/>
          <w:lang w:val="en-US" w:eastAsia="zh-CN"/>
        </w:rPr>
        <w:t>6</w:t>
      </w:r>
      <w:r>
        <w:rPr>
          <w:color w:val="auto"/>
          <w:sz w:val="24"/>
          <w:szCs w:val="24"/>
        </w:rPr>
        <w:t xml:space="preserve"> -</w:t>
      </w:r>
      <w:r>
        <w:rPr>
          <w:color w:val="auto"/>
          <w:sz w:val="24"/>
          <w:szCs w:val="24"/>
        </w:rPr>
        <w:fldChar w:fldCharType="end"/>
      </w:r>
      <w:r>
        <w:rPr>
          <w:color w:val="auto"/>
          <w:sz w:val="24"/>
          <w:szCs w:val="24"/>
        </w:rPr>
        <w:fldChar w:fldCharType="end"/>
      </w:r>
    </w:p>
    <w:p w14:paraId="4755A057">
      <w:pPr>
        <w:pStyle w:val="21"/>
        <w:tabs>
          <w:tab w:val="right" w:pos="3600"/>
          <w:tab w:val="right" w:leader="dot" w:pos="8250"/>
        </w:tabs>
        <w:spacing w:line="480" w:lineRule="auto"/>
        <w:rPr>
          <w:color w:val="auto"/>
          <w:sz w:val="24"/>
          <w:szCs w:val="24"/>
        </w:rPr>
      </w:pPr>
      <w:r>
        <w:rPr>
          <w:color w:val="auto"/>
        </w:rPr>
        <w:fldChar w:fldCharType="begin"/>
      </w:r>
      <w:r>
        <w:rPr>
          <w:color w:val="auto"/>
        </w:rPr>
        <w:instrText xml:space="preserve"> HYPERLINK \l "_Toc19016" </w:instrText>
      </w:r>
      <w:r>
        <w:rPr>
          <w:color w:val="auto"/>
        </w:rPr>
        <w:fldChar w:fldCharType="separate"/>
      </w:r>
      <w:r>
        <w:rPr>
          <w:rFonts w:hint="eastAsia"/>
          <w:color w:val="auto"/>
          <w:sz w:val="24"/>
          <w:szCs w:val="24"/>
        </w:rPr>
        <w:t>第六章</w:t>
      </w:r>
      <w:r>
        <w:rPr>
          <w:rFonts w:hint="eastAsia"/>
          <w:color w:val="auto"/>
          <w:sz w:val="24"/>
          <w:szCs w:val="24"/>
          <w:lang w:val="en-US"/>
        </w:rPr>
        <w:t xml:space="preserve">  投标文件格式..............</w:t>
      </w:r>
      <w:r>
        <w:rPr>
          <w:color w:val="auto"/>
          <w:sz w:val="24"/>
          <w:szCs w:val="24"/>
        </w:rPr>
        <w:tab/>
      </w:r>
      <w:r>
        <w:rPr>
          <w:color w:val="auto"/>
          <w:sz w:val="24"/>
          <w:szCs w:val="24"/>
        </w:rPr>
        <w:fldChar w:fldCharType="begin"/>
      </w:r>
      <w:r>
        <w:rPr>
          <w:color w:val="auto"/>
          <w:sz w:val="24"/>
          <w:szCs w:val="24"/>
        </w:rPr>
        <w:instrText xml:space="preserve"> PAGEREF _Toc19016 \h </w:instrText>
      </w:r>
      <w:r>
        <w:rPr>
          <w:color w:val="auto"/>
          <w:sz w:val="24"/>
          <w:szCs w:val="24"/>
        </w:rPr>
        <w:fldChar w:fldCharType="separate"/>
      </w:r>
      <w:r>
        <w:rPr>
          <w:color w:val="auto"/>
          <w:sz w:val="24"/>
          <w:szCs w:val="24"/>
        </w:rPr>
        <w:t>- 39 -</w:t>
      </w:r>
      <w:r>
        <w:rPr>
          <w:color w:val="auto"/>
          <w:sz w:val="24"/>
          <w:szCs w:val="24"/>
        </w:rPr>
        <w:fldChar w:fldCharType="end"/>
      </w:r>
      <w:r>
        <w:rPr>
          <w:color w:val="auto"/>
          <w:sz w:val="24"/>
          <w:szCs w:val="24"/>
        </w:rPr>
        <w:fldChar w:fldCharType="end"/>
      </w:r>
    </w:p>
    <w:p w14:paraId="52F6AD85">
      <w:pPr>
        <w:pStyle w:val="9"/>
        <w:spacing w:before="11" w:line="480" w:lineRule="auto"/>
        <w:rPr>
          <w:b/>
          <w:color w:val="auto"/>
          <w:sz w:val="24"/>
          <w:szCs w:val="24"/>
        </w:rPr>
      </w:pPr>
      <w:r>
        <w:rPr>
          <w:rFonts w:hint="eastAsia"/>
          <w:color w:val="auto"/>
          <w:sz w:val="24"/>
          <w:szCs w:val="24"/>
        </w:rPr>
        <w:fldChar w:fldCharType="end"/>
      </w:r>
    </w:p>
    <w:p w14:paraId="247593C2">
      <w:pPr>
        <w:pStyle w:val="9"/>
        <w:spacing w:before="11"/>
        <w:rPr>
          <w:b/>
          <w:color w:val="auto"/>
          <w:sz w:val="23"/>
        </w:rPr>
      </w:pPr>
    </w:p>
    <w:p w14:paraId="3FA886E1">
      <w:pPr>
        <w:pStyle w:val="9"/>
        <w:spacing w:before="11"/>
        <w:rPr>
          <w:b/>
          <w:color w:val="auto"/>
          <w:sz w:val="23"/>
        </w:rPr>
      </w:pPr>
    </w:p>
    <w:p w14:paraId="2530FBC0">
      <w:pPr>
        <w:pStyle w:val="9"/>
        <w:spacing w:before="11"/>
        <w:rPr>
          <w:b/>
          <w:color w:val="auto"/>
          <w:sz w:val="23"/>
        </w:rPr>
      </w:pPr>
    </w:p>
    <w:p w14:paraId="4A2580F6">
      <w:pPr>
        <w:pStyle w:val="9"/>
        <w:spacing w:before="11"/>
        <w:rPr>
          <w:b/>
          <w:color w:val="auto"/>
          <w:sz w:val="23"/>
        </w:rPr>
      </w:pPr>
    </w:p>
    <w:p w14:paraId="13C97352">
      <w:pPr>
        <w:pStyle w:val="9"/>
        <w:spacing w:before="11"/>
        <w:rPr>
          <w:b/>
          <w:color w:val="auto"/>
          <w:sz w:val="23"/>
        </w:rPr>
      </w:pPr>
    </w:p>
    <w:p w14:paraId="66461EA8">
      <w:pPr>
        <w:pStyle w:val="9"/>
        <w:spacing w:before="11"/>
        <w:rPr>
          <w:b/>
          <w:color w:val="auto"/>
          <w:sz w:val="23"/>
        </w:rPr>
      </w:pPr>
    </w:p>
    <w:p w14:paraId="538FF3EC">
      <w:pPr>
        <w:pStyle w:val="9"/>
        <w:spacing w:before="11"/>
        <w:rPr>
          <w:b/>
          <w:color w:val="auto"/>
          <w:sz w:val="23"/>
        </w:rPr>
      </w:pPr>
    </w:p>
    <w:p w14:paraId="33909F2E">
      <w:pPr>
        <w:pStyle w:val="9"/>
        <w:spacing w:before="11"/>
        <w:rPr>
          <w:b/>
          <w:color w:val="auto"/>
          <w:sz w:val="23"/>
        </w:rPr>
      </w:pPr>
    </w:p>
    <w:p w14:paraId="0C8D6CF3">
      <w:pPr>
        <w:rPr>
          <w:rFonts w:ascii="宋体" w:hAnsi="宋体" w:cs="宋体"/>
          <w:b/>
          <w:color w:val="auto"/>
          <w:sz w:val="23"/>
        </w:rPr>
      </w:pPr>
    </w:p>
    <w:p w14:paraId="3655096D">
      <w:pPr>
        <w:rPr>
          <w:rFonts w:ascii="宋体" w:hAnsi="宋体" w:cs="宋体"/>
          <w:color w:val="auto"/>
        </w:rPr>
      </w:pPr>
    </w:p>
    <w:p w14:paraId="502EE03A">
      <w:pPr>
        <w:pStyle w:val="2"/>
        <w:numPr>
          <w:ilvl w:val="0"/>
          <w:numId w:val="1"/>
        </w:numPr>
        <w:spacing w:before="100" w:after="100" w:line="440" w:lineRule="exact"/>
        <w:ind w:right="-144"/>
        <w:rPr>
          <w:color w:val="auto"/>
        </w:rPr>
        <w:sectPr>
          <w:headerReference r:id="rId4" w:type="first"/>
          <w:headerReference r:id="rId3" w:type="default"/>
          <w:footerReference r:id="rId5" w:type="default"/>
          <w:pgSz w:w="11850" w:h="16783"/>
          <w:pgMar w:top="1440" w:right="1800" w:bottom="1440" w:left="1800" w:header="0" w:footer="1233" w:gutter="0"/>
          <w:cols w:space="720" w:num="1"/>
        </w:sectPr>
      </w:pPr>
    </w:p>
    <w:p w14:paraId="02C49A63">
      <w:pPr>
        <w:pStyle w:val="2"/>
        <w:keepNext w:val="0"/>
        <w:keepLines w:val="0"/>
        <w:pageBreakBefore w:val="0"/>
        <w:kinsoku/>
        <w:wordWrap/>
        <w:overflowPunct/>
        <w:topLinePunct w:val="0"/>
        <w:bidi w:val="0"/>
        <w:adjustRightInd/>
        <w:snapToGrid/>
        <w:spacing w:before="100" w:after="100" w:line="400" w:lineRule="exact"/>
        <w:ind w:right="-144"/>
        <w:textAlignment w:val="auto"/>
        <w:rPr>
          <w:color w:val="auto"/>
        </w:rPr>
      </w:pPr>
      <w:bookmarkStart w:id="0" w:name="_Toc4557"/>
      <w:bookmarkStart w:id="1" w:name="_Toc25172"/>
      <w:r>
        <w:rPr>
          <w:rFonts w:hint="eastAsia"/>
          <w:color w:val="auto"/>
        </w:rPr>
        <w:t>第一章</w:t>
      </w:r>
      <w:r>
        <w:rPr>
          <w:rFonts w:hint="eastAsia"/>
          <w:color w:val="auto"/>
          <w:lang w:val="en-US"/>
        </w:rPr>
        <w:t xml:space="preserve"> </w:t>
      </w:r>
      <w:r>
        <w:rPr>
          <w:rFonts w:hint="eastAsia"/>
          <w:color w:val="auto"/>
        </w:rPr>
        <w:t>招标公告</w:t>
      </w:r>
      <w:bookmarkEnd w:id="0"/>
      <w:bookmarkEnd w:id="1"/>
    </w:p>
    <w:p w14:paraId="7B6CB25A">
      <w:pPr>
        <w:keepNext w:val="0"/>
        <w:keepLines w:val="0"/>
        <w:pageBreakBefore w:val="0"/>
        <w:widowControl/>
        <w:kinsoku/>
        <w:wordWrap/>
        <w:overflowPunct/>
        <w:topLinePunct w:val="0"/>
        <w:bidi w:val="0"/>
        <w:adjustRightInd/>
        <w:snapToGrid/>
        <w:spacing w:line="400" w:lineRule="exact"/>
        <w:ind w:right="-370"/>
        <w:jc w:val="both"/>
        <w:textAlignment w:val="auto"/>
        <w:rPr>
          <w:rFonts w:hint="eastAsia" w:ascii="宋体" w:hAnsi="宋体" w:cs="宋体"/>
          <w:b/>
          <w:bCs/>
          <w:color w:val="auto"/>
          <w:sz w:val="30"/>
          <w:szCs w:val="30"/>
          <w:lang w:eastAsia="zh-CN"/>
        </w:rPr>
      </w:pPr>
      <w:r>
        <w:rPr>
          <w:rFonts w:hint="eastAsia" w:ascii="宋体" w:hAnsi="宋体" w:cs="宋体"/>
          <w:b/>
          <w:bCs/>
          <w:color w:val="auto"/>
          <w:sz w:val="30"/>
          <w:szCs w:val="30"/>
        </w:rPr>
        <w:t>【平公资采</w:t>
      </w:r>
      <w:r>
        <w:rPr>
          <w:rFonts w:hint="eastAsia" w:ascii="宋体" w:hAnsi="宋体" w:cs="宋体"/>
          <w:b/>
          <w:bCs/>
          <w:color w:val="auto"/>
          <w:sz w:val="30"/>
          <w:szCs w:val="30"/>
          <w:lang w:val="en-US" w:eastAsia="zh-CN"/>
        </w:rPr>
        <w:t>2026456</w:t>
      </w:r>
      <w:r>
        <w:rPr>
          <w:rFonts w:hint="eastAsia" w:ascii="宋体" w:hAnsi="宋体" w:cs="宋体"/>
          <w:b/>
          <w:bCs/>
          <w:color w:val="auto"/>
          <w:sz w:val="30"/>
          <w:szCs w:val="30"/>
        </w:rPr>
        <w:t>号】</w:t>
      </w:r>
      <w:r>
        <w:rPr>
          <w:rFonts w:hint="eastAsia" w:ascii="宋体" w:hAnsi="宋体" w:cs="宋体"/>
          <w:b/>
          <w:bCs/>
          <w:color w:val="auto"/>
          <w:sz w:val="30"/>
          <w:szCs w:val="30"/>
          <w:lang w:eastAsia="zh-CN"/>
        </w:rPr>
        <w:t>平顶山学院24#、25#、26#、27#号学生公</w:t>
      </w:r>
    </w:p>
    <w:p w14:paraId="7DAFA335">
      <w:pPr>
        <w:keepNext w:val="0"/>
        <w:keepLines w:val="0"/>
        <w:pageBreakBefore w:val="0"/>
        <w:widowControl/>
        <w:kinsoku/>
        <w:wordWrap/>
        <w:overflowPunct/>
        <w:topLinePunct w:val="0"/>
        <w:bidi w:val="0"/>
        <w:adjustRightInd/>
        <w:snapToGrid/>
        <w:spacing w:line="400" w:lineRule="exact"/>
        <w:ind w:right="-370"/>
        <w:jc w:val="center"/>
        <w:textAlignment w:val="auto"/>
        <w:rPr>
          <w:color w:val="auto"/>
          <w:sz w:val="30"/>
          <w:szCs w:val="30"/>
        </w:rPr>
      </w:pPr>
      <w:r>
        <w:rPr>
          <w:rFonts w:hint="eastAsia" w:ascii="宋体" w:hAnsi="宋体" w:cs="宋体"/>
          <w:b/>
          <w:bCs/>
          <w:color w:val="auto"/>
          <w:sz w:val="30"/>
          <w:szCs w:val="30"/>
          <w:lang w:eastAsia="zh-CN"/>
        </w:rPr>
        <w:t>寓购置家具项目</w:t>
      </w:r>
      <w:r>
        <w:rPr>
          <w:rFonts w:hint="eastAsia" w:ascii="宋体" w:hAnsi="宋体" w:cs="宋体"/>
          <w:b/>
          <w:bCs/>
          <w:color w:val="auto"/>
          <w:sz w:val="30"/>
          <w:szCs w:val="30"/>
        </w:rPr>
        <w:t>公开招标公告</w:t>
      </w:r>
    </w:p>
    <w:p w14:paraId="7E980F3A">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
          <w:bCs/>
          <w:color w:val="auto"/>
          <w:sz w:val="24"/>
          <w:shd w:val="clear" w:color="auto" w:fill="FFFFFF"/>
        </w:rPr>
      </w:pPr>
      <w:r>
        <w:rPr>
          <w:rFonts w:hint="eastAsia" w:ascii="宋体" w:hAnsi="宋体" w:cs="宋体"/>
          <w:b/>
          <w:bCs/>
          <w:color w:val="auto"/>
          <w:sz w:val="24"/>
          <w:shd w:val="clear" w:color="auto" w:fill="FFFFFF"/>
        </w:rPr>
        <w:t>项目概况</w:t>
      </w:r>
    </w:p>
    <w:p w14:paraId="3A72156D">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hd w:val="clear" w:color="auto" w:fill="FFFFFF"/>
          <w:lang w:val="zh-CN" w:bidi="ar"/>
        </w:rPr>
      </w:pPr>
      <w:r>
        <w:rPr>
          <w:rFonts w:hint="eastAsia" w:ascii="宋体" w:hAnsi="宋体" w:cs="宋体"/>
          <w:color w:val="auto"/>
          <w:kern w:val="0"/>
          <w:sz w:val="24"/>
          <w:shd w:val="clear" w:color="auto" w:fill="FFFFFF"/>
          <w:lang w:eastAsia="zh-CN" w:bidi="ar"/>
        </w:rPr>
        <w:t>平顶山学院24#、25#、26#、27#号学生公寓购置家具项目</w:t>
      </w:r>
      <w:r>
        <w:rPr>
          <w:rFonts w:hint="eastAsia" w:ascii="宋体" w:hAnsi="宋体" w:cs="宋体"/>
          <w:color w:val="auto"/>
          <w:kern w:val="0"/>
          <w:sz w:val="24"/>
          <w:shd w:val="clear" w:color="auto" w:fill="FFFFFF"/>
          <w:lang w:bidi="ar"/>
        </w:rPr>
        <w:t>的潜在投标人应在</w:t>
      </w:r>
      <w:r>
        <w:rPr>
          <w:rFonts w:ascii="å¾®è½¯é›…é»‘" w:hAnsi="å¾®è½¯é›…é»‘" w:eastAsia="å¾®è½¯é›…é»‘" w:cs="å¾®è½¯é›…é»‘"/>
          <w:i w:val="0"/>
          <w:iCs w:val="0"/>
          <w:caps w:val="0"/>
          <w:color w:val="auto"/>
          <w:spacing w:val="0"/>
          <w:sz w:val="24"/>
          <w:szCs w:val="24"/>
          <w:highlight w:val="none"/>
          <w:shd w:val="clear" w:fill="FFFFFF"/>
        </w:rPr>
        <w:t>平顶山市公共资源交易中心</w:t>
      </w:r>
      <w:r>
        <w:rPr>
          <w:rFonts w:hint="eastAsia" w:ascii="宋体" w:hAnsi="宋体" w:cs="宋体"/>
          <w:color w:val="auto"/>
          <w:sz w:val="24"/>
          <w:highlight w:val="none"/>
          <w:shd w:val="clear" w:color="auto" w:fill="FFFFFF"/>
        </w:rPr>
        <w:t>（网址：http://ggzy.pds.gov.cn/）</w:t>
      </w:r>
      <w:r>
        <w:rPr>
          <w:rFonts w:hint="eastAsia" w:ascii="宋体" w:hAnsi="宋体" w:cs="宋体"/>
          <w:color w:val="auto"/>
          <w:sz w:val="24"/>
          <w:shd w:val="clear" w:color="auto" w:fill="FFFFFF"/>
          <w:lang w:eastAsia="zh-CN"/>
        </w:rPr>
        <w:t>电子交易系统</w:t>
      </w:r>
      <w:r>
        <w:rPr>
          <w:rFonts w:hint="eastAsia" w:ascii="宋体" w:hAnsi="宋体" w:cs="宋体"/>
          <w:color w:val="auto"/>
          <w:kern w:val="0"/>
          <w:sz w:val="24"/>
          <w:shd w:val="clear" w:color="auto" w:fill="FFFFFF"/>
          <w:lang w:bidi="ar"/>
        </w:rPr>
        <w:t>获取招标文件，并于202</w:t>
      </w:r>
      <w:r>
        <w:rPr>
          <w:rFonts w:hint="eastAsia" w:ascii="宋体" w:hAnsi="宋体" w:cs="宋体"/>
          <w:color w:val="auto"/>
          <w:kern w:val="0"/>
          <w:sz w:val="24"/>
          <w:shd w:val="clear" w:color="auto" w:fill="FFFFFF"/>
          <w:lang w:val="en-US" w:eastAsia="zh-CN" w:bidi="ar"/>
        </w:rPr>
        <w:t>6</w:t>
      </w:r>
      <w:r>
        <w:rPr>
          <w:rFonts w:hint="eastAsia" w:ascii="宋体" w:hAnsi="宋体" w:cs="宋体"/>
          <w:color w:val="auto"/>
          <w:kern w:val="0"/>
          <w:sz w:val="24"/>
          <w:shd w:val="clear" w:color="auto" w:fill="FFFFFF"/>
          <w:lang w:bidi="ar"/>
        </w:rPr>
        <w:t>年</w:t>
      </w:r>
      <w:r>
        <w:rPr>
          <w:rFonts w:hint="eastAsia" w:ascii="宋体" w:hAnsi="宋体" w:cs="宋体"/>
          <w:color w:val="auto"/>
          <w:kern w:val="0"/>
          <w:sz w:val="24"/>
          <w:shd w:val="clear" w:color="auto" w:fill="FFFFFF"/>
          <w:lang w:val="en-US" w:eastAsia="zh-CN" w:bidi="ar"/>
        </w:rPr>
        <w:t>6</w:t>
      </w:r>
      <w:r>
        <w:rPr>
          <w:rFonts w:hint="eastAsia" w:ascii="宋体" w:hAnsi="宋体" w:cs="宋体"/>
          <w:color w:val="auto"/>
          <w:kern w:val="0"/>
          <w:sz w:val="24"/>
          <w:shd w:val="clear" w:color="auto" w:fill="FFFFFF"/>
          <w:lang w:bidi="ar"/>
        </w:rPr>
        <w:t>月</w:t>
      </w:r>
      <w:r>
        <w:rPr>
          <w:rFonts w:hint="eastAsia" w:ascii="宋体" w:hAnsi="宋体" w:cs="宋体"/>
          <w:color w:val="auto"/>
          <w:kern w:val="0"/>
          <w:sz w:val="24"/>
          <w:shd w:val="clear" w:color="auto" w:fill="FFFFFF"/>
          <w:lang w:val="en-US" w:eastAsia="zh-CN" w:bidi="ar"/>
        </w:rPr>
        <w:t>30</w:t>
      </w:r>
      <w:r>
        <w:rPr>
          <w:rFonts w:hint="eastAsia" w:ascii="宋体" w:hAnsi="宋体" w:cs="宋体"/>
          <w:color w:val="auto"/>
          <w:kern w:val="0"/>
          <w:sz w:val="24"/>
          <w:shd w:val="clear" w:color="auto" w:fill="FFFFFF"/>
          <w:lang w:bidi="ar"/>
        </w:rPr>
        <w:t>日</w:t>
      </w:r>
      <w:r>
        <w:rPr>
          <w:rFonts w:hint="eastAsia" w:ascii="宋体" w:hAnsi="宋体" w:cs="宋体"/>
          <w:color w:val="auto"/>
          <w:kern w:val="0"/>
          <w:sz w:val="24"/>
          <w:shd w:val="clear" w:color="auto" w:fill="FFFFFF"/>
          <w:lang w:val="en-US" w:eastAsia="zh-CN" w:bidi="ar"/>
        </w:rPr>
        <w:t>8</w:t>
      </w:r>
      <w:r>
        <w:rPr>
          <w:rFonts w:hint="eastAsia" w:ascii="宋体" w:hAnsi="宋体" w:cs="宋体"/>
          <w:color w:val="auto"/>
          <w:kern w:val="0"/>
          <w:sz w:val="24"/>
          <w:shd w:val="clear" w:color="auto" w:fill="FFFFFF"/>
          <w:lang w:bidi="ar"/>
        </w:rPr>
        <w:t>时</w:t>
      </w:r>
      <w:r>
        <w:rPr>
          <w:rFonts w:hint="eastAsia" w:ascii="宋体" w:hAnsi="宋体" w:cs="宋体"/>
          <w:color w:val="auto"/>
          <w:kern w:val="0"/>
          <w:sz w:val="24"/>
          <w:shd w:val="clear" w:color="auto" w:fill="FFFFFF"/>
          <w:lang w:val="en-US" w:eastAsia="zh-CN" w:bidi="ar"/>
        </w:rPr>
        <w:t>40</w:t>
      </w:r>
      <w:r>
        <w:rPr>
          <w:rFonts w:hint="eastAsia" w:ascii="宋体" w:hAnsi="宋体" w:cs="宋体"/>
          <w:color w:val="auto"/>
          <w:kern w:val="0"/>
          <w:sz w:val="24"/>
          <w:shd w:val="clear" w:color="auto" w:fill="FFFFFF"/>
          <w:lang w:bidi="ar"/>
        </w:rPr>
        <w:t>分（北京时间）前递交投标文件。</w:t>
      </w:r>
    </w:p>
    <w:p w14:paraId="34114263">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80" w:lineRule="exact"/>
        <w:ind w:right="-365" w:hanging="210" w:hangingChars="87"/>
        <w:textAlignment w:val="auto"/>
        <w:rPr>
          <w:rFonts w:ascii="宋体" w:hAnsi="宋体" w:cs="宋体"/>
          <w:b/>
          <w:color w:val="auto"/>
          <w:kern w:val="0"/>
          <w:sz w:val="24"/>
          <w:shd w:val="clear" w:color="auto" w:fill="FFFFFF"/>
          <w:lang w:bidi="ar"/>
        </w:rPr>
      </w:pPr>
      <w:r>
        <w:rPr>
          <w:rFonts w:hint="eastAsia" w:ascii="宋体" w:hAnsi="宋体" w:cs="宋体"/>
          <w:b/>
          <w:color w:val="auto"/>
          <w:kern w:val="0"/>
          <w:sz w:val="24"/>
          <w:shd w:val="clear" w:color="auto" w:fill="FFFFFF"/>
          <w:lang w:bidi="ar"/>
        </w:rPr>
        <w:t>项目基本情况</w:t>
      </w:r>
      <w:r>
        <w:rPr>
          <w:rFonts w:hint="eastAsia" w:ascii="宋体" w:hAnsi="宋体" w:cs="宋体"/>
          <w:b/>
          <w:bCs/>
          <w:color w:val="auto"/>
          <w:kern w:val="0"/>
          <w:sz w:val="24"/>
          <w:shd w:val="clear" w:color="auto" w:fill="FFFFFF"/>
          <w:lang w:bidi="ar"/>
        </w:rPr>
        <w:t>：</w:t>
      </w:r>
    </w:p>
    <w:p w14:paraId="2E9F7587">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218" w:firstLineChars="91"/>
        <w:textAlignment w:val="auto"/>
        <w:rPr>
          <w:rFonts w:hint="default" w:ascii="宋体" w:hAnsi="宋体" w:cs="宋体"/>
          <w:color w:val="auto"/>
          <w:kern w:val="0"/>
          <w:sz w:val="24"/>
          <w:shd w:val="clear" w:color="auto" w:fill="FFFFFF"/>
          <w:lang w:val="en-US" w:bidi="ar"/>
        </w:rPr>
      </w:pPr>
      <w:r>
        <w:rPr>
          <w:rFonts w:hint="eastAsia" w:ascii="宋体" w:hAnsi="宋体" w:cs="宋体"/>
          <w:color w:val="auto"/>
          <w:kern w:val="0"/>
          <w:sz w:val="24"/>
          <w:shd w:val="clear" w:color="auto" w:fill="FFFFFF"/>
          <w:lang w:bidi="ar"/>
        </w:rPr>
        <w:t>1.项目编号：</w:t>
      </w:r>
      <w:r>
        <w:rPr>
          <w:rFonts w:hint="eastAsia" w:ascii="宋体" w:hAnsi="宋体" w:cs="宋体"/>
          <w:color w:val="auto"/>
          <w:kern w:val="0"/>
          <w:sz w:val="24"/>
          <w:shd w:val="clear" w:color="auto" w:fill="FFFFFF"/>
          <w:lang w:eastAsia="zh-CN" w:bidi="ar"/>
        </w:rPr>
        <w:t>平采招标</w:t>
      </w:r>
      <w:r>
        <w:rPr>
          <w:rFonts w:hint="eastAsia" w:ascii="宋体" w:hAnsi="宋体" w:cs="宋体"/>
          <w:color w:val="auto"/>
          <w:kern w:val="0"/>
          <w:sz w:val="24"/>
          <w:shd w:val="clear" w:color="auto" w:fill="FFFFFF"/>
          <w:lang w:val="en-US" w:eastAsia="zh-CN" w:bidi="ar"/>
        </w:rPr>
        <w:t>-2026-75</w:t>
      </w:r>
    </w:p>
    <w:p w14:paraId="09DC6AFD">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218" w:firstLineChars="91"/>
        <w:textAlignment w:val="auto"/>
        <w:rPr>
          <w:rFonts w:hint="eastAsia" w:ascii="宋体" w:hAnsi="宋体" w:eastAsia="宋体" w:cs="宋体"/>
          <w:color w:val="auto"/>
          <w:kern w:val="0"/>
          <w:sz w:val="24"/>
          <w:shd w:val="clear" w:color="auto" w:fill="FFFFFF"/>
          <w:lang w:eastAsia="zh-CN" w:bidi="ar"/>
        </w:rPr>
      </w:pPr>
      <w:r>
        <w:rPr>
          <w:rFonts w:hint="eastAsia" w:ascii="宋体" w:hAnsi="宋体" w:cs="宋体"/>
          <w:color w:val="auto"/>
          <w:kern w:val="0"/>
          <w:sz w:val="24"/>
          <w:shd w:val="clear" w:color="auto" w:fill="FFFFFF"/>
          <w:lang w:bidi="ar"/>
        </w:rPr>
        <w:t>2.项目名称：</w:t>
      </w:r>
      <w:r>
        <w:rPr>
          <w:rFonts w:hint="eastAsia" w:ascii="宋体" w:hAnsi="宋体" w:cs="宋体"/>
          <w:color w:val="auto"/>
          <w:kern w:val="0"/>
          <w:sz w:val="24"/>
          <w:shd w:val="clear" w:color="auto" w:fill="FFFFFF"/>
          <w:lang w:eastAsia="zh-CN" w:bidi="ar"/>
        </w:rPr>
        <w:t>平顶山学院24#、25#、26#、27#号学生公寓购置家具项目</w:t>
      </w:r>
    </w:p>
    <w:p w14:paraId="45162EEC">
      <w:pPr>
        <w:keepNext w:val="0"/>
        <w:keepLines w:val="0"/>
        <w:pageBreakBefore w:val="0"/>
        <w:widowControl/>
        <w:shd w:val="clear" w:color="auto" w:fill="FFFFFF"/>
        <w:tabs>
          <w:tab w:val="center" w:pos="4125"/>
        </w:tabs>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3.采购方式：公开招标</w:t>
      </w:r>
      <w:r>
        <w:rPr>
          <w:rFonts w:hint="eastAsia" w:ascii="宋体" w:hAnsi="宋体" w:cs="宋体"/>
          <w:color w:val="auto"/>
          <w:kern w:val="0"/>
          <w:sz w:val="24"/>
          <w:shd w:val="clear" w:color="auto" w:fill="FFFFFF"/>
          <w:lang w:bidi="ar"/>
        </w:rPr>
        <w:tab/>
      </w:r>
    </w:p>
    <w:p w14:paraId="0FD3590C">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218" w:firstLineChars="91"/>
        <w:textAlignment w:val="auto"/>
        <w:rPr>
          <w:rFonts w:hint="eastAsia" w:ascii="宋体" w:hAnsi="宋体" w:eastAsia="宋体" w:cs="宋体"/>
          <w:color w:val="auto"/>
          <w:kern w:val="0"/>
          <w:sz w:val="24"/>
          <w:shd w:val="clear" w:color="auto" w:fill="FFFFFF"/>
          <w:lang w:eastAsia="zh-CN" w:bidi="ar"/>
        </w:rPr>
      </w:pPr>
      <w:r>
        <w:rPr>
          <w:rFonts w:hint="eastAsia" w:ascii="宋体" w:hAnsi="宋体" w:eastAsia="宋体" w:cs="宋体"/>
          <w:color w:val="auto"/>
          <w:kern w:val="0"/>
          <w:sz w:val="24"/>
          <w:shd w:val="clear" w:color="auto" w:fill="FFFFFF"/>
          <w:lang w:eastAsia="zh-CN" w:bidi="ar"/>
        </w:rPr>
        <w:t>4.预算金额：</w:t>
      </w:r>
      <w:r>
        <w:rPr>
          <w:rFonts w:hint="eastAsia" w:ascii="宋体" w:hAnsi="宋体" w:cs="宋体"/>
          <w:color w:val="auto"/>
          <w:kern w:val="0"/>
          <w:sz w:val="24"/>
          <w:shd w:val="clear" w:color="auto" w:fill="FFFFFF"/>
          <w:lang w:val="en-US" w:eastAsia="zh-CN" w:bidi="ar"/>
        </w:rPr>
        <w:t>6336000.00</w:t>
      </w:r>
      <w:r>
        <w:rPr>
          <w:rFonts w:hint="eastAsia" w:ascii="宋体" w:hAnsi="宋体" w:eastAsia="宋体" w:cs="宋体"/>
          <w:color w:val="auto"/>
          <w:kern w:val="0"/>
          <w:sz w:val="24"/>
          <w:shd w:val="clear" w:color="auto" w:fill="FFFFFF"/>
          <w:lang w:eastAsia="zh-CN" w:bidi="ar"/>
        </w:rPr>
        <w:t>元</w:t>
      </w:r>
    </w:p>
    <w:p w14:paraId="7D13F750">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58" w:firstLineChars="191"/>
        <w:textAlignment w:val="auto"/>
        <w:rPr>
          <w:rFonts w:hint="eastAsia" w:ascii="宋体" w:hAnsi="宋体" w:eastAsia="宋体" w:cs="宋体"/>
          <w:color w:val="auto"/>
          <w:kern w:val="0"/>
          <w:sz w:val="24"/>
          <w:shd w:val="clear" w:color="auto" w:fill="FFFFFF"/>
          <w:lang w:eastAsia="zh-CN" w:bidi="ar"/>
        </w:rPr>
      </w:pPr>
      <w:r>
        <w:rPr>
          <w:rFonts w:hint="eastAsia" w:ascii="宋体" w:hAnsi="宋体" w:eastAsia="宋体" w:cs="宋体"/>
          <w:color w:val="auto"/>
          <w:kern w:val="0"/>
          <w:sz w:val="24"/>
          <w:shd w:val="clear" w:color="auto" w:fill="FFFFFF"/>
          <w:lang w:eastAsia="zh-CN" w:bidi="ar"/>
        </w:rPr>
        <w:t>最高限价：</w:t>
      </w:r>
      <w:r>
        <w:rPr>
          <w:rFonts w:hint="eastAsia" w:ascii="宋体" w:hAnsi="宋体" w:eastAsia="宋体" w:cs="宋体"/>
          <w:color w:val="auto"/>
          <w:kern w:val="0"/>
          <w:sz w:val="24"/>
          <w:shd w:val="clear" w:color="auto" w:fill="FFFFFF"/>
          <w:lang w:val="en-US" w:eastAsia="zh-CN" w:bidi="ar"/>
        </w:rPr>
        <w:t>4224000.00</w:t>
      </w:r>
      <w:r>
        <w:rPr>
          <w:rFonts w:hint="eastAsia" w:ascii="宋体" w:hAnsi="宋体" w:eastAsia="宋体" w:cs="宋体"/>
          <w:color w:val="auto"/>
          <w:kern w:val="0"/>
          <w:sz w:val="24"/>
          <w:shd w:val="clear" w:color="auto" w:fill="FFFFFF"/>
          <w:lang w:eastAsia="zh-CN" w:bidi="ar"/>
        </w:rPr>
        <w:t>元</w:t>
      </w:r>
    </w:p>
    <w:tbl>
      <w:tblPr>
        <w:tblStyle w:val="26"/>
        <w:tblpPr w:leftFromText="180" w:rightFromText="180" w:vertAnchor="text" w:horzAnchor="page" w:tblpX="2050" w:tblpY="106"/>
        <w:tblOverlap w:val="never"/>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4"/>
        <w:gridCol w:w="960"/>
        <w:gridCol w:w="2845"/>
        <w:gridCol w:w="1666"/>
        <w:gridCol w:w="1563"/>
      </w:tblGrid>
      <w:tr w14:paraId="140E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824" w:type="dxa"/>
            <w:noWrap w:val="0"/>
            <w:tcMar>
              <w:top w:w="15" w:type="dxa"/>
              <w:left w:w="15" w:type="dxa"/>
              <w:right w:w="15" w:type="dxa"/>
            </w:tcMar>
            <w:vAlign w:val="center"/>
          </w:tcPr>
          <w:p w14:paraId="19FCEF44">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序号</w:t>
            </w:r>
          </w:p>
        </w:tc>
        <w:tc>
          <w:tcPr>
            <w:tcW w:w="960" w:type="dxa"/>
            <w:noWrap w:val="0"/>
            <w:tcMar>
              <w:top w:w="15" w:type="dxa"/>
              <w:left w:w="15" w:type="dxa"/>
              <w:right w:w="15" w:type="dxa"/>
            </w:tcMar>
            <w:vAlign w:val="center"/>
          </w:tcPr>
          <w:p w14:paraId="1F4B64E8">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包号</w:t>
            </w:r>
          </w:p>
        </w:tc>
        <w:tc>
          <w:tcPr>
            <w:tcW w:w="2845" w:type="dxa"/>
            <w:noWrap w:val="0"/>
            <w:tcMar>
              <w:top w:w="15" w:type="dxa"/>
              <w:left w:w="15" w:type="dxa"/>
              <w:right w:w="15" w:type="dxa"/>
            </w:tcMar>
            <w:vAlign w:val="center"/>
          </w:tcPr>
          <w:p w14:paraId="26EF4872">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包名称</w:t>
            </w:r>
          </w:p>
        </w:tc>
        <w:tc>
          <w:tcPr>
            <w:tcW w:w="1666" w:type="dxa"/>
            <w:noWrap w:val="0"/>
            <w:tcMar>
              <w:top w:w="15" w:type="dxa"/>
              <w:left w:w="15" w:type="dxa"/>
              <w:right w:w="15" w:type="dxa"/>
            </w:tcMar>
            <w:vAlign w:val="center"/>
          </w:tcPr>
          <w:p w14:paraId="2F1B86C1">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包预算</w:t>
            </w:r>
          </w:p>
          <w:p w14:paraId="1C65A3AB">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（元）</w:t>
            </w:r>
          </w:p>
        </w:tc>
        <w:tc>
          <w:tcPr>
            <w:tcW w:w="1563" w:type="dxa"/>
            <w:noWrap w:val="0"/>
            <w:tcMar>
              <w:top w:w="15" w:type="dxa"/>
              <w:left w:w="15" w:type="dxa"/>
              <w:right w:w="15" w:type="dxa"/>
            </w:tcMar>
            <w:vAlign w:val="center"/>
          </w:tcPr>
          <w:p w14:paraId="6E0E9713">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包最高限价（元）</w:t>
            </w:r>
          </w:p>
        </w:tc>
      </w:tr>
      <w:tr w14:paraId="557B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824" w:type="dxa"/>
            <w:noWrap w:val="0"/>
            <w:tcMar>
              <w:top w:w="15" w:type="dxa"/>
              <w:left w:w="15" w:type="dxa"/>
              <w:right w:w="15" w:type="dxa"/>
            </w:tcMar>
            <w:vAlign w:val="center"/>
          </w:tcPr>
          <w:p w14:paraId="6AE0EC12">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1</w:t>
            </w:r>
          </w:p>
        </w:tc>
        <w:tc>
          <w:tcPr>
            <w:tcW w:w="960" w:type="dxa"/>
            <w:noWrap w:val="0"/>
            <w:tcMar>
              <w:top w:w="15" w:type="dxa"/>
              <w:left w:w="15" w:type="dxa"/>
              <w:right w:w="15" w:type="dxa"/>
            </w:tcMar>
            <w:vAlign w:val="center"/>
          </w:tcPr>
          <w:p w14:paraId="6B4DE4DC">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平公资采</w:t>
            </w:r>
            <w:r>
              <w:rPr>
                <w:rFonts w:hint="eastAsia" w:ascii="宋体" w:hAnsi="宋体" w:cs="宋体"/>
                <w:color w:val="auto"/>
                <w:kern w:val="0"/>
                <w:sz w:val="24"/>
                <w:shd w:val="clear" w:color="auto" w:fill="FFFFFF"/>
                <w:lang w:val="en-US" w:eastAsia="zh-CN" w:bidi="ar"/>
              </w:rPr>
              <w:t>2026456</w:t>
            </w:r>
            <w:r>
              <w:rPr>
                <w:rFonts w:hint="eastAsia" w:ascii="宋体" w:hAnsi="宋体" w:cs="宋体"/>
                <w:color w:val="auto"/>
                <w:kern w:val="0"/>
                <w:sz w:val="24"/>
                <w:shd w:val="clear" w:color="auto" w:fill="FFFFFF"/>
                <w:lang w:bidi="ar"/>
              </w:rPr>
              <w:t>号-1</w:t>
            </w:r>
          </w:p>
        </w:tc>
        <w:tc>
          <w:tcPr>
            <w:tcW w:w="2845" w:type="dxa"/>
            <w:noWrap w:val="0"/>
            <w:tcMar>
              <w:top w:w="15" w:type="dxa"/>
              <w:left w:w="15" w:type="dxa"/>
              <w:right w:w="15" w:type="dxa"/>
            </w:tcMar>
            <w:vAlign w:val="center"/>
          </w:tcPr>
          <w:p w14:paraId="1262B6B2">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hint="default" w:ascii="宋体" w:hAnsi="宋体" w:cs="宋体"/>
                <w:color w:val="auto"/>
                <w:kern w:val="0"/>
                <w:sz w:val="24"/>
                <w:shd w:val="clear" w:color="auto" w:fill="FFFFFF"/>
                <w:lang w:val="en-US" w:bidi="ar"/>
              </w:rPr>
            </w:pPr>
            <w:r>
              <w:rPr>
                <w:rFonts w:hint="eastAsia" w:ascii="宋体" w:hAnsi="宋体" w:cs="宋体"/>
                <w:color w:val="auto"/>
                <w:kern w:val="0"/>
                <w:sz w:val="24"/>
                <w:shd w:val="clear" w:color="auto" w:fill="FFFFFF"/>
                <w:lang w:eastAsia="zh-CN" w:bidi="ar"/>
              </w:rPr>
              <w:t>平顶山学院24#、25#、26#、27#号学生公寓购置家具项目</w:t>
            </w:r>
            <w:r>
              <w:rPr>
                <w:rFonts w:hint="eastAsia" w:ascii="宋体" w:hAnsi="宋体" w:cs="宋体"/>
                <w:color w:val="auto"/>
                <w:kern w:val="0"/>
                <w:sz w:val="24"/>
                <w:shd w:val="clear" w:color="auto" w:fill="FFFFFF"/>
                <w:lang w:val="en-US" w:eastAsia="zh-CN" w:bidi="ar"/>
              </w:rPr>
              <w:t>第一标段</w:t>
            </w:r>
          </w:p>
        </w:tc>
        <w:tc>
          <w:tcPr>
            <w:tcW w:w="1666" w:type="dxa"/>
            <w:noWrap w:val="0"/>
            <w:tcMar>
              <w:top w:w="15" w:type="dxa"/>
              <w:left w:w="15" w:type="dxa"/>
              <w:right w:w="15" w:type="dxa"/>
            </w:tcMar>
            <w:vAlign w:val="center"/>
          </w:tcPr>
          <w:p w14:paraId="1223FE1E">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highlight w:val="none"/>
                <w:shd w:val="clear" w:color="auto" w:fill="FFFFFF"/>
                <w:lang w:eastAsia="zh-CN" w:bidi="ar"/>
              </w:rPr>
            </w:pPr>
            <w:r>
              <w:rPr>
                <w:rFonts w:hint="eastAsia" w:ascii="宋体" w:hAnsi="宋体" w:cs="宋体"/>
                <w:color w:val="auto"/>
                <w:kern w:val="0"/>
                <w:sz w:val="24"/>
                <w:highlight w:val="none"/>
                <w:shd w:val="clear" w:color="auto" w:fill="FFFFFF"/>
                <w:lang w:val="en-US" w:eastAsia="zh-CN" w:bidi="ar"/>
              </w:rPr>
              <w:t>6336</w:t>
            </w:r>
            <w:r>
              <w:rPr>
                <w:rFonts w:hint="eastAsia" w:ascii="宋体" w:hAnsi="宋体" w:eastAsia="宋体" w:cs="宋体"/>
                <w:color w:val="auto"/>
                <w:kern w:val="0"/>
                <w:sz w:val="24"/>
                <w:highlight w:val="none"/>
                <w:shd w:val="clear" w:color="auto" w:fill="FFFFFF"/>
                <w:lang w:val="en-US" w:eastAsia="zh-CN" w:bidi="ar"/>
              </w:rPr>
              <w:t>000.00</w:t>
            </w:r>
          </w:p>
        </w:tc>
        <w:tc>
          <w:tcPr>
            <w:tcW w:w="1563" w:type="dxa"/>
            <w:noWrap w:val="0"/>
            <w:tcMar>
              <w:top w:w="15" w:type="dxa"/>
              <w:left w:w="15" w:type="dxa"/>
              <w:right w:w="15" w:type="dxa"/>
            </w:tcMar>
            <w:vAlign w:val="center"/>
          </w:tcPr>
          <w:p w14:paraId="59EEB008">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highlight w:val="none"/>
                <w:shd w:val="clear" w:color="auto" w:fill="FFFFFF"/>
                <w:lang w:eastAsia="zh-CN" w:bidi="ar"/>
              </w:rPr>
            </w:pPr>
            <w:r>
              <w:rPr>
                <w:rFonts w:hint="eastAsia" w:ascii="宋体" w:hAnsi="宋体" w:eastAsia="宋体" w:cs="宋体"/>
                <w:color w:val="auto"/>
                <w:kern w:val="0"/>
                <w:sz w:val="24"/>
                <w:highlight w:val="none"/>
                <w:shd w:val="clear" w:color="auto" w:fill="FFFFFF"/>
                <w:lang w:val="en-US" w:eastAsia="zh-CN" w:bidi="ar"/>
              </w:rPr>
              <w:t>4224000.00</w:t>
            </w:r>
          </w:p>
        </w:tc>
      </w:tr>
    </w:tbl>
    <w:p w14:paraId="062B4568">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218" w:firstLineChars="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val="en-US" w:eastAsia="zh-CN" w:bidi="ar"/>
        </w:rPr>
        <w:t>5.</w:t>
      </w:r>
      <w:r>
        <w:rPr>
          <w:rFonts w:hint="eastAsia" w:ascii="宋体" w:hAnsi="宋体" w:cs="宋体"/>
          <w:color w:val="auto"/>
          <w:kern w:val="0"/>
          <w:sz w:val="24"/>
          <w:shd w:val="clear" w:color="auto" w:fill="FFFFFF"/>
          <w:lang w:bidi="ar"/>
        </w:rPr>
        <w:t>采购需求（包括但不限于标的的名称、数量、简要技术需求或服务要求等）</w:t>
      </w:r>
    </w:p>
    <w:p w14:paraId="69A2DC18">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58" w:firstLineChars="191"/>
        <w:textAlignment w:val="auto"/>
        <w:rPr>
          <w:rFonts w:hint="eastAsia" w:ascii="宋体" w:hAnsi="宋体" w:cs="宋体"/>
          <w:color w:val="auto"/>
          <w:kern w:val="0"/>
          <w:sz w:val="24"/>
          <w:shd w:val="clear" w:color="auto" w:fill="FFFFFF"/>
          <w:lang w:eastAsia="zh-CN" w:bidi="ar"/>
        </w:rPr>
      </w:pPr>
      <w:r>
        <w:rPr>
          <w:rFonts w:hint="eastAsia" w:ascii="宋体" w:hAnsi="宋体" w:cs="宋体"/>
          <w:color w:val="auto"/>
          <w:kern w:val="0"/>
          <w:sz w:val="24"/>
          <w:shd w:val="clear" w:color="auto" w:fill="FFFFFF"/>
          <w:lang w:eastAsia="zh-CN" w:bidi="ar"/>
        </w:rPr>
        <w:t>5.1资金来源：财政资金,已落实；</w:t>
      </w:r>
    </w:p>
    <w:p w14:paraId="6905ADF2">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58" w:firstLineChars="191"/>
        <w:textAlignment w:val="auto"/>
        <w:rPr>
          <w:rFonts w:hint="eastAsia" w:ascii="宋体" w:hAnsi="宋体" w:cs="宋体"/>
          <w:color w:val="auto"/>
          <w:kern w:val="0"/>
          <w:sz w:val="24"/>
          <w:shd w:val="clear" w:color="auto" w:fill="FFFFFF"/>
          <w:lang w:eastAsia="zh-CN" w:bidi="ar"/>
        </w:rPr>
      </w:pPr>
      <w:r>
        <w:rPr>
          <w:rFonts w:hint="eastAsia" w:ascii="宋体" w:hAnsi="宋体" w:cs="宋体"/>
          <w:color w:val="auto"/>
          <w:kern w:val="0"/>
          <w:sz w:val="24"/>
          <w:shd w:val="clear" w:color="auto" w:fill="FFFFFF"/>
          <w:lang w:eastAsia="zh-CN" w:bidi="ar"/>
        </w:rPr>
        <w:t>5.2采购内容</w:t>
      </w:r>
      <w:r>
        <w:rPr>
          <w:rFonts w:hint="eastAsia" w:ascii="宋体" w:hAnsi="宋体" w:cs="宋体"/>
          <w:color w:val="auto"/>
          <w:kern w:val="0"/>
          <w:sz w:val="24"/>
          <w:shd w:val="clear" w:color="auto" w:fill="FFFFFF"/>
          <w:lang w:val="en-US" w:eastAsia="zh-Hans" w:bidi="ar"/>
        </w:rPr>
        <w:t>：</w:t>
      </w:r>
      <w:r>
        <w:rPr>
          <w:rFonts w:hint="eastAsia" w:ascii="宋体" w:hAnsi="宋体" w:cs="宋体"/>
          <w:color w:val="auto"/>
          <w:kern w:val="0"/>
          <w:sz w:val="24"/>
          <w:shd w:val="clear" w:color="auto" w:fill="FFFFFF"/>
          <w:lang w:val="en-US" w:eastAsia="zh-CN" w:bidi="ar"/>
        </w:rPr>
        <w:t>平顶山学院25#、26#、27#学生公寓采购三人位步梯床架1920套、床下组合柜1920套、</w:t>
      </w:r>
      <w:r>
        <w:rPr>
          <w:rFonts w:hint="eastAsia" w:ascii="宋体" w:hAnsi="宋体" w:cs="宋体"/>
          <w:color w:val="auto"/>
          <w:kern w:val="0"/>
          <w:sz w:val="24"/>
          <w:shd w:val="clear" w:color="auto" w:fill="FFFFFF"/>
          <w:lang w:val="en-US" w:eastAsia="zh-Hans" w:bidi="ar"/>
        </w:rPr>
        <w:t>公寓</w:t>
      </w:r>
      <w:r>
        <w:rPr>
          <w:rFonts w:hint="eastAsia" w:ascii="宋体" w:hAnsi="宋体" w:cs="宋体"/>
          <w:color w:val="auto"/>
          <w:kern w:val="0"/>
          <w:sz w:val="24"/>
          <w:shd w:val="clear" w:color="auto" w:fill="FFFFFF"/>
          <w:lang w:val="en-US" w:eastAsia="zh-CN" w:bidi="ar"/>
        </w:rPr>
        <w:t>椅1920把</w:t>
      </w:r>
      <w:r>
        <w:rPr>
          <w:rFonts w:hint="eastAsia" w:ascii="宋体" w:hAnsi="宋体" w:cs="宋体"/>
          <w:color w:val="auto"/>
          <w:kern w:val="0"/>
          <w:sz w:val="24"/>
          <w:shd w:val="clear" w:color="auto" w:fill="FFFFFF"/>
          <w:lang w:eastAsia="zh-CN" w:bidi="ar"/>
        </w:rPr>
        <w:t>，具体详细内容及技术要求详见招标文件。</w:t>
      </w:r>
    </w:p>
    <w:p w14:paraId="660A59EA">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kern w:val="0"/>
          <w:sz w:val="24"/>
          <w:shd w:val="clear" w:color="auto" w:fill="FFFFFF"/>
          <w:lang w:eastAsia="zh-CN" w:bidi="ar"/>
        </w:rPr>
      </w:pPr>
      <w:r>
        <w:rPr>
          <w:rFonts w:hint="eastAsia" w:ascii="宋体" w:hAnsi="宋体" w:cs="宋体"/>
          <w:color w:val="auto"/>
          <w:kern w:val="0"/>
          <w:sz w:val="24"/>
          <w:shd w:val="clear" w:color="auto" w:fill="FFFFFF"/>
          <w:lang w:bidi="ar"/>
        </w:rPr>
        <w:t>5.3交货期:合同签订后</w:t>
      </w:r>
      <w:r>
        <w:rPr>
          <w:rFonts w:hint="eastAsia" w:ascii="宋体" w:hAnsi="宋体" w:cs="宋体"/>
          <w:color w:val="auto"/>
          <w:kern w:val="0"/>
          <w:sz w:val="24"/>
          <w:shd w:val="clear" w:color="auto" w:fill="FFFFFF"/>
          <w:lang w:val="en-US" w:eastAsia="zh-CN" w:bidi="ar"/>
        </w:rPr>
        <w:t>50日历</w:t>
      </w:r>
      <w:r>
        <w:rPr>
          <w:rFonts w:hint="eastAsia" w:ascii="宋体" w:hAnsi="宋体" w:cs="宋体"/>
          <w:color w:val="auto"/>
          <w:kern w:val="0"/>
          <w:sz w:val="24"/>
          <w:shd w:val="clear" w:color="auto" w:fill="FFFFFF"/>
          <w:lang w:bidi="ar"/>
        </w:rPr>
        <w:t>天内到货并安装完毕</w:t>
      </w:r>
      <w:r>
        <w:rPr>
          <w:rFonts w:hint="eastAsia" w:ascii="宋体" w:hAnsi="宋体" w:cs="宋体"/>
          <w:color w:val="auto"/>
          <w:kern w:val="0"/>
          <w:sz w:val="24"/>
          <w:shd w:val="clear" w:color="auto" w:fill="FFFFFF"/>
          <w:lang w:eastAsia="zh-CN" w:bidi="ar"/>
        </w:rPr>
        <w:t>。</w:t>
      </w:r>
    </w:p>
    <w:p w14:paraId="6767AC5C">
      <w:pPr>
        <w:keepNext w:val="0"/>
        <w:keepLines w:val="0"/>
        <w:pageBreakBefore w:val="0"/>
        <w:widowControl/>
        <w:shd w:val="clear" w:color="auto" w:fill="FFFFFF"/>
        <w:kinsoku/>
        <w:wordWrap/>
        <w:overflowPunct/>
        <w:topLinePunct w:val="0"/>
        <w:autoSpaceDE/>
        <w:autoSpaceDN/>
        <w:bidi w:val="0"/>
        <w:adjustRightInd/>
        <w:snapToGrid/>
        <w:spacing w:line="380" w:lineRule="exact"/>
        <w:ind w:right="-370" w:rightChars="-176" w:firstLine="480" w:firstLineChars="200"/>
        <w:textAlignment w:val="auto"/>
        <w:rPr>
          <w:rFonts w:hint="eastAsia" w:ascii="宋体" w:hAnsi="宋体" w:cs="宋体"/>
          <w:color w:val="auto"/>
          <w:kern w:val="0"/>
          <w:sz w:val="24"/>
          <w:shd w:val="clear" w:color="auto" w:fill="FFFFFF"/>
          <w:lang w:eastAsia="zh-CN" w:bidi="ar"/>
        </w:rPr>
      </w:pPr>
      <w:r>
        <w:rPr>
          <w:rFonts w:hint="eastAsia" w:ascii="宋体" w:hAnsi="宋体" w:cs="宋体"/>
          <w:color w:val="auto"/>
          <w:kern w:val="0"/>
          <w:sz w:val="24"/>
          <w:shd w:val="clear" w:color="auto" w:fill="FFFFFF"/>
          <w:lang w:bidi="ar"/>
        </w:rPr>
        <w:t>5.4质量要求:符合国家或行业技术规范标准，质量要求合格</w:t>
      </w:r>
      <w:r>
        <w:rPr>
          <w:rFonts w:hint="eastAsia" w:ascii="宋体" w:hAnsi="宋体" w:cs="宋体"/>
          <w:color w:val="auto"/>
          <w:kern w:val="0"/>
          <w:sz w:val="24"/>
          <w:shd w:val="clear" w:color="auto" w:fill="FFFFFF"/>
          <w:lang w:eastAsia="zh-CN" w:bidi="ar"/>
        </w:rPr>
        <w:t>。</w:t>
      </w:r>
    </w:p>
    <w:p w14:paraId="76B285D7">
      <w:pPr>
        <w:keepNext w:val="0"/>
        <w:keepLines w:val="0"/>
        <w:pageBreakBefore w:val="0"/>
        <w:widowControl/>
        <w:shd w:val="clear" w:color="auto" w:fill="FFFFFF"/>
        <w:kinsoku/>
        <w:wordWrap/>
        <w:overflowPunct/>
        <w:topLinePunct w:val="0"/>
        <w:autoSpaceDE/>
        <w:autoSpaceDN/>
        <w:bidi w:val="0"/>
        <w:adjustRightInd/>
        <w:snapToGrid/>
        <w:spacing w:line="380" w:lineRule="exact"/>
        <w:ind w:right="-370" w:rightChars="-176" w:firstLine="480" w:firstLineChars="200"/>
        <w:textAlignment w:val="auto"/>
        <w:rPr>
          <w:rFonts w:hint="eastAsia" w:ascii="宋体" w:hAnsi="宋体" w:eastAsia="宋体" w:cs="宋体"/>
          <w:color w:val="auto"/>
          <w:kern w:val="0"/>
          <w:sz w:val="24"/>
          <w:shd w:val="clear" w:color="auto" w:fill="FFFFFF"/>
          <w:lang w:eastAsia="zh-CN" w:bidi="ar"/>
        </w:rPr>
      </w:pPr>
      <w:r>
        <w:rPr>
          <w:rFonts w:hint="eastAsia" w:ascii="宋体" w:hAnsi="宋体" w:cs="宋体"/>
          <w:color w:val="auto"/>
          <w:kern w:val="0"/>
          <w:sz w:val="24"/>
          <w:shd w:val="clear" w:color="auto" w:fill="FFFFFF"/>
          <w:lang w:bidi="ar"/>
        </w:rPr>
        <w:t>5.</w:t>
      </w:r>
      <w:r>
        <w:rPr>
          <w:rFonts w:hint="eastAsia" w:ascii="宋体" w:hAnsi="宋体" w:cs="宋体"/>
          <w:color w:val="auto"/>
          <w:kern w:val="0"/>
          <w:sz w:val="24"/>
          <w:shd w:val="clear" w:color="auto" w:fill="FFFFFF"/>
          <w:lang w:val="en-US" w:eastAsia="zh-CN" w:bidi="ar"/>
        </w:rPr>
        <w:t>5</w:t>
      </w:r>
      <w:r>
        <w:rPr>
          <w:rFonts w:hint="eastAsia" w:ascii="宋体" w:hAnsi="宋体" w:cs="宋体"/>
          <w:color w:val="auto"/>
          <w:kern w:val="0"/>
          <w:sz w:val="24"/>
          <w:shd w:val="clear" w:color="auto" w:fill="FFFFFF"/>
          <w:lang w:bidi="ar"/>
        </w:rPr>
        <w:t>交货地点:招标人指定地点</w:t>
      </w:r>
      <w:r>
        <w:rPr>
          <w:rFonts w:hint="eastAsia" w:ascii="宋体" w:hAnsi="宋体" w:cs="宋体"/>
          <w:color w:val="auto"/>
          <w:kern w:val="0"/>
          <w:sz w:val="24"/>
          <w:shd w:val="clear" w:color="auto" w:fill="FFFFFF"/>
          <w:lang w:eastAsia="zh-CN" w:bidi="ar"/>
        </w:rPr>
        <w:t>。</w:t>
      </w:r>
    </w:p>
    <w:p w14:paraId="54338F4C">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199" w:firstLineChars="83"/>
        <w:textAlignment w:val="auto"/>
        <w:rPr>
          <w:rFonts w:hint="eastAsia" w:ascii="宋体" w:hAnsi="宋体" w:eastAsia="宋体" w:cs="宋体"/>
          <w:color w:val="auto"/>
          <w:kern w:val="0"/>
          <w:sz w:val="24"/>
          <w:shd w:val="clear" w:color="auto" w:fill="FFFFFF"/>
          <w:lang w:eastAsia="zh-CN" w:bidi="ar"/>
        </w:rPr>
      </w:pPr>
      <w:r>
        <w:rPr>
          <w:rFonts w:hint="eastAsia" w:ascii="宋体" w:hAnsi="宋体" w:cs="宋体"/>
          <w:color w:val="auto"/>
          <w:kern w:val="0"/>
          <w:sz w:val="24"/>
          <w:shd w:val="clear" w:color="auto" w:fill="FFFFFF"/>
          <w:lang w:bidi="ar"/>
        </w:rPr>
        <w:t>6、合同履行期限：</w:t>
      </w:r>
      <w:r>
        <w:rPr>
          <w:rFonts w:hint="eastAsia" w:ascii="宋体" w:hAnsi="宋体" w:eastAsia="宋体" w:cs="宋体"/>
          <w:color w:val="auto"/>
          <w:kern w:val="0"/>
          <w:sz w:val="24"/>
          <w:szCs w:val="24"/>
          <w:highlight w:val="none"/>
          <w:lang w:val="en-US" w:eastAsia="zh-CN" w:bidi="ar-SA"/>
        </w:rPr>
        <w:t>合同签订生效后至质保期满</w:t>
      </w:r>
      <w:r>
        <w:rPr>
          <w:rFonts w:hint="eastAsia" w:ascii="宋体" w:hAnsi="宋体" w:cs="宋体"/>
          <w:color w:val="auto"/>
          <w:kern w:val="0"/>
          <w:sz w:val="24"/>
          <w:shd w:val="clear" w:color="auto" w:fill="FFFFFF"/>
          <w:lang w:eastAsia="zh-CN" w:bidi="ar"/>
        </w:rPr>
        <w:t>。</w:t>
      </w:r>
    </w:p>
    <w:p w14:paraId="03FDE158">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199" w:firstLineChars="83"/>
        <w:textAlignment w:val="auto"/>
        <w:rPr>
          <w:rFonts w:hint="eastAsia" w:ascii="宋体" w:hAnsi="宋体" w:eastAsia="宋体" w:cs="宋体"/>
          <w:color w:val="auto"/>
          <w:kern w:val="0"/>
          <w:sz w:val="24"/>
          <w:shd w:val="clear" w:color="auto" w:fill="FFFFFF"/>
          <w:lang w:eastAsia="zh-CN" w:bidi="ar"/>
        </w:rPr>
      </w:pPr>
      <w:r>
        <w:rPr>
          <w:rFonts w:hint="eastAsia" w:ascii="宋体" w:hAnsi="宋体" w:cs="宋体"/>
          <w:color w:val="auto"/>
          <w:kern w:val="0"/>
          <w:sz w:val="24"/>
          <w:shd w:val="clear" w:color="auto" w:fill="FFFFFF"/>
          <w:lang w:bidi="ar"/>
        </w:rPr>
        <w:t>7、本项目是否接受联合体投标：否</w:t>
      </w:r>
      <w:r>
        <w:rPr>
          <w:rFonts w:hint="eastAsia" w:ascii="宋体" w:hAnsi="宋体" w:cs="宋体"/>
          <w:color w:val="auto"/>
          <w:kern w:val="0"/>
          <w:sz w:val="24"/>
          <w:shd w:val="clear" w:color="auto" w:fill="FFFFFF"/>
          <w:lang w:eastAsia="zh-CN" w:bidi="ar"/>
        </w:rPr>
        <w:t>；</w:t>
      </w:r>
    </w:p>
    <w:p w14:paraId="17FD8D6A">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199" w:firstLineChars="83"/>
        <w:textAlignment w:val="auto"/>
        <w:rPr>
          <w:rFonts w:hint="eastAsia" w:ascii="宋体" w:hAnsi="宋体" w:eastAsia="宋体" w:cs="宋体"/>
          <w:color w:val="auto"/>
          <w:kern w:val="0"/>
          <w:sz w:val="24"/>
          <w:shd w:val="clear" w:color="auto" w:fill="FFFFFF"/>
          <w:lang w:eastAsia="zh-CN" w:bidi="ar"/>
        </w:rPr>
      </w:pPr>
      <w:r>
        <w:rPr>
          <w:rFonts w:hint="eastAsia" w:ascii="宋体" w:hAnsi="宋体" w:cs="宋体"/>
          <w:color w:val="auto"/>
          <w:kern w:val="0"/>
          <w:sz w:val="24"/>
          <w:shd w:val="clear" w:color="auto" w:fill="FFFFFF"/>
          <w:lang w:bidi="ar"/>
        </w:rPr>
        <w:t>8、是否接受进口产品：否</w:t>
      </w:r>
      <w:r>
        <w:rPr>
          <w:rFonts w:hint="eastAsia" w:ascii="宋体" w:hAnsi="宋体" w:cs="宋体"/>
          <w:color w:val="auto"/>
          <w:kern w:val="0"/>
          <w:sz w:val="24"/>
          <w:shd w:val="clear" w:color="auto" w:fill="FFFFFF"/>
          <w:lang w:eastAsia="zh-CN" w:bidi="ar"/>
        </w:rPr>
        <w:t>；</w:t>
      </w:r>
    </w:p>
    <w:p w14:paraId="03F27BB7">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199" w:firstLineChars="83"/>
        <w:textAlignment w:val="auto"/>
        <w:rPr>
          <w:rFonts w:hint="eastAsia" w:eastAsia="宋体"/>
          <w:color w:val="auto"/>
          <w:lang w:eastAsia="zh-CN"/>
        </w:rPr>
      </w:pPr>
      <w:r>
        <w:rPr>
          <w:rFonts w:hint="eastAsia" w:ascii="宋体" w:hAnsi="宋体" w:cs="宋体"/>
          <w:bCs/>
          <w:color w:val="auto"/>
          <w:kern w:val="0"/>
          <w:sz w:val="24"/>
          <w:lang w:bidi="ar"/>
        </w:rPr>
        <w:t>9、是否专门面向中小企业：</w:t>
      </w:r>
      <w:r>
        <w:rPr>
          <w:rFonts w:hint="eastAsia" w:ascii="宋体" w:hAnsi="宋体" w:cs="宋体"/>
          <w:color w:val="auto"/>
          <w:kern w:val="0"/>
          <w:sz w:val="24"/>
          <w:shd w:val="clear" w:color="auto" w:fill="FFFFFF"/>
          <w:lang w:bidi="ar"/>
        </w:rPr>
        <w:t>否</w:t>
      </w:r>
      <w:r>
        <w:rPr>
          <w:rFonts w:hint="eastAsia" w:ascii="宋体" w:hAnsi="宋体" w:cs="宋体"/>
          <w:color w:val="auto"/>
          <w:kern w:val="0"/>
          <w:sz w:val="24"/>
          <w:shd w:val="clear" w:color="auto" w:fill="FFFFFF"/>
          <w:lang w:eastAsia="zh-CN" w:bidi="ar"/>
        </w:rPr>
        <w:t>；</w:t>
      </w:r>
    </w:p>
    <w:p w14:paraId="39A4CD89">
      <w:pPr>
        <w:keepNext w:val="0"/>
        <w:keepLines w:val="0"/>
        <w:pageBreakBefore w:val="0"/>
        <w:widowControl/>
        <w:shd w:val="clear" w:color="auto" w:fill="FFFFFF"/>
        <w:kinsoku/>
        <w:wordWrap/>
        <w:overflowPunct/>
        <w:topLinePunct w:val="0"/>
        <w:autoSpaceDE/>
        <w:autoSpaceDN/>
        <w:bidi w:val="0"/>
        <w:adjustRightInd/>
        <w:snapToGrid/>
        <w:spacing w:line="380" w:lineRule="exact"/>
        <w:ind w:right="-370" w:rightChars="-176"/>
        <w:textAlignment w:val="auto"/>
        <w:rPr>
          <w:rFonts w:ascii="宋体" w:hAnsi="宋体" w:cs="宋体"/>
          <w:b/>
          <w:bCs/>
          <w:color w:val="auto"/>
          <w:kern w:val="0"/>
          <w:sz w:val="24"/>
          <w:shd w:val="clear" w:color="auto" w:fill="FFFFFF"/>
          <w:lang w:bidi="ar"/>
        </w:rPr>
      </w:pPr>
      <w:r>
        <w:rPr>
          <w:rFonts w:hint="eastAsia" w:ascii="宋体" w:hAnsi="宋体" w:cs="宋体"/>
          <w:b/>
          <w:bCs/>
          <w:color w:val="auto"/>
          <w:kern w:val="0"/>
          <w:sz w:val="24"/>
          <w:shd w:val="clear" w:color="auto" w:fill="FFFFFF"/>
          <w:lang w:bidi="ar"/>
        </w:rPr>
        <w:t>二、申请人资格要求：</w:t>
      </w:r>
    </w:p>
    <w:p w14:paraId="046A99A9">
      <w:pPr>
        <w:keepNext w:val="0"/>
        <w:keepLines w:val="0"/>
        <w:pageBreakBefore w:val="0"/>
        <w:widowControl/>
        <w:shd w:val="clear" w:color="auto" w:fill="FFFFFF"/>
        <w:kinsoku/>
        <w:wordWrap/>
        <w:overflowPunct/>
        <w:topLinePunct w:val="0"/>
        <w:autoSpaceDE/>
        <w:autoSpaceDN/>
        <w:bidi w:val="0"/>
        <w:adjustRightInd/>
        <w:snapToGrid/>
        <w:spacing w:line="380" w:lineRule="exact"/>
        <w:ind w:left="0" w:leftChars="0" w:right="-370" w:rightChars="-176" w:firstLine="199" w:firstLineChars="83"/>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1、符合《中华人民共和国政府采购法》第二十二条的要求</w:t>
      </w:r>
      <w:r>
        <w:rPr>
          <w:rFonts w:hint="eastAsia" w:ascii="宋体" w:hAnsi="宋体" w:cs="宋体"/>
          <w:color w:val="auto"/>
          <w:kern w:val="0"/>
          <w:sz w:val="24"/>
          <w:shd w:val="clear" w:color="auto" w:fill="FFFFFF"/>
          <w:lang w:eastAsia="zh-CN" w:bidi="ar"/>
        </w:rPr>
        <w:t>。</w:t>
      </w:r>
      <w:r>
        <w:rPr>
          <w:rFonts w:hint="eastAsia" w:ascii="宋体" w:hAnsi="宋体" w:cs="宋体"/>
          <w:color w:val="auto"/>
          <w:kern w:val="0"/>
          <w:sz w:val="24"/>
          <w:shd w:val="clear" w:color="auto" w:fill="FFFFFF"/>
          <w:lang w:bidi="ar"/>
        </w:rPr>
        <w:t xml:space="preserve"> </w:t>
      </w:r>
    </w:p>
    <w:p w14:paraId="21EFC6FD">
      <w:pPr>
        <w:keepNext w:val="0"/>
        <w:keepLines w:val="0"/>
        <w:pageBreakBefore w:val="0"/>
        <w:widowControl/>
        <w:shd w:val="clear" w:color="auto" w:fill="FFFFFF"/>
        <w:kinsoku/>
        <w:wordWrap/>
        <w:overflowPunct/>
        <w:topLinePunct w:val="0"/>
        <w:autoSpaceDE/>
        <w:autoSpaceDN/>
        <w:bidi w:val="0"/>
        <w:adjustRightInd/>
        <w:snapToGrid/>
        <w:spacing w:line="380" w:lineRule="exact"/>
        <w:ind w:left="0" w:leftChars="0" w:right="-370" w:rightChars="-176" w:firstLine="199" w:firstLineChars="83"/>
        <w:textAlignment w:val="auto"/>
        <w:rPr>
          <w:rFonts w:hint="eastAsia"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bidi="ar"/>
        </w:rPr>
        <w:t>2、落实政府采购政策满足的资格要求：</w:t>
      </w:r>
      <w:r>
        <w:rPr>
          <w:rFonts w:hint="eastAsia" w:ascii="宋体" w:hAnsi="宋体" w:cs="宋体"/>
          <w:color w:val="auto"/>
          <w:kern w:val="0"/>
          <w:sz w:val="24"/>
          <w:shd w:val="clear" w:color="auto" w:fill="FFFFFF"/>
          <w:lang w:val="en-US" w:eastAsia="zh-CN" w:bidi="ar"/>
        </w:rPr>
        <w:t>/</w:t>
      </w:r>
    </w:p>
    <w:p w14:paraId="08FFAB81">
      <w:pPr>
        <w:keepNext w:val="0"/>
        <w:keepLines w:val="0"/>
        <w:pageBreakBefore w:val="0"/>
        <w:widowControl/>
        <w:shd w:val="clear" w:color="auto" w:fill="FFFFFF"/>
        <w:kinsoku/>
        <w:wordWrap/>
        <w:overflowPunct/>
        <w:topLinePunct w:val="0"/>
        <w:autoSpaceDE/>
        <w:autoSpaceDN/>
        <w:bidi w:val="0"/>
        <w:adjustRightInd/>
        <w:snapToGrid/>
        <w:spacing w:line="380" w:lineRule="exact"/>
        <w:ind w:left="0" w:leftChars="0" w:firstLine="199" w:firstLineChars="83"/>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3、本项目的特定资格要求：</w:t>
      </w:r>
    </w:p>
    <w:p w14:paraId="2909E329">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（1）</w:t>
      </w:r>
      <w:r>
        <w:rPr>
          <w:rFonts w:hint="eastAsia" w:ascii="宋体" w:hAnsi="宋体" w:cs="宋体"/>
          <w:color w:val="auto"/>
          <w:kern w:val="0"/>
          <w:sz w:val="24"/>
          <w:shd w:val="clear" w:color="auto" w:fill="FFFFFF"/>
          <w:lang w:val="zh-CN" w:bidi="ar"/>
        </w:rPr>
        <w:t>具有独立承担民事责任的能力；（</w:t>
      </w:r>
      <w:r>
        <w:rPr>
          <w:rFonts w:hint="eastAsia" w:ascii="宋体" w:hAnsi="宋体" w:cs="宋体"/>
          <w:color w:val="auto"/>
          <w:kern w:val="0"/>
          <w:sz w:val="24"/>
          <w:shd w:val="clear" w:color="auto" w:fill="FFFFFF"/>
          <w:lang w:bidi="ar"/>
        </w:rPr>
        <w:t>提供有效的营业执照、税务登记证、组织机构代码证或三证合一营业执照，也可提供电子营业执照）；</w:t>
      </w:r>
    </w:p>
    <w:p w14:paraId="11402AF9">
      <w:pPr>
        <w:keepNext w:val="0"/>
        <w:keepLines w:val="0"/>
        <w:pageBreakBefore w:val="0"/>
        <w:widowControl/>
        <w:shd w:val="clear" w:color="auto" w:fill="FFFFFF"/>
        <w:kinsoku/>
        <w:wordWrap/>
        <w:overflowPunct/>
        <w:topLinePunct w:val="0"/>
        <w:autoSpaceDE/>
        <w:autoSpaceDN/>
        <w:bidi w:val="0"/>
        <w:adjustRightInd/>
        <w:snapToGrid/>
        <w:spacing w:line="380" w:lineRule="exact"/>
        <w:ind w:right="-149" w:rightChars="-71"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（2）具有良好的商业信誉和健全的</w:t>
      </w:r>
      <w:r>
        <w:rPr>
          <w:color w:val="auto"/>
        </w:rPr>
        <w:fldChar w:fldCharType="begin"/>
      </w:r>
      <w:r>
        <w:rPr>
          <w:color w:val="auto"/>
        </w:rPr>
        <w:instrText xml:space="preserve"> HYPERLINK "http://www.baidu.com/s?wd=%E8%B4%A2%E5%8A%A1%E4%BC%9A%E8%AE%A1%E5%88%B6%E5%BA%A6&amp;tn=44039180_cpr&amp;fenlei=mv6quAkxTZn0IZRqIHckPjm4nH00T1Y3rHbsn1b3P1u-uymsnAP90ZwV5Hcvrjm3rH6sPfKWUMw85HfYnjn4nH6sgvPsT6KdThsqpZwYTjCEQLGCpyw9Uz4Bmy-bIi4WUvYETgN-TLwGUv3En1bkrjDsPWcs" \t "https://zhidao.baidu.com/question/_blank" </w:instrText>
      </w:r>
      <w:r>
        <w:rPr>
          <w:color w:val="auto"/>
        </w:rPr>
        <w:fldChar w:fldCharType="separate"/>
      </w:r>
      <w:r>
        <w:rPr>
          <w:rFonts w:hint="eastAsia" w:ascii="宋体" w:hAnsi="宋体" w:cs="宋体"/>
          <w:color w:val="auto"/>
          <w:kern w:val="0"/>
          <w:sz w:val="24"/>
          <w:shd w:val="clear" w:color="auto" w:fill="FFFFFF"/>
          <w:lang w:bidi="ar"/>
        </w:rPr>
        <w:t>财务会计制度</w:t>
      </w:r>
      <w:r>
        <w:rPr>
          <w:rFonts w:hint="eastAsia" w:ascii="宋体" w:hAnsi="宋体" w:cs="宋体"/>
          <w:color w:val="auto"/>
          <w:kern w:val="0"/>
          <w:sz w:val="24"/>
          <w:shd w:val="clear" w:color="auto" w:fill="FFFFFF"/>
          <w:lang w:bidi="ar"/>
        </w:rPr>
        <w:fldChar w:fldCharType="end"/>
      </w:r>
      <w:r>
        <w:rPr>
          <w:rFonts w:hint="eastAsia" w:ascii="宋体" w:hAnsi="宋体" w:cs="宋体"/>
          <w:color w:val="auto"/>
          <w:kern w:val="0"/>
          <w:sz w:val="24"/>
          <w:shd w:val="clear" w:color="auto" w:fill="FFFFFF"/>
          <w:lang w:bidi="ar"/>
        </w:rPr>
        <w:t>;（提供承诺函,格式自拟）；</w:t>
      </w:r>
    </w:p>
    <w:p w14:paraId="0B79540E">
      <w:pPr>
        <w:keepNext w:val="0"/>
        <w:keepLines w:val="0"/>
        <w:pageBreakBefore w:val="0"/>
        <w:widowControl/>
        <w:shd w:val="clear" w:color="auto" w:fill="FFFFFF"/>
        <w:kinsoku/>
        <w:wordWrap/>
        <w:overflowPunct/>
        <w:topLinePunct w:val="0"/>
        <w:autoSpaceDE/>
        <w:autoSpaceDN/>
        <w:bidi w:val="0"/>
        <w:adjustRightInd/>
        <w:snapToGrid/>
        <w:spacing w:line="380" w:lineRule="exact"/>
        <w:ind w:right="-149" w:rightChars="-71"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（3）具有履行合同所必需的设备和专业技术能力；（提供承诺函,格式自拟）；</w:t>
      </w:r>
    </w:p>
    <w:p w14:paraId="312A6B9E">
      <w:pPr>
        <w:keepNext w:val="0"/>
        <w:keepLines w:val="0"/>
        <w:pageBreakBefore w:val="0"/>
        <w:widowControl/>
        <w:shd w:val="clear" w:color="auto" w:fill="FFFFFF"/>
        <w:kinsoku/>
        <w:wordWrap/>
        <w:overflowPunct/>
        <w:topLinePunct w:val="0"/>
        <w:autoSpaceDE/>
        <w:autoSpaceDN/>
        <w:bidi w:val="0"/>
        <w:adjustRightInd/>
        <w:snapToGrid/>
        <w:spacing w:line="380" w:lineRule="exact"/>
        <w:ind w:right="-149" w:rightChars="-71"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（4）有依法缴纳税收和</w:t>
      </w:r>
      <w:r>
        <w:rPr>
          <w:color w:val="auto"/>
        </w:rPr>
        <w:fldChar w:fldCharType="begin"/>
      </w:r>
      <w:r>
        <w:rPr>
          <w:color w:val="auto"/>
        </w:rPr>
        <w:instrText xml:space="preserve"> HYPERLINK "http://www.baidu.com/s?wd=%E7%A4%BE%E4%BC%9A%E4%BF%9D%E9%9A%9C%E8%B5%84%E9%87%91&amp;tn=44039180_cpr&amp;fenlei=mv6quAkxTZn0IZRqIHckPjm4nH00T1Y3rHbsn1b3P1u-uymsnAP90ZwV5Hcvrjm3rH6sPfKWUMw85HfYnjn4nH6sgvPsT6KdThsqpZwYTjCEQLGCpyw9Uz4Bmy-bIi4WUvYETgN-TLwGUv3En1bkrjDsPWcs" \t "https://zhidao.baidu.com/question/_blank" </w:instrText>
      </w:r>
      <w:r>
        <w:rPr>
          <w:color w:val="auto"/>
        </w:rPr>
        <w:fldChar w:fldCharType="separate"/>
      </w:r>
      <w:r>
        <w:rPr>
          <w:rFonts w:hint="eastAsia" w:ascii="宋体" w:hAnsi="宋体" w:cs="宋体"/>
          <w:color w:val="auto"/>
          <w:kern w:val="0"/>
          <w:sz w:val="24"/>
          <w:shd w:val="clear" w:color="auto" w:fill="FFFFFF"/>
          <w:lang w:bidi="ar"/>
        </w:rPr>
        <w:t>社会保障资金</w:t>
      </w:r>
      <w:r>
        <w:rPr>
          <w:rFonts w:hint="eastAsia" w:ascii="宋体" w:hAnsi="宋体" w:cs="宋体"/>
          <w:color w:val="auto"/>
          <w:kern w:val="0"/>
          <w:sz w:val="24"/>
          <w:shd w:val="clear" w:color="auto" w:fill="FFFFFF"/>
          <w:lang w:bidi="ar"/>
        </w:rPr>
        <w:fldChar w:fldCharType="end"/>
      </w:r>
      <w:r>
        <w:rPr>
          <w:rFonts w:hint="eastAsia" w:ascii="宋体" w:hAnsi="宋体" w:cs="宋体"/>
          <w:color w:val="auto"/>
          <w:kern w:val="0"/>
          <w:sz w:val="24"/>
          <w:shd w:val="clear" w:color="auto" w:fill="FFFFFF"/>
          <w:lang w:bidi="ar"/>
        </w:rPr>
        <w:t>的良好记录；（提供承诺函,格式自拟）；</w:t>
      </w:r>
    </w:p>
    <w:p w14:paraId="1BF30A29">
      <w:pPr>
        <w:keepNext w:val="0"/>
        <w:keepLines w:val="0"/>
        <w:pageBreakBefore w:val="0"/>
        <w:widowControl/>
        <w:shd w:val="clear" w:color="auto" w:fill="FFFFFF"/>
        <w:kinsoku/>
        <w:wordWrap/>
        <w:overflowPunct/>
        <w:topLinePunct w:val="0"/>
        <w:autoSpaceDE/>
        <w:autoSpaceDN/>
        <w:bidi w:val="0"/>
        <w:adjustRightInd/>
        <w:snapToGrid/>
        <w:spacing w:line="380" w:lineRule="exact"/>
        <w:ind w:right="-149" w:rightChars="-71"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（5）参加政府采购活动近三年内，在经营活动中没有重大违法记录；（提供承诺函,格式自拟）</w:t>
      </w:r>
      <w:r>
        <w:rPr>
          <w:rFonts w:hint="eastAsia" w:ascii="宋体" w:hAnsi="宋体" w:cs="宋体"/>
          <w:color w:val="auto"/>
          <w:kern w:val="0"/>
          <w:sz w:val="24"/>
          <w:shd w:val="clear" w:color="auto" w:fill="FFFFFF"/>
          <w:lang w:val="zh-CN" w:bidi="ar"/>
        </w:rPr>
        <w:t>；</w:t>
      </w:r>
      <w:r>
        <w:rPr>
          <w:rFonts w:hint="eastAsia" w:ascii="宋体" w:hAnsi="宋体" w:cs="宋体"/>
          <w:color w:val="auto"/>
          <w:kern w:val="0"/>
          <w:sz w:val="24"/>
          <w:shd w:val="clear" w:color="auto" w:fill="FFFFFF"/>
          <w:lang w:bidi="ar"/>
        </w:rPr>
        <w:t xml:space="preserve">         </w:t>
      </w:r>
    </w:p>
    <w:p w14:paraId="6347C85B">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6）提供公告发布之后“中国执行信息公开网”网站的“失信被执行人”，“信用中国”网站的“重大税收违法失信主体”，“中国政府采购网”网站的“政府采购严重违法失信行为名单”查询结果页面截图，若有不良记录，则投标无效；</w:t>
      </w:r>
    </w:p>
    <w:p w14:paraId="417FB14D">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（7）本次招标不接受联合体投标，供应商负责人为同一人或者存在直接控股、管理关系的不同供应商，不得同时参加同一标包的采购活动。（提供承诺函,格式自拟）。</w:t>
      </w:r>
    </w:p>
    <w:p w14:paraId="774CE73A">
      <w:pPr>
        <w:keepNext w:val="0"/>
        <w:keepLines w:val="0"/>
        <w:pageBreakBefore w:val="0"/>
        <w:widowControl/>
        <w:kinsoku/>
        <w:wordWrap/>
        <w:overflowPunct/>
        <w:topLinePunct w:val="0"/>
        <w:autoSpaceDE/>
        <w:autoSpaceDN/>
        <w:bidi w:val="0"/>
        <w:adjustRightInd/>
        <w:snapToGrid/>
        <w:spacing w:line="380" w:lineRule="exact"/>
        <w:ind w:right="79"/>
        <w:textAlignment w:val="auto"/>
        <w:rPr>
          <w:rFonts w:ascii="宋体" w:hAnsi="宋体" w:cs="宋体"/>
          <w:color w:val="auto"/>
          <w:lang w:val="zh-CN"/>
        </w:rPr>
      </w:pPr>
      <w:r>
        <w:rPr>
          <w:rFonts w:hint="eastAsia" w:ascii="宋体" w:hAnsi="宋体" w:cs="宋体"/>
          <w:b/>
          <w:color w:val="auto"/>
          <w:sz w:val="24"/>
          <w:shd w:val="clear" w:color="auto" w:fill="FFFFFF"/>
        </w:rPr>
        <w:t>三、获取招标文件:</w:t>
      </w:r>
    </w:p>
    <w:p w14:paraId="0F19EDF5">
      <w:pPr>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1.时间：202</w:t>
      </w:r>
      <w:r>
        <w:rPr>
          <w:rFonts w:hint="eastAsia" w:ascii="宋体" w:hAnsi="宋体" w:cs="宋体"/>
          <w:color w:val="auto"/>
          <w:sz w:val="24"/>
          <w:shd w:val="clear" w:color="auto" w:fill="FFFFFF"/>
          <w:lang w:val="en-US" w:eastAsia="zh-CN"/>
        </w:rPr>
        <w:t>6</w:t>
      </w:r>
      <w:r>
        <w:rPr>
          <w:rFonts w:hint="eastAsia" w:ascii="宋体" w:hAnsi="宋体" w:cs="宋体"/>
          <w:color w:val="auto"/>
          <w:sz w:val="24"/>
          <w:shd w:val="clear" w:color="auto" w:fill="FFFFFF"/>
        </w:rPr>
        <w:t>年</w:t>
      </w:r>
      <w:r>
        <w:rPr>
          <w:rFonts w:hint="eastAsia" w:ascii="宋体" w:hAnsi="宋体" w:cs="宋体"/>
          <w:color w:val="auto"/>
          <w:sz w:val="24"/>
          <w:shd w:val="clear" w:color="auto" w:fill="FFFFFF"/>
          <w:lang w:val="en-US" w:eastAsia="zh-CN"/>
        </w:rPr>
        <w:t>6</w:t>
      </w:r>
      <w:r>
        <w:rPr>
          <w:rFonts w:hint="eastAsia" w:ascii="宋体" w:hAnsi="宋体" w:cs="宋体"/>
          <w:color w:val="auto"/>
          <w:sz w:val="24"/>
          <w:shd w:val="clear" w:color="auto" w:fill="FFFFFF"/>
        </w:rPr>
        <w:t>月</w:t>
      </w:r>
      <w:r>
        <w:rPr>
          <w:rFonts w:hint="eastAsia" w:ascii="宋体" w:hAnsi="宋体" w:cs="宋体"/>
          <w:color w:val="auto"/>
          <w:sz w:val="24"/>
          <w:shd w:val="clear" w:color="auto" w:fill="FFFFFF"/>
          <w:lang w:val="en-US" w:eastAsia="zh-CN"/>
        </w:rPr>
        <w:t>10</w:t>
      </w:r>
      <w:r>
        <w:rPr>
          <w:rFonts w:hint="eastAsia" w:ascii="宋体" w:hAnsi="宋体" w:cs="宋体"/>
          <w:color w:val="auto"/>
          <w:sz w:val="24"/>
          <w:shd w:val="clear" w:color="auto" w:fill="FFFFFF"/>
        </w:rPr>
        <w:t>日至202</w:t>
      </w:r>
      <w:r>
        <w:rPr>
          <w:rFonts w:hint="eastAsia" w:ascii="宋体" w:hAnsi="宋体" w:cs="宋体"/>
          <w:color w:val="auto"/>
          <w:sz w:val="24"/>
          <w:shd w:val="clear" w:color="auto" w:fill="FFFFFF"/>
          <w:lang w:val="en-US" w:eastAsia="zh-CN"/>
        </w:rPr>
        <w:t>6</w:t>
      </w:r>
      <w:r>
        <w:rPr>
          <w:rFonts w:hint="eastAsia" w:ascii="宋体" w:hAnsi="宋体" w:cs="宋体"/>
          <w:color w:val="auto"/>
          <w:sz w:val="24"/>
          <w:shd w:val="clear" w:color="auto" w:fill="FFFFFF"/>
        </w:rPr>
        <w:t>年</w:t>
      </w:r>
      <w:r>
        <w:rPr>
          <w:rFonts w:hint="eastAsia" w:ascii="宋体" w:hAnsi="宋体" w:cs="宋体"/>
          <w:color w:val="auto"/>
          <w:sz w:val="24"/>
          <w:shd w:val="clear" w:color="auto" w:fill="FFFFFF"/>
          <w:lang w:val="en-US" w:eastAsia="zh-CN"/>
        </w:rPr>
        <w:t>7</w:t>
      </w:r>
      <w:r>
        <w:rPr>
          <w:rFonts w:hint="eastAsia" w:ascii="宋体" w:hAnsi="宋体" w:cs="宋体"/>
          <w:color w:val="auto"/>
          <w:sz w:val="24"/>
          <w:shd w:val="clear" w:color="auto" w:fill="FFFFFF"/>
        </w:rPr>
        <w:t>月</w:t>
      </w:r>
      <w:r>
        <w:rPr>
          <w:rFonts w:hint="eastAsia" w:ascii="宋体" w:hAnsi="宋体" w:cs="宋体"/>
          <w:color w:val="auto"/>
          <w:sz w:val="24"/>
          <w:shd w:val="clear" w:color="auto" w:fill="FFFFFF"/>
          <w:lang w:val="en-US" w:eastAsia="zh-CN"/>
        </w:rPr>
        <w:t>2</w:t>
      </w:r>
      <w:r>
        <w:rPr>
          <w:rFonts w:hint="eastAsia" w:ascii="宋体" w:hAnsi="宋体" w:cs="宋体"/>
          <w:color w:val="auto"/>
          <w:sz w:val="24"/>
          <w:shd w:val="clear" w:color="auto" w:fill="FFFFFF"/>
        </w:rPr>
        <w:t>日，每天上午00:00至12:00，下午12:00至23:59（北京时间）</w:t>
      </w:r>
    </w:p>
    <w:p w14:paraId="5AE66E6C">
      <w:pPr>
        <w:keepNext w:val="0"/>
        <w:keepLines w:val="0"/>
        <w:pageBreakBefore w:val="0"/>
        <w:kinsoku/>
        <w:wordWrap/>
        <w:overflowPunct/>
        <w:topLinePunct w:val="0"/>
        <w:autoSpaceDE/>
        <w:autoSpaceDN/>
        <w:bidi w:val="0"/>
        <w:adjustRightInd/>
        <w:snapToGrid/>
        <w:spacing w:line="380" w:lineRule="exact"/>
        <w:ind w:right="-989" w:rightChars="-471" w:firstLine="240" w:firstLineChars="10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2.地点：平顶山市公共资源交易中心网（网址：http://ggzy.pds.gov.cn/）。</w:t>
      </w:r>
    </w:p>
    <w:p w14:paraId="48E83EE6">
      <w:pPr>
        <w:keepNext w:val="0"/>
        <w:keepLines w:val="0"/>
        <w:pageBreakBefore w:val="0"/>
        <w:kinsoku/>
        <w:wordWrap/>
        <w:overflowPunct/>
        <w:topLinePunct w:val="0"/>
        <w:autoSpaceDE/>
        <w:autoSpaceDN/>
        <w:bidi w:val="0"/>
        <w:adjustRightInd/>
        <w:snapToGrid/>
        <w:spacing w:line="380" w:lineRule="exact"/>
        <w:ind w:firstLine="240" w:firstLineChars="100"/>
        <w:jc w:val="left"/>
        <w:textAlignment w:val="auto"/>
        <w:rPr>
          <w:rFonts w:ascii="宋体" w:hAnsi="宋体" w:cs="宋体"/>
          <w:color w:val="auto"/>
          <w:spacing w:val="-2"/>
          <w:sz w:val="24"/>
        </w:rPr>
      </w:pPr>
      <w:r>
        <w:rPr>
          <w:rFonts w:hint="eastAsia" w:ascii="宋体" w:hAnsi="宋体" w:cs="宋体"/>
          <w:color w:val="auto"/>
          <w:sz w:val="24"/>
          <w:shd w:val="clear" w:color="auto" w:fill="FFFFFF"/>
        </w:rPr>
        <w:t>3.方式：潜在投标人需凭CA数字证书通过全国公共资源交易平台（河南省·平顶山市）“交易主体登录”入口进入交易系统进行文件下载。具体操作请查看以下链接：</w:t>
      </w:r>
      <w:r>
        <w:rPr>
          <w:rFonts w:hint="eastAsia" w:ascii="宋体" w:hAnsi="宋体" w:cs="宋体"/>
          <w:color w:val="auto"/>
          <w:spacing w:val="-2"/>
          <w:sz w:val="24"/>
        </w:rPr>
        <w:t xml:space="preserve">  </w:t>
      </w:r>
    </w:p>
    <w:p w14:paraId="72093AD9">
      <w:pPr>
        <w:keepNext w:val="0"/>
        <w:keepLines w:val="0"/>
        <w:pageBreakBefore w:val="0"/>
        <w:kinsoku/>
        <w:wordWrap/>
        <w:overflowPunct/>
        <w:topLinePunct w:val="0"/>
        <w:autoSpaceDE/>
        <w:autoSpaceDN/>
        <w:bidi w:val="0"/>
        <w:adjustRightInd/>
        <w:snapToGrid/>
        <w:spacing w:line="380" w:lineRule="exact"/>
        <w:ind w:firstLine="240" w:firstLineChars="100"/>
        <w:jc w:val="left"/>
        <w:textAlignment w:val="auto"/>
        <w:rPr>
          <w:rFonts w:ascii="宋体" w:hAnsi="宋体" w:cs="宋体"/>
          <w:color w:val="auto"/>
          <w:spacing w:val="-2"/>
          <w:sz w:val="24"/>
        </w:rPr>
      </w:pPr>
      <w:r>
        <w:rPr>
          <w:rFonts w:hint="eastAsia" w:ascii="宋体" w:hAnsi="宋体" w:cs="宋体"/>
          <w:color w:val="auto"/>
          <w:sz w:val="24"/>
          <w:shd w:val="clear" w:color="auto" w:fill="FFFFFF"/>
        </w:rPr>
        <w:t>链接地址：</w:t>
      </w:r>
      <w:r>
        <w:rPr>
          <w:rFonts w:hint="eastAsia" w:ascii="宋体" w:hAnsi="宋体" w:cs="宋体"/>
          <w:color w:val="auto"/>
          <w:spacing w:val="-2"/>
          <w:sz w:val="24"/>
        </w:rPr>
        <w:t>http://ggzy.pds.gov.cn/fwzn/11020.jhtml</w:t>
      </w:r>
    </w:p>
    <w:p w14:paraId="675869B7">
      <w:pPr>
        <w:keepNext w:val="0"/>
        <w:keepLines w:val="0"/>
        <w:pageBreakBefore w:val="0"/>
        <w:kinsoku/>
        <w:wordWrap/>
        <w:overflowPunct/>
        <w:topLinePunct w:val="0"/>
        <w:autoSpaceDE/>
        <w:autoSpaceDN/>
        <w:bidi w:val="0"/>
        <w:adjustRightInd/>
        <w:snapToGrid/>
        <w:spacing w:line="380" w:lineRule="exact"/>
        <w:ind w:firstLine="236" w:firstLineChars="100"/>
        <w:jc w:val="left"/>
        <w:textAlignment w:val="auto"/>
        <w:rPr>
          <w:color w:val="auto"/>
        </w:rPr>
      </w:pPr>
      <w:r>
        <w:rPr>
          <w:rFonts w:hint="eastAsia" w:ascii="宋体" w:hAnsi="宋体" w:cs="宋体"/>
          <w:color w:val="auto"/>
          <w:spacing w:val="-2"/>
          <w:sz w:val="24"/>
        </w:rPr>
        <w:t>办理CA证书：http://ggzy.pds.gov.cn/tzgg/10814.jhtml。</w:t>
      </w:r>
    </w:p>
    <w:p w14:paraId="53C27553">
      <w:pPr>
        <w:keepNext w:val="0"/>
        <w:keepLines w:val="0"/>
        <w:pageBreakBefore w:val="0"/>
        <w:kinsoku/>
        <w:wordWrap/>
        <w:overflowPunct/>
        <w:topLinePunct w:val="0"/>
        <w:autoSpaceDE/>
        <w:autoSpaceDN/>
        <w:bidi w:val="0"/>
        <w:adjustRightInd/>
        <w:snapToGrid/>
        <w:spacing w:line="380" w:lineRule="exact"/>
        <w:ind w:firstLine="240" w:firstLineChars="100"/>
        <w:jc w:val="left"/>
        <w:textAlignment w:val="auto"/>
        <w:rPr>
          <w:rFonts w:ascii="宋体" w:hAnsi="宋体" w:cs="宋体"/>
          <w:color w:val="auto"/>
          <w:sz w:val="24"/>
          <w:shd w:val="clear" w:color="auto" w:fill="FFFFFF"/>
        </w:rPr>
      </w:pPr>
      <w:r>
        <w:rPr>
          <w:rFonts w:hint="eastAsia" w:ascii="宋体" w:hAnsi="宋体" w:cs="宋体"/>
          <w:bCs/>
          <w:color w:val="auto"/>
          <w:kern w:val="0"/>
          <w:sz w:val="24"/>
          <w:lang w:bidi="ar"/>
        </w:rPr>
        <w:t>4.售价：0元。</w:t>
      </w:r>
    </w:p>
    <w:p w14:paraId="03832E85">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
          <w:color w:val="auto"/>
          <w:sz w:val="24"/>
        </w:rPr>
      </w:pPr>
      <w:r>
        <w:rPr>
          <w:rFonts w:hint="eastAsia" w:ascii="宋体" w:hAnsi="宋体" w:cs="宋体"/>
          <w:b/>
          <w:color w:val="auto"/>
          <w:sz w:val="24"/>
        </w:rPr>
        <w:t>四、投标截止时间及地点：</w:t>
      </w:r>
    </w:p>
    <w:p w14:paraId="188BE23C">
      <w:pPr>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bCs/>
          <w:color w:val="auto"/>
          <w:sz w:val="24"/>
        </w:rPr>
      </w:pPr>
      <w:r>
        <w:rPr>
          <w:rFonts w:hint="eastAsia" w:ascii="宋体" w:hAnsi="宋体" w:cs="宋体"/>
          <w:bCs/>
          <w:color w:val="auto"/>
          <w:sz w:val="24"/>
        </w:rPr>
        <w:t>1.时间：</w:t>
      </w:r>
      <w:r>
        <w:rPr>
          <w:rFonts w:hint="eastAsia" w:ascii="宋体" w:hAnsi="宋体" w:cs="宋体"/>
          <w:color w:val="auto"/>
          <w:kern w:val="0"/>
          <w:sz w:val="24"/>
          <w:shd w:val="clear" w:color="auto" w:fill="FFFFFF"/>
          <w:lang w:bidi="ar"/>
        </w:rPr>
        <w:t>202</w:t>
      </w:r>
      <w:r>
        <w:rPr>
          <w:rFonts w:hint="eastAsia" w:ascii="宋体" w:hAnsi="宋体" w:cs="宋体"/>
          <w:color w:val="auto"/>
          <w:kern w:val="0"/>
          <w:sz w:val="24"/>
          <w:shd w:val="clear" w:color="auto" w:fill="FFFFFF"/>
          <w:lang w:val="en-US" w:eastAsia="zh-CN" w:bidi="ar"/>
        </w:rPr>
        <w:t>6</w:t>
      </w:r>
      <w:r>
        <w:rPr>
          <w:rFonts w:hint="eastAsia" w:ascii="宋体" w:hAnsi="宋体" w:cs="宋体"/>
          <w:color w:val="auto"/>
          <w:kern w:val="0"/>
          <w:sz w:val="24"/>
          <w:shd w:val="clear" w:color="auto" w:fill="FFFFFF"/>
          <w:lang w:bidi="ar"/>
        </w:rPr>
        <w:t>年</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月</w:t>
      </w:r>
      <w:r>
        <w:rPr>
          <w:rFonts w:hint="eastAsia" w:ascii="宋体" w:hAnsi="宋体" w:cs="宋体"/>
          <w:color w:val="auto"/>
          <w:kern w:val="0"/>
          <w:sz w:val="24"/>
          <w:shd w:val="clear" w:color="auto" w:fill="FFFFFF"/>
          <w:lang w:val="en-US" w:eastAsia="zh-CN" w:bidi="ar"/>
        </w:rPr>
        <w:t>3</w:t>
      </w:r>
      <w:r>
        <w:rPr>
          <w:rFonts w:hint="eastAsia" w:ascii="宋体" w:hAnsi="宋体" w:cs="宋体"/>
          <w:color w:val="auto"/>
          <w:kern w:val="0"/>
          <w:sz w:val="24"/>
          <w:shd w:val="clear" w:color="auto" w:fill="FFFFFF"/>
          <w:lang w:bidi="ar"/>
        </w:rPr>
        <w:t>日</w:t>
      </w:r>
      <w:r>
        <w:rPr>
          <w:rFonts w:hint="eastAsia" w:ascii="宋体" w:hAnsi="宋体" w:cs="宋体"/>
          <w:color w:val="auto"/>
          <w:kern w:val="0"/>
          <w:sz w:val="24"/>
          <w:shd w:val="clear" w:color="auto" w:fill="FFFFFF"/>
          <w:lang w:val="en-US" w:eastAsia="zh-CN" w:bidi="ar"/>
        </w:rPr>
        <w:t>8</w:t>
      </w:r>
      <w:r>
        <w:rPr>
          <w:rFonts w:hint="eastAsia" w:ascii="宋体" w:hAnsi="宋体" w:cs="宋体"/>
          <w:color w:val="auto"/>
          <w:kern w:val="0"/>
          <w:sz w:val="24"/>
          <w:shd w:val="clear" w:color="auto" w:fill="FFFFFF"/>
          <w:lang w:bidi="ar"/>
        </w:rPr>
        <w:t>时</w:t>
      </w:r>
      <w:r>
        <w:rPr>
          <w:rFonts w:hint="eastAsia" w:ascii="宋体" w:hAnsi="宋体" w:cs="宋体"/>
          <w:color w:val="auto"/>
          <w:kern w:val="0"/>
          <w:sz w:val="24"/>
          <w:shd w:val="clear" w:color="auto" w:fill="FFFFFF"/>
          <w:lang w:val="en-US" w:eastAsia="zh-CN" w:bidi="ar"/>
        </w:rPr>
        <w:t>40</w:t>
      </w:r>
      <w:r>
        <w:rPr>
          <w:rFonts w:hint="eastAsia" w:ascii="宋体" w:hAnsi="宋体" w:cs="宋体"/>
          <w:color w:val="auto"/>
          <w:kern w:val="0"/>
          <w:sz w:val="24"/>
          <w:shd w:val="clear" w:color="auto" w:fill="FFFFFF"/>
          <w:lang w:bidi="ar"/>
        </w:rPr>
        <w:t>分</w:t>
      </w:r>
      <w:r>
        <w:rPr>
          <w:rFonts w:hint="eastAsia" w:ascii="宋体" w:hAnsi="宋体" w:cs="宋体"/>
          <w:color w:val="auto"/>
          <w:sz w:val="24"/>
          <w:shd w:val="clear" w:color="auto" w:fill="FFFFFF"/>
        </w:rPr>
        <w:t>（北京时间）。</w:t>
      </w:r>
    </w:p>
    <w:p w14:paraId="36090059">
      <w:pPr>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bCs/>
          <w:color w:val="auto"/>
          <w:sz w:val="24"/>
        </w:rPr>
      </w:pPr>
      <w:r>
        <w:rPr>
          <w:rFonts w:hint="eastAsia" w:ascii="宋体" w:hAnsi="宋体" w:cs="宋体"/>
          <w:bCs/>
          <w:color w:val="auto"/>
          <w:sz w:val="24"/>
        </w:rPr>
        <w:t>2.地点：</w:t>
      </w:r>
      <w:r>
        <w:rPr>
          <w:rFonts w:hint="eastAsia" w:ascii="宋体" w:hAnsi="宋体" w:cs="宋体"/>
          <w:color w:val="auto"/>
          <w:sz w:val="24"/>
          <w:shd w:val="clear" w:color="auto" w:fill="FFFFFF"/>
        </w:rPr>
        <w:t>全国公共资源交易平台（河南省.平顶山市）</w:t>
      </w:r>
      <w:r>
        <w:rPr>
          <w:rFonts w:hint="eastAsia" w:ascii="宋体" w:hAnsi="宋体" w:cs="宋体"/>
          <w:color w:val="auto"/>
          <w:sz w:val="24"/>
        </w:rPr>
        <w:t>电子交易系统。</w:t>
      </w:r>
    </w:p>
    <w:p w14:paraId="69476F72">
      <w:pPr>
        <w:keepNext w:val="0"/>
        <w:keepLines w:val="0"/>
        <w:pageBreakBefore w:val="0"/>
        <w:tabs>
          <w:tab w:val="left" w:pos="420"/>
        </w:tabs>
        <w:kinsoku/>
        <w:wordWrap/>
        <w:overflowPunct/>
        <w:topLinePunct w:val="0"/>
        <w:autoSpaceDE/>
        <w:autoSpaceDN/>
        <w:bidi w:val="0"/>
        <w:adjustRightInd/>
        <w:snapToGrid/>
        <w:spacing w:line="380" w:lineRule="exact"/>
        <w:ind w:right="-365" w:rightChars="-174"/>
        <w:textAlignment w:val="auto"/>
        <w:rPr>
          <w:rFonts w:ascii="宋体" w:hAnsi="宋体" w:cs="宋体"/>
          <w:b/>
          <w:color w:val="auto"/>
          <w:sz w:val="24"/>
        </w:rPr>
      </w:pPr>
      <w:r>
        <w:rPr>
          <w:rFonts w:hint="eastAsia" w:ascii="宋体" w:hAnsi="宋体" w:cs="宋体"/>
          <w:b/>
          <w:color w:val="auto"/>
          <w:sz w:val="24"/>
        </w:rPr>
        <w:t>五、开标时间及地点:</w:t>
      </w:r>
    </w:p>
    <w:p w14:paraId="2F252980">
      <w:pPr>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sz w:val="24"/>
          <w:shd w:val="clear" w:color="auto" w:fill="FFFFFF"/>
        </w:rPr>
      </w:pPr>
      <w:r>
        <w:rPr>
          <w:rFonts w:hint="eastAsia" w:ascii="宋体" w:hAnsi="宋体" w:cs="宋体"/>
          <w:bCs/>
          <w:color w:val="auto"/>
          <w:sz w:val="24"/>
        </w:rPr>
        <w:t>1.时间：</w:t>
      </w:r>
      <w:r>
        <w:rPr>
          <w:rFonts w:hint="eastAsia" w:ascii="宋体" w:hAnsi="宋体" w:cs="宋体"/>
          <w:color w:val="auto"/>
          <w:kern w:val="0"/>
          <w:sz w:val="24"/>
          <w:shd w:val="clear" w:color="auto" w:fill="FFFFFF"/>
          <w:lang w:bidi="ar"/>
        </w:rPr>
        <w:t>202</w:t>
      </w:r>
      <w:r>
        <w:rPr>
          <w:rFonts w:hint="eastAsia" w:ascii="宋体" w:hAnsi="宋体" w:cs="宋体"/>
          <w:color w:val="auto"/>
          <w:kern w:val="0"/>
          <w:sz w:val="24"/>
          <w:shd w:val="clear" w:color="auto" w:fill="FFFFFF"/>
          <w:lang w:val="en-US" w:eastAsia="zh-CN" w:bidi="ar"/>
        </w:rPr>
        <w:t>6</w:t>
      </w:r>
      <w:r>
        <w:rPr>
          <w:rFonts w:hint="eastAsia" w:ascii="宋体" w:hAnsi="宋体" w:cs="宋体"/>
          <w:color w:val="auto"/>
          <w:kern w:val="0"/>
          <w:sz w:val="24"/>
          <w:shd w:val="clear" w:color="auto" w:fill="FFFFFF"/>
          <w:lang w:bidi="ar"/>
        </w:rPr>
        <w:t>年</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月</w:t>
      </w:r>
      <w:r>
        <w:rPr>
          <w:rFonts w:hint="eastAsia" w:ascii="宋体" w:hAnsi="宋体" w:cs="宋体"/>
          <w:color w:val="auto"/>
          <w:kern w:val="0"/>
          <w:sz w:val="24"/>
          <w:shd w:val="clear" w:color="auto" w:fill="FFFFFF"/>
          <w:lang w:val="en-US" w:eastAsia="zh-CN" w:bidi="ar"/>
        </w:rPr>
        <w:t>3</w:t>
      </w:r>
      <w:r>
        <w:rPr>
          <w:rFonts w:hint="eastAsia" w:ascii="宋体" w:hAnsi="宋体" w:cs="宋体"/>
          <w:color w:val="auto"/>
          <w:kern w:val="0"/>
          <w:sz w:val="24"/>
          <w:shd w:val="clear" w:color="auto" w:fill="FFFFFF"/>
          <w:lang w:bidi="ar"/>
        </w:rPr>
        <w:t>日</w:t>
      </w:r>
      <w:r>
        <w:rPr>
          <w:rFonts w:hint="eastAsia" w:ascii="宋体" w:hAnsi="宋体" w:cs="宋体"/>
          <w:color w:val="auto"/>
          <w:kern w:val="0"/>
          <w:sz w:val="24"/>
          <w:shd w:val="clear" w:color="auto" w:fill="FFFFFF"/>
          <w:lang w:val="en-US" w:eastAsia="zh-CN" w:bidi="ar"/>
        </w:rPr>
        <w:t>8</w:t>
      </w:r>
      <w:r>
        <w:rPr>
          <w:rFonts w:hint="eastAsia" w:ascii="宋体" w:hAnsi="宋体" w:cs="宋体"/>
          <w:color w:val="auto"/>
          <w:kern w:val="0"/>
          <w:sz w:val="24"/>
          <w:shd w:val="clear" w:color="auto" w:fill="FFFFFF"/>
          <w:lang w:bidi="ar"/>
        </w:rPr>
        <w:t>时</w:t>
      </w:r>
      <w:r>
        <w:rPr>
          <w:rFonts w:hint="eastAsia" w:ascii="宋体" w:hAnsi="宋体" w:cs="宋体"/>
          <w:color w:val="auto"/>
          <w:kern w:val="0"/>
          <w:sz w:val="24"/>
          <w:shd w:val="clear" w:color="auto" w:fill="FFFFFF"/>
          <w:lang w:val="en-US" w:eastAsia="zh-CN" w:bidi="ar"/>
        </w:rPr>
        <w:t>40</w:t>
      </w:r>
      <w:r>
        <w:rPr>
          <w:rFonts w:hint="eastAsia" w:ascii="宋体" w:hAnsi="宋体" w:cs="宋体"/>
          <w:color w:val="auto"/>
          <w:kern w:val="0"/>
          <w:sz w:val="24"/>
          <w:shd w:val="clear" w:color="auto" w:fill="FFFFFF"/>
          <w:lang w:bidi="ar"/>
        </w:rPr>
        <w:t>分</w:t>
      </w:r>
      <w:r>
        <w:rPr>
          <w:rFonts w:hint="eastAsia" w:ascii="宋体" w:hAnsi="宋体" w:cs="宋体"/>
          <w:color w:val="auto"/>
          <w:sz w:val="24"/>
          <w:shd w:val="clear" w:color="auto" w:fill="FFFFFF"/>
        </w:rPr>
        <w:t>（北京时间）。</w:t>
      </w:r>
    </w:p>
    <w:p w14:paraId="736C829C">
      <w:pPr>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bCs/>
          <w:color w:val="auto"/>
          <w:sz w:val="24"/>
        </w:rPr>
      </w:pPr>
      <w:r>
        <w:rPr>
          <w:rFonts w:hint="eastAsia" w:ascii="宋体" w:hAnsi="宋体" w:cs="宋体"/>
          <w:color w:val="auto"/>
          <w:sz w:val="24"/>
          <w:shd w:val="clear" w:color="auto" w:fill="FFFFFF"/>
        </w:rPr>
        <w:t>2.地点：全国公共资源交易平台（河南省.平顶山市）电子交易</w:t>
      </w:r>
      <w:r>
        <w:rPr>
          <w:rFonts w:hint="eastAsia" w:ascii="宋体" w:hAnsi="宋体" w:cs="宋体"/>
          <w:bCs/>
          <w:color w:val="auto"/>
          <w:sz w:val="24"/>
        </w:rPr>
        <w:t>系统。</w:t>
      </w:r>
    </w:p>
    <w:p w14:paraId="3952A39A">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
          <w:bCs/>
          <w:color w:val="auto"/>
          <w:sz w:val="24"/>
          <w:shd w:val="clear" w:color="auto" w:fill="FFFFFF"/>
        </w:rPr>
      </w:pPr>
      <w:r>
        <w:rPr>
          <w:rFonts w:hint="eastAsia" w:ascii="宋体" w:hAnsi="宋体" w:cs="宋体"/>
          <w:b/>
          <w:bCs/>
          <w:color w:val="auto"/>
          <w:sz w:val="24"/>
          <w:shd w:val="clear" w:color="auto" w:fill="FFFFFF"/>
          <w:lang w:val="zh-CN"/>
        </w:rPr>
        <w:t>六、</w:t>
      </w:r>
      <w:r>
        <w:rPr>
          <w:rFonts w:hint="eastAsia" w:ascii="宋体" w:hAnsi="宋体" w:cs="宋体"/>
          <w:b/>
          <w:bCs/>
          <w:color w:val="auto"/>
          <w:sz w:val="24"/>
          <w:shd w:val="clear" w:color="auto" w:fill="FFFFFF"/>
        </w:rPr>
        <w:t>发布公告的媒介及招标公告期限:</w:t>
      </w:r>
    </w:p>
    <w:p w14:paraId="7913C73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sz w:val="24"/>
          <w:shd w:val="clear" w:color="auto" w:fill="FFFFFF"/>
        </w:rPr>
      </w:pPr>
      <w:r>
        <w:rPr>
          <w:rFonts w:hint="eastAsia" w:ascii="宋体" w:hAnsi="宋体" w:cs="宋体"/>
          <w:color w:val="auto"/>
          <w:sz w:val="24"/>
          <w:shd w:val="clear" w:color="auto" w:fill="FFFFFF"/>
        </w:rPr>
        <w:t>本次招标公告在《河南省政府采购网》、《平顶山市政府采购网》、《全国公共资源交易平台（河南省.平顶山市）》上发布，</w:t>
      </w:r>
      <w:r>
        <w:rPr>
          <w:rFonts w:hint="eastAsia" w:ascii="宋体" w:hAnsi="宋体" w:cs="宋体"/>
          <w:bCs/>
          <w:color w:val="auto"/>
          <w:sz w:val="24"/>
        </w:rPr>
        <w:t>招标公告期限为五个工作日</w:t>
      </w:r>
      <w:r>
        <w:rPr>
          <w:rFonts w:hint="eastAsia" w:ascii="宋体" w:hAnsi="宋体" w:cs="宋体"/>
          <w:color w:val="auto"/>
          <w:sz w:val="24"/>
          <w:shd w:val="clear" w:color="auto" w:fill="FFFFFF"/>
        </w:rPr>
        <w:t>;</w:t>
      </w:r>
    </w:p>
    <w:p w14:paraId="7D0E609B">
      <w:pPr>
        <w:keepNext w:val="0"/>
        <w:keepLines w:val="0"/>
        <w:pageBreakBefore w:val="0"/>
        <w:widowControl/>
        <w:shd w:val="clear" w:color="auto" w:fill="FFFFFF"/>
        <w:kinsoku/>
        <w:wordWrap/>
        <w:overflowPunct/>
        <w:topLinePunct w:val="0"/>
        <w:autoSpaceDE/>
        <w:autoSpaceDN/>
        <w:bidi w:val="0"/>
        <w:adjustRightInd/>
        <w:snapToGrid/>
        <w:spacing w:line="380" w:lineRule="exact"/>
        <w:textAlignment w:val="auto"/>
        <w:rPr>
          <w:rFonts w:ascii="微软雅黑" w:hAnsi="微软雅黑" w:eastAsia="微软雅黑" w:cs="微软雅黑"/>
          <w:color w:val="auto"/>
          <w:sz w:val="18"/>
          <w:szCs w:val="18"/>
        </w:rPr>
      </w:pPr>
      <w:r>
        <w:rPr>
          <w:rFonts w:hint="eastAsia" w:ascii="宋体" w:hAnsi="宋体" w:cs="宋体"/>
          <w:b/>
          <w:color w:val="auto"/>
          <w:kern w:val="0"/>
          <w:sz w:val="24"/>
          <w:shd w:val="clear" w:color="auto" w:fill="FFFFFF"/>
          <w:lang w:bidi="ar"/>
        </w:rPr>
        <w:t>七、其他补充事宜:</w:t>
      </w:r>
    </w:p>
    <w:p w14:paraId="3F6BB38A">
      <w:pPr>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 xml:space="preserve">1.本次开标全面实行在线“不见面”开标，投标人远程在线解密投标文件，不再到开标现场，投标人开标前应仔细阅读《“不见面”开标注意事项及操作流程》。 </w:t>
      </w:r>
    </w:p>
    <w:p w14:paraId="0050F590">
      <w:pPr>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2.该公告已同步至“平顶山市公共资源交易中心微信公众号”，可通过公众号中的服务栏目进行查阅”。</w:t>
      </w:r>
    </w:p>
    <w:p w14:paraId="69314397">
      <w:pPr>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3.投标人或其他利害关系人对本次招标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07407F8F">
      <w:pPr>
        <w:spacing w:line="360" w:lineRule="exact"/>
        <w:ind w:firstLine="240" w:firstLineChars="1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4.监督单位：</w:t>
      </w:r>
    </w:p>
    <w:p w14:paraId="1B7CB6B2">
      <w:pPr>
        <w:spacing w:line="360" w:lineRule="exact"/>
        <w:ind w:firstLine="240" w:firstLineChars="1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监督单位：平顶山市财政局</w:t>
      </w:r>
    </w:p>
    <w:p w14:paraId="5016361C">
      <w:pPr>
        <w:spacing w:line="360" w:lineRule="exact"/>
        <w:ind w:firstLine="240" w:firstLineChars="1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联系电话：0375-2627595</w:t>
      </w:r>
    </w:p>
    <w:p w14:paraId="0E0CC9CE">
      <w:pPr>
        <w:keepNext w:val="0"/>
        <w:keepLines w:val="0"/>
        <w:pageBreakBefore w:val="0"/>
        <w:widowControl/>
        <w:shd w:val="clear" w:color="auto" w:fill="FFFFFF"/>
        <w:kinsoku/>
        <w:wordWrap/>
        <w:overflowPunct/>
        <w:topLinePunct w:val="0"/>
        <w:autoSpaceDE/>
        <w:autoSpaceDN/>
        <w:bidi w:val="0"/>
        <w:adjustRightInd/>
        <w:snapToGrid/>
        <w:spacing w:line="380" w:lineRule="exact"/>
        <w:textAlignment w:val="auto"/>
        <w:rPr>
          <w:rFonts w:ascii="宋体" w:hAnsi="宋体" w:cs="宋体"/>
          <w:b/>
          <w:color w:val="auto"/>
          <w:sz w:val="24"/>
          <w:shd w:val="clear" w:color="auto" w:fill="FFFFFF"/>
        </w:rPr>
      </w:pPr>
      <w:r>
        <w:rPr>
          <w:rFonts w:hint="eastAsia" w:ascii="宋体" w:hAnsi="宋体" w:cs="宋体"/>
          <w:b/>
          <w:bCs/>
          <w:color w:val="auto"/>
          <w:kern w:val="0"/>
          <w:sz w:val="24"/>
          <w:shd w:val="clear" w:color="auto" w:fill="FFFFFF"/>
          <w:lang w:bidi="ar"/>
        </w:rPr>
        <w:t>八、</w:t>
      </w:r>
      <w:r>
        <w:rPr>
          <w:rFonts w:hint="eastAsia" w:ascii="宋体" w:hAnsi="宋体" w:cs="宋体"/>
          <w:b/>
          <w:bCs/>
          <w:color w:val="auto"/>
          <w:sz w:val="24"/>
          <w:shd w:val="clear" w:color="auto" w:fill="FFFFFF"/>
        </w:rPr>
        <w:t>凡对本</w:t>
      </w:r>
      <w:r>
        <w:rPr>
          <w:rFonts w:hint="eastAsia" w:ascii="宋体" w:hAnsi="宋体" w:cs="宋体"/>
          <w:b/>
          <w:color w:val="auto"/>
          <w:sz w:val="24"/>
          <w:shd w:val="clear" w:color="auto" w:fill="FFFFFF"/>
        </w:rPr>
        <w:t>次招标提出询问，请按照以下方式联系:</w:t>
      </w:r>
    </w:p>
    <w:p w14:paraId="76DF6850">
      <w:pPr>
        <w:keepNext w:val="0"/>
        <w:keepLines w:val="0"/>
        <w:pageBreakBefore w:val="0"/>
        <w:kinsoku/>
        <w:wordWrap/>
        <w:overflowPunct/>
        <w:topLinePunct w:val="0"/>
        <w:autoSpaceDE/>
        <w:autoSpaceDN/>
        <w:bidi w:val="0"/>
        <w:adjustRightInd/>
        <w:snapToGrid/>
        <w:spacing w:line="380" w:lineRule="exact"/>
        <w:ind w:firstLine="218" w:firstLineChars="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1.采购人信息</w:t>
      </w:r>
    </w:p>
    <w:p w14:paraId="58424BD0">
      <w:pPr>
        <w:keepNext w:val="0"/>
        <w:keepLines w:val="0"/>
        <w:pageBreakBefore w:val="0"/>
        <w:kinsoku/>
        <w:wordWrap/>
        <w:overflowPunct/>
        <w:topLinePunct w:val="0"/>
        <w:autoSpaceDE/>
        <w:autoSpaceDN/>
        <w:bidi w:val="0"/>
        <w:adjustRightInd/>
        <w:snapToGrid/>
        <w:spacing w:line="380" w:lineRule="exact"/>
        <w:ind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名称：平顶山学院</w:t>
      </w:r>
    </w:p>
    <w:p w14:paraId="41FD001B">
      <w:pPr>
        <w:keepNext w:val="0"/>
        <w:keepLines w:val="0"/>
        <w:pageBreakBefore w:val="0"/>
        <w:kinsoku/>
        <w:wordWrap/>
        <w:overflowPunct/>
        <w:topLinePunct w:val="0"/>
        <w:autoSpaceDE/>
        <w:autoSpaceDN/>
        <w:bidi w:val="0"/>
        <w:adjustRightInd/>
        <w:snapToGrid/>
        <w:spacing w:line="380" w:lineRule="exact"/>
        <w:ind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地址：平顶山市新华区未来路</w:t>
      </w:r>
    </w:p>
    <w:p w14:paraId="25EA0BB1">
      <w:pPr>
        <w:keepNext w:val="0"/>
        <w:keepLines w:val="0"/>
        <w:pageBreakBefore w:val="0"/>
        <w:kinsoku/>
        <w:wordWrap/>
        <w:overflowPunct/>
        <w:topLinePunct w:val="0"/>
        <w:autoSpaceDE/>
        <w:autoSpaceDN/>
        <w:bidi w:val="0"/>
        <w:adjustRightInd/>
        <w:snapToGrid/>
        <w:spacing w:line="380" w:lineRule="exact"/>
        <w:ind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联系人：李老师</w:t>
      </w:r>
    </w:p>
    <w:p w14:paraId="15CA8662">
      <w:pPr>
        <w:keepNext w:val="0"/>
        <w:keepLines w:val="0"/>
        <w:pageBreakBefore w:val="0"/>
        <w:kinsoku/>
        <w:wordWrap/>
        <w:overflowPunct/>
        <w:topLinePunct w:val="0"/>
        <w:autoSpaceDE/>
        <w:autoSpaceDN/>
        <w:bidi w:val="0"/>
        <w:adjustRightInd/>
        <w:snapToGrid/>
        <w:spacing w:line="380" w:lineRule="exact"/>
        <w:ind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联系方式：0375-2657628</w:t>
      </w:r>
      <w:r>
        <w:rPr>
          <w:rFonts w:hint="eastAsia" w:ascii="宋体" w:hAnsi="宋体" w:cs="宋体"/>
          <w:color w:val="auto"/>
          <w:kern w:val="0"/>
          <w:sz w:val="24"/>
          <w:shd w:val="clear" w:color="auto" w:fill="FFFFFF"/>
          <w:lang w:bidi="ar"/>
        </w:rPr>
        <w:tab/>
      </w:r>
    </w:p>
    <w:p w14:paraId="0B99CCE4">
      <w:pPr>
        <w:keepNext w:val="0"/>
        <w:keepLines w:val="0"/>
        <w:pageBreakBefore w:val="0"/>
        <w:kinsoku/>
        <w:wordWrap/>
        <w:overflowPunct/>
        <w:topLinePunct w:val="0"/>
        <w:autoSpaceDE/>
        <w:autoSpaceDN/>
        <w:bidi w:val="0"/>
        <w:adjustRightInd/>
        <w:snapToGrid/>
        <w:spacing w:line="380" w:lineRule="exact"/>
        <w:ind w:firstLine="218" w:firstLineChars="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2.采购代理机构信息</w:t>
      </w:r>
    </w:p>
    <w:p w14:paraId="27CFFCA9">
      <w:pPr>
        <w:keepNext w:val="0"/>
        <w:keepLines w:val="0"/>
        <w:pageBreakBefore w:val="0"/>
        <w:kinsoku/>
        <w:wordWrap/>
        <w:overflowPunct/>
        <w:topLinePunct w:val="0"/>
        <w:autoSpaceDE/>
        <w:autoSpaceDN/>
        <w:bidi w:val="0"/>
        <w:adjustRightInd/>
        <w:snapToGrid/>
        <w:spacing w:line="380" w:lineRule="exact"/>
        <w:ind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名称：河南省伟信招标管理咨询有限公司</w:t>
      </w:r>
    </w:p>
    <w:p w14:paraId="265C5BF5">
      <w:pPr>
        <w:keepNext w:val="0"/>
        <w:keepLines w:val="0"/>
        <w:pageBreakBefore w:val="0"/>
        <w:kinsoku/>
        <w:wordWrap/>
        <w:overflowPunct/>
        <w:topLinePunct w:val="0"/>
        <w:autoSpaceDE/>
        <w:autoSpaceDN/>
        <w:bidi w:val="0"/>
        <w:adjustRightInd/>
        <w:snapToGrid/>
        <w:spacing w:line="380" w:lineRule="exact"/>
        <w:ind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地址：郑东新区东风南路与创业路交汇处西南角绿地中心北塔</w:t>
      </w:r>
      <w:r>
        <w:rPr>
          <w:rFonts w:ascii="宋体" w:hAnsi="宋体" w:cs="宋体"/>
          <w:color w:val="auto"/>
          <w:kern w:val="0"/>
          <w:sz w:val="24"/>
          <w:shd w:val="clear" w:color="auto" w:fill="FFFFFF"/>
          <w:lang w:bidi="ar"/>
        </w:rPr>
        <w:t>16</w:t>
      </w:r>
      <w:r>
        <w:rPr>
          <w:rFonts w:hint="eastAsia" w:ascii="宋体" w:hAnsi="宋体" w:cs="宋体"/>
          <w:color w:val="auto"/>
          <w:kern w:val="0"/>
          <w:sz w:val="24"/>
          <w:shd w:val="clear" w:color="auto" w:fill="FFFFFF"/>
          <w:lang w:bidi="ar"/>
        </w:rPr>
        <w:t>楼</w:t>
      </w:r>
    </w:p>
    <w:p w14:paraId="74494DAD">
      <w:pPr>
        <w:keepNext w:val="0"/>
        <w:keepLines w:val="0"/>
        <w:pageBreakBefore w:val="0"/>
        <w:kinsoku/>
        <w:wordWrap/>
        <w:overflowPunct/>
        <w:topLinePunct w:val="0"/>
        <w:autoSpaceDE/>
        <w:autoSpaceDN/>
        <w:bidi w:val="0"/>
        <w:adjustRightInd/>
        <w:snapToGrid/>
        <w:spacing w:line="380" w:lineRule="exact"/>
        <w:ind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联系人：张</w:t>
      </w:r>
      <w:r>
        <w:rPr>
          <w:rFonts w:hint="eastAsia" w:ascii="宋体" w:hAnsi="宋体" w:cs="宋体"/>
          <w:color w:val="auto"/>
          <w:kern w:val="0"/>
          <w:sz w:val="24"/>
          <w:shd w:val="clear" w:color="auto" w:fill="FFFFFF"/>
          <w:lang w:eastAsia="zh-CN" w:bidi="ar"/>
        </w:rPr>
        <w:t>女士</w:t>
      </w:r>
    </w:p>
    <w:p w14:paraId="1E3358A2">
      <w:pPr>
        <w:keepNext w:val="0"/>
        <w:keepLines w:val="0"/>
        <w:pageBreakBefore w:val="0"/>
        <w:kinsoku/>
        <w:wordWrap/>
        <w:overflowPunct/>
        <w:topLinePunct w:val="0"/>
        <w:autoSpaceDE/>
        <w:autoSpaceDN/>
        <w:bidi w:val="0"/>
        <w:adjustRightInd/>
        <w:snapToGrid/>
        <w:spacing w:line="380" w:lineRule="exact"/>
        <w:ind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联系方式：</w:t>
      </w:r>
      <w:r>
        <w:rPr>
          <w:rFonts w:hint="eastAsia" w:ascii="宋体" w:hAnsi="宋体" w:cs="宋体"/>
          <w:color w:val="auto"/>
          <w:sz w:val="24"/>
          <w:lang w:val="en-US" w:eastAsia="zh-CN"/>
        </w:rPr>
        <w:t>18937503547</w:t>
      </w:r>
    </w:p>
    <w:p w14:paraId="12463418">
      <w:pPr>
        <w:keepNext w:val="0"/>
        <w:keepLines w:val="0"/>
        <w:pageBreakBefore w:val="0"/>
        <w:kinsoku/>
        <w:wordWrap/>
        <w:overflowPunct/>
        <w:topLinePunct w:val="0"/>
        <w:autoSpaceDE/>
        <w:autoSpaceDN/>
        <w:bidi w:val="0"/>
        <w:adjustRightInd/>
        <w:snapToGrid/>
        <w:spacing w:line="380" w:lineRule="exact"/>
        <w:ind w:firstLine="218" w:firstLineChars="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3.项目联系方式</w:t>
      </w:r>
    </w:p>
    <w:p w14:paraId="06AEBCA5">
      <w:pPr>
        <w:keepNext w:val="0"/>
        <w:keepLines w:val="0"/>
        <w:pageBreakBefore w:val="0"/>
        <w:kinsoku/>
        <w:wordWrap/>
        <w:overflowPunct/>
        <w:topLinePunct w:val="0"/>
        <w:autoSpaceDE/>
        <w:autoSpaceDN/>
        <w:bidi w:val="0"/>
        <w:adjustRightInd/>
        <w:snapToGrid/>
        <w:spacing w:line="380" w:lineRule="exact"/>
        <w:ind w:firstLine="458" w:firstLineChars="191"/>
        <w:textAlignment w:val="auto"/>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项目联系人：张</w:t>
      </w:r>
      <w:r>
        <w:rPr>
          <w:rFonts w:hint="eastAsia" w:ascii="宋体" w:hAnsi="宋体" w:cs="宋体"/>
          <w:color w:val="auto"/>
          <w:kern w:val="0"/>
          <w:sz w:val="24"/>
          <w:shd w:val="clear" w:color="auto" w:fill="FFFFFF"/>
          <w:lang w:eastAsia="zh-CN" w:bidi="ar"/>
        </w:rPr>
        <w:t>女士</w:t>
      </w:r>
    </w:p>
    <w:p w14:paraId="4BCEFD16">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联系方式：</w:t>
      </w:r>
      <w:r>
        <w:rPr>
          <w:rFonts w:hint="eastAsia" w:ascii="宋体" w:hAnsi="宋体" w:cs="宋体"/>
          <w:color w:val="auto"/>
          <w:sz w:val="24"/>
          <w:lang w:val="en-US" w:eastAsia="zh-CN"/>
        </w:rPr>
        <w:t>18937503547</w:t>
      </w:r>
    </w:p>
    <w:p w14:paraId="2197A18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color w:val="auto"/>
          <w:kern w:val="0"/>
          <w:sz w:val="24"/>
          <w:shd w:val="clear" w:color="auto" w:fill="FFFFFF"/>
          <w:lang w:bidi="ar"/>
        </w:rPr>
      </w:pPr>
    </w:p>
    <w:p w14:paraId="45EB024C">
      <w:pPr>
        <w:keepNext w:val="0"/>
        <w:keepLines w:val="0"/>
        <w:pageBreakBefore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color w:val="auto"/>
          <w:kern w:val="0"/>
          <w:sz w:val="24"/>
          <w:shd w:val="clear" w:color="auto" w:fill="FFFFFF"/>
          <w:lang w:val="zh-CN" w:eastAsia="zh-CN" w:bidi="ar"/>
        </w:rPr>
      </w:pPr>
    </w:p>
    <w:p w14:paraId="133F2FDD">
      <w:pPr>
        <w:spacing w:line="360" w:lineRule="exact"/>
        <w:ind w:firstLine="218" w:firstLineChars="91"/>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        </w:t>
      </w:r>
    </w:p>
    <w:p w14:paraId="5C3BB7E5">
      <w:pPr>
        <w:pStyle w:val="24"/>
        <w:rPr>
          <w:color w:val="auto"/>
        </w:rPr>
      </w:pPr>
    </w:p>
    <w:p w14:paraId="0F41AD96">
      <w:pPr>
        <w:pStyle w:val="25"/>
        <w:rPr>
          <w:color w:val="auto"/>
        </w:rPr>
      </w:pPr>
    </w:p>
    <w:p w14:paraId="790FEE5F">
      <w:pPr>
        <w:pStyle w:val="7"/>
        <w:rPr>
          <w:color w:val="auto"/>
        </w:rPr>
      </w:pPr>
    </w:p>
    <w:p w14:paraId="7E97DC7A">
      <w:pPr>
        <w:pStyle w:val="8"/>
        <w:rPr>
          <w:color w:val="auto"/>
        </w:rPr>
      </w:pPr>
    </w:p>
    <w:p w14:paraId="625F2933">
      <w:pPr>
        <w:pStyle w:val="9"/>
        <w:rPr>
          <w:color w:val="auto"/>
        </w:rPr>
      </w:pPr>
    </w:p>
    <w:p w14:paraId="1F3612EF">
      <w:pPr>
        <w:pStyle w:val="8"/>
        <w:rPr>
          <w:color w:val="auto"/>
        </w:rPr>
      </w:pPr>
    </w:p>
    <w:p w14:paraId="6F53D739">
      <w:pPr>
        <w:pStyle w:val="9"/>
        <w:rPr>
          <w:color w:val="auto"/>
        </w:rPr>
      </w:pPr>
    </w:p>
    <w:p w14:paraId="69EA85C3">
      <w:pPr>
        <w:pStyle w:val="24"/>
        <w:rPr>
          <w:color w:val="auto"/>
        </w:rPr>
      </w:pPr>
    </w:p>
    <w:p w14:paraId="2739E4ED">
      <w:pPr>
        <w:pStyle w:val="25"/>
        <w:rPr>
          <w:color w:val="auto"/>
        </w:rPr>
      </w:pPr>
    </w:p>
    <w:p w14:paraId="41C990C4">
      <w:pPr>
        <w:widowControl/>
        <w:autoSpaceDE w:val="0"/>
        <w:autoSpaceDN w:val="0"/>
        <w:ind w:right="79"/>
        <w:jc w:val="center"/>
        <w:rPr>
          <w:rFonts w:ascii="宋体" w:hAnsi="宋体" w:cs="宋体"/>
          <w:b/>
          <w:bCs/>
          <w:color w:val="auto"/>
          <w:sz w:val="44"/>
          <w:szCs w:val="44"/>
          <w:shd w:val="clear" w:color="auto" w:fill="FFFFFF"/>
        </w:rPr>
      </w:pPr>
      <w:r>
        <w:rPr>
          <w:rFonts w:hint="eastAsia"/>
          <w:color w:val="auto"/>
          <w:sz w:val="24"/>
          <w:shd w:val="clear" w:color="auto" w:fill="FFFFFF"/>
          <w:lang w:bidi="ar"/>
        </w:rPr>
        <w:t xml:space="preserve"> </w:t>
      </w:r>
      <w:r>
        <w:rPr>
          <w:rFonts w:hint="eastAsia" w:ascii="宋体" w:hAnsi="宋体" w:cs="宋体"/>
          <w:b/>
          <w:bCs/>
          <w:color w:val="auto"/>
          <w:sz w:val="44"/>
          <w:szCs w:val="44"/>
          <w:shd w:val="clear" w:color="auto" w:fill="FFFFFF"/>
        </w:rPr>
        <w:t>温馨提示：</w:t>
      </w:r>
    </w:p>
    <w:p w14:paraId="600E0FB7">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本项目为全流程电子化交易项目，请认真阅读采购文件，并注意以下事项。</w:t>
      </w:r>
    </w:p>
    <w:p w14:paraId="6B4B3146">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 xml:space="preserve">1.供应商应按采购文件规定编制、提交电子投标文件。 </w:t>
      </w:r>
    </w:p>
    <w:p w14:paraId="23B3CF45">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2.本项目供应商不用再提供纸质投标文件。</w:t>
      </w:r>
    </w:p>
    <w:p w14:paraId="1E4E956B">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3.电子文件下载、制作、提交期间和开标（电子投标文件的解密）环节，供应商须使用CA数字证书（证书须在有效期内）。</w:t>
      </w:r>
    </w:p>
    <w:p w14:paraId="25EB22C5">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4.电子投标文件的制作</w:t>
      </w:r>
    </w:p>
    <w:p w14:paraId="7742130B">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4.1 供应商登录《全国公共资源交易平台(河南省▪平顶山市)》公共资源交易系统下载“平顶山投标文件制作系统”，按采购文件要求制作电子投标文件。</w:t>
      </w:r>
    </w:p>
    <w:p w14:paraId="0B562D10">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电子投标文件的制作，参考《全国公共资源交易平台(河南省▪平顶山市)》公共资源交易系统——组件下载——交易系统操作手册（投标人、供应商）。</w:t>
      </w:r>
    </w:p>
    <w:p w14:paraId="362B20A5">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4.2 供应商须将采购文件要求的资质、业绩、荣誉及相关人员证明材料等资料原件扫描件（或图片）制作到所提交的电子投标文件中。</w:t>
      </w:r>
    </w:p>
    <w:p w14:paraId="5B8B54AF">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4.3供应商对同一项目多个标段进行投标的，应分别下载所投标段的采购文件，按标段制作电子投标文件，并按采购文件要求在相应位置加盖供应商电子印章和法人电子印章。</w:t>
      </w:r>
    </w:p>
    <w:p w14:paraId="205F5284">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一个标段对应生成一个文件夹（xxxx项目xx标段）, 其中包含2个文件和1个文件夹。后缀名为“.file”的文件用于电子投标使用，名称为“备份”的文件夹使用电子介质存储，供开标现场备用。</w:t>
      </w:r>
    </w:p>
    <w:p w14:paraId="7130581D">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5.加密电子投标文件的提交</w:t>
      </w:r>
    </w:p>
    <w:p w14:paraId="596C159D">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5.1加密电子投标文件应在采购文件规定的投标截止时间（开标时间）之前成功提交至《全国公共资源交易平台(河南省▪平顶山市)》公共资源交易系统。</w:t>
      </w:r>
    </w:p>
    <w:p w14:paraId="04D008EA">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供应商应充分考虑并预留技术处理和上传数据所需时间。</w:t>
      </w:r>
    </w:p>
    <w:p w14:paraId="658AC316">
      <w:pPr>
        <w:spacing w:line="400" w:lineRule="exact"/>
        <w:ind w:left="239" w:leftChars="114" w:firstLine="240" w:firstLineChars="100"/>
        <w:rPr>
          <w:rFonts w:ascii="宋体" w:hAnsi="宋体" w:cs="宋体"/>
          <w:bCs/>
          <w:color w:val="auto"/>
          <w:sz w:val="24"/>
        </w:rPr>
      </w:pPr>
      <w:r>
        <w:rPr>
          <w:rFonts w:hint="eastAsia" w:ascii="宋体" w:hAnsi="宋体" w:cs="宋体"/>
          <w:bCs/>
          <w:color w:val="auto"/>
          <w:sz w:val="24"/>
        </w:rPr>
        <w:t>5.2 供应商对同一项目多个标段进行投标的，加密电子投标文件应按标段分别提交。</w:t>
      </w:r>
    </w:p>
    <w:p w14:paraId="79A14448">
      <w:pPr>
        <w:pStyle w:val="8"/>
        <w:rPr>
          <w:color w:val="auto"/>
        </w:rPr>
      </w:pPr>
    </w:p>
    <w:p w14:paraId="07E813A1">
      <w:pPr>
        <w:pStyle w:val="8"/>
        <w:rPr>
          <w:color w:val="auto"/>
        </w:rPr>
      </w:pPr>
    </w:p>
    <w:p w14:paraId="0EDA6C18">
      <w:pPr>
        <w:pStyle w:val="8"/>
        <w:rPr>
          <w:color w:val="auto"/>
        </w:rPr>
      </w:pPr>
    </w:p>
    <w:p w14:paraId="452312EF">
      <w:pPr>
        <w:pStyle w:val="8"/>
        <w:rPr>
          <w:color w:val="auto"/>
        </w:rPr>
      </w:pPr>
    </w:p>
    <w:p w14:paraId="16C47EE1">
      <w:pPr>
        <w:pStyle w:val="8"/>
        <w:rPr>
          <w:color w:val="auto"/>
        </w:rPr>
      </w:pPr>
    </w:p>
    <w:p w14:paraId="5EBF27FB">
      <w:pPr>
        <w:pStyle w:val="2"/>
        <w:numPr>
          <w:ilvl w:val="0"/>
          <w:numId w:val="3"/>
        </w:numPr>
        <w:tabs>
          <w:tab w:val="left" w:pos="1283"/>
        </w:tabs>
        <w:spacing w:before="37"/>
        <w:ind w:right="637"/>
        <w:rPr>
          <w:color w:val="auto"/>
        </w:rPr>
      </w:pPr>
      <w:bookmarkStart w:id="2" w:name="_Toc13827"/>
      <w:bookmarkStart w:id="3" w:name="_Toc5301"/>
      <w:bookmarkStart w:id="4" w:name="_Toc5796"/>
      <w:bookmarkStart w:id="5" w:name="_Toc9079"/>
      <w:r>
        <w:rPr>
          <w:rFonts w:hint="eastAsia"/>
          <w:color w:val="auto"/>
        </w:rPr>
        <w:t>投标人须知</w:t>
      </w:r>
      <w:bookmarkEnd w:id="2"/>
      <w:bookmarkEnd w:id="3"/>
      <w:bookmarkEnd w:id="4"/>
      <w:bookmarkEnd w:id="5"/>
    </w:p>
    <w:p w14:paraId="5AF9B980">
      <w:pPr>
        <w:pStyle w:val="3"/>
        <w:ind w:left="0" w:right="76"/>
        <w:jc w:val="center"/>
        <w:rPr>
          <w:rFonts w:ascii="宋体" w:hAnsi="宋体" w:eastAsia="宋体" w:cs="宋体"/>
          <w:b/>
          <w:bCs/>
          <w:color w:val="auto"/>
          <w:sz w:val="28"/>
          <w:szCs w:val="28"/>
        </w:rPr>
      </w:pPr>
      <w:bookmarkStart w:id="6" w:name="_bookmark2"/>
      <w:bookmarkEnd w:id="6"/>
      <w:bookmarkStart w:id="7" w:name="_Toc2076"/>
      <w:r>
        <w:rPr>
          <w:rFonts w:hint="eastAsia" w:ascii="宋体" w:hAnsi="宋体" w:eastAsia="宋体" w:cs="宋体"/>
          <w:b/>
          <w:bCs/>
          <w:color w:val="auto"/>
          <w:sz w:val="28"/>
          <w:szCs w:val="28"/>
        </w:rPr>
        <w:t>投标人须知前附表</w:t>
      </w:r>
      <w:bookmarkEnd w:id="7"/>
    </w:p>
    <w:tbl>
      <w:tblPr>
        <w:tblStyle w:val="2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997"/>
        <w:gridCol w:w="6442"/>
      </w:tblGrid>
      <w:tr w14:paraId="3A33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6C6BDB3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97" w:type="dxa"/>
            <w:vAlign w:val="center"/>
          </w:tcPr>
          <w:p w14:paraId="671302A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名  称</w:t>
            </w:r>
          </w:p>
        </w:tc>
        <w:tc>
          <w:tcPr>
            <w:tcW w:w="6442" w:type="dxa"/>
            <w:vAlign w:val="center"/>
          </w:tcPr>
          <w:p w14:paraId="2C1F943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内  容</w:t>
            </w:r>
          </w:p>
        </w:tc>
      </w:tr>
      <w:tr w14:paraId="3504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60BD705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97" w:type="dxa"/>
            <w:vAlign w:val="center"/>
          </w:tcPr>
          <w:p w14:paraId="1670DE3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w:t>
            </w:r>
          </w:p>
        </w:tc>
        <w:tc>
          <w:tcPr>
            <w:tcW w:w="6442" w:type="dxa"/>
            <w:vAlign w:val="center"/>
          </w:tcPr>
          <w:p w14:paraId="6A5B1B08">
            <w:pPr>
              <w:spacing w:line="400" w:lineRule="exact"/>
              <w:jc w:val="left"/>
              <w:rPr>
                <w:rFonts w:ascii="宋体" w:hAnsi="宋体" w:cs="宋体"/>
                <w:color w:val="auto"/>
                <w:sz w:val="24"/>
                <w:highlight w:val="none"/>
              </w:rPr>
            </w:pPr>
            <w:r>
              <w:rPr>
                <w:rFonts w:hint="eastAsia" w:ascii="宋体" w:hAnsi="宋体" w:cs="宋体"/>
                <w:color w:val="auto"/>
                <w:sz w:val="24"/>
                <w:highlight w:val="none"/>
              </w:rPr>
              <w:t>名称：平顶山学院</w:t>
            </w:r>
          </w:p>
          <w:p w14:paraId="66AD3F3B">
            <w:pPr>
              <w:spacing w:line="400" w:lineRule="exact"/>
              <w:jc w:val="left"/>
              <w:rPr>
                <w:rFonts w:ascii="宋体" w:hAnsi="宋体" w:cs="宋体"/>
                <w:color w:val="auto"/>
                <w:sz w:val="24"/>
                <w:highlight w:val="none"/>
              </w:rPr>
            </w:pPr>
            <w:r>
              <w:rPr>
                <w:rFonts w:hint="eastAsia" w:ascii="宋体" w:hAnsi="宋体" w:cs="宋体"/>
                <w:color w:val="auto"/>
                <w:sz w:val="24"/>
                <w:highlight w:val="none"/>
              </w:rPr>
              <w:t>地址：平顶山市新城区未来路南段</w:t>
            </w:r>
          </w:p>
          <w:p w14:paraId="1CB1BB42">
            <w:pPr>
              <w:spacing w:line="400" w:lineRule="exact"/>
              <w:jc w:val="left"/>
              <w:rPr>
                <w:rFonts w:ascii="宋体" w:hAnsi="宋体" w:cs="宋体"/>
                <w:color w:val="auto"/>
                <w:sz w:val="24"/>
                <w:highlight w:val="none"/>
              </w:rPr>
            </w:pPr>
            <w:r>
              <w:rPr>
                <w:rFonts w:hint="eastAsia" w:ascii="宋体" w:hAnsi="宋体" w:cs="宋体"/>
                <w:color w:val="auto"/>
                <w:sz w:val="24"/>
                <w:highlight w:val="none"/>
              </w:rPr>
              <w:t>联系人：李老师</w:t>
            </w:r>
          </w:p>
          <w:p w14:paraId="48A397E9">
            <w:pPr>
              <w:spacing w:line="400" w:lineRule="exact"/>
              <w:jc w:val="left"/>
              <w:rPr>
                <w:rFonts w:ascii="宋体" w:hAnsi="宋体" w:cs="宋体"/>
                <w:color w:val="auto"/>
                <w:sz w:val="24"/>
                <w:highlight w:val="none"/>
              </w:rPr>
            </w:pPr>
            <w:r>
              <w:rPr>
                <w:rFonts w:hint="eastAsia" w:ascii="宋体" w:hAnsi="宋体" w:cs="宋体"/>
                <w:color w:val="auto"/>
                <w:sz w:val="24"/>
                <w:highlight w:val="none"/>
              </w:rPr>
              <w:t>联系方式：0375-2657628</w:t>
            </w:r>
          </w:p>
        </w:tc>
      </w:tr>
      <w:tr w14:paraId="58C5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2E55027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97" w:type="dxa"/>
            <w:vAlign w:val="center"/>
          </w:tcPr>
          <w:p w14:paraId="08C839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采购代理机构</w:t>
            </w:r>
          </w:p>
        </w:tc>
        <w:tc>
          <w:tcPr>
            <w:tcW w:w="6442" w:type="dxa"/>
            <w:vAlign w:val="center"/>
          </w:tcPr>
          <w:p w14:paraId="293FB73F">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名称：河南省伟信招标管理咨询有限公司</w:t>
            </w:r>
          </w:p>
          <w:p w14:paraId="1846E84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highlight w:val="none"/>
                <w:shd w:val="clear" w:color="auto" w:fill="FFFFFF"/>
                <w:lang w:val="en-US" w:eastAsia="zh-CN" w:bidi="ar"/>
              </w:rPr>
            </w:pPr>
            <w:r>
              <w:rPr>
                <w:rFonts w:hint="eastAsia" w:ascii="宋体" w:hAnsi="宋体" w:cs="宋体"/>
                <w:color w:val="auto"/>
                <w:kern w:val="0"/>
                <w:sz w:val="24"/>
                <w:highlight w:val="none"/>
                <w:shd w:val="clear" w:color="auto" w:fill="FFFFFF"/>
                <w:lang w:bidi="ar"/>
              </w:rPr>
              <w:t>地址：郑东新区东风南路与创业路交汇处西南角绿地中心北塔</w:t>
            </w:r>
            <w:r>
              <w:rPr>
                <w:rFonts w:ascii="宋体" w:hAnsi="宋体" w:cs="宋体"/>
                <w:color w:val="auto"/>
                <w:kern w:val="0"/>
                <w:sz w:val="24"/>
                <w:highlight w:val="none"/>
                <w:shd w:val="clear" w:color="auto" w:fill="FFFFFF"/>
                <w:lang w:bidi="ar"/>
              </w:rPr>
              <w:t>16</w:t>
            </w:r>
            <w:r>
              <w:rPr>
                <w:rFonts w:hint="eastAsia" w:ascii="宋体" w:hAnsi="宋体" w:cs="宋体"/>
                <w:color w:val="auto"/>
                <w:kern w:val="0"/>
                <w:sz w:val="24"/>
                <w:highlight w:val="none"/>
                <w:shd w:val="clear" w:color="auto" w:fill="FFFFFF"/>
                <w:lang w:bidi="ar"/>
              </w:rPr>
              <w:t>楼</w:t>
            </w:r>
          </w:p>
          <w:p w14:paraId="7E21E3C2">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联系人：张</w:t>
            </w:r>
            <w:r>
              <w:rPr>
                <w:rFonts w:hint="eastAsia" w:ascii="宋体" w:hAnsi="宋体" w:cs="宋体"/>
                <w:color w:val="auto"/>
                <w:kern w:val="0"/>
                <w:sz w:val="24"/>
                <w:highlight w:val="none"/>
                <w:shd w:val="clear" w:color="auto" w:fill="FFFFFF"/>
                <w:lang w:eastAsia="zh-CN" w:bidi="ar"/>
              </w:rPr>
              <w:t>女士</w:t>
            </w:r>
            <w:r>
              <w:rPr>
                <w:rFonts w:hint="eastAsia" w:ascii="宋体" w:hAnsi="宋体" w:cs="宋体"/>
                <w:color w:val="auto"/>
                <w:kern w:val="0"/>
                <w:sz w:val="24"/>
                <w:highlight w:val="none"/>
                <w:shd w:val="clear" w:color="auto" w:fill="FFFFFF"/>
                <w:lang w:bidi="ar"/>
              </w:rPr>
              <w:t> </w:t>
            </w:r>
          </w:p>
          <w:p w14:paraId="4FEEB21C">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联系方式：</w:t>
            </w:r>
            <w:r>
              <w:rPr>
                <w:rFonts w:hint="eastAsia" w:ascii="宋体" w:hAnsi="宋体" w:cs="宋体"/>
                <w:color w:val="auto"/>
                <w:sz w:val="24"/>
                <w:highlight w:val="none"/>
                <w:lang w:val="en-US" w:eastAsia="zh-CN"/>
              </w:rPr>
              <w:t>18937503547</w:t>
            </w:r>
          </w:p>
        </w:tc>
      </w:tr>
      <w:tr w14:paraId="7E8B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77" w:type="dxa"/>
            <w:vAlign w:val="center"/>
          </w:tcPr>
          <w:p w14:paraId="613D636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97" w:type="dxa"/>
            <w:vAlign w:val="center"/>
          </w:tcPr>
          <w:p w14:paraId="6B3E8168">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442" w:type="dxa"/>
            <w:vAlign w:val="center"/>
          </w:tcPr>
          <w:p w14:paraId="2B325C3F">
            <w:pPr>
              <w:spacing w:line="400" w:lineRule="exact"/>
              <w:jc w:val="left"/>
              <w:rPr>
                <w:rFonts w:hint="eastAsia" w:ascii="宋体" w:hAnsi="宋体" w:eastAsia="宋体" w:cs="宋体"/>
                <w:bCs/>
                <w:color w:val="auto"/>
                <w:sz w:val="24"/>
                <w:highlight w:val="none"/>
                <w:lang w:eastAsia="zh-CN"/>
              </w:rPr>
            </w:pPr>
            <w:r>
              <w:rPr>
                <w:rFonts w:hint="eastAsia" w:ascii="宋体" w:hAnsi="宋体" w:cs="宋体"/>
                <w:color w:val="auto"/>
                <w:kern w:val="0"/>
                <w:sz w:val="24"/>
                <w:highlight w:val="none"/>
                <w:shd w:val="clear" w:color="auto" w:fill="FFFFFF"/>
                <w:lang w:eastAsia="zh-CN" w:bidi="ar"/>
              </w:rPr>
              <w:t>平顶山学院24#、25#、26#、27#号学生公寓购置家具项目</w:t>
            </w:r>
          </w:p>
        </w:tc>
      </w:tr>
      <w:tr w14:paraId="4F41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7" w:type="dxa"/>
            <w:vAlign w:val="center"/>
          </w:tcPr>
          <w:p w14:paraId="79F5306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97" w:type="dxa"/>
            <w:vAlign w:val="center"/>
          </w:tcPr>
          <w:p w14:paraId="346FBA84">
            <w:pPr>
              <w:jc w:val="center"/>
              <w:rPr>
                <w:rFonts w:ascii="宋体" w:hAnsi="宋体" w:cs="宋体"/>
                <w:color w:val="auto"/>
                <w:sz w:val="24"/>
                <w:highlight w:val="none"/>
              </w:rPr>
            </w:pPr>
            <w:r>
              <w:rPr>
                <w:rFonts w:hint="eastAsia" w:ascii="宋体" w:hAnsi="宋体" w:cs="宋体"/>
                <w:color w:val="auto"/>
                <w:sz w:val="24"/>
                <w:highlight w:val="none"/>
              </w:rPr>
              <w:t>资金来源及落实</w:t>
            </w:r>
          </w:p>
          <w:p w14:paraId="50B4095E">
            <w:pPr>
              <w:jc w:val="center"/>
              <w:rPr>
                <w:rFonts w:ascii="宋体" w:hAnsi="宋体" w:cs="宋体"/>
                <w:color w:val="auto"/>
                <w:sz w:val="24"/>
                <w:highlight w:val="none"/>
              </w:rPr>
            </w:pPr>
            <w:r>
              <w:rPr>
                <w:rFonts w:hint="eastAsia" w:ascii="宋体" w:hAnsi="宋体" w:cs="宋体"/>
                <w:color w:val="auto"/>
                <w:sz w:val="24"/>
                <w:highlight w:val="none"/>
              </w:rPr>
              <w:t>情况</w:t>
            </w:r>
          </w:p>
        </w:tc>
        <w:tc>
          <w:tcPr>
            <w:tcW w:w="6442" w:type="dxa"/>
            <w:vAlign w:val="center"/>
          </w:tcPr>
          <w:p w14:paraId="0E4B50F2">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highlight w:val="none"/>
                <w:shd w:val="clear" w:color="auto" w:fill="FFFFFF"/>
                <w:lang w:val="en-US" w:eastAsia="zh-CN" w:bidi="ar"/>
              </w:rPr>
            </w:pPr>
            <w:r>
              <w:rPr>
                <w:rFonts w:hint="eastAsia" w:ascii="宋体" w:hAnsi="宋体" w:eastAsia="宋体" w:cs="宋体"/>
                <w:color w:val="auto"/>
                <w:kern w:val="0"/>
                <w:sz w:val="24"/>
                <w:highlight w:val="none"/>
                <w:shd w:val="clear" w:color="auto" w:fill="FFFFFF"/>
                <w:lang w:val="en-US" w:eastAsia="zh-CN" w:bidi="ar"/>
              </w:rPr>
              <w:t>财政资金，已落实</w:t>
            </w:r>
          </w:p>
        </w:tc>
      </w:tr>
      <w:tr w14:paraId="44F6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77" w:type="dxa"/>
            <w:vAlign w:val="center"/>
          </w:tcPr>
          <w:p w14:paraId="492DD0D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997" w:type="dxa"/>
            <w:vAlign w:val="center"/>
          </w:tcPr>
          <w:p w14:paraId="67FCB3B8">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采购内容</w:t>
            </w:r>
          </w:p>
        </w:tc>
        <w:tc>
          <w:tcPr>
            <w:tcW w:w="6442" w:type="dxa"/>
            <w:vAlign w:val="center"/>
          </w:tcPr>
          <w:p w14:paraId="622FC6A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highlight w:val="none"/>
                <w:shd w:val="clear" w:color="auto" w:fill="FFFFFF"/>
                <w:lang w:val="en-US" w:eastAsia="zh-CN" w:bidi="ar"/>
              </w:rPr>
            </w:pPr>
            <w:r>
              <w:rPr>
                <w:rFonts w:hint="eastAsia" w:ascii="宋体" w:hAnsi="宋体" w:eastAsia="宋体" w:cs="宋体"/>
                <w:color w:val="auto"/>
                <w:kern w:val="0"/>
                <w:sz w:val="24"/>
                <w:highlight w:val="none"/>
                <w:shd w:val="clear" w:color="auto" w:fill="FFFFFF"/>
                <w:lang w:val="en-US" w:eastAsia="zh-CN" w:bidi="ar"/>
              </w:rPr>
              <w:t>平顶山学院25#、26#、27#学生公寓采购三人位步梯床架1920套、床下组合柜1920套、</w:t>
            </w:r>
            <w:r>
              <w:rPr>
                <w:rFonts w:hint="eastAsia" w:ascii="宋体" w:hAnsi="宋体" w:eastAsia="宋体" w:cs="宋体"/>
                <w:color w:val="auto"/>
                <w:kern w:val="0"/>
                <w:sz w:val="24"/>
                <w:highlight w:val="none"/>
                <w:shd w:val="clear" w:color="auto" w:fill="FFFFFF"/>
                <w:lang w:val="en-US" w:eastAsia="zh-Hans" w:bidi="ar"/>
              </w:rPr>
              <w:t>公寓</w:t>
            </w:r>
            <w:r>
              <w:rPr>
                <w:rFonts w:hint="eastAsia" w:ascii="宋体" w:hAnsi="宋体" w:eastAsia="宋体" w:cs="宋体"/>
                <w:color w:val="auto"/>
                <w:kern w:val="0"/>
                <w:sz w:val="24"/>
                <w:highlight w:val="none"/>
                <w:shd w:val="clear" w:color="auto" w:fill="FFFFFF"/>
                <w:lang w:val="en-US" w:eastAsia="zh-CN" w:bidi="ar"/>
              </w:rPr>
              <w:t>椅1920把，具体详细内容及技术要求详见招标文件。</w:t>
            </w:r>
          </w:p>
        </w:tc>
      </w:tr>
      <w:tr w14:paraId="3332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77" w:type="dxa"/>
            <w:vAlign w:val="center"/>
          </w:tcPr>
          <w:p w14:paraId="0A3494D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997" w:type="dxa"/>
            <w:vAlign w:val="center"/>
          </w:tcPr>
          <w:p w14:paraId="24A68E5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采购方式</w:t>
            </w:r>
          </w:p>
        </w:tc>
        <w:tc>
          <w:tcPr>
            <w:tcW w:w="6442" w:type="dxa"/>
            <w:vAlign w:val="center"/>
          </w:tcPr>
          <w:p w14:paraId="2B7B4C72">
            <w:pPr>
              <w:spacing w:line="400" w:lineRule="exact"/>
              <w:rPr>
                <w:rStyle w:val="29"/>
                <w:rFonts w:ascii="宋体" w:hAnsi="宋体" w:cs="宋体"/>
                <w:b w:val="0"/>
                <w:color w:val="auto"/>
                <w:sz w:val="24"/>
                <w:highlight w:val="none"/>
              </w:rPr>
            </w:pPr>
            <w:r>
              <w:rPr>
                <w:rStyle w:val="29"/>
                <w:rFonts w:hint="eastAsia" w:ascii="宋体" w:hAnsi="宋体" w:cs="宋体"/>
                <w:b w:val="0"/>
                <w:color w:val="auto"/>
                <w:sz w:val="24"/>
                <w:highlight w:val="none"/>
              </w:rPr>
              <w:t>公开招标</w:t>
            </w:r>
          </w:p>
        </w:tc>
      </w:tr>
      <w:tr w14:paraId="26D2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7" w:type="dxa"/>
            <w:vAlign w:val="center"/>
          </w:tcPr>
          <w:p w14:paraId="560D898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1997" w:type="dxa"/>
            <w:vAlign w:val="center"/>
          </w:tcPr>
          <w:p w14:paraId="2CE2400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采购项目属性</w:t>
            </w:r>
          </w:p>
        </w:tc>
        <w:tc>
          <w:tcPr>
            <w:tcW w:w="6442" w:type="dxa"/>
            <w:vAlign w:val="center"/>
          </w:tcPr>
          <w:p w14:paraId="716C0705">
            <w:pPr>
              <w:spacing w:line="400" w:lineRule="exact"/>
              <w:rPr>
                <w:rStyle w:val="29"/>
                <w:rFonts w:ascii="宋体" w:hAnsi="宋体" w:cs="宋体"/>
                <w:b w:val="0"/>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 xml:space="preserve">货物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服务       □工程</w:t>
            </w:r>
          </w:p>
        </w:tc>
      </w:tr>
      <w:tr w14:paraId="3BD4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7" w:type="dxa"/>
            <w:vAlign w:val="center"/>
          </w:tcPr>
          <w:p w14:paraId="43A1449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1997" w:type="dxa"/>
            <w:vAlign w:val="center"/>
          </w:tcPr>
          <w:p w14:paraId="06F53984">
            <w:pPr>
              <w:spacing w:line="400" w:lineRule="exact"/>
              <w:jc w:val="center"/>
              <w:rPr>
                <w:rFonts w:ascii="宋体" w:hAnsi="宋体" w:cs="宋体"/>
                <w:bCs/>
                <w:color w:val="auto"/>
                <w:spacing w:val="4"/>
                <w:sz w:val="24"/>
                <w:highlight w:val="none"/>
              </w:rPr>
            </w:pPr>
            <w:r>
              <w:rPr>
                <w:rFonts w:hint="eastAsia" w:ascii="宋体" w:hAnsi="宋体" w:cs="宋体"/>
                <w:bCs/>
                <w:color w:val="auto"/>
                <w:spacing w:val="4"/>
                <w:sz w:val="24"/>
                <w:highlight w:val="none"/>
              </w:rPr>
              <w:t>合同履行期限</w:t>
            </w:r>
          </w:p>
        </w:tc>
        <w:tc>
          <w:tcPr>
            <w:tcW w:w="6442" w:type="dxa"/>
            <w:vAlign w:val="center"/>
          </w:tcPr>
          <w:p w14:paraId="67D08D57">
            <w:pPr>
              <w:spacing w:line="400" w:lineRule="exact"/>
              <w:rPr>
                <w:rFonts w:ascii="宋体" w:hAnsi="宋体" w:cs="宋体"/>
                <w:bCs/>
                <w:color w:val="auto"/>
                <w:sz w:val="24"/>
                <w:highlight w:val="none"/>
              </w:rPr>
            </w:pPr>
            <w:r>
              <w:rPr>
                <w:rFonts w:hint="eastAsia" w:ascii="宋体" w:hAnsi="宋体" w:eastAsia="宋体" w:cs="宋体"/>
                <w:color w:val="auto"/>
                <w:kern w:val="0"/>
                <w:sz w:val="24"/>
                <w:szCs w:val="24"/>
                <w:highlight w:val="none"/>
                <w:lang w:val="en-US" w:eastAsia="zh-CN" w:bidi="ar-SA"/>
              </w:rPr>
              <w:t>合同签订生效后至质保期满</w:t>
            </w:r>
          </w:p>
        </w:tc>
      </w:tr>
      <w:tr w14:paraId="001B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77" w:type="dxa"/>
            <w:vAlign w:val="center"/>
          </w:tcPr>
          <w:p w14:paraId="57B2512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1997" w:type="dxa"/>
            <w:vAlign w:val="center"/>
          </w:tcPr>
          <w:p w14:paraId="5CCD7C8D">
            <w:pPr>
              <w:spacing w:line="400" w:lineRule="exact"/>
              <w:jc w:val="center"/>
              <w:rPr>
                <w:rFonts w:ascii="宋体" w:hAnsi="宋体" w:cs="宋体"/>
                <w:bCs/>
                <w:color w:val="auto"/>
                <w:spacing w:val="4"/>
                <w:sz w:val="24"/>
                <w:highlight w:val="none"/>
              </w:rPr>
            </w:pPr>
            <w:r>
              <w:rPr>
                <w:rFonts w:hint="eastAsia" w:ascii="宋体" w:hAnsi="宋体" w:cs="宋体"/>
                <w:bCs/>
                <w:color w:val="auto"/>
                <w:spacing w:val="4"/>
                <w:sz w:val="24"/>
                <w:highlight w:val="none"/>
              </w:rPr>
              <w:t>交货期</w:t>
            </w:r>
          </w:p>
        </w:tc>
        <w:tc>
          <w:tcPr>
            <w:tcW w:w="6442" w:type="dxa"/>
            <w:vAlign w:val="center"/>
          </w:tcPr>
          <w:p w14:paraId="5E3A0571">
            <w:pPr>
              <w:spacing w:line="40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合同签订后</w:t>
            </w:r>
            <w:r>
              <w:rPr>
                <w:rFonts w:hint="eastAsia" w:ascii="宋体" w:hAnsi="宋体" w:cs="宋体"/>
                <w:color w:val="auto"/>
                <w:kern w:val="0"/>
                <w:sz w:val="24"/>
                <w:highlight w:val="none"/>
                <w:shd w:val="clear" w:color="auto" w:fill="FFFFFF"/>
                <w:lang w:val="en-US" w:eastAsia="zh-CN" w:bidi="ar"/>
              </w:rPr>
              <w:t>50日历</w:t>
            </w:r>
            <w:r>
              <w:rPr>
                <w:rFonts w:hint="eastAsia" w:ascii="宋体" w:hAnsi="宋体" w:cs="宋体"/>
                <w:color w:val="auto"/>
                <w:kern w:val="0"/>
                <w:sz w:val="24"/>
                <w:highlight w:val="none"/>
                <w:shd w:val="clear" w:color="auto" w:fill="FFFFFF"/>
                <w:lang w:bidi="ar"/>
              </w:rPr>
              <w:t>天内到货并安装完毕</w:t>
            </w:r>
          </w:p>
        </w:tc>
      </w:tr>
      <w:tr w14:paraId="5213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Align w:val="center"/>
          </w:tcPr>
          <w:p w14:paraId="06E365A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97" w:type="dxa"/>
            <w:vAlign w:val="center"/>
          </w:tcPr>
          <w:p w14:paraId="0AC9CA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交货地点</w:t>
            </w:r>
          </w:p>
        </w:tc>
        <w:tc>
          <w:tcPr>
            <w:tcW w:w="6442" w:type="dxa"/>
            <w:vAlign w:val="center"/>
          </w:tcPr>
          <w:p w14:paraId="654B6A2B">
            <w:pPr>
              <w:spacing w:line="400" w:lineRule="exact"/>
              <w:jc w:val="left"/>
              <w:rPr>
                <w:rFonts w:ascii="宋体" w:hAnsi="宋体" w:cs="宋体"/>
                <w:color w:val="auto"/>
                <w:sz w:val="24"/>
                <w:highlight w:val="none"/>
              </w:rPr>
            </w:pPr>
            <w:r>
              <w:rPr>
                <w:rFonts w:hint="eastAsia" w:ascii="宋体" w:hAnsi="宋体" w:cs="宋体"/>
                <w:color w:val="auto"/>
                <w:sz w:val="24"/>
                <w:highlight w:val="none"/>
              </w:rPr>
              <w:t>招标人指定地点</w:t>
            </w:r>
          </w:p>
        </w:tc>
      </w:tr>
      <w:tr w14:paraId="6CC3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74AE348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97" w:type="dxa"/>
            <w:vAlign w:val="center"/>
          </w:tcPr>
          <w:p w14:paraId="60B3436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质量及</w:t>
            </w:r>
            <w:r>
              <w:rPr>
                <w:rFonts w:hint="eastAsia" w:ascii="宋体" w:hAnsi="宋体" w:cs="宋体"/>
                <w:color w:val="auto"/>
                <w:sz w:val="24"/>
                <w:highlight w:val="none"/>
                <w:lang w:val="zh-CN"/>
              </w:rPr>
              <w:t>质保期</w:t>
            </w:r>
          </w:p>
        </w:tc>
        <w:tc>
          <w:tcPr>
            <w:tcW w:w="6442" w:type="dxa"/>
            <w:vAlign w:val="center"/>
          </w:tcPr>
          <w:p w14:paraId="4792BA41">
            <w:pPr>
              <w:spacing w:line="400" w:lineRule="exact"/>
              <w:jc w:val="left"/>
              <w:rPr>
                <w:rFonts w:hint="eastAsia" w:ascii="宋体" w:hAnsi="宋体" w:cs="宋体"/>
                <w:color w:val="auto"/>
                <w:kern w:val="0"/>
                <w:sz w:val="24"/>
                <w:highlight w:val="none"/>
                <w:shd w:val="clear" w:color="auto" w:fill="FFFFFF"/>
                <w:lang w:val="en-US" w:eastAsia="zh-CN" w:bidi="ar"/>
              </w:rPr>
            </w:pPr>
            <w:r>
              <w:rPr>
                <w:rFonts w:hint="eastAsia" w:ascii="宋体" w:hAnsi="宋体" w:cs="宋体"/>
                <w:color w:val="auto"/>
                <w:kern w:val="0"/>
                <w:sz w:val="24"/>
                <w:highlight w:val="none"/>
                <w:shd w:val="clear" w:color="auto" w:fill="FFFFFF"/>
                <w:lang w:val="en-US" w:eastAsia="zh-CN" w:bidi="ar"/>
              </w:rPr>
              <w:t>质量要求：</w:t>
            </w:r>
            <w:r>
              <w:rPr>
                <w:rFonts w:hint="eastAsia" w:ascii="宋体" w:hAnsi="宋体" w:cs="宋体"/>
                <w:color w:val="auto"/>
                <w:kern w:val="0"/>
                <w:sz w:val="24"/>
                <w:highlight w:val="none"/>
                <w:shd w:val="clear" w:color="auto" w:fill="FFFFFF"/>
                <w:lang w:bidi="ar"/>
              </w:rPr>
              <w:t>符合国家或行业技术规范标准，质量要求合格</w:t>
            </w:r>
          </w:p>
          <w:p w14:paraId="09E2617D">
            <w:pPr>
              <w:spacing w:line="400" w:lineRule="exact"/>
              <w:jc w:val="left"/>
              <w:rPr>
                <w:rFonts w:hint="eastAsia" w:ascii="宋体" w:hAnsi="宋体" w:eastAsia="宋体" w:cs="宋体"/>
                <w:b/>
                <w:color w:val="auto"/>
                <w:sz w:val="24"/>
                <w:highlight w:val="none"/>
                <w:lang w:eastAsia="zh-CN"/>
              </w:rPr>
            </w:pPr>
            <w:r>
              <w:rPr>
                <w:rFonts w:hint="eastAsia" w:ascii="宋体" w:hAnsi="宋体" w:cs="宋体"/>
                <w:color w:val="auto"/>
                <w:kern w:val="0"/>
                <w:sz w:val="24"/>
                <w:highlight w:val="none"/>
                <w:shd w:val="clear" w:color="auto" w:fill="FFFFFF"/>
                <w:lang w:val="zh-CN" w:eastAsia="zh-CN" w:bidi="ar"/>
              </w:rPr>
              <w:t>质保期:</w:t>
            </w:r>
            <w:r>
              <w:rPr>
                <w:rFonts w:hint="eastAsia" w:ascii="宋体" w:hAnsi="宋体" w:cs="宋体"/>
                <w:color w:val="auto"/>
                <w:kern w:val="0"/>
                <w:sz w:val="24"/>
                <w:highlight w:val="none"/>
                <w:shd w:val="clear" w:color="auto" w:fill="FFFFFF"/>
                <w:lang w:val="en-US" w:eastAsia="zh-CN" w:bidi="ar"/>
              </w:rPr>
              <w:t xml:space="preserve"> 3</w:t>
            </w:r>
            <w:r>
              <w:rPr>
                <w:rFonts w:hint="eastAsia" w:ascii="宋体" w:hAnsi="宋体" w:cs="宋体"/>
                <w:color w:val="auto"/>
                <w:kern w:val="0"/>
                <w:sz w:val="24"/>
                <w:highlight w:val="none"/>
                <w:shd w:val="clear" w:color="auto" w:fill="FFFFFF"/>
                <w:lang w:val="zh-CN" w:eastAsia="zh-CN" w:bidi="ar"/>
              </w:rPr>
              <w:t>年</w:t>
            </w:r>
            <w:r>
              <w:rPr>
                <w:rFonts w:hint="eastAsia" w:ascii="宋体" w:hAnsi="宋体" w:cs="宋体"/>
                <w:color w:val="auto"/>
                <w:kern w:val="0"/>
                <w:sz w:val="24"/>
                <w:highlight w:val="none"/>
                <w:shd w:val="clear" w:color="auto" w:fill="FFFFFF"/>
                <w:lang w:val="en-US" w:eastAsia="zh-CN" w:bidi="ar"/>
              </w:rPr>
              <w:t>，</w:t>
            </w:r>
            <w:r>
              <w:rPr>
                <w:rFonts w:hint="default" w:ascii="宋体" w:hAnsi="宋体" w:cs="宋体"/>
                <w:color w:val="auto"/>
                <w:kern w:val="0"/>
                <w:sz w:val="24"/>
                <w:highlight w:val="none"/>
                <w:shd w:val="clear" w:color="auto" w:fill="FFFFFF"/>
                <w:lang w:val="en-US" w:eastAsia="zh-CN" w:bidi="ar"/>
              </w:rPr>
              <w:t>从</w:t>
            </w:r>
            <w:r>
              <w:rPr>
                <w:rFonts w:hint="default" w:ascii="宋体" w:hAnsi="宋体" w:cs="宋体"/>
                <w:color w:val="auto"/>
                <w:kern w:val="0"/>
                <w:sz w:val="24"/>
                <w:highlight w:val="none"/>
                <w:shd w:val="clear" w:color="auto" w:fill="FFFFFF"/>
                <w:lang w:bidi="ar"/>
              </w:rPr>
              <w:t>验收合格之日起开始计算</w:t>
            </w:r>
            <w:r>
              <w:rPr>
                <w:rFonts w:hint="eastAsia" w:ascii="宋体" w:hAnsi="宋体" w:cs="宋体"/>
                <w:color w:val="auto"/>
                <w:kern w:val="0"/>
                <w:sz w:val="24"/>
                <w:highlight w:val="none"/>
                <w:shd w:val="clear" w:color="auto" w:fill="FFFFFF"/>
                <w:lang w:eastAsia="zh-CN" w:bidi="ar"/>
              </w:rPr>
              <w:t>。</w:t>
            </w:r>
          </w:p>
        </w:tc>
      </w:tr>
      <w:tr w14:paraId="538E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7" w:type="dxa"/>
            <w:vAlign w:val="center"/>
          </w:tcPr>
          <w:p w14:paraId="6F9E611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1997" w:type="dxa"/>
            <w:vAlign w:val="center"/>
          </w:tcPr>
          <w:p w14:paraId="19F187E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投标人资格要求</w:t>
            </w:r>
          </w:p>
        </w:tc>
        <w:tc>
          <w:tcPr>
            <w:tcW w:w="6442" w:type="dxa"/>
            <w:vAlign w:val="center"/>
          </w:tcPr>
          <w:p w14:paraId="291F8CEE">
            <w:pPr>
              <w:spacing w:line="400" w:lineRule="exact"/>
              <w:jc w:val="left"/>
              <w:rPr>
                <w:color w:val="auto"/>
                <w:highlight w:val="none"/>
              </w:rPr>
            </w:pPr>
            <w:r>
              <w:rPr>
                <w:rFonts w:hint="eastAsia" w:ascii="宋体" w:hAnsi="宋体" w:eastAsia="宋体" w:cs="宋体"/>
                <w:color w:val="auto"/>
                <w:kern w:val="0"/>
                <w:sz w:val="24"/>
                <w:highlight w:val="none"/>
                <w:shd w:val="clear" w:color="auto" w:fill="FFFFFF"/>
                <w:lang w:val="en-US" w:eastAsia="zh-CN" w:bidi="ar"/>
              </w:rPr>
              <w:t>符合招标公告“二、申请人资格要求”</w:t>
            </w:r>
          </w:p>
        </w:tc>
      </w:tr>
      <w:tr w14:paraId="2809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4958ACE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1997" w:type="dxa"/>
            <w:vAlign w:val="center"/>
          </w:tcPr>
          <w:p w14:paraId="558DA9B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是否接受联合体投标</w:t>
            </w:r>
          </w:p>
        </w:tc>
        <w:tc>
          <w:tcPr>
            <w:tcW w:w="6442" w:type="dxa"/>
            <w:vAlign w:val="center"/>
          </w:tcPr>
          <w:p w14:paraId="7DFFE51D">
            <w:pPr>
              <w:spacing w:line="400" w:lineRule="exact"/>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不接受</w:t>
            </w:r>
          </w:p>
          <w:p w14:paraId="50384A2B">
            <w:pPr>
              <w:spacing w:line="400" w:lineRule="exact"/>
              <w:rPr>
                <w:rFonts w:ascii="宋体" w:hAnsi="宋体" w:cs="宋体"/>
                <w:color w:val="auto"/>
                <w:sz w:val="24"/>
                <w:highlight w:val="none"/>
              </w:rPr>
            </w:pPr>
            <w:r>
              <w:rPr>
                <w:rFonts w:hint="eastAsia" w:ascii="宋体" w:hAnsi="宋体" w:cs="宋体"/>
                <w:color w:val="auto"/>
                <w:sz w:val="24"/>
                <w:highlight w:val="none"/>
              </w:rPr>
              <w:t>□接受</w:t>
            </w:r>
          </w:p>
        </w:tc>
      </w:tr>
      <w:tr w14:paraId="3EB5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301A71D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1997" w:type="dxa"/>
            <w:vAlign w:val="center"/>
          </w:tcPr>
          <w:p w14:paraId="5B5A184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踏勘现场及答疑</w:t>
            </w:r>
          </w:p>
        </w:tc>
        <w:tc>
          <w:tcPr>
            <w:tcW w:w="6442" w:type="dxa"/>
            <w:vAlign w:val="center"/>
          </w:tcPr>
          <w:p w14:paraId="3CCEE528">
            <w:pPr>
              <w:spacing w:line="400" w:lineRule="exact"/>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不组织</w:t>
            </w:r>
            <w:r>
              <w:rPr>
                <w:rFonts w:hint="eastAsia" w:ascii="宋体" w:hAnsi="宋体" w:cs="宋体"/>
                <w:color w:val="auto"/>
                <w:sz w:val="24"/>
                <w:highlight w:val="none"/>
                <w:lang w:eastAsia="zh-CN"/>
              </w:rPr>
              <w:t>，</w:t>
            </w:r>
            <w:r>
              <w:rPr>
                <w:rFonts w:hint="default" w:ascii="宋体" w:hAnsi="宋体" w:cs="宋体"/>
                <w:color w:val="auto"/>
                <w:kern w:val="0"/>
                <w:sz w:val="24"/>
                <w:highlight w:val="none"/>
                <w:shd w:val="clear" w:color="auto" w:fill="FFFFFF"/>
                <w:lang w:bidi="ar"/>
              </w:rPr>
              <w:t>投标人可自行对项目现场和周围环境进行踏勘，踏勘现场所发生的费用由投标人自己承担。出现事故，责任由投标人自行承担。</w:t>
            </w:r>
          </w:p>
          <w:p w14:paraId="3D9EEC26">
            <w:pPr>
              <w:spacing w:line="400" w:lineRule="exact"/>
              <w:rPr>
                <w:rFonts w:ascii="宋体" w:hAnsi="宋体" w:cs="宋体"/>
                <w:color w:val="auto"/>
                <w:sz w:val="24"/>
                <w:highlight w:val="none"/>
              </w:rPr>
            </w:pPr>
            <w:r>
              <w:rPr>
                <w:rFonts w:hint="eastAsia" w:ascii="宋体" w:hAnsi="宋体" w:cs="宋体"/>
                <w:color w:val="auto"/>
                <w:sz w:val="24"/>
                <w:highlight w:val="none"/>
              </w:rPr>
              <w:t>□组织</w:t>
            </w:r>
          </w:p>
        </w:tc>
      </w:tr>
      <w:tr w14:paraId="4962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5078DD8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1997" w:type="dxa"/>
            <w:vAlign w:val="center"/>
          </w:tcPr>
          <w:p w14:paraId="4CC87CB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投标预备会</w:t>
            </w:r>
          </w:p>
        </w:tc>
        <w:tc>
          <w:tcPr>
            <w:tcW w:w="6442" w:type="dxa"/>
            <w:vAlign w:val="center"/>
          </w:tcPr>
          <w:p w14:paraId="11FC65D3">
            <w:pPr>
              <w:spacing w:line="400" w:lineRule="exact"/>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不召开</w:t>
            </w:r>
          </w:p>
          <w:p w14:paraId="0404E482">
            <w:pPr>
              <w:spacing w:line="400" w:lineRule="exact"/>
              <w:rPr>
                <w:rFonts w:ascii="宋体" w:hAnsi="宋体" w:cs="宋体"/>
                <w:color w:val="auto"/>
                <w:sz w:val="24"/>
                <w:highlight w:val="none"/>
              </w:rPr>
            </w:pPr>
            <w:r>
              <w:rPr>
                <w:rFonts w:hint="eastAsia" w:ascii="宋体" w:hAnsi="宋体" w:cs="宋体"/>
                <w:color w:val="auto"/>
                <w:sz w:val="24"/>
                <w:highlight w:val="none"/>
              </w:rPr>
              <w:t>□召开</w:t>
            </w:r>
          </w:p>
        </w:tc>
      </w:tr>
      <w:tr w14:paraId="6075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68D5A49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1997" w:type="dxa"/>
            <w:vAlign w:val="center"/>
          </w:tcPr>
          <w:p w14:paraId="05D42AD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技术偏离</w:t>
            </w:r>
          </w:p>
        </w:tc>
        <w:tc>
          <w:tcPr>
            <w:tcW w:w="6442" w:type="dxa"/>
            <w:vAlign w:val="center"/>
          </w:tcPr>
          <w:p w14:paraId="7A1D48DD">
            <w:pPr>
              <w:spacing w:line="400" w:lineRule="exact"/>
              <w:rPr>
                <w:rFonts w:ascii="宋体" w:hAnsi="宋体" w:cs="宋体"/>
                <w:color w:val="auto"/>
                <w:sz w:val="24"/>
                <w:highlight w:val="none"/>
              </w:rPr>
            </w:pPr>
            <w:r>
              <w:rPr>
                <w:rFonts w:hint="eastAsia" w:ascii="宋体" w:hAnsi="宋体" w:cs="宋体"/>
                <w:color w:val="auto"/>
                <w:sz w:val="24"/>
                <w:highlight w:val="none"/>
              </w:rPr>
              <w:t>□不允许</w:t>
            </w:r>
          </w:p>
          <w:p w14:paraId="40DBAF69">
            <w:pPr>
              <w:spacing w:line="400" w:lineRule="exact"/>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允许</w:t>
            </w:r>
          </w:p>
        </w:tc>
      </w:tr>
      <w:tr w14:paraId="5215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77" w:type="dxa"/>
            <w:vAlign w:val="center"/>
          </w:tcPr>
          <w:p w14:paraId="218803D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1997" w:type="dxa"/>
            <w:vAlign w:val="center"/>
          </w:tcPr>
          <w:p w14:paraId="7BCC974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构成招标文件的</w:t>
            </w:r>
          </w:p>
          <w:p w14:paraId="52F987D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其他材料</w:t>
            </w:r>
          </w:p>
        </w:tc>
        <w:tc>
          <w:tcPr>
            <w:tcW w:w="6442" w:type="dxa"/>
            <w:vAlign w:val="center"/>
          </w:tcPr>
          <w:p w14:paraId="0B9A257C">
            <w:pPr>
              <w:spacing w:line="400" w:lineRule="exact"/>
              <w:rPr>
                <w:rFonts w:ascii="宋体" w:hAnsi="宋体" w:cs="宋体"/>
                <w:color w:val="auto"/>
                <w:sz w:val="24"/>
                <w:highlight w:val="none"/>
              </w:rPr>
            </w:pPr>
            <w:r>
              <w:rPr>
                <w:rFonts w:hint="eastAsia" w:ascii="宋体" w:hAnsi="宋体" w:cs="宋体"/>
                <w:color w:val="auto"/>
                <w:sz w:val="24"/>
                <w:highlight w:val="none"/>
              </w:rPr>
              <w:t>与本项目有关的解答、澄清、修改与补充等</w:t>
            </w:r>
          </w:p>
        </w:tc>
      </w:tr>
      <w:tr w14:paraId="3785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77" w:type="dxa"/>
            <w:vAlign w:val="center"/>
          </w:tcPr>
          <w:p w14:paraId="4245DCB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1997" w:type="dxa"/>
            <w:vAlign w:val="center"/>
          </w:tcPr>
          <w:p w14:paraId="3D69CEE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投标人要求澄清招标文件的截止时间</w:t>
            </w:r>
          </w:p>
        </w:tc>
        <w:tc>
          <w:tcPr>
            <w:tcW w:w="6442" w:type="dxa"/>
            <w:vAlign w:val="center"/>
          </w:tcPr>
          <w:p w14:paraId="0DB876CE">
            <w:pPr>
              <w:spacing w:line="400" w:lineRule="exact"/>
              <w:jc w:val="left"/>
              <w:rPr>
                <w:rFonts w:ascii="宋体" w:hAnsi="宋体" w:cs="宋体"/>
                <w:color w:val="auto"/>
                <w:sz w:val="24"/>
                <w:highlight w:val="none"/>
              </w:rPr>
            </w:pPr>
            <w:r>
              <w:rPr>
                <w:rFonts w:hint="eastAsia" w:ascii="宋体" w:hAnsi="宋体" w:cs="宋体"/>
                <w:color w:val="auto"/>
                <w:sz w:val="24"/>
                <w:highlight w:val="none"/>
              </w:rPr>
              <w:t>自获取招标文件之日或招标文件公告期限届满之日起7个工作日内，在电子交易系统中提出并通知到采购代理机构</w:t>
            </w:r>
          </w:p>
        </w:tc>
      </w:tr>
      <w:tr w14:paraId="6D9D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77" w:type="dxa"/>
            <w:vAlign w:val="center"/>
          </w:tcPr>
          <w:p w14:paraId="696F6B3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1997" w:type="dxa"/>
            <w:vAlign w:val="center"/>
          </w:tcPr>
          <w:p w14:paraId="294EF67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投标截止时间</w:t>
            </w:r>
          </w:p>
        </w:tc>
        <w:tc>
          <w:tcPr>
            <w:tcW w:w="6442" w:type="dxa"/>
            <w:vAlign w:val="center"/>
          </w:tcPr>
          <w:p w14:paraId="07E2DD56">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投标截止时间:</w:t>
            </w:r>
            <w:r>
              <w:rPr>
                <w:rFonts w:hint="eastAsia" w:ascii="宋体" w:hAnsi="宋体" w:cs="宋体"/>
                <w:bCs/>
                <w:color w:val="auto"/>
                <w:sz w:val="24"/>
              </w:rPr>
              <w:t>时间：</w:t>
            </w:r>
            <w:r>
              <w:rPr>
                <w:rFonts w:hint="eastAsia" w:ascii="宋体" w:hAnsi="宋体" w:cs="宋体"/>
                <w:color w:val="auto"/>
                <w:kern w:val="0"/>
                <w:sz w:val="24"/>
                <w:shd w:val="clear" w:color="auto" w:fill="FFFFFF"/>
                <w:lang w:bidi="ar"/>
              </w:rPr>
              <w:t>202</w:t>
            </w:r>
            <w:r>
              <w:rPr>
                <w:rFonts w:hint="eastAsia" w:ascii="宋体" w:hAnsi="宋体" w:cs="宋体"/>
                <w:color w:val="auto"/>
                <w:kern w:val="0"/>
                <w:sz w:val="24"/>
                <w:shd w:val="clear" w:color="auto" w:fill="FFFFFF"/>
                <w:lang w:val="en-US" w:eastAsia="zh-CN" w:bidi="ar"/>
              </w:rPr>
              <w:t>6</w:t>
            </w:r>
            <w:r>
              <w:rPr>
                <w:rFonts w:hint="eastAsia" w:ascii="宋体" w:hAnsi="宋体" w:cs="宋体"/>
                <w:color w:val="auto"/>
                <w:kern w:val="0"/>
                <w:sz w:val="24"/>
                <w:shd w:val="clear" w:color="auto" w:fill="FFFFFF"/>
                <w:lang w:bidi="ar"/>
              </w:rPr>
              <w:t>年</w:t>
            </w: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月</w:t>
            </w:r>
            <w:r>
              <w:rPr>
                <w:rFonts w:hint="eastAsia" w:ascii="宋体" w:hAnsi="宋体" w:cs="宋体"/>
                <w:color w:val="auto"/>
                <w:kern w:val="0"/>
                <w:sz w:val="24"/>
                <w:shd w:val="clear" w:color="auto" w:fill="FFFFFF"/>
                <w:lang w:val="en-US" w:eastAsia="zh-CN" w:bidi="ar"/>
              </w:rPr>
              <w:t>3</w:t>
            </w:r>
            <w:r>
              <w:rPr>
                <w:rFonts w:hint="eastAsia" w:ascii="宋体" w:hAnsi="宋体" w:cs="宋体"/>
                <w:color w:val="auto"/>
                <w:kern w:val="0"/>
                <w:sz w:val="24"/>
                <w:shd w:val="clear" w:color="auto" w:fill="FFFFFF"/>
                <w:lang w:bidi="ar"/>
              </w:rPr>
              <w:t>日</w:t>
            </w:r>
            <w:r>
              <w:rPr>
                <w:rFonts w:hint="eastAsia" w:ascii="宋体" w:hAnsi="宋体" w:cs="宋体"/>
                <w:color w:val="auto"/>
                <w:kern w:val="0"/>
                <w:sz w:val="24"/>
                <w:shd w:val="clear" w:color="auto" w:fill="FFFFFF"/>
                <w:lang w:val="en-US" w:eastAsia="zh-CN" w:bidi="ar"/>
              </w:rPr>
              <w:t>8</w:t>
            </w:r>
            <w:r>
              <w:rPr>
                <w:rFonts w:hint="eastAsia" w:ascii="宋体" w:hAnsi="宋体" w:cs="宋体"/>
                <w:color w:val="auto"/>
                <w:kern w:val="0"/>
                <w:sz w:val="24"/>
                <w:shd w:val="clear" w:color="auto" w:fill="FFFFFF"/>
                <w:lang w:bidi="ar"/>
              </w:rPr>
              <w:t>时</w:t>
            </w:r>
            <w:r>
              <w:rPr>
                <w:rFonts w:hint="eastAsia" w:ascii="宋体" w:hAnsi="宋体" w:cs="宋体"/>
                <w:color w:val="auto"/>
                <w:kern w:val="0"/>
                <w:sz w:val="24"/>
                <w:shd w:val="clear" w:color="auto" w:fill="FFFFFF"/>
                <w:lang w:val="en-US" w:eastAsia="zh-CN" w:bidi="ar"/>
              </w:rPr>
              <w:t>40</w:t>
            </w:r>
            <w:r>
              <w:rPr>
                <w:rFonts w:hint="eastAsia" w:ascii="宋体" w:hAnsi="宋体" w:cs="宋体"/>
                <w:color w:val="auto"/>
                <w:kern w:val="0"/>
                <w:sz w:val="24"/>
                <w:shd w:val="clear" w:color="auto" w:fill="FFFFFF"/>
                <w:lang w:bidi="ar"/>
              </w:rPr>
              <w:t>分</w:t>
            </w:r>
            <w:bookmarkStart w:id="43" w:name="_GoBack"/>
            <w:bookmarkEnd w:id="43"/>
            <w:r>
              <w:rPr>
                <w:rFonts w:hint="eastAsia" w:ascii="宋体" w:hAnsi="宋体" w:cs="宋体"/>
                <w:b/>
                <w:bCs/>
                <w:color w:val="auto"/>
                <w:sz w:val="24"/>
                <w:highlight w:val="none"/>
              </w:rPr>
              <w:t>（北京时间）。</w:t>
            </w:r>
          </w:p>
          <w:p w14:paraId="113B0DFF">
            <w:pPr>
              <w:spacing w:line="400" w:lineRule="exact"/>
              <w:rPr>
                <w:rFonts w:ascii="宋体" w:hAnsi="宋体" w:cs="宋体"/>
                <w:color w:val="auto"/>
                <w:sz w:val="24"/>
                <w:highlight w:val="none"/>
              </w:rPr>
            </w:pPr>
            <w:r>
              <w:rPr>
                <w:rFonts w:hint="eastAsia" w:ascii="宋体" w:hAnsi="宋体" w:cs="宋体"/>
                <w:color w:val="auto"/>
                <w:sz w:val="24"/>
                <w:highlight w:val="none"/>
              </w:rPr>
              <w:t>注：全面实行在线“不见面”开标，投标人远程在线解密投标文件，不再到开标现场，投标人开标前应仔细阅读《“不见面”开标注意事项及操作流程》。</w:t>
            </w:r>
          </w:p>
        </w:tc>
      </w:tr>
      <w:tr w14:paraId="07A2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7" w:type="dxa"/>
            <w:vAlign w:val="center"/>
          </w:tcPr>
          <w:p w14:paraId="5CF4189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1997" w:type="dxa"/>
            <w:vAlign w:val="center"/>
          </w:tcPr>
          <w:p w14:paraId="679143D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442" w:type="dxa"/>
            <w:vAlign w:val="center"/>
          </w:tcPr>
          <w:p w14:paraId="3C94461F">
            <w:pPr>
              <w:spacing w:line="400" w:lineRule="exact"/>
              <w:jc w:val="left"/>
              <w:rPr>
                <w:rFonts w:ascii="宋体" w:hAnsi="宋体" w:cs="宋体"/>
                <w:color w:val="auto"/>
                <w:sz w:val="24"/>
                <w:highlight w:val="none"/>
              </w:rPr>
            </w:pPr>
            <w:r>
              <w:rPr>
                <w:rFonts w:hint="eastAsia" w:ascii="宋体" w:hAnsi="宋体" w:cs="宋体"/>
                <w:color w:val="auto"/>
                <w:sz w:val="24"/>
                <w:highlight w:val="none"/>
              </w:rPr>
              <w:t>自投标截止之日起90日历天</w:t>
            </w:r>
          </w:p>
        </w:tc>
      </w:tr>
      <w:tr w14:paraId="0114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77" w:type="dxa"/>
            <w:vAlign w:val="center"/>
          </w:tcPr>
          <w:p w14:paraId="1D1336B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1997" w:type="dxa"/>
            <w:vAlign w:val="center"/>
          </w:tcPr>
          <w:p w14:paraId="1FBA8A4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442" w:type="dxa"/>
            <w:vAlign w:val="center"/>
          </w:tcPr>
          <w:p w14:paraId="49FE4545">
            <w:pPr>
              <w:spacing w:line="400" w:lineRule="exact"/>
              <w:jc w:val="left"/>
              <w:rPr>
                <w:rFonts w:ascii="宋体" w:hAnsi="宋体" w:cs="宋体"/>
                <w:color w:val="auto"/>
                <w:sz w:val="24"/>
                <w:highlight w:val="none"/>
              </w:rPr>
            </w:pPr>
            <w:r>
              <w:rPr>
                <w:rFonts w:hint="eastAsia" w:ascii="宋体" w:hAnsi="宋体" w:cs="宋体"/>
                <w:color w:val="auto"/>
                <w:sz w:val="24"/>
                <w:highlight w:val="none"/>
                <w:lang w:eastAsia="zh-CN"/>
              </w:rPr>
              <w:t>不收取</w:t>
            </w:r>
            <w:r>
              <w:rPr>
                <w:rFonts w:hint="eastAsia" w:ascii="宋体" w:hAnsi="宋体" w:cs="宋体"/>
                <w:color w:val="auto"/>
                <w:sz w:val="24"/>
                <w:highlight w:val="none"/>
              </w:rPr>
              <w:t>。</w:t>
            </w:r>
          </w:p>
        </w:tc>
      </w:tr>
      <w:tr w14:paraId="3009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0F82D58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1997" w:type="dxa"/>
            <w:vAlign w:val="center"/>
          </w:tcPr>
          <w:p w14:paraId="3201CD96">
            <w:pPr>
              <w:pStyle w:val="73"/>
              <w:spacing w:line="400" w:lineRule="exact"/>
              <w:jc w:val="center"/>
              <w:rPr>
                <w:color w:val="auto"/>
                <w:highlight w:val="none"/>
              </w:rPr>
            </w:pPr>
            <w:r>
              <w:rPr>
                <w:rFonts w:hint="eastAsia"/>
                <w:bCs/>
                <w:color w:val="auto"/>
                <w:highlight w:val="none"/>
                <w:lang w:val="zh-CN"/>
              </w:rPr>
              <w:t>电子化投标文件的签章要求</w:t>
            </w:r>
          </w:p>
        </w:tc>
        <w:tc>
          <w:tcPr>
            <w:tcW w:w="6442" w:type="dxa"/>
            <w:vAlign w:val="center"/>
          </w:tcPr>
          <w:p w14:paraId="3CCDA6F2">
            <w:pPr>
              <w:spacing w:line="400" w:lineRule="exact"/>
              <w:rPr>
                <w:rFonts w:ascii="宋体" w:hAnsi="宋体" w:cs="宋体"/>
                <w:color w:val="auto"/>
                <w:sz w:val="24"/>
                <w:highlight w:val="none"/>
              </w:rPr>
            </w:pPr>
            <w:r>
              <w:rPr>
                <w:rFonts w:hint="eastAsia" w:ascii="宋体" w:hAnsi="宋体" w:cs="宋体"/>
                <w:color w:val="auto"/>
                <w:sz w:val="24"/>
                <w:highlight w:val="none"/>
              </w:rPr>
              <w:t>电子化投标文件的签章</w:t>
            </w:r>
          </w:p>
          <w:p w14:paraId="3E55919E">
            <w:pPr>
              <w:spacing w:line="400" w:lineRule="exact"/>
              <w:rPr>
                <w:rFonts w:ascii="宋体" w:hAnsi="宋体" w:cs="宋体"/>
                <w:color w:val="auto"/>
                <w:sz w:val="24"/>
                <w:highlight w:val="none"/>
              </w:rPr>
            </w:pPr>
            <w:r>
              <w:rPr>
                <w:rFonts w:hint="eastAsia" w:ascii="宋体" w:hAnsi="宋体" w:cs="宋体"/>
                <w:color w:val="auto"/>
                <w:sz w:val="24"/>
                <w:highlight w:val="none"/>
              </w:rPr>
              <w:t>1、投标人在生成电子化投标文件后，应对电子化投标文件进行签章，未进行签章的视为无效投标。</w:t>
            </w:r>
          </w:p>
          <w:p w14:paraId="60A15011">
            <w:pPr>
              <w:spacing w:line="400" w:lineRule="exact"/>
              <w:rPr>
                <w:rFonts w:ascii="宋体" w:hAnsi="宋体" w:cs="宋体"/>
                <w:color w:val="auto"/>
                <w:sz w:val="24"/>
                <w:highlight w:val="none"/>
              </w:rPr>
            </w:pPr>
            <w:r>
              <w:rPr>
                <w:rFonts w:hint="eastAsia" w:ascii="宋体" w:hAnsi="宋体" w:cs="宋体"/>
                <w:color w:val="auto"/>
                <w:sz w:val="24"/>
                <w:highlight w:val="none"/>
              </w:rPr>
              <w:t>2、投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14:paraId="3331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47D2FAE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1997" w:type="dxa"/>
            <w:vAlign w:val="center"/>
          </w:tcPr>
          <w:p w14:paraId="23EDBFA4">
            <w:pPr>
              <w:spacing w:line="400" w:lineRule="exact"/>
              <w:jc w:val="center"/>
              <w:rPr>
                <w:rFonts w:ascii="宋体" w:hAnsi="宋体" w:cs="宋体"/>
                <w:color w:val="auto"/>
                <w:sz w:val="24"/>
                <w:highlight w:val="none"/>
              </w:rPr>
            </w:pPr>
            <w:r>
              <w:rPr>
                <w:rFonts w:hint="eastAsia" w:ascii="宋体" w:hAnsi="宋体" w:cs="宋体"/>
                <w:bCs/>
                <w:color w:val="auto"/>
                <w:sz w:val="24"/>
                <w:highlight w:val="none"/>
                <w:lang w:val="zh-CN"/>
              </w:rPr>
              <w:t>投标文件格式及递交方式</w:t>
            </w:r>
          </w:p>
        </w:tc>
        <w:tc>
          <w:tcPr>
            <w:tcW w:w="6442" w:type="dxa"/>
            <w:vAlign w:val="center"/>
          </w:tcPr>
          <w:p w14:paraId="34488F71">
            <w:pPr>
              <w:numPr>
                <w:ilvl w:val="0"/>
                <w:numId w:val="4"/>
              </w:numPr>
              <w:spacing w:line="400" w:lineRule="exact"/>
              <w:rPr>
                <w:rFonts w:ascii="宋体" w:hAnsi="宋体" w:cs="宋体"/>
                <w:bCs/>
                <w:color w:val="auto"/>
                <w:sz w:val="24"/>
                <w:highlight w:val="none"/>
                <w:lang w:val="zh-CN"/>
              </w:rPr>
            </w:pPr>
            <w:r>
              <w:rPr>
                <w:rFonts w:hint="eastAsia" w:ascii="宋体" w:hAnsi="宋体" w:cs="宋体"/>
                <w:bCs/>
                <w:color w:val="auto"/>
                <w:sz w:val="24"/>
                <w:highlight w:val="none"/>
                <w:lang w:val="zh-CN"/>
              </w:rPr>
              <w:t>投标人所上传的电子化投标文件，应是通过中心投标文</w:t>
            </w:r>
          </w:p>
          <w:p w14:paraId="11C733ED">
            <w:pPr>
              <w:spacing w:line="400" w:lineRule="exact"/>
              <w:rPr>
                <w:rFonts w:ascii="宋体" w:hAnsi="宋体" w:cs="宋体"/>
                <w:bCs/>
                <w:color w:val="auto"/>
                <w:sz w:val="24"/>
                <w:highlight w:val="none"/>
                <w:lang w:val="zh-CN"/>
              </w:rPr>
            </w:pPr>
            <w:r>
              <w:rPr>
                <w:rFonts w:hint="eastAsia" w:ascii="宋体" w:hAnsi="宋体" w:cs="宋体"/>
                <w:bCs/>
                <w:color w:val="auto"/>
                <w:sz w:val="24"/>
                <w:highlight w:val="none"/>
                <w:lang w:val="zh-CN"/>
              </w:rPr>
              <w:t>件制作系统制作的，经过签章和加密后生成的电子版投标文件。生成的电子版响应文件中的主文件（项目文件格式为：xxx公司_ 项目名称.file）上传至</w:t>
            </w:r>
            <w:r>
              <w:rPr>
                <w:rFonts w:hint="eastAsia" w:ascii="宋体" w:hAnsi="宋体" w:cs="宋体"/>
                <w:color w:val="auto"/>
                <w:sz w:val="24"/>
                <w:highlight w:val="none"/>
                <w:shd w:val="clear" w:color="auto" w:fill="FFFFFF"/>
              </w:rPr>
              <w:t>全国公共资源交易平台（河南省.平顶山市）电子交易</w:t>
            </w:r>
            <w:r>
              <w:rPr>
                <w:rFonts w:hint="eastAsia" w:ascii="宋体" w:hAnsi="宋体" w:cs="宋体"/>
                <w:bCs/>
                <w:color w:val="auto"/>
                <w:sz w:val="24"/>
                <w:highlight w:val="none"/>
              </w:rPr>
              <w:t>系统</w:t>
            </w:r>
            <w:r>
              <w:rPr>
                <w:rFonts w:hint="eastAsia" w:ascii="宋体" w:hAnsi="宋体" w:cs="宋体"/>
                <w:bCs/>
                <w:color w:val="auto"/>
                <w:sz w:val="24"/>
                <w:highlight w:val="none"/>
                <w:lang w:val="zh-CN"/>
              </w:rPr>
              <w:t>；</w:t>
            </w:r>
          </w:p>
          <w:p w14:paraId="088B6267">
            <w:pPr>
              <w:pStyle w:val="17"/>
              <w:spacing w:line="400" w:lineRule="exact"/>
              <w:ind w:firstLine="0"/>
              <w:rPr>
                <w:bCs/>
                <w:color w:val="auto"/>
                <w:sz w:val="24"/>
                <w:szCs w:val="24"/>
                <w:highlight w:val="none"/>
              </w:rPr>
            </w:pPr>
            <w:r>
              <w:rPr>
                <w:rFonts w:hint="eastAsia"/>
                <w:bCs/>
                <w:color w:val="auto"/>
                <w:sz w:val="24"/>
                <w:szCs w:val="24"/>
                <w:highlight w:val="none"/>
              </w:rPr>
              <w:t>注：（1）投标人投报多个标段的，根据标段制作各个标段的投标文件后上传。</w:t>
            </w:r>
          </w:p>
          <w:p w14:paraId="746E07BD">
            <w:pPr>
              <w:pStyle w:val="17"/>
              <w:spacing w:line="400" w:lineRule="exact"/>
              <w:ind w:firstLine="0"/>
              <w:rPr>
                <w:color w:val="auto"/>
                <w:sz w:val="24"/>
                <w:szCs w:val="24"/>
                <w:highlight w:val="none"/>
              </w:rPr>
            </w:pPr>
            <w:r>
              <w:rPr>
                <w:rFonts w:hint="eastAsia"/>
                <w:bCs/>
                <w:color w:val="auto"/>
                <w:sz w:val="24"/>
                <w:szCs w:val="24"/>
                <w:highlight w:val="none"/>
              </w:rPr>
              <w:t>（2）电子化投标文件应在投标截止时间前成功上传至</w:t>
            </w:r>
            <w:r>
              <w:rPr>
                <w:rFonts w:hint="eastAsia"/>
                <w:color w:val="auto"/>
                <w:sz w:val="24"/>
                <w:highlight w:val="none"/>
                <w:shd w:val="clear" w:color="auto" w:fill="FFFFFF"/>
              </w:rPr>
              <w:t>全国公共资源交易平台（河南省.平顶山市）电子交易</w:t>
            </w:r>
            <w:r>
              <w:rPr>
                <w:rFonts w:hint="eastAsia"/>
                <w:bCs/>
                <w:color w:val="auto"/>
                <w:sz w:val="24"/>
                <w:highlight w:val="none"/>
              </w:rPr>
              <w:t>系统</w:t>
            </w:r>
            <w:r>
              <w:rPr>
                <w:rFonts w:hint="eastAsia"/>
                <w:bCs/>
                <w:color w:val="auto"/>
                <w:sz w:val="24"/>
                <w:szCs w:val="24"/>
                <w:highlight w:val="none"/>
              </w:rPr>
              <w:t>。至投标截止时间止，仍未上传成功的电子化投标文件将不予接收。（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14:paraId="460C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77" w:type="dxa"/>
            <w:vAlign w:val="center"/>
          </w:tcPr>
          <w:p w14:paraId="04079C0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24</w:t>
            </w:r>
          </w:p>
        </w:tc>
        <w:tc>
          <w:tcPr>
            <w:tcW w:w="1997" w:type="dxa"/>
            <w:vAlign w:val="center"/>
          </w:tcPr>
          <w:p w14:paraId="2D93CBF3">
            <w:pPr>
              <w:spacing w:line="360" w:lineRule="auto"/>
              <w:jc w:val="center"/>
              <w:rPr>
                <w:rFonts w:ascii="宋体" w:hAnsi="宋体" w:cs="宋体"/>
                <w:color w:val="auto"/>
                <w:sz w:val="24"/>
                <w:highlight w:val="none"/>
              </w:rPr>
            </w:pPr>
            <w:r>
              <w:rPr>
                <w:rFonts w:hint="eastAsia" w:ascii="宋体" w:hAnsi="宋体" w:cs="仿宋"/>
                <w:color w:val="auto"/>
                <w:sz w:val="24"/>
                <w:highlight w:val="none"/>
              </w:rPr>
              <w:t>递交投标文件地点</w:t>
            </w:r>
          </w:p>
        </w:tc>
        <w:tc>
          <w:tcPr>
            <w:tcW w:w="6442" w:type="dxa"/>
            <w:vAlign w:val="center"/>
          </w:tcPr>
          <w:p w14:paraId="26A3CC77">
            <w:pPr>
              <w:spacing w:line="400" w:lineRule="exact"/>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全国公共资源交易平台（河南省.平顶山市）电子交易系统</w:t>
            </w:r>
          </w:p>
        </w:tc>
      </w:tr>
      <w:tr w14:paraId="5EE8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74A8FB5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25</w:t>
            </w:r>
          </w:p>
        </w:tc>
        <w:tc>
          <w:tcPr>
            <w:tcW w:w="1997" w:type="dxa"/>
            <w:vAlign w:val="center"/>
          </w:tcPr>
          <w:p w14:paraId="67AAF85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开标时间和地点</w:t>
            </w:r>
          </w:p>
        </w:tc>
        <w:tc>
          <w:tcPr>
            <w:tcW w:w="6442" w:type="dxa"/>
            <w:vAlign w:val="center"/>
          </w:tcPr>
          <w:p w14:paraId="6228BDCA">
            <w:pPr>
              <w:spacing w:line="400" w:lineRule="exact"/>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开标时间：同投标截止时间</w:t>
            </w:r>
          </w:p>
          <w:p w14:paraId="0BE7E5DE">
            <w:pPr>
              <w:spacing w:line="400" w:lineRule="exact"/>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开标地点：全国公共资源交易平台（河南省.平顶山市）电子交易系统</w:t>
            </w:r>
          </w:p>
        </w:tc>
      </w:tr>
      <w:tr w14:paraId="3447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1A9E736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26</w:t>
            </w:r>
          </w:p>
        </w:tc>
        <w:tc>
          <w:tcPr>
            <w:tcW w:w="1997" w:type="dxa"/>
            <w:vAlign w:val="center"/>
          </w:tcPr>
          <w:p w14:paraId="359988F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开标程序</w:t>
            </w:r>
          </w:p>
        </w:tc>
        <w:tc>
          <w:tcPr>
            <w:tcW w:w="6442" w:type="dxa"/>
            <w:vAlign w:val="center"/>
          </w:tcPr>
          <w:p w14:paraId="4ADCB5B3">
            <w:pPr>
              <w:spacing w:line="400" w:lineRule="exact"/>
              <w:jc w:val="left"/>
              <w:rPr>
                <w:rFonts w:ascii="宋体" w:hAnsi="宋体" w:cs="宋体"/>
                <w:color w:val="auto"/>
                <w:sz w:val="24"/>
                <w:highlight w:val="none"/>
              </w:rPr>
            </w:pPr>
            <w:r>
              <w:rPr>
                <w:rFonts w:hint="eastAsia" w:ascii="宋体" w:hAnsi="宋体" w:cs="宋体"/>
                <w:color w:val="auto"/>
                <w:sz w:val="24"/>
                <w:highlight w:val="none"/>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5E6F101A">
            <w:pPr>
              <w:spacing w:line="400" w:lineRule="exact"/>
              <w:jc w:val="left"/>
              <w:rPr>
                <w:rFonts w:ascii="宋体" w:hAnsi="宋体" w:cs="宋体"/>
                <w:bCs/>
                <w:color w:val="auto"/>
                <w:kern w:val="0"/>
                <w:sz w:val="24"/>
                <w:highlight w:val="none"/>
                <w:lang w:val="zh-CN"/>
              </w:rPr>
            </w:pPr>
            <w:r>
              <w:rPr>
                <w:rFonts w:hint="eastAsia" w:ascii="宋体" w:hAnsi="宋体" w:cs="宋体"/>
                <w:color w:val="auto"/>
                <w:sz w:val="24"/>
                <w:highlight w:val="none"/>
              </w:rPr>
              <w:t>（2）待所有投标人投标文件解密完成后，由中介服务机构操作，由采购人（代理机构）操作，对开标结</w:t>
            </w:r>
            <w:r>
              <w:rPr>
                <w:rFonts w:hint="eastAsia" w:ascii="宋体" w:hAnsi="宋体" w:cs="仿宋"/>
                <w:color w:val="auto"/>
                <w:sz w:val="24"/>
                <w:highlight w:val="none"/>
              </w:rPr>
              <w:t>果进行公示。</w:t>
            </w:r>
          </w:p>
        </w:tc>
      </w:tr>
      <w:tr w14:paraId="2E61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6EE041C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27</w:t>
            </w:r>
          </w:p>
        </w:tc>
        <w:tc>
          <w:tcPr>
            <w:tcW w:w="1997" w:type="dxa"/>
            <w:vAlign w:val="center"/>
          </w:tcPr>
          <w:p w14:paraId="207E154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评标委员会的组建</w:t>
            </w:r>
          </w:p>
        </w:tc>
        <w:tc>
          <w:tcPr>
            <w:tcW w:w="6442" w:type="dxa"/>
            <w:vAlign w:val="center"/>
          </w:tcPr>
          <w:p w14:paraId="2090D5D6">
            <w:pPr>
              <w:spacing w:line="400" w:lineRule="exact"/>
              <w:rPr>
                <w:rFonts w:ascii="宋体" w:hAnsi="宋体" w:cs="宋体"/>
                <w:color w:val="auto"/>
                <w:sz w:val="24"/>
                <w:highlight w:val="none"/>
              </w:rPr>
            </w:pPr>
            <w:r>
              <w:rPr>
                <w:rFonts w:hint="eastAsia" w:ascii="宋体" w:hAnsi="宋体" w:cs="宋体"/>
                <w:color w:val="auto"/>
                <w:sz w:val="24"/>
                <w:highlight w:val="none"/>
              </w:rPr>
              <w:t>评标委员会组成：评标委员会由采购人和评审专家组成，成员人数为5人以上单数，其中评审专家不得少于成员总数的三分之二，专家从专家库中随机抽取。</w:t>
            </w:r>
          </w:p>
          <w:p w14:paraId="358E5574">
            <w:pPr>
              <w:spacing w:line="400" w:lineRule="exact"/>
              <w:rPr>
                <w:rFonts w:ascii="宋体" w:hAnsi="宋体" w:cs="宋体"/>
                <w:color w:val="auto"/>
                <w:sz w:val="24"/>
                <w:highlight w:val="none"/>
              </w:rPr>
            </w:pPr>
            <w:r>
              <w:rPr>
                <w:rFonts w:hint="eastAsia" w:ascii="宋体" w:hAnsi="宋体" w:cs="宋体"/>
                <w:color w:val="auto"/>
                <w:sz w:val="24"/>
                <w:highlight w:val="none"/>
              </w:rPr>
              <w:t>上述规定为一组评标专家委员会组成方式，根据项目标段数量和评标工作量，可由多组专家委员会完成评审，但一个标段只能由一组评标专家委员会评审。</w:t>
            </w:r>
          </w:p>
        </w:tc>
      </w:tr>
      <w:tr w14:paraId="1A1A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Merge w:val="restart"/>
            <w:vAlign w:val="center"/>
          </w:tcPr>
          <w:p w14:paraId="7428BF5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28</w:t>
            </w:r>
          </w:p>
        </w:tc>
        <w:tc>
          <w:tcPr>
            <w:tcW w:w="1997" w:type="dxa"/>
            <w:vAlign w:val="center"/>
          </w:tcPr>
          <w:p w14:paraId="40B73056">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是否授权评标委会确定中标人</w:t>
            </w:r>
          </w:p>
        </w:tc>
        <w:tc>
          <w:tcPr>
            <w:tcW w:w="6442" w:type="dxa"/>
            <w:vAlign w:val="center"/>
          </w:tcPr>
          <w:p w14:paraId="702C5EB6">
            <w:pPr>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否，推荐的中标候选人数：推荐</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3名中标候选人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若排名第一的中标候选人放弃中标、因不可抗力提出不能履行合同，采购人可以确定第二中标候选人为中标人；依此类推，或重新招标。当所有中标候选人因上述原因不能签订合同的，采购人将依法重新招标。</w:t>
            </w:r>
          </w:p>
        </w:tc>
      </w:tr>
      <w:tr w14:paraId="1912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Merge w:val="continue"/>
            <w:vAlign w:val="center"/>
          </w:tcPr>
          <w:p w14:paraId="66FCD9E9">
            <w:pPr>
              <w:spacing w:line="400" w:lineRule="exact"/>
              <w:jc w:val="center"/>
              <w:rPr>
                <w:rFonts w:hint="eastAsia" w:ascii="宋体" w:hAnsi="宋体" w:cs="宋体"/>
                <w:color w:val="auto"/>
                <w:sz w:val="24"/>
                <w:highlight w:val="none"/>
              </w:rPr>
            </w:pPr>
          </w:p>
        </w:tc>
        <w:tc>
          <w:tcPr>
            <w:tcW w:w="1997" w:type="dxa"/>
            <w:vAlign w:val="center"/>
          </w:tcPr>
          <w:p w14:paraId="37CA77B3">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中标公告媒介及期限</w:t>
            </w:r>
          </w:p>
        </w:tc>
        <w:tc>
          <w:tcPr>
            <w:tcW w:w="6442" w:type="dxa"/>
            <w:vAlign w:val="center"/>
          </w:tcPr>
          <w:p w14:paraId="7B70583D">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同招标公告发布媒介，公示期为1个工作日。</w:t>
            </w:r>
          </w:p>
        </w:tc>
      </w:tr>
      <w:tr w14:paraId="6149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7" w:type="dxa"/>
            <w:vMerge w:val="restart"/>
            <w:vAlign w:val="center"/>
          </w:tcPr>
          <w:p w14:paraId="219032A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29</w:t>
            </w:r>
          </w:p>
        </w:tc>
        <w:tc>
          <w:tcPr>
            <w:tcW w:w="1997" w:type="dxa"/>
            <w:vAlign w:val="center"/>
          </w:tcPr>
          <w:p w14:paraId="57818D9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6442" w:type="dxa"/>
            <w:vAlign w:val="center"/>
          </w:tcPr>
          <w:p w14:paraId="633C2840">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不收取</w:t>
            </w:r>
          </w:p>
        </w:tc>
      </w:tr>
      <w:tr w14:paraId="48D5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7" w:type="dxa"/>
            <w:vMerge w:val="continue"/>
            <w:vAlign w:val="center"/>
          </w:tcPr>
          <w:p w14:paraId="1642C840">
            <w:pPr>
              <w:spacing w:line="400" w:lineRule="exact"/>
              <w:jc w:val="center"/>
              <w:rPr>
                <w:rFonts w:ascii="宋体" w:hAnsi="宋体" w:cs="宋体"/>
                <w:color w:val="auto"/>
                <w:sz w:val="24"/>
                <w:highlight w:val="none"/>
              </w:rPr>
            </w:pPr>
          </w:p>
        </w:tc>
        <w:tc>
          <w:tcPr>
            <w:tcW w:w="1997" w:type="dxa"/>
            <w:vAlign w:val="center"/>
          </w:tcPr>
          <w:p w14:paraId="21C2B68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质量保证金</w:t>
            </w:r>
          </w:p>
        </w:tc>
        <w:tc>
          <w:tcPr>
            <w:tcW w:w="6442" w:type="dxa"/>
          </w:tcPr>
          <w:p w14:paraId="2E3C2539">
            <w:pPr>
              <w:spacing w:line="400" w:lineRule="exact"/>
              <w:jc w:val="left"/>
              <w:rPr>
                <w:rFonts w:ascii="宋体" w:hAnsi="宋体" w:cs="宋体"/>
                <w:color w:val="auto"/>
                <w:sz w:val="24"/>
                <w:highlight w:val="none"/>
              </w:rPr>
            </w:pPr>
            <w:r>
              <w:rPr>
                <w:rFonts w:hint="eastAsia" w:ascii="宋体" w:hAnsi="宋体" w:cs="宋体"/>
                <w:color w:val="auto"/>
                <w:sz w:val="24"/>
                <w:highlight w:val="none"/>
              </w:rPr>
              <w:t>不收取</w:t>
            </w:r>
          </w:p>
        </w:tc>
      </w:tr>
      <w:tr w14:paraId="1564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77" w:type="dxa"/>
            <w:vMerge w:val="continue"/>
            <w:vAlign w:val="center"/>
          </w:tcPr>
          <w:p w14:paraId="524A3A46">
            <w:pPr>
              <w:spacing w:line="400" w:lineRule="exact"/>
              <w:jc w:val="center"/>
              <w:rPr>
                <w:rFonts w:ascii="宋体" w:hAnsi="宋体" w:cs="宋体"/>
                <w:color w:val="auto"/>
                <w:sz w:val="24"/>
                <w:highlight w:val="none"/>
              </w:rPr>
            </w:pPr>
          </w:p>
        </w:tc>
        <w:tc>
          <w:tcPr>
            <w:tcW w:w="1997" w:type="dxa"/>
          </w:tcPr>
          <w:p w14:paraId="419D733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招标文件费用</w:t>
            </w:r>
          </w:p>
        </w:tc>
        <w:tc>
          <w:tcPr>
            <w:tcW w:w="6442" w:type="dxa"/>
          </w:tcPr>
          <w:p w14:paraId="392505E5">
            <w:pPr>
              <w:spacing w:line="400" w:lineRule="exact"/>
              <w:jc w:val="left"/>
              <w:rPr>
                <w:rFonts w:ascii="宋体" w:hAnsi="宋体" w:cs="宋体"/>
                <w:color w:val="auto"/>
                <w:sz w:val="24"/>
                <w:highlight w:val="none"/>
              </w:rPr>
            </w:pPr>
            <w:r>
              <w:rPr>
                <w:rFonts w:hint="eastAsia" w:ascii="宋体" w:hAnsi="宋体" w:cs="宋体"/>
                <w:color w:val="auto"/>
                <w:sz w:val="24"/>
                <w:highlight w:val="none"/>
              </w:rPr>
              <w:t>不收取</w:t>
            </w:r>
          </w:p>
        </w:tc>
      </w:tr>
      <w:tr w14:paraId="19B8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597A9C7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1997" w:type="dxa"/>
            <w:vAlign w:val="center"/>
          </w:tcPr>
          <w:p w14:paraId="7E02969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接收质疑函的方式和联系方式</w:t>
            </w:r>
          </w:p>
        </w:tc>
        <w:tc>
          <w:tcPr>
            <w:tcW w:w="6442" w:type="dxa"/>
            <w:vAlign w:val="center"/>
          </w:tcPr>
          <w:p w14:paraId="2B0845BE">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ind w:left="0" w:right="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（1）投标人认为采购文件、采购过程和中标结果使自己的权益受到损害的, 可以在知道或者应知其权益受到损害之日起七个工作日内，按中华人民共和国财政部令第94号《政府采购质疑和投诉办法》的相关规定，以书面形式同时向采购人和采购代理机构提出质疑（加盖单位公章且法定代表人签字）。逾期未提交或未按照要求提交的质疑函将不予受理。若有投诉，可按照相关规定以书面形式向监督部门进行投诉。</w:t>
            </w:r>
          </w:p>
          <w:p w14:paraId="5C63BDF8">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（2）质疑函的内容、格式：应符合《政府采购质疑和投诉办法》（财政部第94号令）相关规定和财政部门制定的《政府采购质疑函范本》格式。</w:t>
            </w:r>
          </w:p>
          <w:p w14:paraId="741F3A4B">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（3）投标人应在法定质疑期内一次性提出针对同一采购程序环节的质疑。</w:t>
            </w:r>
          </w:p>
          <w:p w14:paraId="21BEEF92">
            <w:pPr>
              <w:spacing w:line="400" w:lineRule="exact"/>
              <w:rPr>
                <w:rFonts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联系人：张女生        联系方式：</w:t>
            </w:r>
            <w:r>
              <w:rPr>
                <w:rFonts w:hint="eastAsia" w:ascii="宋体" w:hAnsi="宋体" w:cs="宋体"/>
                <w:color w:val="auto"/>
                <w:sz w:val="24"/>
                <w:highlight w:val="none"/>
                <w:lang w:val="en-US" w:eastAsia="zh-CN"/>
              </w:rPr>
              <w:t>18937503547</w:t>
            </w:r>
          </w:p>
        </w:tc>
      </w:tr>
      <w:tr w14:paraId="2032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48D7CD9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31</w:t>
            </w:r>
          </w:p>
        </w:tc>
        <w:tc>
          <w:tcPr>
            <w:tcW w:w="1997" w:type="dxa"/>
            <w:vAlign w:val="center"/>
          </w:tcPr>
          <w:p w14:paraId="5CCC0318">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招标控制价</w:t>
            </w:r>
          </w:p>
          <w:p w14:paraId="0B4E76AE">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（最高投标限价）</w:t>
            </w:r>
          </w:p>
        </w:tc>
        <w:tc>
          <w:tcPr>
            <w:tcW w:w="6442" w:type="dxa"/>
            <w:vAlign w:val="center"/>
          </w:tcPr>
          <w:p w14:paraId="368201E7">
            <w:pPr>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本项目招标控制价</w:t>
            </w:r>
            <w:r>
              <w:rPr>
                <w:rFonts w:hint="eastAsia" w:ascii="宋体" w:hAnsi="宋体" w:eastAsia="宋体" w:cs="宋体"/>
                <w:b/>
                <w:bCs/>
                <w:color w:val="auto"/>
                <w:sz w:val="24"/>
                <w:highlight w:val="none"/>
              </w:rPr>
              <w:t>为:</w:t>
            </w:r>
            <w:r>
              <w:rPr>
                <w:rFonts w:hint="eastAsia" w:ascii="宋体" w:hAnsi="宋体" w:eastAsia="宋体" w:cs="宋体"/>
                <w:b/>
                <w:bCs/>
                <w:color w:val="auto"/>
                <w:sz w:val="24"/>
                <w:highlight w:val="none"/>
                <w:u w:val="single"/>
                <w:lang w:val="en-US" w:eastAsia="zh-CN"/>
              </w:rPr>
              <w:t>4224000.00</w:t>
            </w:r>
            <w:r>
              <w:rPr>
                <w:rFonts w:hint="eastAsia" w:ascii="宋体" w:hAnsi="宋体" w:cs="宋体"/>
                <w:b/>
                <w:bCs/>
                <w:color w:val="auto"/>
                <w:sz w:val="24"/>
                <w:highlight w:val="none"/>
                <w:u w:val="single"/>
              </w:rPr>
              <w:t>元；</w:t>
            </w:r>
            <w:r>
              <w:rPr>
                <w:rFonts w:hint="eastAsia" w:ascii="宋体" w:hAnsi="宋体" w:cs="宋体"/>
                <w:b/>
                <w:bCs/>
                <w:color w:val="auto"/>
                <w:sz w:val="24"/>
                <w:highlight w:val="none"/>
              </w:rPr>
              <w:t>投标总报价超出招标控制价的投标文件将不进入评审程序，按无效标处理。</w:t>
            </w:r>
          </w:p>
        </w:tc>
      </w:tr>
      <w:tr w14:paraId="4A00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vAlign w:val="center"/>
          </w:tcPr>
          <w:p w14:paraId="4CC06B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32</w:t>
            </w:r>
          </w:p>
        </w:tc>
        <w:tc>
          <w:tcPr>
            <w:tcW w:w="1997" w:type="dxa"/>
            <w:vAlign w:val="center"/>
          </w:tcPr>
          <w:p w14:paraId="146185D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招标代理服务费</w:t>
            </w:r>
          </w:p>
        </w:tc>
        <w:tc>
          <w:tcPr>
            <w:tcW w:w="6442" w:type="dxa"/>
          </w:tcPr>
          <w:p w14:paraId="48E4B5EA">
            <w:pPr>
              <w:spacing w:line="400" w:lineRule="exact"/>
              <w:rPr>
                <w:rFonts w:cs="Calibri"/>
                <w:color w:val="auto"/>
                <w:highlight w:val="none"/>
              </w:rPr>
            </w:pPr>
            <w:r>
              <w:rPr>
                <w:rFonts w:hint="eastAsia" w:ascii="宋体" w:hAnsi="宋体" w:cs="宋体"/>
                <w:color w:val="auto"/>
                <w:sz w:val="24"/>
                <w:highlight w:val="none"/>
              </w:rPr>
              <w:t>招标代理费参照河南省招标代理服务收费指导意见-豫招协【2023】002号的规定向中标人收取，在中标人领取中标通知书时向采购代理机构缴纳。</w:t>
            </w:r>
          </w:p>
        </w:tc>
      </w:tr>
      <w:tr w14:paraId="5707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Align w:val="center"/>
          </w:tcPr>
          <w:p w14:paraId="19C9E6F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33</w:t>
            </w:r>
          </w:p>
        </w:tc>
        <w:tc>
          <w:tcPr>
            <w:tcW w:w="1997" w:type="dxa"/>
            <w:vAlign w:val="center"/>
          </w:tcPr>
          <w:p w14:paraId="109F97F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6442" w:type="dxa"/>
            <w:vAlign w:val="center"/>
          </w:tcPr>
          <w:p w14:paraId="5C5357F6">
            <w:pPr>
              <w:spacing w:line="400" w:lineRule="exact"/>
              <w:rPr>
                <w:rFonts w:ascii="宋体" w:hAnsi="宋体" w:cs="宋体"/>
                <w:color w:val="auto"/>
                <w:sz w:val="24"/>
                <w:highlight w:val="none"/>
              </w:rPr>
            </w:pPr>
            <w:r>
              <w:rPr>
                <w:rFonts w:hint="eastAsia" w:ascii="宋体" w:hAnsi="宋体" w:cs="宋体"/>
                <w:color w:val="auto"/>
                <w:sz w:val="24"/>
              </w:rPr>
              <w:t>中标人供货安装调试完毕，甲方试用无质量问题，经甲方验收合格后，乙方开具增值税专用发票并向甲方提交合同总金额5%期限与质保期一致的银行履约保函（银行履约保函内容必须担保本合同售后服务的所有事项）后，甲方向乙方支付总合同金额的100%货款。从验收合格之日起质保期满后，双方无异议，退还保函</w:t>
            </w:r>
            <w:r>
              <w:rPr>
                <w:rFonts w:ascii="宋体" w:hAnsi="宋体" w:cs="宋体"/>
                <w:color w:val="auto"/>
                <w:sz w:val="24"/>
              </w:rPr>
              <w:t>。</w:t>
            </w:r>
          </w:p>
        </w:tc>
      </w:tr>
      <w:tr w14:paraId="3284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Align w:val="center"/>
          </w:tcPr>
          <w:p w14:paraId="0898BA36">
            <w:pPr>
              <w:spacing w:line="400" w:lineRule="exact"/>
              <w:jc w:val="center"/>
              <w:rPr>
                <w:rFonts w:hint="eastAsia" w:ascii="宋体" w:hAnsi="宋体" w:cs="宋体"/>
                <w:color w:val="auto"/>
                <w:sz w:val="24"/>
                <w:highlight w:val="none"/>
              </w:rPr>
            </w:pPr>
          </w:p>
          <w:p w14:paraId="58CBD1BC">
            <w:pPr>
              <w:spacing w:line="400" w:lineRule="exact"/>
              <w:jc w:val="center"/>
              <w:rPr>
                <w:rFonts w:hint="eastAsia" w:ascii="宋体" w:hAnsi="宋体" w:cs="宋体"/>
                <w:color w:val="auto"/>
                <w:sz w:val="24"/>
                <w:highlight w:val="none"/>
              </w:rPr>
            </w:pPr>
          </w:p>
          <w:p w14:paraId="5F67795E">
            <w:pPr>
              <w:spacing w:line="400" w:lineRule="exact"/>
              <w:jc w:val="center"/>
              <w:rPr>
                <w:rFonts w:hint="eastAsia" w:ascii="宋体" w:hAnsi="宋体" w:cs="宋体"/>
                <w:color w:val="auto"/>
                <w:sz w:val="24"/>
                <w:highlight w:val="none"/>
              </w:rPr>
            </w:pPr>
          </w:p>
          <w:p w14:paraId="0462333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34</w:t>
            </w:r>
          </w:p>
        </w:tc>
        <w:tc>
          <w:tcPr>
            <w:tcW w:w="1997" w:type="dxa"/>
            <w:vAlign w:val="center"/>
          </w:tcPr>
          <w:p w14:paraId="6C5D5CD7">
            <w:pPr>
              <w:spacing w:line="400" w:lineRule="exact"/>
              <w:jc w:val="center"/>
              <w:rPr>
                <w:rFonts w:hint="eastAsia" w:ascii="宋体" w:hAnsi="宋体" w:cs="宋体"/>
                <w:b/>
                <w:color w:val="auto"/>
                <w:sz w:val="24"/>
                <w:highlight w:val="none"/>
              </w:rPr>
            </w:pPr>
          </w:p>
          <w:p w14:paraId="3464B641">
            <w:pPr>
              <w:spacing w:line="400" w:lineRule="exact"/>
              <w:jc w:val="center"/>
              <w:rPr>
                <w:rFonts w:hint="eastAsia" w:ascii="宋体" w:hAnsi="宋体" w:cs="宋体"/>
                <w:b/>
                <w:color w:val="auto"/>
                <w:sz w:val="24"/>
                <w:highlight w:val="none"/>
              </w:rPr>
            </w:pPr>
          </w:p>
          <w:p w14:paraId="6CDB6BD7">
            <w:pPr>
              <w:spacing w:line="400" w:lineRule="exact"/>
              <w:jc w:val="center"/>
              <w:rPr>
                <w:rFonts w:hint="eastAsia" w:ascii="宋体" w:hAnsi="宋体" w:cs="宋体"/>
                <w:b/>
                <w:color w:val="auto"/>
                <w:sz w:val="24"/>
                <w:highlight w:val="none"/>
              </w:rPr>
            </w:pPr>
          </w:p>
          <w:p w14:paraId="6582D44D">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政采领域优化营商环境相关政策</w:t>
            </w:r>
          </w:p>
          <w:p w14:paraId="5E1E9891">
            <w:pPr>
              <w:spacing w:line="400" w:lineRule="exact"/>
              <w:jc w:val="center"/>
              <w:rPr>
                <w:rFonts w:ascii="宋体" w:hAnsi="宋体" w:cs="宋体"/>
                <w:color w:val="auto"/>
                <w:sz w:val="24"/>
                <w:highlight w:val="none"/>
              </w:rPr>
            </w:pPr>
          </w:p>
        </w:tc>
        <w:tc>
          <w:tcPr>
            <w:tcW w:w="6442" w:type="dxa"/>
            <w:vAlign w:val="center"/>
          </w:tcPr>
          <w:p w14:paraId="32DB4BAA">
            <w:pPr>
              <w:spacing w:line="400" w:lineRule="exact"/>
              <w:jc w:val="left"/>
              <w:rPr>
                <w:rFonts w:ascii="宋体" w:hAnsi="宋体" w:cs="宋体"/>
                <w:b/>
                <w:color w:val="auto"/>
                <w:sz w:val="24"/>
                <w:highlight w:val="none"/>
              </w:rPr>
            </w:pPr>
            <w:r>
              <w:rPr>
                <w:rFonts w:hint="eastAsia" w:ascii="宋体" w:hAnsi="宋体" w:cs="宋体"/>
                <w:b/>
                <w:color w:val="auto"/>
                <w:sz w:val="24"/>
                <w:highlight w:val="none"/>
                <w:lang w:eastAsia="zh-CN"/>
              </w:rPr>
              <w:t>一</w:t>
            </w:r>
            <w:r>
              <w:rPr>
                <w:rFonts w:hint="eastAsia" w:ascii="宋体" w:hAnsi="宋体" w:cs="宋体"/>
                <w:b/>
                <w:color w:val="auto"/>
                <w:sz w:val="24"/>
                <w:highlight w:val="none"/>
              </w:rPr>
              <w:t>、维护企业在政府采购活动中的知情权</w:t>
            </w:r>
          </w:p>
          <w:p w14:paraId="41378CE1">
            <w:pPr>
              <w:spacing w:line="400" w:lineRule="exact"/>
              <w:jc w:val="left"/>
              <w:rPr>
                <w:rFonts w:ascii="宋体" w:hAnsi="宋体" w:cs="宋体"/>
                <w:color w:val="auto"/>
                <w:sz w:val="24"/>
                <w:highlight w:val="none"/>
              </w:rPr>
            </w:pPr>
            <w:r>
              <w:rPr>
                <w:rFonts w:hint="eastAsia" w:ascii="宋体" w:hAnsi="宋体" w:cs="宋体"/>
                <w:color w:val="auto"/>
                <w:sz w:val="24"/>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26397E0F">
            <w:pPr>
              <w:spacing w:line="400" w:lineRule="exact"/>
              <w:jc w:val="left"/>
              <w:rPr>
                <w:rFonts w:ascii="宋体" w:hAnsi="宋体" w:cs="宋体"/>
                <w:b/>
                <w:color w:val="auto"/>
                <w:sz w:val="24"/>
                <w:highlight w:val="none"/>
              </w:rPr>
            </w:pPr>
            <w:r>
              <w:rPr>
                <w:rFonts w:hint="eastAsia" w:ascii="宋体" w:hAnsi="宋体" w:cs="宋体"/>
                <w:b/>
                <w:color w:val="auto"/>
                <w:sz w:val="24"/>
                <w:highlight w:val="none"/>
                <w:lang w:eastAsia="zh-CN"/>
              </w:rPr>
              <w:t>二</w:t>
            </w:r>
            <w:r>
              <w:rPr>
                <w:rFonts w:hint="eastAsia" w:ascii="宋体" w:hAnsi="宋体" w:cs="宋体"/>
                <w:b/>
                <w:color w:val="auto"/>
                <w:sz w:val="24"/>
                <w:highlight w:val="none"/>
              </w:rPr>
              <w:t>、提供中小企业声明函格式</w:t>
            </w:r>
          </w:p>
          <w:p w14:paraId="268EA822">
            <w:pPr>
              <w:pStyle w:val="24"/>
              <w:spacing w:after="0" w:line="400" w:lineRule="exact"/>
              <w:ind w:firstLine="0" w:firstLineChars="0"/>
              <w:rPr>
                <w:rFonts w:ascii="宋体" w:hAnsi="宋体"/>
                <w:color w:val="auto"/>
                <w:kern w:val="2"/>
                <w:sz w:val="24"/>
                <w:szCs w:val="24"/>
                <w:highlight w:val="none"/>
                <w:lang w:val="en-US"/>
              </w:rPr>
            </w:pPr>
            <w:r>
              <w:rPr>
                <w:rFonts w:hint="eastAsia" w:ascii="宋体" w:hAnsi="宋体"/>
                <w:color w:val="auto"/>
                <w:sz w:val="24"/>
                <w:szCs w:val="24"/>
                <w:highlight w:val="none"/>
              </w:rPr>
              <w:t>在采购文件中，采购代理机构应按照财政部、工信部印发的《政</w:t>
            </w:r>
            <w:r>
              <w:rPr>
                <w:rFonts w:hint="eastAsia" w:ascii="宋体" w:hAnsi="宋体"/>
                <w:color w:val="auto"/>
                <w:kern w:val="2"/>
                <w:sz w:val="24"/>
                <w:szCs w:val="24"/>
                <w:highlight w:val="none"/>
                <w:lang w:val="en-US"/>
              </w:rPr>
              <w:t>府采购促进中小企业发展管理办法》的通知精神（财库〔2020〕46号）提供中小企业声明函格式。</w:t>
            </w:r>
          </w:p>
          <w:p w14:paraId="5BBCCEB6">
            <w:pPr>
              <w:pStyle w:val="24"/>
              <w:spacing w:after="0" w:line="400" w:lineRule="exact"/>
              <w:ind w:firstLine="0" w:firstLineChars="0"/>
              <w:rPr>
                <w:rFonts w:ascii="宋体" w:hAnsi="宋体"/>
                <w:color w:val="auto"/>
                <w:kern w:val="2"/>
                <w:sz w:val="24"/>
                <w:szCs w:val="24"/>
                <w:highlight w:val="none"/>
                <w:lang w:val="en-US"/>
              </w:rPr>
            </w:pPr>
            <w:r>
              <w:rPr>
                <w:rFonts w:hint="eastAsia" w:ascii="宋体" w:hAnsi="宋体"/>
                <w:color w:val="auto"/>
                <w:kern w:val="2"/>
                <w:sz w:val="24"/>
                <w:szCs w:val="24"/>
                <w:highlight w:val="none"/>
                <w:lang w:val="en-US"/>
              </w:rPr>
              <w:t>根据《政府采购促进中小企业发展管理办法》（财库〔2020〕46号）第四条：在政府采购活动中，供应商提供的货物、工程或者服务符合下列情形的，享受本办法规定的中小企业扶持政策：</w:t>
            </w:r>
          </w:p>
          <w:p w14:paraId="61CE5476">
            <w:pPr>
              <w:pStyle w:val="24"/>
              <w:spacing w:after="0" w:line="400" w:lineRule="exact"/>
              <w:ind w:firstLine="0" w:firstLineChars="0"/>
              <w:rPr>
                <w:rFonts w:ascii="宋体" w:hAnsi="宋体"/>
                <w:color w:val="auto"/>
                <w:kern w:val="2"/>
                <w:sz w:val="24"/>
                <w:szCs w:val="24"/>
                <w:highlight w:val="none"/>
                <w:lang w:val="en-US"/>
              </w:rPr>
            </w:pPr>
            <w:r>
              <w:rPr>
                <w:rFonts w:hint="eastAsia" w:ascii="宋体" w:hAnsi="宋体"/>
                <w:color w:val="auto"/>
                <w:kern w:val="2"/>
                <w:sz w:val="24"/>
                <w:szCs w:val="24"/>
                <w:highlight w:val="none"/>
                <w:lang w:val="en-US"/>
              </w:rPr>
              <w:t>（一）在货物采购项目中，货物由中小企业制造，即货物由中小企业生产且使用该中小企业商号或者注册商标；</w:t>
            </w:r>
          </w:p>
          <w:p w14:paraId="7006256D">
            <w:pPr>
              <w:pStyle w:val="24"/>
              <w:spacing w:after="0" w:line="400" w:lineRule="exact"/>
              <w:ind w:firstLine="0" w:firstLineChars="0"/>
              <w:rPr>
                <w:rFonts w:ascii="宋体" w:hAnsi="宋体"/>
                <w:color w:val="auto"/>
                <w:kern w:val="2"/>
                <w:sz w:val="24"/>
                <w:szCs w:val="24"/>
                <w:highlight w:val="none"/>
                <w:lang w:val="en-US"/>
              </w:rPr>
            </w:pPr>
            <w:r>
              <w:rPr>
                <w:rFonts w:hint="eastAsia" w:ascii="宋体" w:hAnsi="宋体"/>
                <w:color w:val="auto"/>
                <w:kern w:val="2"/>
                <w:sz w:val="24"/>
                <w:szCs w:val="24"/>
                <w:highlight w:val="none"/>
                <w:lang w:val="en-US"/>
              </w:rPr>
              <w:t>（二）在工程采购项目中，工程由中小企业承建，即工程施工单位为中小企业；</w:t>
            </w:r>
          </w:p>
          <w:p w14:paraId="04E77EFB">
            <w:pPr>
              <w:pStyle w:val="24"/>
              <w:spacing w:after="0" w:line="400" w:lineRule="exact"/>
              <w:ind w:firstLine="0" w:firstLineChars="0"/>
              <w:rPr>
                <w:rFonts w:ascii="宋体" w:hAnsi="宋体"/>
                <w:color w:val="auto"/>
                <w:kern w:val="2"/>
                <w:sz w:val="24"/>
                <w:szCs w:val="24"/>
                <w:highlight w:val="none"/>
                <w:lang w:val="en-US"/>
              </w:rPr>
            </w:pPr>
            <w:r>
              <w:rPr>
                <w:rFonts w:hint="eastAsia" w:ascii="宋体" w:hAnsi="宋体"/>
                <w:color w:val="auto"/>
                <w:kern w:val="2"/>
                <w:sz w:val="24"/>
                <w:szCs w:val="24"/>
                <w:highlight w:val="none"/>
                <w:lang w:val="en-US"/>
              </w:rPr>
              <w:t>（三）在服务采购项目中，服务由中小企业承接，即提供服务的人员为中小企业依照《中华人民共和国劳动合同法》订立劳动合同的从业人员。</w:t>
            </w:r>
          </w:p>
          <w:p w14:paraId="1AD33796">
            <w:pPr>
              <w:pStyle w:val="24"/>
              <w:spacing w:after="0" w:line="400" w:lineRule="exact"/>
              <w:ind w:firstLine="0" w:firstLineChars="0"/>
              <w:rPr>
                <w:rFonts w:ascii="宋体" w:hAnsi="宋体"/>
                <w:color w:val="auto"/>
                <w:kern w:val="2"/>
                <w:sz w:val="24"/>
                <w:szCs w:val="24"/>
                <w:highlight w:val="none"/>
                <w:lang w:val="en-US"/>
              </w:rPr>
            </w:pPr>
            <w:r>
              <w:rPr>
                <w:rFonts w:hint="eastAsia" w:ascii="宋体" w:hAnsi="宋体"/>
                <w:color w:val="auto"/>
                <w:kern w:val="2"/>
                <w:sz w:val="24"/>
                <w:szCs w:val="24"/>
                <w:highlight w:val="none"/>
                <w:lang w:val="en-US"/>
              </w:rPr>
              <w:t>在货物采购项目中，供应商提供的货物既有中小企业制造货物，也有大型企业制造货物的，不享受本办法规定的中小企业扶持政策。</w:t>
            </w:r>
          </w:p>
          <w:p w14:paraId="4B036D6A">
            <w:pPr>
              <w:pStyle w:val="24"/>
              <w:spacing w:after="0" w:line="400" w:lineRule="exact"/>
              <w:ind w:firstLine="0" w:firstLineChars="0"/>
              <w:rPr>
                <w:rFonts w:ascii="宋体" w:hAnsi="宋体"/>
                <w:color w:val="auto"/>
                <w:sz w:val="24"/>
                <w:szCs w:val="24"/>
                <w:highlight w:val="none"/>
              </w:rPr>
            </w:pPr>
            <w:r>
              <w:rPr>
                <w:rFonts w:hint="eastAsia" w:ascii="宋体" w:hAnsi="宋体"/>
                <w:color w:val="auto"/>
                <w:kern w:val="2"/>
                <w:sz w:val="24"/>
                <w:szCs w:val="24"/>
                <w:highlight w:val="none"/>
                <w:lang w:val="en-US"/>
              </w:rPr>
              <w:t>以联合体形式参加政府采购活动，联合体各方均为中小企业的，联合体视同中小企业。其中，联合体各方均为小微企业的，联合体视同小微企业</w:t>
            </w:r>
            <w:r>
              <w:rPr>
                <w:rFonts w:hint="eastAsia" w:ascii="宋体" w:hAnsi="宋体"/>
                <w:color w:val="auto"/>
                <w:sz w:val="24"/>
                <w:szCs w:val="24"/>
                <w:highlight w:val="none"/>
              </w:rPr>
              <w:t>。</w:t>
            </w:r>
          </w:p>
          <w:p w14:paraId="1E65A66D">
            <w:pPr>
              <w:spacing w:line="400" w:lineRule="exact"/>
              <w:jc w:val="left"/>
              <w:rPr>
                <w:rFonts w:ascii="宋体" w:hAnsi="宋体" w:cs="宋体"/>
                <w:b/>
                <w:color w:val="auto"/>
                <w:sz w:val="24"/>
                <w:highlight w:val="none"/>
              </w:rPr>
            </w:pPr>
            <w:r>
              <w:rPr>
                <w:rFonts w:hint="eastAsia" w:ascii="宋体" w:hAnsi="宋体" w:cs="宋体"/>
                <w:b/>
                <w:color w:val="auto"/>
                <w:sz w:val="24"/>
                <w:highlight w:val="none"/>
                <w:lang w:eastAsia="zh-CN"/>
              </w:rPr>
              <w:t>三</w:t>
            </w:r>
            <w:r>
              <w:rPr>
                <w:rFonts w:hint="eastAsia" w:ascii="宋体" w:hAnsi="宋体" w:cs="宋体"/>
                <w:b/>
                <w:color w:val="auto"/>
                <w:sz w:val="24"/>
                <w:highlight w:val="none"/>
              </w:rPr>
              <w:t>、推广政府采购合同融资</w:t>
            </w:r>
          </w:p>
          <w:p w14:paraId="01E4A3B9">
            <w:pPr>
              <w:pStyle w:val="24"/>
              <w:spacing w:after="0" w:line="400" w:lineRule="exact"/>
              <w:ind w:firstLine="0" w:firstLineChars="0"/>
              <w:rPr>
                <w:rFonts w:ascii="宋体" w:hAnsi="宋体"/>
                <w:color w:val="auto"/>
                <w:kern w:val="2"/>
                <w:sz w:val="24"/>
                <w:szCs w:val="24"/>
                <w:highlight w:val="none"/>
                <w:lang w:val="en-US"/>
              </w:rPr>
            </w:pPr>
            <w:r>
              <w:rPr>
                <w:rFonts w:hint="eastAsia" w:ascii="宋体" w:hAnsi="宋体"/>
                <w:color w:val="auto"/>
                <w:sz w:val="24"/>
                <w:szCs w:val="24"/>
                <w:highlight w:val="none"/>
              </w:rPr>
              <w:t>要求采购人和代理机构将“政府采购合同融资告知函”写入招标文件，鼓励中标供应商凭借采购合同申请贷款，助力解决中小企业</w:t>
            </w:r>
            <w:r>
              <w:rPr>
                <w:rFonts w:hint="eastAsia" w:ascii="宋体" w:hAnsi="宋体"/>
                <w:color w:val="auto"/>
                <w:kern w:val="2"/>
                <w:sz w:val="24"/>
                <w:szCs w:val="24"/>
                <w:highlight w:val="none"/>
                <w:lang w:val="en-US"/>
              </w:rPr>
              <w:t>融资难、融资贵的问题。</w:t>
            </w:r>
          </w:p>
          <w:p w14:paraId="24457C46">
            <w:pPr>
              <w:pStyle w:val="24"/>
              <w:spacing w:after="0" w:line="400" w:lineRule="exact"/>
              <w:ind w:firstLine="0" w:firstLineChars="0"/>
              <w:rPr>
                <w:rFonts w:ascii="宋体" w:hAnsi="宋体"/>
                <w:b/>
                <w:bCs/>
                <w:color w:val="auto"/>
                <w:kern w:val="2"/>
                <w:sz w:val="24"/>
                <w:szCs w:val="24"/>
                <w:highlight w:val="none"/>
                <w:lang w:val="en-US"/>
              </w:rPr>
            </w:pPr>
            <w:r>
              <w:rPr>
                <w:rFonts w:hint="eastAsia" w:ascii="宋体" w:hAnsi="宋体"/>
                <w:b/>
                <w:bCs/>
                <w:color w:val="auto"/>
                <w:kern w:val="2"/>
                <w:sz w:val="24"/>
                <w:szCs w:val="24"/>
                <w:highlight w:val="none"/>
                <w:lang w:val="en-US" w:eastAsia="zh-CN"/>
              </w:rPr>
              <w:t>四</w:t>
            </w:r>
            <w:r>
              <w:rPr>
                <w:rFonts w:hint="eastAsia" w:ascii="宋体" w:hAnsi="宋体"/>
                <w:b/>
                <w:bCs/>
                <w:color w:val="auto"/>
                <w:kern w:val="2"/>
                <w:sz w:val="24"/>
                <w:szCs w:val="24"/>
                <w:highlight w:val="none"/>
                <w:lang w:val="en-US"/>
              </w:rPr>
              <w:t>、落实预留采购份额</w:t>
            </w:r>
          </w:p>
          <w:p w14:paraId="3E7A4F6F">
            <w:pPr>
              <w:pStyle w:val="24"/>
              <w:spacing w:after="0" w:line="400" w:lineRule="exact"/>
              <w:ind w:firstLine="0" w:firstLineChars="0"/>
              <w:rPr>
                <w:rFonts w:ascii="宋体" w:hAnsi="宋体"/>
                <w:color w:val="auto"/>
                <w:sz w:val="24"/>
                <w:highlight w:val="none"/>
              </w:rPr>
            </w:pPr>
            <w:r>
              <w:rPr>
                <w:rFonts w:hint="eastAsia" w:ascii="宋体" w:hAnsi="宋体"/>
                <w:color w:val="auto"/>
                <w:sz w:val="24"/>
                <w:highlight w:val="none"/>
                <w:lang w:val="en-US"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因“按照本办法规定预留采购份额无法确保充分供应、充分竞争，或者存在可能影响政府采购目标实现的情形；”，故本项目不专门面向中小企业预留采购份额。</w:t>
            </w:r>
          </w:p>
          <w:p w14:paraId="7E689BE0">
            <w:pPr>
              <w:spacing w:line="400" w:lineRule="exact"/>
              <w:ind w:left="105" w:leftChars="50"/>
              <w:jc w:val="left"/>
              <w:rPr>
                <w:rFonts w:ascii="宋体" w:hAnsi="宋体" w:cs="宋体"/>
                <w:b/>
                <w:color w:val="auto"/>
                <w:sz w:val="24"/>
                <w:highlight w:val="none"/>
              </w:rPr>
            </w:pPr>
            <w:r>
              <w:rPr>
                <w:rFonts w:hint="eastAsia" w:ascii="宋体" w:hAnsi="宋体" w:cs="宋体"/>
                <w:b/>
                <w:color w:val="auto"/>
                <w:sz w:val="24"/>
                <w:highlight w:val="none"/>
                <w:lang w:eastAsia="zh-CN"/>
              </w:rPr>
              <w:t>五</w:t>
            </w:r>
            <w:r>
              <w:rPr>
                <w:rFonts w:hint="eastAsia" w:ascii="宋体" w:hAnsi="宋体" w:cs="宋体"/>
                <w:b/>
                <w:color w:val="auto"/>
                <w:sz w:val="24"/>
                <w:highlight w:val="none"/>
              </w:rPr>
              <w:t>、落实价格评审优惠政策</w:t>
            </w:r>
          </w:p>
          <w:p w14:paraId="548007E9">
            <w:pPr>
              <w:pStyle w:val="24"/>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sz w:val="24"/>
                <w:szCs w:val="24"/>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w:t>
            </w:r>
            <w:r>
              <w:rPr>
                <w:rFonts w:hint="eastAsia" w:ascii="宋体" w:hAnsi="宋体"/>
                <w:color w:val="auto"/>
                <w:kern w:val="2"/>
                <w:sz w:val="24"/>
                <w:szCs w:val="24"/>
                <w:highlight w:val="none"/>
                <w:lang w:val="en-US"/>
              </w:rPr>
              <w:t>审办法中注明确定值。</w:t>
            </w:r>
          </w:p>
          <w:p w14:paraId="7C0CA572">
            <w:pPr>
              <w:pStyle w:val="24"/>
              <w:spacing w:after="0" w:line="400" w:lineRule="exact"/>
              <w:ind w:firstLine="0" w:firstLineChars="0"/>
              <w:rPr>
                <w:rFonts w:hint="eastAsia" w:ascii="宋体" w:hAnsi="宋体"/>
                <w:b/>
                <w:bCs/>
                <w:color w:val="auto"/>
                <w:kern w:val="2"/>
                <w:sz w:val="24"/>
                <w:szCs w:val="24"/>
                <w:highlight w:val="none"/>
                <w:lang w:val="en-US" w:eastAsia="zh-CN"/>
              </w:rPr>
            </w:pPr>
            <w:r>
              <w:rPr>
                <w:rFonts w:hint="eastAsia" w:ascii="宋体" w:hAnsi="宋体"/>
                <w:b/>
                <w:bCs/>
                <w:color w:val="auto"/>
                <w:kern w:val="2"/>
                <w:sz w:val="24"/>
                <w:szCs w:val="24"/>
                <w:highlight w:val="none"/>
                <w:lang w:val="en-US" w:eastAsia="zh-CN"/>
              </w:rPr>
              <w:t>六、落实本国产品政策</w:t>
            </w:r>
          </w:p>
          <w:p w14:paraId="0D660256">
            <w:pPr>
              <w:pStyle w:val="24"/>
              <w:spacing w:after="0" w:line="400" w:lineRule="exact"/>
              <w:ind w:firstLine="0" w:firstLineChars="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zh-CN" w:eastAsia="zh-CN" w:bidi="ar-SA"/>
              </w:rPr>
              <w:t>根据《国务院办</w:t>
            </w:r>
            <w:r>
              <w:rPr>
                <w:rFonts w:hint="eastAsia" w:ascii="宋体" w:hAnsi="宋体" w:eastAsia="宋体" w:cs="宋体"/>
                <w:color w:val="auto"/>
                <w:kern w:val="2"/>
                <w:sz w:val="24"/>
                <w:szCs w:val="24"/>
                <w:highlight w:val="none"/>
                <w:lang w:val="zh-CN" w:eastAsia="zh-CN" w:bidi="ar-SA"/>
              </w:rPr>
              <w:t>公</w:t>
            </w:r>
            <w:r>
              <w:rPr>
                <w:rFonts w:hint="eastAsia" w:ascii="宋体" w:hAnsi="宋体" w:eastAsia="宋体" w:cs="宋体"/>
                <w:color w:val="auto"/>
                <w:kern w:val="0"/>
                <w:sz w:val="24"/>
                <w:szCs w:val="24"/>
                <w:highlight w:val="none"/>
                <w:lang w:val="zh-CN" w:eastAsia="zh-CN" w:bidi="ar-SA"/>
              </w:rPr>
              <w:t>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1C00ABAF">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供应商对其提供的产品出具《关于符合本国产品标准的声明函》或财政部会同有关部门规定的有关证明文件。出具符合要求的《声明函》或有关证明文件的，该产品视为本国产品。评标委员会在评审中发现《声明函》内容含义不明确、同类事项与投标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7BE3B24C">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7610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7" w:hRule="atLeast"/>
          <w:jc w:val="center"/>
        </w:trPr>
        <w:tc>
          <w:tcPr>
            <w:tcW w:w="777" w:type="dxa"/>
            <w:vAlign w:val="center"/>
          </w:tcPr>
          <w:p w14:paraId="5A37D0A0">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35</w:t>
            </w:r>
          </w:p>
        </w:tc>
        <w:tc>
          <w:tcPr>
            <w:tcW w:w="1997" w:type="dxa"/>
            <w:vAlign w:val="center"/>
          </w:tcPr>
          <w:p w14:paraId="7D45A648">
            <w:pPr>
              <w:spacing w:line="360"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落实绿色产品（节能产品、环境标志产品）优先采购政策</w:t>
            </w:r>
          </w:p>
        </w:tc>
        <w:tc>
          <w:tcPr>
            <w:tcW w:w="6442" w:type="dxa"/>
            <w:vAlign w:val="center"/>
          </w:tcPr>
          <w:p w14:paraId="5AB9A921">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(1)本项目若含有节能产品政府采购品目清单内政府强制采购产品，供应商须选用国家确定的认证机构认证的处于有效期之内的政府强制采购节能产品。</w:t>
            </w:r>
          </w:p>
          <w:p w14:paraId="1EA30D52">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本项目若含有节能产品、环境标志产品政府采购品目清单内政府优先采购产品，对选用国家确定的认证机构认证的处于有效期之内的政府优先采购节能产品(政府强制采购产品除外)、环境标志产品的，在评标时予以优先采购。</w:t>
            </w:r>
          </w:p>
          <w:p w14:paraId="0CE61F9A">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tc>
      </w:tr>
      <w:tr w14:paraId="6071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77" w:type="dxa"/>
            <w:vAlign w:val="center"/>
          </w:tcPr>
          <w:p w14:paraId="0CB8564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36</w:t>
            </w:r>
          </w:p>
        </w:tc>
        <w:tc>
          <w:tcPr>
            <w:tcW w:w="1997" w:type="dxa"/>
            <w:vAlign w:val="center"/>
          </w:tcPr>
          <w:p w14:paraId="6733F940">
            <w:pPr>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本项目所属行业</w:t>
            </w:r>
          </w:p>
        </w:tc>
        <w:tc>
          <w:tcPr>
            <w:tcW w:w="6442" w:type="dxa"/>
            <w:vAlign w:val="center"/>
          </w:tcPr>
          <w:p w14:paraId="5AEC4B55">
            <w:pPr>
              <w:pStyle w:val="24"/>
              <w:spacing w:after="0" w:line="400" w:lineRule="exact"/>
              <w:ind w:firstLine="0" w:firstLineChars="0"/>
              <w:rPr>
                <w:rFonts w:ascii="宋体" w:hAnsi="宋体"/>
                <w:color w:val="auto"/>
                <w:kern w:val="2"/>
                <w:sz w:val="24"/>
                <w:szCs w:val="24"/>
                <w:highlight w:val="none"/>
                <w:lang w:val="en-US"/>
              </w:rPr>
            </w:pPr>
            <w:r>
              <w:rPr>
                <w:rFonts w:hint="eastAsia" w:ascii="宋体" w:hAnsi="宋体"/>
                <w:color w:val="auto"/>
                <w:kern w:val="2"/>
                <w:sz w:val="24"/>
                <w:szCs w:val="24"/>
                <w:highlight w:val="none"/>
                <w:lang w:val="en-US"/>
              </w:rPr>
              <w:t>采购标的所属行业：</w:t>
            </w:r>
            <w:r>
              <w:rPr>
                <w:rFonts w:hint="eastAsia" w:ascii="宋体" w:hAnsi="宋体"/>
                <w:color w:val="auto"/>
                <w:sz w:val="24"/>
                <w:szCs w:val="24"/>
                <w:highlight w:val="none"/>
              </w:rPr>
              <w:t>制造业</w:t>
            </w:r>
          </w:p>
          <w:p w14:paraId="5C80064D">
            <w:pPr>
              <w:pStyle w:val="24"/>
              <w:spacing w:after="0" w:line="400" w:lineRule="exact"/>
              <w:ind w:firstLine="0" w:firstLineChars="0"/>
              <w:rPr>
                <w:rFonts w:ascii="宋体" w:hAnsi="宋体"/>
                <w:color w:val="auto"/>
                <w:kern w:val="2"/>
                <w:sz w:val="24"/>
                <w:szCs w:val="24"/>
                <w:highlight w:val="none"/>
                <w:lang w:val="en-US"/>
              </w:rPr>
            </w:pPr>
            <w:r>
              <w:rPr>
                <w:rFonts w:hint="eastAsia" w:ascii="宋体" w:hAnsi="宋体"/>
                <w:color w:val="auto"/>
                <w:kern w:val="2"/>
                <w:sz w:val="24"/>
                <w:szCs w:val="24"/>
                <w:highlight w:val="none"/>
                <w:lang w:val="en-US"/>
              </w:rPr>
              <w:t xml:space="preserve">划定标准（行业属性划分参照关于印发中小企业划型标准规定的通知(工信部联企业〔2011〕300号) </w:t>
            </w:r>
          </w:p>
        </w:tc>
      </w:tr>
      <w:tr w14:paraId="6A7F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77" w:type="dxa"/>
            <w:vAlign w:val="center"/>
          </w:tcPr>
          <w:p w14:paraId="2AD3759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37</w:t>
            </w:r>
          </w:p>
        </w:tc>
        <w:tc>
          <w:tcPr>
            <w:tcW w:w="1997" w:type="dxa"/>
            <w:vAlign w:val="center"/>
          </w:tcPr>
          <w:p w14:paraId="0766910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合同签订方式</w:t>
            </w:r>
          </w:p>
        </w:tc>
        <w:tc>
          <w:tcPr>
            <w:tcW w:w="6442" w:type="dxa"/>
            <w:vAlign w:val="center"/>
          </w:tcPr>
          <w:p w14:paraId="4F806CA5">
            <w:pPr>
              <w:pStyle w:val="24"/>
              <w:spacing w:after="0" w:line="400" w:lineRule="exact"/>
              <w:ind w:firstLine="0" w:firstLineChars="0"/>
              <w:rPr>
                <w:rFonts w:ascii="宋体" w:hAnsi="宋体"/>
                <w:color w:val="auto"/>
                <w:kern w:val="2"/>
                <w:sz w:val="24"/>
                <w:szCs w:val="24"/>
                <w:highlight w:val="none"/>
                <w:lang w:val="en-US"/>
              </w:rPr>
            </w:pPr>
            <w:r>
              <w:rPr>
                <w:rFonts w:hint="eastAsia" w:ascii="宋体" w:hAnsi="宋体" w:eastAsia="宋体" w:cs="宋体"/>
                <w:color w:val="auto"/>
                <w:kern w:val="0"/>
                <w:sz w:val="24"/>
                <w:szCs w:val="20"/>
                <w:highlight w:val="none"/>
                <w:lang w:val="en-US" w:eastAsia="zh-CN" w:bidi="ar-SA"/>
              </w:rPr>
              <w:t>合同可选择在线签订，招标人（采购人）与中标人（供应商）利用平顶山公共资源交易平台“合同在线签订模块”，将电子合同推送至对方进行审核，经双方确认均无异议通过后，进行在线签章，完成合同签订并公示。</w:t>
            </w:r>
          </w:p>
        </w:tc>
      </w:tr>
      <w:tr w14:paraId="57D7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77" w:type="dxa"/>
            <w:vAlign w:val="center"/>
          </w:tcPr>
          <w:p w14:paraId="1A22D3FE">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38</w:t>
            </w:r>
          </w:p>
        </w:tc>
        <w:tc>
          <w:tcPr>
            <w:tcW w:w="1997" w:type="dxa"/>
            <w:vAlign w:val="center"/>
          </w:tcPr>
          <w:p w14:paraId="7438B9D4">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核心产品及同一品牌相关问题</w:t>
            </w:r>
          </w:p>
        </w:tc>
        <w:tc>
          <w:tcPr>
            <w:tcW w:w="6442" w:type="dxa"/>
            <w:vAlign w:val="center"/>
          </w:tcPr>
          <w:p w14:paraId="4F5A5E19">
            <w:pPr>
              <w:spacing w:line="400" w:lineRule="exact"/>
              <w:jc w:val="left"/>
              <w:rPr>
                <w:rFonts w:hint="default" w:ascii="宋体" w:hAnsi="宋体" w:eastAsia="宋体" w:cs="宋体"/>
                <w:color w:val="auto"/>
                <w:sz w:val="24"/>
                <w:highlight w:val="none"/>
                <w:u w:val="single"/>
                <w:lang w:val="en-US" w:eastAsia="zh-CN"/>
              </w:rPr>
            </w:pPr>
            <w:r>
              <w:rPr>
                <w:rFonts w:hint="eastAsia" w:ascii="宋体" w:hAnsi="宋体" w:cs="宋体"/>
                <w:b/>
                <w:bCs/>
                <w:color w:val="auto"/>
                <w:sz w:val="24"/>
                <w:highlight w:val="none"/>
                <w:lang w:val="zh-CN"/>
              </w:rPr>
              <w:t>核心产品：</w:t>
            </w:r>
            <w:r>
              <w:rPr>
                <w:rFonts w:hint="eastAsia" w:ascii="宋体" w:hAnsi="宋体" w:eastAsia="宋体" w:cs="宋体"/>
                <w:b/>
                <w:bCs/>
                <w:color w:val="auto"/>
                <w:sz w:val="24"/>
                <w:highlight w:val="none"/>
                <w:lang w:val="en-US" w:eastAsia="zh-CN"/>
              </w:rPr>
              <w:t xml:space="preserve"> 三人位步梯床架</w:t>
            </w:r>
          </w:p>
          <w:p w14:paraId="2E24435A">
            <w:pPr>
              <w:spacing w:line="400" w:lineRule="exact"/>
              <w:jc w:val="left"/>
              <w:rPr>
                <w:rFonts w:ascii="宋体" w:hAnsi="宋体"/>
                <w:color w:val="auto"/>
                <w:sz w:val="24"/>
                <w:highlight w:val="none"/>
              </w:rPr>
            </w:pPr>
            <w:r>
              <w:rPr>
                <w:rFonts w:hint="eastAsia" w:ascii="宋体" w:hAnsi="宋体" w:cs="宋体"/>
                <w:color w:val="auto"/>
                <w:sz w:val="24"/>
                <w:highlight w:val="none"/>
                <w:lang w:val="zh-CN"/>
              </w:rPr>
              <w:t>本项目采用综合评分法，</w:t>
            </w:r>
            <w:r>
              <w:rPr>
                <w:rFonts w:hint="eastAsia" w:ascii="宋体" w:hAnsi="宋体" w:cs="宋体"/>
                <w:color w:val="auto"/>
                <w:sz w:val="24"/>
                <w:highlight w:val="none"/>
              </w:rPr>
              <w:t>多</w:t>
            </w:r>
            <w:r>
              <w:rPr>
                <w:rFonts w:hint="eastAsia" w:ascii="宋体" w:hAnsi="宋体" w:cs="宋体"/>
                <w:color w:val="auto"/>
                <w:sz w:val="24"/>
                <w:highlight w:val="none"/>
                <w:lang w:val="zh-CN"/>
              </w:rPr>
              <w:t>家投标人提供的核心产品品牌全部相同的，通过资格审查、符合性审查的不同投标人参加同一合同项下投标的，按一家投标人计算，评审后得分最高的同品牌投标人获得中标人推荐资格。评审得分相同的，按照投标报价低的获得中标人推荐资格。投标报价也相同的，采取随机抽取方式确定，其他同品牌投标人不作为中标候选人。</w:t>
            </w:r>
          </w:p>
        </w:tc>
      </w:tr>
      <w:tr w14:paraId="53AD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77" w:type="dxa"/>
            <w:vAlign w:val="center"/>
          </w:tcPr>
          <w:p w14:paraId="07386CF3">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39</w:t>
            </w:r>
          </w:p>
        </w:tc>
        <w:tc>
          <w:tcPr>
            <w:tcW w:w="1997" w:type="dxa"/>
            <w:vAlign w:val="center"/>
          </w:tcPr>
          <w:p w14:paraId="6258A664">
            <w:pPr>
              <w:spacing w:line="400" w:lineRule="exact"/>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履约验收</w:t>
            </w:r>
          </w:p>
        </w:tc>
        <w:tc>
          <w:tcPr>
            <w:tcW w:w="6442" w:type="dxa"/>
            <w:vAlign w:val="center"/>
          </w:tcPr>
          <w:p w14:paraId="24B51A25">
            <w:pPr>
              <w:spacing w:line="4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（1）货物到货时，包装必须完好无缺,产品规格型号、产品种类等符合合同要求。</w:t>
            </w:r>
          </w:p>
          <w:p w14:paraId="346A3FAA">
            <w:pPr>
              <w:spacing w:line="4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到货后，甲方会同乙方到现场进行清点，清点货物数量、品牌规格型号、配件等与合同的约定是否相符。货物有丢失或损坏，或者货物的包装、品牌、规格型号等不符合合同约定的，甲方有权要求乙方退回更换或补齐货物，乙方实际交货时间以最终补齐货物时间为准。参与交货验收的单位在货物清单上共同签字。此签单仅作为乙方交货的凭证，不作为乙方货物是否合格的最终依据。若乙方的产品经送检不符合本合同约定或安装后因产品质量问题未能通过验收的，乙方仍应当向甲方承担违约责任。</w:t>
            </w:r>
          </w:p>
          <w:p w14:paraId="2AC67AA3">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（3）在交货的同时应向甲方提交产品合格证等产品质量证明文件、说明书等相关资料，否则，甲方有权拒绝接受货物。</w:t>
            </w:r>
          </w:p>
        </w:tc>
      </w:tr>
      <w:tr w14:paraId="45A2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77" w:type="dxa"/>
            <w:vAlign w:val="center"/>
          </w:tcPr>
          <w:p w14:paraId="5A2049EF">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40</w:t>
            </w:r>
          </w:p>
        </w:tc>
        <w:tc>
          <w:tcPr>
            <w:tcW w:w="1997" w:type="dxa"/>
            <w:vAlign w:val="center"/>
          </w:tcPr>
          <w:p w14:paraId="58B19D67">
            <w:pPr>
              <w:spacing w:line="360" w:lineRule="auto"/>
              <w:jc w:val="center"/>
              <w:rPr>
                <w:rFonts w:hint="eastAsia" w:ascii="宋体" w:hAnsi="宋体" w:cs="宋体"/>
                <w:color w:val="auto"/>
                <w:sz w:val="24"/>
                <w:highlight w:val="none"/>
              </w:rPr>
            </w:pP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专家特别注意 “四方信用评价”须知（招标人、代理机构、本项目评审专家、本项目中标投标人）</w:t>
            </w:r>
          </w:p>
        </w:tc>
        <w:tc>
          <w:tcPr>
            <w:tcW w:w="6442" w:type="dxa"/>
            <w:vAlign w:val="center"/>
          </w:tcPr>
          <w:p w14:paraId="00127717">
            <w:pPr>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▲专家特别注意：“四方信用评价”须知（采购人、代理机构、本项目评审专家、本项目中标供应商） 《河南省政府采购网》目前已增加“四方信用评价”功能。请本项目采购人、代理机构、本项目评审专家、本项目中标供应商，按照评价时间节点按时完成评价工作。 时间节点在评审结束后的五日内。如果超期未评价，系统会默认超期不让评价。</w:t>
            </w:r>
          </w:p>
          <w:p w14:paraId="5DB31FD4">
            <w:pPr>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注：请各方注意时间，避免因超期未评价影响自身信用！</w:t>
            </w:r>
          </w:p>
          <w:p w14:paraId="62902C2F">
            <w:pPr>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1.</w:t>
            </w:r>
            <w:r>
              <w:rPr>
                <w:rFonts w:hint="eastAsia" w:ascii="宋体" w:hAnsi="宋体" w:cs="宋体"/>
                <w:color w:val="auto"/>
                <w:sz w:val="24"/>
                <w:highlight w:val="none"/>
                <w:lang w:val="zh-CN"/>
              </w:rPr>
              <w:t xml:space="preserve">采购人、采购代理机构应当在评审工作结束后5日内对评审专家进行评价。 </w:t>
            </w:r>
          </w:p>
          <w:p w14:paraId="025520B3">
            <w:pPr>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2.采购人、评审专家、供应商应当在评审工作结束后5日内对代理机构进行评价。 </w:t>
            </w:r>
          </w:p>
          <w:p w14:paraId="528234A9">
            <w:pPr>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3.采购人应当在合同履约完成后对中标供应商进行评价。</w:t>
            </w:r>
          </w:p>
          <w:p w14:paraId="2C982DF1">
            <w:pPr>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4.中标供应商应当在合同履约完成后对采购人进行评价。</w:t>
            </w:r>
          </w:p>
        </w:tc>
      </w:tr>
      <w:tr w14:paraId="4482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77" w:type="dxa"/>
            <w:vAlign w:val="center"/>
          </w:tcPr>
          <w:p w14:paraId="2CE50F6B">
            <w:pPr>
              <w:spacing w:line="4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41</w:t>
            </w:r>
          </w:p>
        </w:tc>
        <w:tc>
          <w:tcPr>
            <w:tcW w:w="1997" w:type="dxa"/>
            <w:vAlign w:val="center"/>
          </w:tcPr>
          <w:p w14:paraId="1EA34F2E">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宋体" w:hAnsi="宋体" w:cs="宋体"/>
                <w:b/>
                <w:bCs/>
                <w:color w:val="auto"/>
                <w:kern w:val="0"/>
                <w:szCs w:val="21"/>
                <w:highlight w:val="none"/>
                <w:lang w:eastAsia="zh-CN"/>
              </w:rPr>
            </w:pPr>
            <w:r>
              <w:rPr>
                <w:rFonts w:hint="eastAsia" w:ascii="宋体" w:hAnsi="宋体" w:eastAsia="宋体" w:cs="宋体"/>
                <w:b/>
                <w:bCs/>
                <w:color w:val="auto"/>
                <w:sz w:val="24"/>
                <w:szCs w:val="24"/>
                <w:highlight w:val="none"/>
                <w:lang w:val="en-US" w:eastAsia="zh-CN"/>
              </w:rPr>
              <w:t>政府采购异常低价审查</w:t>
            </w:r>
          </w:p>
        </w:tc>
        <w:tc>
          <w:tcPr>
            <w:tcW w:w="6442" w:type="dxa"/>
            <w:vAlign w:val="center"/>
          </w:tcPr>
          <w:p w14:paraId="19BF55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（一）政府采购评审中出现下列情形之一的，评审委员会应当启动异常低价投标（响应）审查程序：</w:t>
            </w:r>
            <w:r>
              <w:rPr>
                <w:rFonts w:hint="eastAsia" w:ascii="宋体" w:hAnsi="宋体" w:eastAsia="宋体" w:cs="宋体"/>
                <w:b w:val="0"/>
                <w:bCs w:val="0"/>
                <w:color w:val="auto"/>
                <w:sz w:val="24"/>
                <w:szCs w:val="24"/>
                <w:highlight w:val="none"/>
                <w:lang w:val="en-US" w:eastAsia="zh-CN"/>
              </w:rPr>
              <w:t xml:space="preserve"> </w:t>
            </w:r>
          </w:p>
          <w:p w14:paraId="1AA11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1.投标（响应）报价低于全部通过符合性审查供应商投标（响应）报价平均值</w:t>
            </w:r>
          </w:p>
          <w:p w14:paraId="04FFF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50%的，即投标（响应）报价&lt;全部通过符合性审查供应商投标（响应）报价平均值×50%； </w:t>
            </w:r>
          </w:p>
          <w:p w14:paraId="4F24E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07282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3.投标（响应）报价低于采购项目最高限价45%的，即投标（响应）报价&lt;采购项目最高限价×45%； </w:t>
            </w:r>
          </w:p>
          <w:p w14:paraId="01EE9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4.评审委员会基于专业判断，认为供应商报价过低，有可能影响产品质量或者不能诚信履约的其他情形。 </w:t>
            </w:r>
          </w:p>
          <w:p w14:paraId="0B8D376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03AD7B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textAlignment w:val="auto"/>
              <w:rPr>
                <w:rFonts w:hint="eastAsia" w:ascii="宋体" w:hAnsi="宋体" w:cs="宋体"/>
                <w:color w:val="auto"/>
                <w:sz w:val="24"/>
                <w:highlight w:val="none"/>
                <w:lang w:val="zh-CN"/>
              </w:rPr>
            </w:pPr>
            <w:r>
              <w:rPr>
                <w:rFonts w:hint="eastAsia" w:ascii="宋体" w:hAnsi="宋体" w:eastAsia="宋体" w:cs="宋体"/>
                <w:b w:val="0"/>
                <w:bCs w:val="0"/>
                <w:color w:val="auto"/>
                <w:kern w:val="0"/>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 情况，对报价合理性进行判断。投标（响应）供应商不能提供书面说明、证明材料，或者提供的书面说明、证明材料不能证明其报价合理性的，评审委员会应当将其作为无效投标（响应）处理。</w:t>
            </w:r>
          </w:p>
        </w:tc>
      </w:tr>
    </w:tbl>
    <w:p w14:paraId="31E439C8">
      <w:pPr>
        <w:pStyle w:val="55"/>
        <w:tabs>
          <w:tab w:val="left" w:pos="4693"/>
        </w:tabs>
        <w:spacing w:before="78"/>
        <w:ind w:left="0" w:firstLine="0"/>
        <w:jc w:val="both"/>
        <w:rPr>
          <w:b/>
          <w:color w:val="auto"/>
          <w:sz w:val="28"/>
          <w:lang w:val="en-US"/>
        </w:rPr>
      </w:pPr>
      <w:bookmarkStart w:id="8" w:name="_bookmark3"/>
      <w:bookmarkEnd w:id="8"/>
    </w:p>
    <w:p w14:paraId="393F0450">
      <w:pPr>
        <w:pStyle w:val="55"/>
        <w:tabs>
          <w:tab w:val="left" w:pos="4693"/>
        </w:tabs>
        <w:spacing w:before="78"/>
        <w:ind w:left="0" w:firstLine="0"/>
        <w:jc w:val="both"/>
        <w:rPr>
          <w:b/>
          <w:color w:val="auto"/>
          <w:sz w:val="28"/>
        </w:rPr>
      </w:pPr>
      <w:r>
        <w:rPr>
          <w:rFonts w:hint="eastAsia"/>
          <w:b/>
          <w:color w:val="auto"/>
          <w:sz w:val="28"/>
          <w:lang w:val="en-US"/>
        </w:rPr>
        <w:t xml:space="preserve">1 </w:t>
      </w:r>
      <w:r>
        <w:rPr>
          <w:rFonts w:hint="eastAsia"/>
          <w:b/>
          <w:color w:val="auto"/>
          <w:sz w:val="28"/>
        </w:rPr>
        <w:t>总则</w:t>
      </w:r>
    </w:p>
    <w:p w14:paraId="72E10930">
      <w:pPr>
        <w:pStyle w:val="5"/>
        <w:numPr>
          <w:ilvl w:val="1"/>
          <w:numId w:val="5"/>
        </w:numPr>
        <w:tabs>
          <w:tab w:val="left" w:pos="704"/>
        </w:tabs>
        <w:spacing w:before="67"/>
        <w:rPr>
          <w:color w:val="auto"/>
        </w:rPr>
      </w:pPr>
      <w:r>
        <w:rPr>
          <w:rFonts w:hint="eastAsia"/>
          <w:color w:val="auto"/>
        </w:rPr>
        <w:t>项目概况</w:t>
      </w:r>
    </w:p>
    <w:p w14:paraId="2BD22523">
      <w:pPr>
        <w:pStyle w:val="55"/>
        <w:numPr>
          <w:ilvl w:val="2"/>
          <w:numId w:val="5"/>
        </w:numPr>
        <w:tabs>
          <w:tab w:val="left" w:pos="1270"/>
          <w:tab w:val="left" w:pos="9020"/>
        </w:tabs>
        <w:spacing w:before="185" w:line="357" w:lineRule="auto"/>
        <w:ind w:left="18" w:right="56" w:firstLine="620"/>
        <w:rPr>
          <w:color w:val="auto"/>
          <w:sz w:val="21"/>
        </w:rPr>
      </w:pPr>
      <w:r>
        <w:rPr>
          <w:rFonts w:hint="eastAsia"/>
          <w:color w:val="auto"/>
          <w:spacing w:val="-8"/>
          <w:sz w:val="21"/>
        </w:rPr>
        <w:t>根据《中华人民共和国</w:t>
      </w:r>
      <w:r>
        <w:rPr>
          <w:rFonts w:hint="eastAsia"/>
          <w:color w:val="auto"/>
          <w:spacing w:val="-8"/>
          <w:sz w:val="21"/>
          <w:lang w:eastAsia="zh-CN"/>
        </w:rPr>
        <w:t>政府采购</w:t>
      </w:r>
      <w:r>
        <w:rPr>
          <w:rFonts w:hint="eastAsia"/>
          <w:color w:val="auto"/>
          <w:spacing w:val="-8"/>
          <w:sz w:val="21"/>
        </w:rPr>
        <w:t>法》等有关法律、法规和规章的规定，本招标项目已具备</w:t>
      </w:r>
      <w:r>
        <w:rPr>
          <w:rFonts w:hint="eastAsia"/>
          <w:color w:val="auto"/>
          <w:spacing w:val="-5"/>
          <w:sz w:val="21"/>
        </w:rPr>
        <w:t>招标条件，现对本项目的进行招标。</w:t>
      </w:r>
    </w:p>
    <w:p w14:paraId="1C43A3A0">
      <w:pPr>
        <w:pStyle w:val="55"/>
        <w:numPr>
          <w:ilvl w:val="2"/>
          <w:numId w:val="5"/>
        </w:numPr>
        <w:tabs>
          <w:tab w:val="left" w:pos="1275"/>
        </w:tabs>
        <w:spacing w:before="63"/>
        <w:ind w:left="1274" w:hanging="631"/>
        <w:rPr>
          <w:color w:val="auto"/>
          <w:sz w:val="21"/>
        </w:rPr>
      </w:pPr>
      <w:r>
        <w:rPr>
          <w:rFonts w:hint="eastAsia"/>
          <w:color w:val="auto"/>
          <w:spacing w:val="-3"/>
          <w:sz w:val="21"/>
        </w:rPr>
        <w:t>本招标项目采购人：见投标人须知前附表。</w:t>
      </w:r>
    </w:p>
    <w:p w14:paraId="132C7931">
      <w:pPr>
        <w:pStyle w:val="9"/>
        <w:spacing w:before="4"/>
        <w:rPr>
          <w:color w:val="auto"/>
          <w:sz w:val="15"/>
        </w:rPr>
      </w:pPr>
    </w:p>
    <w:p w14:paraId="4CD6AF1D">
      <w:pPr>
        <w:pStyle w:val="55"/>
        <w:numPr>
          <w:ilvl w:val="2"/>
          <w:numId w:val="5"/>
        </w:numPr>
        <w:tabs>
          <w:tab w:val="left" w:pos="1275"/>
        </w:tabs>
        <w:ind w:left="1274" w:hanging="631"/>
        <w:rPr>
          <w:color w:val="auto"/>
          <w:sz w:val="21"/>
        </w:rPr>
      </w:pPr>
      <w:r>
        <w:rPr>
          <w:rFonts w:hint="eastAsia"/>
          <w:color w:val="auto"/>
          <w:spacing w:val="-3"/>
          <w:sz w:val="21"/>
        </w:rPr>
        <w:t>本招标项目招标代理机构：见投标人须知前附表。</w:t>
      </w:r>
    </w:p>
    <w:p w14:paraId="6367C201">
      <w:pPr>
        <w:pStyle w:val="9"/>
        <w:spacing w:before="2"/>
        <w:rPr>
          <w:color w:val="auto"/>
          <w:sz w:val="15"/>
        </w:rPr>
      </w:pPr>
    </w:p>
    <w:p w14:paraId="64CA5B15">
      <w:pPr>
        <w:pStyle w:val="55"/>
        <w:numPr>
          <w:ilvl w:val="2"/>
          <w:numId w:val="5"/>
        </w:numPr>
        <w:tabs>
          <w:tab w:val="left" w:pos="1275"/>
        </w:tabs>
        <w:ind w:left="1274" w:hanging="631"/>
        <w:rPr>
          <w:color w:val="auto"/>
          <w:sz w:val="21"/>
        </w:rPr>
      </w:pPr>
      <w:r>
        <w:rPr>
          <w:rFonts w:hint="eastAsia"/>
          <w:color w:val="auto"/>
          <w:spacing w:val="-3"/>
          <w:sz w:val="21"/>
        </w:rPr>
        <w:t>本招标项目名称：见投标人须知前附表。</w:t>
      </w:r>
    </w:p>
    <w:p w14:paraId="116D9310">
      <w:pPr>
        <w:pStyle w:val="9"/>
        <w:spacing w:before="2"/>
        <w:rPr>
          <w:color w:val="auto"/>
          <w:sz w:val="15"/>
        </w:rPr>
      </w:pPr>
    </w:p>
    <w:p w14:paraId="261EC26E">
      <w:pPr>
        <w:pStyle w:val="55"/>
        <w:numPr>
          <w:ilvl w:val="2"/>
          <w:numId w:val="5"/>
        </w:numPr>
        <w:tabs>
          <w:tab w:val="left" w:pos="1275"/>
        </w:tabs>
        <w:ind w:left="1274" w:hanging="631"/>
        <w:rPr>
          <w:color w:val="auto"/>
          <w:sz w:val="21"/>
        </w:rPr>
      </w:pPr>
      <w:r>
        <w:rPr>
          <w:rFonts w:hint="eastAsia"/>
          <w:color w:val="auto"/>
          <w:spacing w:val="-3"/>
          <w:sz w:val="21"/>
        </w:rPr>
        <w:t>本招标项目交货地点：见投标人须知前附表。</w:t>
      </w:r>
    </w:p>
    <w:p w14:paraId="123EE4F0">
      <w:pPr>
        <w:pStyle w:val="5"/>
        <w:numPr>
          <w:ilvl w:val="1"/>
          <w:numId w:val="5"/>
        </w:numPr>
        <w:tabs>
          <w:tab w:val="left" w:pos="704"/>
        </w:tabs>
        <w:spacing w:before="133"/>
        <w:rPr>
          <w:color w:val="auto"/>
        </w:rPr>
      </w:pPr>
      <w:r>
        <w:rPr>
          <w:rFonts w:hint="eastAsia"/>
          <w:color w:val="auto"/>
        </w:rPr>
        <w:t>资金来源和落实情况</w:t>
      </w:r>
    </w:p>
    <w:p w14:paraId="29DFD14A">
      <w:pPr>
        <w:pStyle w:val="55"/>
        <w:numPr>
          <w:ilvl w:val="2"/>
          <w:numId w:val="5"/>
        </w:numPr>
        <w:tabs>
          <w:tab w:val="left" w:pos="1270"/>
        </w:tabs>
        <w:spacing w:before="186"/>
        <w:ind w:left="1270"/>
        <w:rPr>
          <w:color w:val="auto"/>
          <w:sz w:val="21"/>
        </w:rPr>
      </w:pPr>
      <w:r>
        <w:rPr>
          <w:rFonts w:hint="eastAsia"/>
          <w:color w:val="auto"/>
          <w:spacing w:val="-3"/>
          <w:sz w:val="21"/>
        </w:rPr>
        <w:t>本招标项目的资金来源：见投标人须知前附表。</w:t>
      </w:r>
    </w:p>
    <w:p w14:paraId="7B67C62A">
      <w:pPr>
        <w:pStyle w:val="9"/>
        <w:spacing w:before="4"/>
        <w:rPr>
          <w:color w:val="auto"/>
          <w:sz w:val="15"/>
        </w:rPr>
      </w:pPr>
    </w:p>
    <w:p w14:paraId="5CCBDA1B">
      <w:pPr>
        <w:pStyle w:val="55"/>
        <w:numPr>
          <w:ilvl w:val="2"/>
          <w:numId w:val="5"/>
        </w:numPr>
        <w:tabs>
          <w:tab w:val="left" w:pos="1270"/>
        </w:tabs>
        <w:ind w:left="1270"/>
        <w:rPr>
          <w:color w:val="auto"/>
          <w:sz w:val="21"/>
        </w:rPr>
      </w:pPr>
      <w:r>
        <w:rPr>
          <w:rFonts w:hint="eastAsia"/>
          <w:color w:val="auto"/>
          <w:spacing w:val="-3"/>
          <w:sz w:val="21"/>
        </w:rPr>
        <w:t>本招标项目的资金落实情况：见投标人须知前附表。</w:t>
      </w:r>
    </w:p>
    <w:p w14:paraId="51474220">
      <w:pPr>
        <w:pStyle w:val="5"/>
        <w:numPr>
          <w:ilvl w:val="1"/>
          <w:numId w:val="5"/>
        </w:numPr>
        <w:tabs>
          <w:tab w:val="left" w:pos="704"/>
        </w:tabs>
        <w:spacing w:before="131"/>
        <w:rPr>
          <w:color w:val="auto"/>
        </w:rPr>
      </w:pPr>
      <w:r>
        <w:rPr>
          <w:rFonts w:hint="eastAsia"/>
          <w:color w:val="auto"/>
        </w:rPr>
        <w:t>招标内容和质量要求</w:t>
      </w:r>
    </w:p>
    <w:p w14:paraId="63D28B37">
      <w:pPr>
        <w:pStyle w:val="55"/>
        <w:numPr>
          <w:ilvl w:val="2"/>
          <w:numId w:val="5"/>
        </w:numPr>
        <w:tabs>
          <w:tab w:val="left" w:pos="1270"/>
        </w:tabs>
        <w:spacing w:before="186"/>
        <w:ind w:left="1270"/>
        <w:rPr>
          <w:color w:val="auto"/>
          <w:spacing w:val="-3"/>
          <w:sz w:val="21"/>
        </w:rPr>
      </w:pPr>
      <w:r>
        <w:rPr>
          <w:rFonts w:hint="eastAsia"/>
          <w:color w:val="auto"/>
          <w:spacing w:val="-3"/>
          <w:sz w:val="21"/>
        </w:rPr>
        <w:t>本次招标内容：见投标人须知前附表。</w:t>
      </w:r>
    </w:p>
    <w:p w14:paraId="60AAF049">
      <w:pPr>
        <w:pStyle w:val="55"/>
        <w:numPr>
          <w:ilvl w:val="2"/>
          <w:numId w:val="5"/>
        </w:numPr>
        <w:tabs>
          <w:tab w:val="left" w:pos="1270"/>
        </w:tabs>
        <w:spacing w:before="186"/>
        <w:ind w:left="1270"/>
        <w:rPr>
          <w:color w:val="auto"/>
          <w:spacing w:val="-3"/>
          <w:sz w:val="21"/>
        </w:rPr>
      </w:pPr>
      <w:r>
        <w:rPr>
          <w:rFonts w:hint="eastAsia"/>
          <w:color w:val="auto"/>
          <w:spacing w:val="-3"/>
          <w:sz w:val="21"/>
        </w:rPr>
        <w:t>本次招标的交货期：见投标人须知前附表。</w:t>
      </w:r>
    </w:p>
    <w:p w14:paraId="0CE3DAA5">
      <w:pPr>
        <w:pStyle w:val="55"/>
        <w:numPr>
          <w:ilvl w:val="2"/>
          <w:numId w:val="5"/>
        </w:numPr>
        <w:tabs>
          <w:tab w:val="left" w:pos="1270"/>
        </w:tabs>
        <w:spacing w:before="186"/>
        <w:ind w:left="1270"/>
        <w:rPr>
          <w:color w:val="auto"/>
          <w:spacing w:val="-3"/>
          <w:sz w:val="21"/>
        </w:rPr>
      </w:pPr>
      <w:r>
        <w:rPr>
          <w:rFonts w:hint="eastAsia"/>
          <w:color w:val="auto"/>
          <w:spacing w:val="-3"/>
          <w:sz w:val="21"/>
        </w:rPr>
        <w:t>本次招标的质量标准：见投标人须知前附表。</w:t>
      </w:r>
    </w:p>
    <w:p w14:paraId="6CA811FC">
      <w:pPr>
        <w:pStyle w:val="5"/>
        <w:numPr>
          <w:ilvl w:val="1"/>
          <w:numId w:val="5"/>
        </w:numPr>
        <w:tabs>
          <w:tab w:val="left" w:pos="704"/>
        </w:tabs>
        <w:spacing w:before="131"/>
        <w:rPr>
          <w:color w:val="auto"/>
          <w:spacing w:val="-3"/>
          <w:sz w:val="21"/>
        </w:rPr>
      </w:pPr>
      <w:r>
        <w:rPr>
          <w:rFonts w:hint="eastAsia"/>
          <w:color w:val="auto"/>
        </w:rPr>
        <w:t>投标人资格要求</w:t>
      </w:r>
    </w:p>
    <w:p w14:paraId="3564D21C">
      <w:pPr>
        <w:pStyle w:val="5"/>
        <w:tabs>
          <w:tab w:val="left" w:pos="704"/>
        </w:tabs>
        <w:spacing w:before="131"/>
        <w:ind w:left="218" w:firstLine="408" w:firstLineChars="200"/>
        <w:rPr>
          <w:b w:val="0"/>
          <w:bCs w:val="0"/>
          <w:color w:val="auto"/>
          <w:spacing w:val="-3"/>
          <w:sz w:val="21"/>
          <w:szCs w:val="22"/>
        </w:rPr>
      </w:pPr>
      <w:r>
        <w:rPr>
          <w:rFonts w:hint="eastAsia"/>
          <w:b w:val="0"/>
          <w:bCs w:val="0"/>
          <w:color w:val="auto"/>
          <w:spacing w:val="-3"/>
          <w:sz w:val="21"/>
          <w:szCs w:val="22"/>
          <w:lang w:val="en-US"/>
        </w:rPr>
        <w:t>1.4.1</w:t>
      </w:r>
      <w:r>
        <w:rPr>
          <w:rFonts w:hint="eastAsia"/>
          <w:b w:val="0"/>
          <w:bCs w:val="0"/>
          <w:color w:val="auto"/>
          <w:spacing w:val="-3"/>
          <w:sz w:val="21"/>
          <w:szCs w:val="22"/>
        </w:rPr>
        <w:t>投标人应具备的资质条件见投标人须知前附表；</w:t>
      </w:r>
    </w:p>
    <w:p w14:paraId="526AC420">
      <w:pPr>
        <w:pStyle w:val="5"/>
        <w:tabs>
          <w:tab w:val="left" w:pos="704"/>
        </w:tabs>
        <w:spacing w:before="131"/>
        <w:ind w:left="218" w:firstLine="408" w:firstLineChars="200"/>
        <w:rPr>
          <w:b w:val="0"/>
          <w:bCs w:val="0"/>
          <w:color w:val="auto"/>
          <w:spacing w:val="-3"/>
          <w:sz w:val="21"/>
        </w:rPr>
      </w:pPr>
      <w:r>
        <w:rPr>
          <w:rFonts w:hint="eastAsia"/>
          <w:b w:val="0"/>
          <w:bCs w:val="0"/>
          <w:color w:val="auto"/>
          <w:spacing w:val="-3"/>
          <w:sz w:val="21"/>
          <w:lang w:val="en-US"/>
        </w:rPr>
        <w:t xml:space="preserve">1.4.2 </w:t>
      </w:r>
      <w:r>
        <w:rPr>
          <w:rFonts w:hint="eastAsia"/>
          <w:b w:val="0"/>
          <w:bCs w:val="0"/>
          <w:color w:val="auto"/>
          <w:spacing w:val="-3"/>
          <w:sz w:val="21"/>
        </w:rPr>
        <w:t>投标人不得存在下列情形之一：</w:t>
      </w:r>
    </w:p>
    <w:p w14:paraId="1AA7EEE5">
      <w:pPr>
        <w:pStyle w:val="55"/>
        <w:tabs>
          <w:tab w:val="left" w:pos="1270"/>
        </w:tabs>
        <w:spacing w:before="186"/>
        <w:ind w:left="638" w:firstLine="0"/>
        <w:rPr>
          <w:color w:val="auto"/>
          <w:spacing w:val="-3"/>
          <w:sz w:val="21"/>
        </w:rPr>
      </w:pPr>
      <w:r>
        <w:rPr>
          <w:rFonts w:hint="eastAsia"/>
          <w:color w:val="auto"/>
          <w:spacing w:val="-3"/>
          <w:sz w:val="21"/>
        </w:rPr>
        <w:t>（</w:t>
      </w:r>
      <w:r>
        <w:rPr>
          <w:rFonts w:hint="eastAsia"/>
          <w:color w:val="auto"/>
          <w:spacing w:val="-3"/>
          <w:sz w:val="21"/>
          <w:lang w:val="en-US"/>
        </w:rPr>
        <w:t>1</w:t>
      </w:r>
      <w:r>
        <w:rPr>
          <w:rFonts w:hint="eastAsia"/>
          <w:color w:val="auto"/>
          <w:spacing w:val="-3"/>
          <w:sz w:val="21"/>
        </w:rPr>
        <w:t>）与采购人存在利害关系且可能影响招标公正性；</w:t>
      </w:r>
    </w:p>
    <w:p w14:paraId="1F46087D">
      <w:pPr>
        <w:pStyle w:val="55"/>
        <w:tabs>
          <w:tab w:val="left" w:pos="1270"/>
        </w:tabs>
        <w:spacing w:before="186"/>
        <w:ind w:left="638" w:firstLine="0"/>
        <w:rPr>
          <w:color w:val="auto"/>
          <w:spacing w:val="-3"/>
          <w:sz w:val="21"/>
        </w:rPr>
      </w:pPr>
      <w:r>
        <w:rPr>
          <w:rFonts w:hint="eastAsia"/>
          <w:color w:val="auto"/>
          <w:spacing w:val="-3"/>
          <w:sz w:val="21"/>
        </w:rPr>
        <w:t>（</w:t>
      </w:r>
      <w:r>
        <w:rPr>
          <w:rFonts w:hint="eastAsia"/>
          <w:color w:val="auto"/>
          <w:spacing w:val="-3"/>
          <w:sz w:val="21"/>
          <w:lang w:val="en-US"/>
        </w:rPr>
        <w:t>2</w:t>
      </w:r>
      <w:r>
        <w:rPr>
          <w:rFonts w:hint="eastAsia"/>
          <w:color w:val="auto"/>
          <w:spacing w:val="-3"/>
          <w:sz w:val="21"/>
        </w:rPr>
        <w:t>）与本招标项目的其他投标人为同一个单位负责人；</w:t>
      </w:r>
    </w:p>
    <w:p w14:paraId="54C5B119">
      <w:pPr>
        <w:pStyle w:val="55"/>
        <w:tabs>
          <w:tab w:val="left" w:pos="1270"/>
        </w:tabs>
        <w:spacing w:before="186"/>
        <w:ind w:left="638" w:firstLine="0"/>
        <w:rPr>
          <w:color w:val="auto"/>
          <w:spacing w:val="-3"/>
          <w:sz w:val="21"/>
        </w:rPr>
      </w:pPr>
      <w:r>
        <w:rPr>
          <w:rFonts w:hint="eastAsia"/>
          <w:color w:val="auto"/>
          <w:spacing w:val="-3"/>
          <w:sz w:val="21"/>
        </w:rPr>
        <w:t>（</w:t>
      </w:r>
      <w:r>
        <w:rPr>
          <w:rFonts w:hint="eastAsia"/>
          <w:color w:val="auto"/>
          <w:spacing w:val="-3"/>
          <w:sz w:val="21"/>
          <w:lang w:val="en-US"/>
        </w:rPr>
        <w:t>3</w:t>
      </w:r>
      <w:r>
        <w:rPr>
          <w:rFonts w:hint="eastAsia"/>
          <w:color w:val="auto"/>
          <w:spacing w:val="-3"/>
          <w:sz w:val="21"/>
        </w:rPr>
        <w:t>）与本招标项目的其他投标人存在控股、管理关系；</w:t>
      </w:r>
    </w:p>
    <w:p w14:paraId="77DAF42A">
      <w:pPr>
        <w:pStyle w:val="55"/>
        <w:tabs>
          <w:tab w:val="left" w:pos="1270"/>
        </w:tabs>
        <w:spacing w:before="186"/>
        <w:ind w:left="638" w:firstLine="0"/>
        <w:rPr>
          <w:color w:val="auto"/>
          <w:spacing w:val="-3"/>
          <w:sz w:val="21"/>
        </w:rPr>
      </w:pPr>
      <w:r>
        <w:rPr>
          <w:rFonts w:hint="eastAsia"/>
          <w:color w:val="auto"/>
          <w:spacing w:val="-3"/>
          <w:sz w:val="21"/>
        </w:rPr>
        <w:t>（</w:t>
      </w:r>
      <w:r>
        <w:rPr>
          <w:rFonts w:hint="eastAsia"/>
          <w:color w:val="auto"/>
          <w:spacing w:val="-3"/>
          <w:sz w:val="21"/>
          <w:lang w:val="en-US"/>
        </w:rPr>
        <w:t>4</w:t>
      </w:r>
      <w:r>
        <w:rPr>
          <w:rFonts w:hint="eastAsia"/>
          <w:color w:val="auto"/>
          <w:spacing w:val="-3"/>
          <w:sz w:val="21"/>
        </w:rPr>
        <w:t>）为本招标项目的招标代理机构；</w:t>
      </w:r>
    </w:p>
    <w:p w14:paraId="08DAAD7B">
      <w:pPr>
        <w:pStyle w:val="55"/>
        <w:tabs>
          <w:tab w:val="left" w:pos="1270"/>
        </w:tabs>
        <w:spacing w:before="186"/>
        <w:ind w:left="638" w:firstLine="0"/>
        <w:rPr>
          <w:color w:val="auto"/>
          <w:spacing w:val="-3"/>
          <w:sz w:val="21"/>
        </w:rPr>
      </w:pPr>
      <w:r>
        <w:rPr>
          <w:rFonts w:hint="eastAsia"/>
          <w:color w:val="auto"/>
          <w:spacing w:val="-3"/>
          <w:sz w:val="21"/>
        </w:rPr>
        <w:t>（</w:t>
      </w:r>
      <w:r>
        <w:rPr>
          <w:rFonts w:hint="eastAsia"/>
          <w:color w:val="auto"/>
          <w:spacing w:val="-3"/>
          <w:sz w:val="21"/>
          <w:lang w:val="en-US"/>
        </w:rPr>
        <w:t>5</w:t>
      </w:r>
      <w:r>
        <w:rPr>
          <w:rFonts w:hint="eastAsia"/>
          <w:color w:val="auto"/>
          <w:spacing w:val="-3"/>
          <w:sz w:val="21"/>
        </w:rPr>
        <w:t>）与本招标项目的招标代理机构存在控股或参股关系；</w:t>
      </w:r>
    </w:p>
    <w:p w14:paraId="40EF9EDF">
      <w:pPr>
        <w:pStyle w:val="55"/>
        <w:tabs>
          <w:tab w:val="left" w:pos="1270"/>
        </w:tabs>
        <w:spacing w:before="186"/>
        <w:ind w:left="638" w:firstLine="0"/>
        <w:rPr>
          <w:color w:val="auto"/>
          <w:spacing w:val="-3"/>
          <w:sz w:val="21"/>
        </w:rPr>
      </w:pPr>
      <w:r>
        <w:rPr>
          <w:rFonts w:hint="eastAsia"/>
          <w:color w:val="auto"/>
          <w:spacing w:val="-3"/>
          <w:sz w:val="21"/>
        </w:rPr>
        <w:t>（</w:t>
      </w:r>
      <w:r>
        <w:rPr>
          <w:rFonts w:hint="eastAsia"/>
          <w:color w:val="auto"/>
          <w:spacing w:val="-3"/>
          <w:sz w:val="21"/>
          <w:lang w:val="en-US"/>
        </w:rPr>
        <w:t>6</w:t>
      </w:r>
      <w:r>
        <w:rPr>
          <w:rFonts w:hint="eastAsia"/>
          <w:color w:val="auto"/>
          <w:spacing w:val="-3"/>
          <w:sz w:val="21"/>
        </w:rPr>
        <w:t>）被依法暂停或者取消投标资格；</w:t>
      </w:r>
    </w:p>
    <w:p w14:paraId="7C90B0A7">
      <w:pPr>
        <w:pStyle w:val="55"/>
        <w:tabs>
          <w:tab w:val="left" w:pos="1270"/>
        </w:tabs>
        <w:spacing w:before="186"/>
        <w:ind w:left="638" w:firstLine="0"/>
        <w:rPr>
          <w:color w:val="auto"/>
          <w:spacing w:val="-3"/>
          <w:sz w:val="21"/>
        </w:rPr>
      </w:pPr>
      <w:r>
        <w:rPr>
          <w:rFonts w:hint="eastAsia"/>
          <w:color w:val="auto"/>
          <w:spacing w:val="-3"/>
          <w:sz w:val="21"/>
        </w:rPr>
        <w:t>（</w:t>
      </w:r>
      <w:r>
        <w:rPr>
          <w:rFonts w:hint="eastAsia"/>
          <w:color w:val="auto"/>
          <w:spacing w:val="-3"/>
          <w:sz w:val="21"/>
          <w:lang w:val="en-US"/>
        </w:rPr>
        <w:t>7</w:t>
      </w:r>
      <w:r>
        <w:rPr>
          <w:rFonts w:hint="eastAsia"/>
          <w:color w:val="auto"/>
          <w:spacing w:val="-3"/>
          <w:sz w:val="21"/>
        </w:rPr>
        <w:t>）被责令停产停业、暂扣或者吊销许可证、暂扣或者吊销执照；</w:t>
      </w:r>
    </w:p>
    <w:p w14:paraId="036B409B">
      <w:pPr>
        <w:pStyle w:val="55"/>
        <w:tabs>
          <w:tab w:val="left" w:pos="1270"/>
        </w:tabs>
        <w:spacing w:before="186"/>
        <w:ind w:left="638" w:firstLine="0"/>
        <w:rPr>
          <w:color w:val="auto"/>
          <w:spacing w:val="-3"/>
          <w:sz w:val="21"/>
        </w:rPr>
      </w:pPr>
      <w:r>
        <w:rPr>
          <w:rFonts w:hint="eastAsia"/>
          <w:color w:val="auto"/>
          <w:spacing w:val="-3"/>
          <w:sz w:val="21"/>
        </w:rPr>
        <w:t>（</w:t>
      </w:r>
      <w:r>
        <w:rPr>
          <w:rFonts w:hint="eastAsia"/>
          <w:color w:val="auto"/>
          <w:spacing w:val="-3"/>
          <w:sz w:val="21"/>
          <w:lang w:val="en-US"/>
        </w:rPr>
        <w:t>8</w:t>
      </w:r>
      <w:r>
        <w:rPr>
          <w:rFonts w:hint="eastAsia"/>
          <w:color w:val="auto"/>
          <w:spacing w:val="-3"/>
          <w:sz w:val="21"/>
        </w:rPr>
        <w:t>）进入清算程序，或被宣告破产，或其他丧失履约能力的情形；</w:t>
      </w:r>
    </w:p>
    <w:p w14:paraId="6DA6CA08">
      <w:pPr>
        <w:pStyle w:val="55"/>
        <w:tabs>
          <w:tab w:val="left" w:pos="1270"/>
        </w:tabs>
        <w:spacing w:before="186"/>
        <w:ind w:left="638" w:firstLine="0"/>
        <w:rPr>
          <w:color w:val="auto"/>
          <w:spacing w:val="-3"/>
          <w:sz w:val="21"/>
        </w:rPr>
      </w:pPr>
      <w:r>
        <w:rPr>
          <w:rFonts w:hint="eastAsia"/>
          <w:color w:val="auto"/>
          <w:spacing w:val="-3"/>
          <w:sz w:val="21"/>
        </w:rPr>
        <w:t>（</w:t>
      </w:r>
      <w:r>
        <w:rPr>
          <w:rFonts w:hint="eastAsia"/>
          <w:color w:val="auto"/>
          <w:spacing w:val="-3"/>
          <w:sz w:val="21"/>
          <w:lang w:val="en-US"/>
        </w:rPr>
        <w:t>9</w:t>
      </w:r>
      <w:r>
        <w:rPr>
          <w:rFonts w:hint="eastAsia"/>
          <w:color w:val="auto"/>
          <w:spacing w:val="-3"/>
          <w:sz w:val="21"/>
        </w:rPr>
        <w:t>）法律法规或投标人须知前附表规定的其他情形。</w:t>
      </w:r>
    </w:p>
    <w:p w14:paraId="50172D74">
      <w:pPr>
        <w:pStyle w:val="5"/>
        <w:numPr>
          <w:ilvl w:val="1"/>
          <w:numId w:val="5"/>
        </w:numPr>
        <w:tabs>
          <w:tab w:val="left" w:pos="704"/>
        </w:tabs>
        <w:spacing w:before="131"/>
        <w:rPr>
          <w:color w:val="auto"/>
          <w:spacing w:val="-3"/>
          <w:sz w:val="21"/>
        </w:rPr>
      </w:pPr>
      <w:r>
        <w:rPr>
          <w:rFonts w:hint="eastAsia"/>
          <w:color w:val="auto"/>
        </w:rPr>
        <w:t>费用承担</w:t>
      </w:r>
    </w:p>
    <w:p w14:paraId="0E3158A4">
      <w:pPr>
        <w:pStyle w:val="55"/>
        <w:tabs>
          <w:tab w:val="left" w:pos="1330"/>
        </w:tabs>
        <w:spacing w:before="152" w:line="355" w:lineRule="auto"/>
        <w:ind w:left="238" w:right="56" w:firstLine="459" w:firstLineChars="225"/>
        <w:rPr>
          <w:color w:val="auto"/>
          <w:spacing w:val="-3"/>
          <w:sz w:val="21"/>
        </w:rPr>
      </w:pPr>
      <w:r>
        <w:rPr>
          <w:rFonts w:hint="eastAsia"/>
          <w:color w:val="auto"/>
          <w:spacing w:val="-3"/>
          <w:sz w:val="21"/>
        </w:rPr>
        <w:t>投标人准备和参加投标活动发生的费用自理。中标人承担中标服务费，费用由中标人在领取《中标通知书》时按照</w:t>
      </w:r>
      <w:r>
        <w:rPr>
          <w:rFonts w:hint="eastAsia"/>
          <w:color w:val="auto"/>
          <w:spacing w:val="-3"/>
          <w:sz w:val="21"/>
          <w:lang w:val="en-US"/>
        </w:rPr>
        <w:t>河南省招标代理服务收费指导意见-豫招协</w:t>
      </w:r>
      <w:r>
        <w:rPr>
          <w:rFonts w:hint="eastAsia"/>
          <w:color w:val="auto"/>
          <w:spacing w:val="-3"/>
          <w:sz w:val="21"/>
        </w:rPr>
        <w:t>【</w:t>
      </w:r>
      <w:r>
        <w:rPr>
          <w:rFonts w:hint="eastAsia"/>
          <w:color w:val="auto"/>
          <w:spacing w:val="-3"/>
          <w:sz w:val="21"/>
          <w:lang w:val="en-US"/>
        </w:rPr>
        <w:t>2023</w:t>
      </w:r>
      <w:r>
        <w:rPr>
          <w:rFonts w:hint="eastAsia"/>
          <w:color w:val="auto"/>
          <w:spacing w:val="-3"/>
          <w:sz w:val="21"/>
        </w:rPr>
        <w:t>】</w:t>
      </w:r>
      <w:r>
        <w:rPr>
          <w:rFonts w:hint="eastAsia"/>
          <w:color w:val="auto"/>
          <w:spacing w:val="-3"/>
          <w:sz w:val="21"/>
          <w:lang w:val="en-US"/>
        </w:rPr>
        <w:t>002号</w:t>
      </w:r>
      <w:r>
        <w:rPr>
          <w:rFonts w:hint="eastAsia"/>
          <w:color w:val="auto"/>
          <w:spacing w:val="-3"/>
          <w:sz w:val="21"/>
        </w:rPr>
        <w:t>文有关规定向招标代理机构缴清中标服务费。</w:t>
      </w:r>
    </w:p>
    <w:p w14:paraId="493B49C7">
      <w:pPr>
        <w:pStyle w:val="5"/>
        <w:numPr>
          <w:ilvl w:val="1"/>
          <w:numId w:val="5"/>
        </w:numPr>
        <w:tabs>
          <w:tab w:val="left" w:pos="704"/>
        </w:tabs>
        <w:spacing w:before="1"/>
        <w:rPr>
          <w:color w:val="auto"/>
        </w:rPr>
      </w:pPr>
      <w:r>
        <w:rPr>
          <w:rFonts w:hint="eastAsia"/>
          <w:color w:val="auto"/>
        </w:rPr>
        <w:t>保密</w:t>
      </w:r>
    </w:p>
    <w:p w14:paraId="39193CEF">
      <w:pPr>
        <w:pStyle w:val="9"/>
        <w:spacing w:before="155" w:line="355" w:lineRule="auto"/>
        <w:ind w:left="218" w:right="-144" w:firstLine="480"/>
        <w:rPr>
          <w:color w:val="auto"/>
        </w:rPr>
      </w:pPr>
      <w:r>
        <w:rPr>
          <w:rFonts w:hint="eastAsia"/>
          <w:color w:val="auto"/>
        </w:rPr>
        <w:t>参与招标投标活动的各方应对招标文件和投标文件中的商业和技术等秘密保密，违者应对由此造成的后果承担法律责任。</w:t>
      </w:r>
    </w:p>
    <w:p w14:paraId="2E814141">
      <w:pPr>
        <w:pStyle w:val="5"/>
        <w:numPr>
          <w:ilvl w:val="1"/>
          <w:numId w:val="5"/>
        </w:numPr>
        <w:tabs>
          <w:tab w:val="left" w:pos="704"/>
        </w:tabs>
        <w:spacing w:line="290" w:lineRule="exact"/>
        <w:rPr>
          <w:color w:val="auto"/>
        </w:rPr>
      </w:pPr>
      <w:r>
        <w:rPr>
          <w:rFonts w:hint="eastAsia"/>
          <w:color w:val="auto"/>
        </w:rPr>
        <w:t>语言文字</w:t>
      </w:r>
    </w:p>
    <w:p w14:paraId="0AD003C6">
      <w:pPr>
        <w:pStyle w:val="9"/>
        <w:spacing w:before="142"/>
        <w:ind w:right="-105" w:rightChars="-50" w:firstLine="659" w:firstLineChars="314"/>
        <w:rPr>
          <w:color w:val="auto"/>
        </w:rPr>
      </w:pPr>
      <w:r>
        <w:rPr>
          <w:rFonts w:hint="eastAsia"/>
          <w:color w:val="auto"/>
        </w:rPr>
        <w:t>除专用术语外，与招标投标有关的语言均使用中文。必要时专用术语应附有中文注释。</w:t>
      </w:r>
    </w:p>
    <w:p w14:paraId="7B1A0A3A">
      <w:pPr>
        <w:pStyle w:val="5"/>
        <w:numPr>
          <w:ilvl w:val="1"/>
          <w:numId w:val="5"/>
        </w:numPr>
        <w:tabs>
          <w:tab w:val="left" w:pos="420"/>
        </w:tabs>
        <w:spacing w:before="133"/>
        <w:ind w:hanging="483"/>
        <w:rPr>
          <w:color w:val="auto"/>
        </w:rPr>
      </w:pPr>
      <w:r>
        <w:rPr>
          <w:rFonts w:hint="eastAsia"/>
          <w:color w:val="auto"/>
        </w:rPr>
        <w:t>计量单位</w:t>
      </w:r>
    </w:p>
    <w:p w14:paraId="6799394D">
      <w:pPr>
        <w:pStyle w:val="9"/>
        <w:spacing w:before="155"/>
        <w:ind w:left="698"/>
        <w:rPr>
          <w:color w:val="auto"/>
        </w:rPr>
      </w:pPr>
      <w:r>
        <w:rPr>
          <w:rFonts w:hint="eastAsia"/>
          <w:color w:val="auto"/>
        </w:rPr>
        <w:t>所有计量均采用中华人民共和国法定计量单位。</w:t>
      </w:r>
    </w:p>
    <w:p w14:paraId="1AF8C5E6">
      <w:pPr>
        <w:pStyle w:val="5"/>
        <w:numPr>
          <w:ilvl w:val="1"/>
          <w:numId w:val="5"/>
        </w:numPr>
        <w:tabs>
          <w:tab w:val="left" w:pos="420"/>
        </w:tabs>
        <w:spacing w:before="130"/>
        <w:ind w:hanging="483"/>
        <w:rPr>
          <w:color w:val="auto"/>
        </w:rPr>
      </w:pPr>
      <w:r>
        <w:rPr>
          <w:rFonts w:hint="eastAsia"/>
          <w:color w:val="auto"/>
        </w:rPr>
        <w:t>踏勘现场（本项目不组织，自行勘察）</w:t>
      </w:r>
    </w:p>
    <w:p w14:paraId="4ADCA846">
      <w:pPr>
        <w:pStyle w:val="55"/>
        <w:numPr>
          <w:ilvl w:val="2"/>
          <w:numId w:val="5"/>
        </w:numPr>
        <w:tabs>
          <w:tab w:val="left" w:pos="1330"/>
        </w:tabs>
        <w:spacing w:before="152" w:line="355" w:lineRule="auto"/>
        <w:ind w:left="18" w:right="56" w:firstLine="680"/>
        <w:rPr>
          <w:color w:val="auto"/>
          <w:sz w:val="21"/>
        </w:rPr>
      </w:pPr>
      <w:r>
        <w:rPr>
          <w:rFonts w:hint="eastAsia"/>
          <w:color w:val="auto"/>
          <w:spacing w:val="-3"/>
          <w:sz w:val="21"/>
        </w:rPr>
        <w:t>投标人须知前附表规定组织踏勘现场的，采购人按投标人须知前附表规定的时间、地点组织投标人踏勘项目现场。</w:t>
      </w:r>
    </w:p>
    <w:p w14:paraId="54813DE8">
      <w:pPr>
        <w:pStyle w:val="55"/>
        <w:numPr>
          <w:ilvl w:val="2"/>
          <w:numId w:val="5"/>
        </w:numPr>
        <w:tabs>
          <w:tab w:val="left" w:pos="1330"/>
        </w:tabs>
        <w:spacing w:before="35"/>
        <w:ind w:left="1330"/>
        <w:rPr>
          <w:color w:val="auto"/>
          <w:sz w:val="21"/>
        </w:rPr>
      </w:pPr>
      <w:r>
        <w:rPr>
          <w:rFonts w:hint="eastAsia"/>
          <w:color w:val="auto"/>
          <w:spacing w:val="-3"/>
          <w:sz w:val="21"/>
        </w:rPr>
        <w:t>投标人踏勘现场发生的费用自理。</w:t>
      </w:r>
    </w:p>
    <w:p w14:paraId="7CF6A685">
      <w:pPr>
        <w:pStyle w:val="55"/>
        <w:numPr>
          <w:ilvl w:val="2"/>
          <w:numId w:val="5"/>
        </w:numPr>
        <w:tabs>
          <w:tab w:val="left" w:pos="1330"/>
        </w:tabs>
        <w:spacing w:before="160"/>
        <w:ind w:left="1330"/>
        <w:rPr>
          <w:color w:val="auto"/>
          <w:sz w:val="21"/>
        </w:rPr>
      </w:pPr>
      <w:r>
        <w:rPr>
          <w:rFonts w:hint="eastAsia"/>
          <w:color w:val="auto"/>
          <w:spacing w:val="-3"/>
          <w:sz w:val="21"/>
        </w:rPr>
        <w:t>除采购人的原因外，投标人自行负责在踏勘现场中所发生的人员伤亡和财产损</w:t>
      </w:r>
    </w:p>
    <w:p w14:paraId="44678C36">
      <w:pPr>
        <w:pStyle w:val="55"/>
        <w:tabs>
          <w:tab w:val="left" w:pos="1330"/>
        </w:tabs>
        <w:spacing w:before="160"/>
        <w:ind w:left="0" w:firstLine="0"/>
        <w:rPr>
          <w:color w:val="auto"/>
          <w:sz w:val="21"/>
        </w:rPr>
      </w:pPr>
      <w:r>
        <w:rPr>
          <w:rFonts w:hint="eastAsia"/>
          <w:color w:val="auto"/>
          <w:spacing w:val="-3"/>
          <w:sz w:val="21"/>
        </w:rPr>
        <w:t>失。</w:t>
      </w:r>
    </w:p>
    <w:p w14:paraId="1EACC3C2">
      <w:pPr>
        <w:pStyle w:val="55"/>
        <w:numPr>
          <w:ilvl w:val="2"/>
          <w:numId w:val="5"/>
        </w:numPr>
        <w:tabs>
          <w:tab w:val="left" w:pos="1330"/>
        </w:tabs>
        <w:spacing w:before="161" w:line="355" w:lineRule="auto"/>
        <w:ind w:left="18" w:right="56" w:firstLine="680"/>
        <w:rPr>
          <w:color w:val="auto"/>
          <w:sz w:val="21"/>
        </w:rPr>
      </w:pPr>
      <w:r>
        <w:rPr>
          <w:rFonts w:hint="eastAsia"/>
          <w:color w:val="auto"/>
          <w:spacing w:val="-3"/>
          <w:sz w:val="21"/>
        </w:rPr>
        <w:t>采购人在踏勘现场中介绍的工程场地和相关的周边环境情况，供投标人在编制投标文件时参考，采购人不对投标人据此作出的判断和决策负责。</w:t>
      </w:r>
    </w:p>
    <w:p w14:paraId="69C5434E">
      <w:pPr>
        <w:pStyle w:val="5"/>
        <w:tabs>
          <w:tab w:val="left" w:pos="824"/>
        </w:tabs>
        <w:spacing w:line="304" w:lineRule="exact"/>
        <w:ind w:left="216" w:leftChars="103" w:firstLine="3"/>
        <w:rPr>
          <w:color w:val="auto"/>
          <w:lang w:val="en-US"/>
        </w:rPr>
      </w:pPr>
      <w:r>
        <w:rPr>
          <w:rFonts w:hint="eastAsia"/>
          <w:color w:val="auto"/>
          <w:lang w:val="en-US"/>
        </w:rPr>
        <w:t>1.10 投标预备会（本项目不召开）</w:t>
      </w:r>
    </w:p>
    <w:p w14:paraId="713502F6">
      <w:pPr>
        <w:pStyle w:val="55"/>
        <w:tabs>
          <w:tab w:val="left" w:pos="1436"/>
        </w:tabs>
        <w:spacing w:before="152" w:line="355" w:lineRule="auto"/>
        <w:ind w:left="18" w:right="53" w:rightChars="25" w:firstLine="659" w:firstLineChars="340"/>
        <w:rPr>
          <w:color w:val="auto"/>
          <w:sz w:val="21"/>
        </w:rPr>
      </w:pPr>
      <w:r>
        <w:rPr>
          <w:rFonts w:hint="eastAsia"/>
          <w:color w:val="auto"/>
          <w:spacing w:val="-8"/>
          <w:sz w:val="21"/>
          <w:lang w:val="en-US"/>
        </w:rPr>
        <w:t xml:space="preserve">1.10.1 </w:t>
      </w:r>
      <w:r>
        <w:rPr>
          <w:rFonts w:hint="eastAsia"/>
          <w:color w:val="auto"/>
          <w:spacing w:val="-3"/>
          <w:sz w:val="21"/>
        </w:rPr>
        <w:t>投标人须知前附表规定召开投标预备会的，采购人按投标人须知前附表规定的时间和地点召开投标预备会，澄清投标人提出的问题。</w:t>
      </w:r>
    </w:p>
    <w:p w14:paraId="37605EE4">
      <w:pPr>
        <w:pStyle w:val="55"/>
        <w:tabs>
          <w:tab w:val="left" w:pos="1436"/>
        </w:tabs>
        <w:spacing w:before="34" w:line="355" w:lineRule="auto"/>
        <w:ind w:left="18" w:right="-136" w:rightChars="-65" w:firstLine="659" w:firstLineChars="340"/>
        <w:rPr>
          <w:color w:val="auto"/>
          <w:sz w:val="21"/>
        </w:rPr>
      </w:pPr>
      <w:r>
        <w:rPr>
          <w:rFonts w:hint="eastAsia"/>
          <w:color w:val="auto"/>
          <w:spacing w:val="-8"/>
          <w:sz w:val="21"/>
          <w:lang w:val="en-US"/>
        </w:rPr>
        <w:t xml:space="preserve">1.10.2 </w:t>
      </w:r>
      <w:r>
        <w:rPr>
          <w:rFonts w:hint="eastAsia"/>
          <w:color w:val="auto"/>
          <w:spacing w:val="-3"/>
          <w:sz w:val="21"/>
        </w:rPr>
        <w:t>投标人应在投标人须知前附表规定的时间前，通过平顶山市公共资源交易中心电子交易平台将提出的问题送达采购人，以便采购人在会议期间澄清。</w:t>
      </w:r>
    </w:p>
    <w:p w14:paraId="654E54FE">
      <w:pPr>
        <w:pStyle w:val="55"/>
        <w:tabs>
          <w:tab w:val="left" w:pos="1436"/>
        </w:tabs>
        <w:spacing w:before="35" w:line="357" w:lineRule="auto"/>
        <w:ind w:left="18" w:right="-155" w:rightChars="-74" w:firstLine="605" w:firstLineChars="340"/>
        <w:rPr>
          <w:color w:val="auto"/>
          <w:sz w:val="21"/>
        </w:rPr>
      </w:pPr>
      <w:r>
        <w:rPr>
          <w:rFonts w:hint="eastAsia"/>
          <w:color w:val="auto"/>
          <w:spacing w:val="-16"/>
          <w:sz w:val="21"/>
          <w:lang w:val="en-US"/>
        </w:rPr>
        <w:t xml:space="preserve">1.10.3 </w:t>
      </w:r>
      <w:r>
        <w:rPr>
          <w:rFonts w:hint="eastAsia"/>
          <w:color w:val="auto"/>
          <w:spacing w:val="-3"/>
          <w:sz w:val="21"/>
        </w:rPr>
        <w:t>投标预备会后，采购人在投标人须知前附表规定的时间内，将对投标人所提问题的澄清，通过平顶山市公共资源交易中心电子交易平台通知所有下载招标文件的投标人。该澄清内容为招标文件的组成部分。</w:t>
      </w:r>
    </w:p>
    <w:p w14:paraId="15E0C90B">
      <w:pPr>
        <w:pStyle w:val="5"/>
        <w:tabs>
          <w:tab w:val="left" w:pos="824"/>
        </w:tabs>
        <w:spacing w:line="304" w:lineRule="exact"/>
        <w:ind w:left="216" w:leftChars="103" w:firstLine="3"/>
        <w:rPr>
          <w:color w:val="auto"/>
        </w:rPr>
      </w:pPr>
      <w:r>
        <w:rPr>
          <w:rFonts w:hint="eastAsia"/>
          <w:color w:val="auto"/>
          <w:lang w:val="en-US"/>
        </w:rPr>
        <w:t xml:space="preserve">1.11 </w:t>
      </w:r>
      <w:r>
        <w:rPr>
          <w:rFonts w:hint="eastAsia"/>
          <w:color w:val="auto"/>
        </w:rPr>
        <w:t>分包</w:t>
      </w:r>
    </w:p>
    <w:p w14:paraId="56992509">
      <w:pPr>
        <w:pStyle w:val="9"/>
        <w:spacing w:before="214"/>
        <w:ind w:firstLine="630" w:firstLineChars="300"/>
        <w:rPr>
          <w:color w:val="auto"/>
        </w:rPr>
      </w:pPr>
      <w:r>
        <w:rPr>
          <w:rFonts w:hint="eastAsia"/>
          <w:color w:val="auto"/>
        </w:rPr>
        <w:t>本项目不允许分包。</w:t>
      </w:r>
    </w:p>
    <w:p w14:paraId="2BF958FF">
      <w:pPr>
        <w:pStyle w:val="5"/>
        <w:tabs>
          <w:tab w:val="left" w:pos="824"/>
        </w:tabs>
        <w:spacing w:before="130"/>
        <w:ind w:left="216" w:leftChars="103" w:firstLine="3"/>
        <w:rPr>
          <w:color w:val="auto"/>
        </w:rPr>
      </w:pPr>
      <w:r>
        <w:rPr>
          <w:rFonts w:hint="eastAsia"/>
          <w:color w:val="auto"/>
          <w:lang w:val="en-US"/>
        </w:rPr>
        <w:t xml:space="preserve">1.12 </w:t>
      </w:r>
      <w:r>
        <w:rPr>
          <w:rFonts w:hint="eastAsia"/>
          <w:color w:val="auto"/>
        </w:rPr>
        <w:t>偏离</w:t>
      </w:r>
    </w:p>
    <w:p w14:paraId="32FE511C">
      <w:pPr>
        <w:pStyle w:val="9"/>
        <w:spacing w:before="155" w:line="355" w:lineRule="auto"/>
        <w:ind w:left="218" w:right="76" w:firstLine="480"/>
        <w:rPr>
          <w:b/>
          <w:color w:val="auto"/>
          <w:sz w:val="28"/>
          <w:lang w:val="en-US"/>
        </w:rPr>
      </w:pPr>
      <w:r>
        <w:rPr>
          <w:rFonts w:hint="eastAsia"/>
          <w:color w:val="auto"/>
        </w:rPr>
        <w:t>偏离应当符合招标文件规定的偏离范围和幅度。</w:t>
      </w:r>
      <w:bookmarkStart w:id="9" w:name="_bookmark4"/>
      <w:bookmarkEnd w:id="9"/>
    </w:p>
    <w:p w14:paraId="577F8285">
      <w:pPr>
        <w:pStyle w:val="55"/>
        <w:tabs>
          <w:tab w:val="left" w:pos="4413"/>
        </w:tabs>
        <w:ind w:left="77" w:leftChars="-100" w:hanging="287" w:hangingChars="102"/>
        <w:rPr>
          <w:b/>
          <w:color w:val="auto"/>
          <w:sz w:val="28"/>
        </w:rPr>
      </w:pPr>
      <w:r>
        <w:rPr>
          <w:rFonts w:hint="eastAsia"/>
          <w:b/>
          <w:color w:val="auto"/>
          <w:sz w:val="28"/>
          <w:lang w:val="en-US"/>
        </w:rPr>
        <w:t>2.</w:t>
      </w:r>
      <w:r>
        <w:rPr>
          <w:rFonts w:hint="eastAsia"/>
          <w:b/>
          <w:color w:val="auto"/>
          <w:sz w:val="28"/>
        </w:rPr>
        <w:t>招标文件</w:t>
      </w:r>
    </w:p>
    <w:p w14:paraId="1840496D">
      <w:pPr>
        <w:pStyle w:val="5"/>
        <w:tabs>
          <w:tab w:val="left" w:pos="824"/>
        </w:tabs>
        <w:spacing w:before="130"/>
        <w:ind w:left="218" w:firstLine="0"/>
        <w:rPr>
          <w:color w:val="auto"/>
          <w:lang w:val="en-US"/>
        </w:rPr>
      </w:pPr>
      <w:r>
        <w:rPr>
          <w:rFonts w:hint="eastAsia"/>
          <w:color w:val="auto"/>
          <w:lang w:val="en-US"/>
        </w:rPr>
        <w:t>2.1招标文件的组成</w:t>
      </w:r>
    </w:p>
    <w:p w14:paraId="4C4DB145">
      <w:pPr>
        <w:pStyle w:val="9"/>
        <w:spacing w:before="155"/>
        <w:ind w:left="698"/>
        <w:rPr>
          <w:color w:val="auto"/>
        </w:rPr>
      </w:pPr>
      <w:r>
        <w:rPr>
          <w:rFonts w:hint="eastAsia"/>
          <w:color w:val="auto"/>
        </w:rPr>
        <w:t>本招标文件包括：</w:t>
      </w:r>
    </w:p>
    <w:p w14:paraId="0127B9A1">
      <w:pPr>
        <w:pStyle w:val="55"/>
        <w:numPr>
          <w:ilvl w:val="2"/>
          <w:numId w:val="6"/>
        </w:numPr>
        <w:tabs>
          <w:tab w:val="left" w:pos="1228"/>
        </w:tabs>
        <w:spacing w:before="160"/>
        <w:rPr>
          <w:color w:val="auto"/>
          <w:sz w:val="21"/>
        </w:rPr>
      </w:pPr>
      <w:r>
        <w:rPr>
          <w:rFonts w:hint="eastAsia"/>
          <w:color w:val="auto"/>
          <w:spacing w:val="-2"/>
          <w:sz w:val="21"/>
        </w:rPr>
        <w:t>招标公告</w:t>
      </w:r>
    </w:p>
    <w:p w14:paraId="41300D1E">
      <w:pPr>
        <w:pStyle w:val="55"/>
        <w:numPr>
          <w:ilvl w:val="2"/>
          <w:numId w:val="6"/>
        </w:numPr>
        <w:tabs>
          <w:tab w:val="left" w:pos="1228"/>
        </w:tabs>
        <w:spacing w:before="162"/>
        <w:rPr>
          <w:color w:val="auto"/>
          <w:sz w:val="21"/>
        </w:rPr>
      </w:pPr>
      <w:r>
        <w:rPr>
          <w:rFonts w:hint="eastAsia"/>
          <w:color w:val="auto"/>
          <w:spacing w:val="-3"/>
          <w:sz w:val="21"/>
        </w:rPr>
        <w:t>投标人须知</w:t>
      </w:r>
    </w:p>
    <w:p w14:paraId="63D9CC68">
      <w:pPr>
        <w:pStyle w:val="55"/>
        <w:numPr>
          <w:ilvl w:val="2"/>
          <w:numId w:val="6"/>
        </w:numPr>
        <w:tabs>
          <w:tab w:val="left" w:pos="1228"/>
        </w:tabs>
        <w:spacing w:before="163"/>
        <w:rPr>
          <w:color w:val="auto"/>
          <w:sz w:val="21"/>
        </w:rPr>
      </w:pPr>
      <w:r>
        <w:rPr>
          <w:rFonts w:hint="eastAsia"/>
          <w:color w:val="auto"/>
          <w:spacing w:val="-3"/>
          <w:sz w:val="21"/>
        </w:rPr>
        <w:t>评标办法</w:t>
      </w:r>
    </w:p>
    <w:p w14:paraId="2D01D992">
      <w:pPr>
        <w:pStyle w:val="55"/>
        <w:numPr>
          <w:ilvl w:val="2"/>
          <w:numId w:val="6"/>
        </w:numPr>
        <w:tabs>
          <w:tab w:val="left" w:pos="1228"/>
        </w:tabs>
        <w:spacing w:before="160"/>
        <w:rPr>
          <w:color w:val="auto"/>
          <w:sz w:val="21"/>
        </w:rPr>
      </w:pPr>
      <w:r>
        <w:rPr>
          <w:rFonts w:hint="eastAsia"/>
          <w:color w:val="auto"/>
          <w:spacing w:val="-3"/>
          <w:sz w:val="21"/>
        </w:rPr>
        <w:t>合同条款及格式</w:t>
      </w:r>
    </w:p>
    <w:p w14:paraId="57075E64">
      <w:pPr>
        <w:pStyle w:val="55"/>
        <w:numPr>
          <w:ilvl w:val="2"/>
          <w:numId w:val="6"/>
        </w:numPr>
        <w:tabs>
          <w:tab w:val="left" w:pos="1228"/>
        </w:tabs>
        <w:spacing w:before="160"/>
        <w:rPr>
          <w:color w:val="auto"/>
          <w:sz w:val="21"/>
        </w:rPr>
      </w:pPr>
      <w:r>
        <w:rPr>
          <w:rFonts w:hint="eastAsia"/>
          <w:color w:val="auto"/>
          <w:spacing w:val="-2"/>
          <w:sz w:val="21"/>
        </w:rPr>
        <w:t>采购内容及技术要求</w:t>
      </w:r>
    </w:p>
    <w:p w14:paraId="2D8DE674">
      <w:pPr>
        <w:pStyle w:val="55"/>
        <w:numPr>
          <w:ilvl w:val="2"/>
          <w:numId w:val="6"/>
        </w:numPr>
        <w:tabs>
          <w:tab w:val="left" w:pos="1228"/>
        </w:tabs>
        <w:spacing w:before="160"/>
        <w:rPr>
          <w:color w:val="auto"/>
          <w:sz w:val="21"/>
        </w:rPr>
      </w:pPr>
      <w:r>
        <w:rPr>
          <w:rFonts w:hint="eastAsia"/>
          <w:color w:val="auto"/>
          <w:spacing w:val="-3"/>
          <w:sz w:val="21"/>
        </w:rPr>
        <w:t>投标文件格式</w:t>
      </w:r>
    </w:p>
    <w:p w14:paraId="0BB76710">
      <w:pPr>
        <w:pStyle w:val="9"/>
        <w:spacing w:before="160" w:line="357" w:lineRule="auto"/>
        <w:ind w:left="218" w:right="-144" w:firstLine="480"/>
        <w:rPr>
          <w:color w:val="auto"/>
        </w:rPr>
      </w:pPr>
      <w:r>
        <w:rPr>
          <w:rFonts w:hint="eastAsia"/>
          <w:color w:val="auto"/>
        </w:rPr>
        <w:t>根据本章招标文件所作的澄清、修改，构成招标文件的组成部分。</w:t>
      </w:r>
    </w:p>
    <w:p w14:paraId="6440D70F">
      <w:pPr>
        <w:pStyle w:val="5"/>
        <w:tabs>
          <w:tab w:val="left" w:pos="824"/>
        </w:tabs>
        <w:spacing w:before="31" w:beforeLines="10" w:after="115" w:afterLines="37"/>
        <w:ind w:left="59" w:leftChars="28" w:firstLine="241" w:firstLineChars="100"/>
        <w:rPr>
          <w:color w:val="auto"/>
        </w:rPr>
      </w:pPr>
      <w:r>
        <w:rPr>
          <w:rFonts w:hint="eastAsia"/>
          <w:color w:val="auto"/>
          <w:lang w:val="en-US"/>
        </w:rPr>
        <w:t xml:space="preserve">2.2 </w:t>
      </w:r>
      <w:r>
        <w:rPr>
          <w:rFonts w:hint="eastAsia"/>
          <w:color w:val="auto"/>
        </w:rPr>
        <w:t>招标文件的澄清</w:t>
      </w:r>
    </w:p>
    <w:p w14:paraId="7EB5FE28">
      <w:pPr>
        <w:pStyle w:val="55"/>
        <w:tabs>
          <w:tab w:val="left" w:pos="1270"/>
          <w:tab w:val="left" w:pos="8140"/>
        </w:tabs>
        <w:spacing w:line="360" w:lineRule="auto"/>
        <w:ind w:left="0" w:firstLine="426" w:firstLineChars="209"/>
        <w:jc w:val="both"/>
        <w:rPr>
          <w:color w:val="auto"/>
          <w:spacing w:val="-3"/>
          <w:kern w:val="2"/>
          <w:sz w:val="21"/>
          <w:lang w:val="en-US"/>
        </w:rPr>
      </w:pPr>
      <w:r>
        <w:rPr>
          <w:rFonts w:hint="eastAsia"/>
          <w:color w:val="auto"/>
          <w:spacing w:val="-3"/>
          <w:kern w:val="2"/>
          <w:sz w:val="21"/>
          <w:lang w:val="en-US"/>
        </w:rPr>
        <w:t xml:space="preserve">2.2.1 投标人应仔细阅读和检查招标文件的全部内容。如发现缺页或附件不全或者疑问，应在投标人须知前附表规定的时间前在电子交易系统中提出，并告知代理机构，要求采购人对招标文件予以澄清。      </w:t>
      </w:r>
    </w:p>
    <w:p w14:paraId="4F115BD3">
      <w:pPr>
        <w:pStyle w:val="55"/>
        <w:tabs>
          <w:tab w:val="left" w:pos="1270"/>
          <w:tab w:val="left" w:pos="8140"/>
        </w:tabs>
        <w:spacing w:line="360" w:lineRule="auto"/>
        <w:ind w:left="0" w:firstLine="448" w:firstLineChars="220"/>
        <w:jc w:val="both"/>
        <w:rPr>
          <w:b/>
          <w:bCs/>
          <w:color w:val="auto"/>
          <w:lang w:val="en-US"/>
        </w:rPr>
      </w:pPr>
      <w:r>
        <w:rPr>
          <w:rFonts w:hint="eastAsia"/>
          <w:color w:val="auto"/>
          <w:spacing w:val="-3"/>
          <w:kern w:val="2"/>
          <w:sz w:val="21"/>
          <w:lang w:val="en-US"/>
        </w:rPr>
        <w:t>2.2.2 招标文件的澄清将在投标人须知前附表规定的投标截止时间15天前在电子交易系统中予以澄清形式公示给所有下载招标文件的投标人，但不指明澄清问题的来源。如果澄清发出的时间距投标截止时间不足</w:t>
      </w:r>
      <w:r>
        <w:rPr>
          <w:rFonts w:hint="eastAsia"/>
          <w:color w:val="auto"/>
          <w:spacing w:val="-3"/>
          <w:sz w:val="21"/>
        </w:rPr>
        <w:t>15天的，相应延长投标截止时间。</w:t>
      </w:r>
    </w:p>
    <w:p w14:paraId="0F1B7FB2">
      <w:pPr>
        <w:pStyle w:val="6"/>
        <w:tabs>
          <w:tab w:val="left" w:pos="704"/>
          <w:tab w:val="left" w:pos="8140"/>
        </w:tabs>
        <w:spacing w:before="93" w:beforeLines="30" w:after="93" w:afterLines="30"/>
        <w:ind w:left="0" w:firstLine="241" w:firstLineChars="100"/>
        <w:rPr>
          <w:b/>
          <w:bCs/>
          <w:color w:val="auto"/>
          <w:lang w:val="en-US"/>
        </w:rPr>
      </w:pPr>
      <w:r>
        <w:rPr>
          <w:rFonts w:hint="eastAsia"/>
          <w:b/>
          <w:bCs/>
          <w:color w:val="auto"/>
          <w:lang w:val="en-US"/>
        </w:rPr>
        <w:t>2.3 招标文件的修改</w:t>
      </w:r>
    </w:p>
    <w:p w14:paraId="34F6666E">
      <w:pPr>
        <w:snapToGrid w:val="0"/>
        <w:spacing w:line="360" w:lineRule="auto"/>
        <w:ind w:firstLine="612" w:firstLineChars="300"/>
        <w:rPr>
          <w:rFonts w:ascii="宋体" w:hAnsi="宋体" w:cs="宋体"/>
          <w:color w:val="auto"/>
          <w:spacing w:val="-3"/>
        </w:rPr>
      </w:pPr>
      <w:r>
        <w:rPr>
          <w:rFonts w:hint="eastAsia" w:ascii="宋体" w:hAnsi="宋体" w:cs="宋体"/>
          <w:color w:val="auto"/>
          <w:spacing w:val="-3"/>
        </w:rPr>
        <w:t>2.3.1在投标截止日15天前，采购人或采购代理机构可以在电子交易系统中补充、修改招标文件，并公示给所有下载招标文件的投标人。如果修改招标文件的时间距投标截止时间不足15天的，相应延长投标截止时间。</w:t>
      </w:r>
    </w:p>
    <w:p w14:paraId="7049DA0B">
      <w:pPr>
        <w:pStyle w:val="55"/>
        <w:tabs>
          <w:tab w:val="left" w:pos="1330"/>
        </w:tabs>
        <w:spacing w:before="29" w:line="355" w:lineRule="auto"/>
        <w:ind w:left="9" w:leftChars="-100" w:right="-136" w:rightChars="-65" w:hanging="219" w:hangingChars="78"/>
        <w:jc w:val="both"/>
        <w:rPr>
          <w:b/>
          <w:color w:val="auto"/>
          <w:sz w:val="28"/>
          <w:lang w:val="en-US"/>
        </w:rPr>
      </w:pPr>
      <w:r>
        <w:rPr>
          <w:rFonts w:hint="eastAsia"/>
          <w:b/>
          <w:color w:val="auto"/>
          <w:sz w:val="28"/>
          <w:lang w:val="en-US"/>
        </w:rPr>
        <w:t>3.投标文件</w:t>
      </w:r>
    </w:p>
    <w:p w14:paraId="0455A5ED">
      <w:pPr>
        <w:snapToGrid w:val="0"/>
        <w:spacing w:line="360" w:lineRule="auto"/>
        <w:rPr>
          <w:rFonts w:ascii="宋体" w:hAnsi="宋体" w:cs="宋体"/>
          <w:b/>
          <w:bCs/>
          <w:color w:val="auto"/>
          <w:kern w:val="0"/>
          <w:sz w:val="24"/>
        </w:rPr>
      </w:pPr>
      <w:r>
        <w:rPr>
          <w:rFonts w:hint="eastAsia" w:ascii="宋体" w:hAnsi="宋体" w:cs="宋体"/>
          <w:b/>
          <w:bCs/>
          <w:color w:val="auto"/>
          <w:kern w:val="0"/>
          <w:sz w:val="24"/>
        </w:rPr>
        <w:t>3.1 投标文件的组成：</w:t>
      </w:r>
    </w:p>
    <w:p w14:paraId="719A68D0">
      <w:pPr>
        <w:pStyle w:val="55"/>
        <w:tabs>
          <w:tab w:val="left" w:pos="1270"/>
          <w:tab w:val="left" w:pos="8140"/>
        </w:tabs>
        <w:spacing w:line="360" w:lineRule="auto"/>
        <w:ind w:left="0" w:firstLine="426" w:firstLineChars="209"/>
        <w:jc w:val="both"/>
        <w:rPr>
          <w:color w:val="auto"/>
          <w:spacing w:val="-3"/>
          <w:kern w:val="2"/>
          <w:sz w:val="21"/>
          <w:lang w:val="en-US"/>
        </w:rPr>
      </w:pPr>
      <w:r>
        <w:rPr>
          <w:rFonts w:hint="eastAsia"/>
          <w:color w:val="auto"/>
          <w:spacing w:val="-3"/>
          <w:sz w:val="21"/>
        </w:rPr>
        <w:t>3.1.</w:t>
      </w:r>
      <w:r>
        <w:rPr>
          <w:rFonts w:hint="eastAsia"/>
          <w:color w:val="auto"/>
          <w:spacing w:val="-3"/>
          <w:kern w:val="2"/>
          <w:sz w:val="21"/>
          <w:lang w:val="en-US"/>
        </w:rPr>
        <w:t>1 投标文件应包含下列内容：</w:t>
      </w:r>
    </w:p>
    <w:p w14:paraId="59ADA986">
      <w:pPr>
        <w:pStyle w:val="55"/>
        <w:tabs>
          <w:tab w:val="left" w:pos="1270"/>
          <w:tab w:val="left" w:pos="8140"/>
        </w:tabs>
        <w:spacing w:line="360" w:lineRule="auto"/>
        <w:ind w:left="0" w:firstLine="426" w:firstLineChars="209"/>
        <w:jc w:val="both"/>
        <w:rPr>
          <w:color w:val="auto"/>
          <w:spacing w:val="-3"/>
          <w:kern w:val="2"/>
          <w:sz w:val="21"/>
          <w:lang w:val="en-US"/>
        </w:rPr>
      </w:pPr>
      <w:r>
        <w:rPr>
          <w:rFonts w:hint="eastAsia"/>
          <w:color w:val="auto"/>
          <w:spacing w:val="-3"/>
          <w:kern w:val="2"/>
          <w:sz w:val="21"/>
          <w:lang w:val="en-US"/>
        </w:rPr>
        <w:t>（1）投标函</w:t>
      </w:r>
    </w:p>
    <w:p w14:paraId="08E6E9ED">
      <w:pPr>
        <w:pStyle w:val="55"/>
        <w:tabs>
          <w:tab w:val="left" w:pos="1270"/>
          <w:tab w:val="left" w:pos="8140"/>
        </w:tabs>
        <w:spacing w:line="360" w:lineRule="auto"/>
        <w:ind w:left="0" w:firstLine="426" w:firstLineChars="209"/>
        <w:jc w:val="both"/>
        <w:rPr>
          <w:color w:val="auto"/>
          <w:spacing w:val="-3"/>
          <w:kern w:val="2"/>
          <w:sz w:val="21"/>
          <w:lang w:val="en-US"/>
        </w:rPr>
      </w:pPr>
      <w:r>
        <w:rPr>
          <w:rFonts w:hint="eastAsia"/>
          <w:color w:val="auto"/>
          <w:spacing w:val="-3"/>
          <w:kern w:val="2"/>
          <w:sz w:val="21"/>
          <w:lang w:val="en-US"/>
        </w:rPr>
        <w:t>（2）开标一览表</w:t>
      </w:r>
    </w:p>
    <w:p w14:paraId="3C9EB355">
      <w:pPr>
        <w:pStyle w:val="55"/>
        <w:tabs>
          <w:tab w:val="left" w:pos="1270"/>
          <w:tab w:val="left" w:pos="8140"/>
        </w:tabs>
        <w:spacing w:line="360" w:lineRule="auto"/>
        <w:ind w:left="0" w:firstLine="426" w:firstLineChars="209"/>
        <w:jc w:val="both"/>
        <w:rPr>
          <w:color w:val="auto"/>
          <w:spacing w:val="-3"/>
          <w:kern w:val="2"/>
          <w:sz w:val="21"/>
          <w:lang w:val="en-US"/>
        </w:rPr>
      </w:pPr>
      <w:r>
        <w:rPr>
          <w:rFonts w:hint="eastAsia"/>
          <w:color w:val="auto"/>
          <w:spacing w:val="-3"/>
          <w:kern w:val="2"/>
          <w:sz w:val="21"/>
          <w:lang w:val="en-US"/>
        </w:rPr>
        <w:t>（3）法定代表人身份证明及授权委托书</w:t>
      </w:r>
    </w:p>
    <w:p w14:paraId="5C6C4153">
      <w:pPr>
        <w:pStyle w:val="55"/>
        <w:tabs>
          <w:tab w:val="left" w:pos="1270"/>
          <w:tab w:val="left" w:pos="8140"/>
        </w:tabs>
        <w:spacing w:line="360" w:lineRule="auto"/>
        <w:ind w:left="0" w:firstLine="426" w:firstLineChars="209"/>
        <w:jc w:val="both"/>
        <w:rPr>
          <w:color w:val="auto"/>
          <w:spacing w:val="-3"/>
          <w:kern w:val="2"/>
          <w:sz w:val="21"/>
          <w:lang w:val="en-US"/>
        </w:rPr>
      </w:pPr>
      <w:r>
        <w:rPr>
          <w:rFonts w:hint="eastAsia"/>
          <w:color w:val="auto"/>
          <w:spacing w:val="-3"/>
          <w:kern w:val="2"/>
          <w:sz w:val="21"/>
          <w:lang w:val="en-US"/>
        </w:rPr>
        <w:t>（4）投标分项报价表</w:t>
      </w:r>
    </w:p>
    <w:p w14:paraId="224077E3">
      <w:pPr>
        <w:pStyle w:val="55"/>
        <w:tabs>
          <w:tab w:val="left" w:pos="1270"/>
          <w:tab w:val="left" w:pos="8140"/>
        </w:tabs>
        <w:spacing w:line="360" w:lineRule="auto"/>
        <w:ind w:left="0" w:firstLine="426" w:firstLineChars="209"/>
        <w:jc w:val="both"/>
        <w:rPr>
          <w:color w:val="auto"/>
          <w:spacing w:val="-3"/>
          <w:kern w:val="2"/>
          <w:sz w:val="21"/>
          <w:lang w:val="en-US"/>
        </w:rPr>
      </w:pPr>
      <w:r>
        <w:rPr>
          <w:rFonts w:hint="eastAsia"/>
          <w:color w:val="auto"/>
          <w:spacing w:val="-3"/>
          <w:kern w:val="2"/>
          <w:sz w:val="21"/>
          <w:lang w:val="en-US"/>
        </w:rPr>
        <w:t>（5）技术参数偏离表</w:t>
      </w:r>
    </w:p>
    <w:p w14:paraId="6937EEBF">
      <w:pPr>
        <w:pStyle w:val="55"/>
        <w:tabs>
          <w:tab w:val="left" w:pos="1270"/>
          <w:tab w:val="left" w:pos="8140"/>
        </w:tabs>
        <w:spacing w:line="360" w:lineRule="auto"/>
        <w:ind w:left="0" w:firstLine="426" w:firstLineChars="209"/>
        <w:jc w:val="both"/>
        <w:rPr>
          <w:color w:val="auto"/>
          <w:spacing w:val="-3"/>
          <w:kern w:val="2"/>
          <w:sz w:val="21"/>
          <w:lang w:val="en-US"/>
        </w:rPr>
      </w:pPr>
      <w:r>
        <w:rPr>
          <w:rFonts w:hint="eastAsia"/>
          <w:color w:val="auto"/>
          <w:spacing w:val="-3"/>
          <w:kern w:val="2"/>
          <w:sz w:val="21"/>
          <w:lang w:val="en-US"/>
        </w:rPr>
        <w:t>（6）类似业绩一览表</w:t>
      </w:r>
    </w:p>
    <w:p w14:paraId="4FA81E89">
      <w:pPr>
        <w:pStyle w:val="55"/>
        <w:tabs>
          <w:tab w:val="left" w:pos="1270"/>
          <w:tab w:val="left" w:pos="8140"/>
        </w:tabs>
        <w:spacing w:line="360" w:lineRule="auto"/>
        <w:ind w:left="0" w:firstLine="426" w:firstLineChars="209"/>
        <w:jc w:val="both"/>
        <w:rPr>
          <w:color w:val="auto"/>
          <w:spacing w:val="-3"/>
          <w:kern w:val="2"/>
          <w:sz w:val="21"/>
          <w:lang w:val="en-US"/>
        </w:rPr>
      </w:pPr>
      <w:r>
        <w:rPr>
          <w:rFonts w:hint="eastAsia"/>
          <w:color w:val="auto"/>
          <w:spacing w:val="-3"/>
          <w:kern w:val="2"/>
          <w:sz w:val="21"/>
          <w:lang w:val="en-US"/>
        </w:rPr>
        <w:t>（7）技术方案</w:t>
      </w:r>
    </w:p>
    <w:p w14:paraId="1DB10133">
      <w:pPr>
        <w:pStyle w:val="55"/>
        <w:tabs>
          <w:tab w:val="left" w:pos="1270"/>
          <w:tab w:val="left" w:pos="8140"/>
        </w:tabs>
        <w:spacing w:line="360" w:lineRule="auto"/>
        <w:ind w:left="0" w:firstLine="426" w:firstLineChars="209"/>
        <w:jc w:val="both"/>
        <w:rPr>
          <w:color w:val="auto"/>
          <w:spacing w:val="-3"/>
          <w:kern w:val="2"/>
          <w:sz w:val="21"/>
          <w:lang w:val="en-US"/>
        </w:rPr>
      </w:pPr>
      <w:r>
        <w:rPr>
          <w:rFonts w:hint="eastAsia"/>
          <w:color w:val="auto"/>
          <w:spacing w:val="-3"/>
          <w:kern w:val="2"/>
          <w:sz w:val="21"/>
          <w:lang w:val="en-US"/>
        </w:rPr>
        <w:t>（8）资格审查资料</w:t>
      </w:r>
    </w:p>
    <w:p w14:paraId="6141FFA3">
      <w:pPr>
        <w:pStyle w:val="55"/>
        <w:tabs>
          <w:tab w:val="left" w:pos="1270"/>
          <w:tab w:val="left" w:pos="8140"/>
        </w:tabs>
        <w:spacing w:line="360" w:lineRule="auto"/>
        <w:ind w:left="0" w:firstLine="426" w:firstLineChars="209"/>
        <w:jc w:val="both"/>
        <w:rPr>
          <w:color w:val="auto"/>
          <w:spacing w:val="-3"/>
          <w:kern w:val="2"/>
          <w:sz w:val="21"/>
          <w:lang w:val="en-US"/>
        </w:rPr>
      </w:pPr>
      <w:r>
        <w:rPr>
          <w:rFonts w:hint="eastAsia"/>
          <w:color w:val="auto"/>
          <w:spacing w:val="-3"/>
          <w:kern w:val="2"/>
          <w:sz w:val="21"/>
          <w:lang w:val="en-US"/>
        </w:rPr>
        <w:t>（9）其它资料</w:t>
      </w:r>
    </w:p>
    <w:p w14:paraId="58BCD174">
      <w:pPr>
        <w:pStyle w:val="5"/>
        <w:tabs>
          <w:tab w:val="left" w:pos="704"/>
        </w:tabs>
        <w:spacing w:before="10" w:line="360" w:lineRule="auto"/>
        <w:ind w:left="0" w:right="-136" w:rightChars="-65" w:firstLine="0"/>
        <w:rPr>
          <w:color w:val="auto"/>
          <w:lang w:val="en-US"/>
        </w:rPr>
      </w:pPr>
      <w:r>
        <w:rPr>
          <w:rFonts w:hint="eastAsia"/>
          <w:color w:val="auto"/>
          <w:lang w:val="en-US"/>
        </w:rPr>
        <w:t>3.2 投标报价</w:t>
      </w:r>
    </w:p>
    <w:p w14:paraId="2931E643">
      <w:pPr>
        <w:tabs>
          <w:tab w:val="left" w:pos="1080"/>
        </w:tabs>
        <w:spacing w:line="360" w:lineRule="auto"/>
        <w:ind w:firstLine="408" w:firstLineChars="200"/>
        <w:rPr>
          <w:rFonts w:ascii="宋体" w:hAnsi="宋体" w:cs="宋体"/>
          <w:color w:val="auto"/>
          <w:spacing w:val="-3"/>
        </w:rPr>
      </w:pPr>
      <w:r>
        <w:rPr>
          <w:rFonts w:hint="eastAsia" w:ascii="宋体" w:hAnsi="宋体" w:cs="宋体"/>
          <w:color w:val="auto"/>
          <w:spacing w:val="-3"/>
        </w:rPr>
        <w:t>3.2.1投标报价由投标人根据自己的实际情况合理自主报价，但不得低于成本竞争。投标价格为含税及配送到招标单位，并安装验收合格后的落地价格。</w:t>
      </w:r>
    </w:p>
    <w:p w14:paraId="45B0388B">
      <w:pPr>
        <w:tabs>
          <w:tab w:val="left" w:pos="1080"/>
        </w:tabs>
        <w:spacing w:line="360" w:lineRule="auto"/>
        <w:ind w:firstLine="408" w:firstLineChars="200"/>
        <w:rPr>
          <w:rFonts w:ascii="宋体" w:hAnsi="宋体" w:cs="宋体"/>
          <w:color w:val="auto"/>
          <w:spacing w:val="-3"/>
        </w:rPr>
      </w:pPr>
      <w:r>
        <w:rPr>
          <w:rFonts w:hint="eastAsia" w:ascii="宋体" w:hAnsi="宋体" w:cs="宋体"/>
          <w:color w:val="auto"/>
          <w:spacing w:val="-3"/>
        </w:rPr>
        <w:t>3.2.2投标报价应包含招标文件要求供应商承担的所有费用，包括所投产品的成本、税金、保险、运输、装卸费（货物到采购人指定到货地点）、安装、调试、验收、技术服务、培训、维护升级</w:t>
      </w:r>
      <w:r>
        <w:rPr>
          <w:rFonts w:hint="eastAsia" w:ascii="宋体" w:hAnsi="宋体" w:cs="宋体"/>
          <w:color w:val="auto"/>
          <w:spacing w:val="-3"/>
          <w:lang w:eastAsia="zh-CN"/>
        </w:rPr>
        <w:t>、</w:t>
      </w:r>
      <w:r>
        <w:rPr>
          <w:rFonts w:hint="eastAsia" w:ascii="宋体" w:hAnsi="宋体" w:cs="宋体"/>
          <w:color w:val="auto"/>
          <w:spacing w:val="-3"/>
          <w:lang w:val="en-US" w:eastAsia="zh-CN"/>
        </w:rPr>
        <w:t>运输及二次搬运</w:t>
      </w:r>
      <w:r>
        <w:rPr>
          <w:rFonts w:hint="eastAsia" w:ascii="宋体" w:hAnsi="宋体" w:cs="宋体"/>
          <w:color w:val="auto"/>
          <w:spacing w:val="-3"/>
        </w:rPr>
        <w:t>由此引起的费用增加等相关的伴随服务费、</w:t>
      </w:r>
      <w:r>
        <w:rPr>
          <w:rFonts w:hint="eastAsia" w:ascii="宋体" w:hAnsi="宋体" w:cs="宋体"/>
          <w:color w:val="auto"/>
          <w:spacing w:val="-3"/>
          <w:lang w:eastAsia="zh-CN"/>
        </w:rPr>
        <w:t>以及</w:t>
      </w:r>
      <w:r>
        <w:rPr>
          <w:rFonts w:hint="eastAsia" w:ascii="宋体" w:hAnsi="宋体" w:cs="宋体"/>
          <w:color w:val="auto"/>
          <w:spacing w:val="-3"/>
        </w:rPr>
        <w:t>所投产品在货到验收合格前产生的任何检验、检疫、监测与之相关的所有费用由中标人承担。</w:t>
      </w:r>
    </w:p>
    <w:p w14:paraId="52648EE3">
      <w:pPr>
        <w:pStyle w:val="55"/>
        <w:tabs>
          <w:tab w:val="left" w:pos="440"/>
        </w:tabs>
        <w:spacing w:line="360" w:lineRule="auto"/>
        <w:ind w:left="0" w:firstLine="408" w:firstLineChars="200"/>
        <w:rPr>
          <w:color w:val="auto"/>
          <w:spacing w:val="-3"/>
          <w:sz w:val="21"/>
        </w:rPr>
      </w:pPr>
      <w:r>
        <w:rPr>
          <w:rFonts w:hint="eastAsia"/>
          <w:color w:val="auto"/>
          <w:spacing w:val="-3"/>
          <w:sz w:val="21"/>
          <w:lang w:val="en-US"/>
        </w:rPr>
        <w:t xml:space="preserve">3.2.3 </w:t>
      </w:r>
      <w:r>
        <w:rPr>
          <w:rFonts w:hint="eastAsia"/>
          <w:color w:val="auto"/>
          <w:spacing w:val="-3"/>
          <w:sz w:val="21"/>
        </w:rPr>
        <w:t>投标人应充分了解该项目的总体情况以及影响投标报价的其他要素。</w:t>
      </w:r>
    </w:p>
    <w:p w14:paraId="6EAF5540">
      <w:pPr>
        <w:pStyle w:val="55"/>
        <w:tabs>
          <w:tab w:val="left" w:pos="440"/>
        </w:tabs>
        <w:spacing w:line="360" w:lineRule="auto"/>
        <w:ind w:left="0" w:firstLine="408" w:firstLineChars="200"/>
        <w:rPr>
          <w:color w:val="auto"/>
          <w:spacing w:val="-3"/>
          <w:sz w:val="21"/>
        </w:rPr>
      </w:pPr>
      <w:r>
        <w:rPr>
          <w:rFonts w:hint="eastAsia"/>
          <w:color w:val="auto"/>
          <w:spacing w:val="-3"/>
          <w:sz w:val="21"/>
          <w:lang w:val="en-US"/>
        </w:rPr>
        <w:t xml:space="preserve">3.2.4 </w:t>
      </w:r>
      <w:r>
        <w:rPr>
          <w:rFonts w:hint="eastAsia"/>
          <w:color w:val="auto"/>
          <w:spacing w:val="-3"/>
          <w:sz w:val="21"/>
        </w:rPr>
        <w:t>采购人设有最高投标限价的，投标人的投标报价不得超过最高投标限价，最高投标限价在投标人须知前附表中载明。</w:t>
      </w:r>
    </w:p>
    <w:p w14:paraId="012FA4B4">
      <w:pPr>
        <w:pStyle w:val="55"/>
        <w:tabs>
          <w:tab w:val="left" w:pos="440"/>
        </w:tabs>
        <w:spacing w:line="360" w:lineRule="auto"/>
        <w:ind w:left="253" w:leftChars="-40" w:hanging="337" w:hangingChars="140"/>
        <w:rPr>
          <w:b/>
          <w:bCs/>
          <w:color w:val="auto"/>
          <w:sz w:val="24"/>
          <w:lang w:val="en-US"/>
        </w:rPr>
      </w:pPr>
      <w:r>
        <w:rPr>
          <w:rFonts w:hint="eastAsia"/>
          <w:b/>
          <w:bCs/>
          <w:color w:val="auto"/>
          <w:sz w:val="24"/>
          <w:lang w:val="en-US"/>
        </w:rPr>
        <w:t>3.3 投标有效期</w:t>
      </w:r>
    </w:p>
    <w:p w14:paraId="17925745">
      <w:pPr>
        <w:pStyle w:val="55"/>
        <w:tabs>
          <w:tab w:val="left" w:pos="1270"/>
        </w:tabs>
        <w:spacing w:line="360" w:lineRule="auto"/>
        <w:ind w:left="420" w:firstLine="0"/>
        <w:rPr>
          <w:color w:val="auto"/>
          <w:spacing w:val="-3"/>
          <w:sz w:val="21"/>
        </w:rPr>
      </w:pPr>
      <w:r>
        <w:rPr>
          <w:rFonts w:hint="eastAsia"/>
          <w:color w:val="auto"/>
          <w:spacing w:val="-3"/>
          <w:sz w:val="21"/>
          <w:lang w:val="en-US"/>
        </w:rPr>
        <w:t xml:space="preserve">3.3.1 </w:t>
      </w:r>
      <w:r>
        <w:rPr>
          <w:rFonts w:hint="eastAsia"/>
          <w:color w:val="auto"/>
          <w:spacing w:val="-3"/>
          <w:sz w:val="21"/>
        </w:rPr>
        <w:t>除投标人须知前附表另有规定外，投标有效期为</w:t>
      </w:r>
      <w:r>
        <w:rPr>
          <w:rFonts w:hint="eastAsia"/>
          <w:color w:val="auto"/>
          <w:spacing w:val="-3"/>
          <w:sz w:val="21"/>
          <w:u w:val="single"/>
        </w:rPr>
        <w:t xml:space="preserve"> 90 </w:t>
      </w:r>
      <w:r>
        <w:rPr>
          <w:rFonts w:hint="eastAsia"/>
          <w:color w:val="auto"/>
          <w:spacing w:val="-3"/>
          <w:sz w:val="21"/>
        </w:rPr>
        <w:t>天。</w:t>
      </w:r>
    </w:p>
    <w:p w14:paraId="6520D967">
      <w:pPr>
        <w:pStyle w:val="55"/>
        <w:tabs>
          <w:tab w:val="left" w:pos="1270"/>
        </w:tabs>
        <w:spacing w:line="360" w:lineRule="auto"/>
        <w:ind w:left="420" w:firstLine="0"/>
        <w:rPr>
          <w:color w:val="auto"/>
          <w:spacing w:val="-3"/>
          <w:sz w:val="21"/>
        </w:rPr>
      </w:pPr>
      <w:r>
        <w:rPr>
          <w:rFonts w:hint="eastAsia"/>
          <w:color w:val="auto"/>
          <w:spacing w:val="-3"/>
          <w:sz w:val="21"/>
          <w:lang w:val="en-US"/>
        </w:rPr>
        <w:t xml:space="preserve">3.3.2 </w:t>
      </w:r>
      <w:r>
        <w:rPr>
          <w:rFonts w:hint="eastAsia"/>
          <w:color w:val="auto"/>
          <w:spacing w:val="-3"/>
          <w:sz w:val="21"/>
        </w:rPr>
        <w:t>在投标有效期内，投标人撤销投标文件的，应承担招标文件和法律规定的责任。</w:t>
      </w:r>
    </w:p>
    <w:p w14:paraId="4F388A4A">
      <w:pPr>
        <w:pStyle w:val="55"/>
        <w:tabs>
          <w:tab w:val="left" w:pos="1270"/>
        </w:tabs>
        <w:spacing w:line="360" w:lineRule="auto"/>
        <w:ind w:left="0" w:right="53" w:rightChars="25" w:firstLine="426" w:firstLineChars="209"/>
        <w:rPr>
          <w:color w:val="auto"/>
          <w:spacing w:val="-3"/>
          <w:sz w:val="21"/>
        </w:rPr>
      </w:pPr>
      <w:r>
        <w:rPr>
          <w:rFonts w:hint="eastAsia"/>
          <w:color w:val="auto"/>
          <w:spacing w:val="-3"/>
          <w:sz w:val="21"/>
          <w:lang w:val="en-US"/>
        </w:rPr>
        <w:t xml:space="preserve">3.3.3 </w:t>
      </w:r>
      <w:r>
        <w:rPr>
          <w:rFonts w:hint="eastAsia"/>
          <w:color w:val="auto"/>
          <w:spacing w:val="-3"/>
          <w:sz w:val="21"/>
        </w:rPr>
        <w:t>出现特殊情况需要延长投标有效期的，采购人以书面形式通知所有投标人延长投标有效期。投标人应予以书面答复，同意延长的，应相应延长其投标保证金的有效期， 但不得要求或被允许修改其投标文件；投标人拒绝延长的，其投标失效。</w:t>
      </w:r>
    </w:p>
    <w:p w14:paraId="6B0ED1A1">
      <w:pPr>
        <w:pStyle w:val="55"/>
        <w:tabs>
          <w:tab w:val="left" w:pos="440"/>
        </w:tabs>
        <w:spacing w:line="360" w:lineRule="auto"/>
        <w:ind w:left="253" w:leftChars="-40" w:hanging="337" w:hangingChars="140"/>
        <w:rPr>
          <w:b/>
          <w:bCs/>
          <w:color w:val="auto"/>
          <w:sz w:val="24"/>
          <w:lang w:val="en-US"/>
        </w:rPr>
      </w:pPr>
      <w:r>
        <w:rPr>
          <w:rFonts w:hint="eastAsia"/>
          <w:b/>
          <w:bCs/>
          <w:color w:val="auto"/>
          <w:sz w:val="24"/>
          <w:lang w:val="en-US"/>
        </w:rPr>
        <w:t>3.4 投标保证金</w:t>
      </w:r>
    </w:p>
    <w:p w14:paraId="568E4350">
      <w:pPr>
        <w:pStyle w:val="55"/>
        <w:tabs>
          <w:tab w:val="left" w:pos="440"/>
        </w:tabs>
        <w:spacing w:line="360" w:lineRule="auto"/>
        <w:ind w:left="0" w:firstLine="448" w:firstLineChars="220"/>
        <w:rPr>
          <w:color w:val="auto"/>
          <w:spacing w:val="-3"/>
          <w:sz w:val="21"/>
          <w:lang w:val="en-US"/>
        </w:rPr>
      </w:pPr>
      <w:r>
        <w:rPr>
          <w:rFonts w:hint="eastAsia"/>
          <w:color w:val="auto"/>
          <w:spacing w:val="-3"/>
          <w:sz w:val="21"/>
          <w:lang w:val="en-US" w:eastAsia="zh-CN"/>
        </w:rPr>
        <w:t>不收取</w:t>
      </w:r>
      <w:r>
        <w:rPr>
          <w:rFonts w:hint="eastAsia"/>
          <w:color w:val="auto"/>
          <w:spacing w:val="-3"/>
          <w:sz w:val="21"/>
          <w:lang w:val="en-US"/>
        </w:rPr>
        <w:t>。</w:t>
      </w:r>
    </w:p>
    <w:p w14:paraId="0AE8AAF7">
      <w:pPr>
        <w:pStyle w:val="55"/>
        <w:tabs>
          <w:tab w:val="left" w:pos="440"/>
        </w:tabs>
        <w:spacing w:line="360" w:lineRule="auto"/>
        <w:ind w:left="253" w:leftChars="-40" w:hanging="337" w:hangingChars="140"/>
        <w:rPr>
          <w:b/>
          <w:bCs/>
          <w:color w:val="auto"/>
          <w:sz w:val="24"/>
          <w:lang w:val="en-US"/>
        </w:rPr>
      </w:pPr>
      <w:r>
        <w:rPr>
          <w:rFonts w:hint="eastAsia"/>
          <w:b/>
          <w:bCs/>
          <w:color w:val="auto"/>
          <w:sz w:val="24"/>
          <w:lang w:val="en-US"/>
        </w:rPr>
        <w:t>3.5 资格审查资料</w:t>
      </w:r>
    </w:p>
    <w:p w14:paraId="03B669BA">
      <w:pPr>
        <w:spacing w:line="360" w:lineRule="auto"/>
        <w:ind w:right="-136" w:rightChars="-65" w:firstLine="408" w:firstLineChars="200"/>
        <w:rPr>
          <w:rFonts w:ascii="宋体" w:hAnsi="宋体" w:cs="宋体"/>
          <w:color w:val="auto"/>
          <w:spacing w:val="-3"/>
          <w:szCs w:val="21"/>
        </w:rPr>
      </w:pPr>
      <w:r>
        <w:rPr>
          <w:rFonts w:hint="eastAsia" w:ascii="宋体" w:hAnsi="宋体" w:cs="宋体"/>
          <w:color w:val="auto"/>
          <w:spacing w:val="-3"/>
          <w:szCs w:val="21"/>
        </w:rPr>
        <w:t>详见投标人须知前附表。</w:t>
      </w:r>
    </w:p>
    <w:p w14:paraId="2A1FAD45">
      <w:pPr>
        <w:pStyle w:val="55"/>
        <w:tabs>
          <w:tab w:val="left" w:pos="440"/>
        </w:tabs>
        <w:spacing w:line="360" w:lineRule="auto"/>
        <w:ind w:left="253" w:leftChars="-40" w:hanging="337" w:hangingChars="140"/>
        <w:rPr>
          <w:b/>
          <w:bCs/>
          <w:color w:val="auto"/>
          <w:sz w:val="24"/>
          <w:lang w:val="en-US"/>
        </w:rPr>
      </w:pPr>
      <w:r>
        <w:rPr>
          <w:rFonts w:hint="eastAsia"/>
          <w:b/>
          <w:bCs/>
          <w:color w:val="auto"/>
          <w:sz w:val="24"/>
          <w:lang w:val="en-US"/>
        </w:rPr>
        <w:t>3.6 备选投标方案（不接受）</w:t>
      </w:r>
    </w:p>
    <w:p w14:paraId="2A461C1C">
      <w:pPr>
        <w:pStyle w:val="55"/>
        <w:tabs>
          <w:tab w:val="left" w:pos="1270"/>
        </w:tabs>
        <w:spacing w:line="360" w:lineRule="auto"/>
        <w:ind w:left="0" w:firstLine="426" w:firstLineChars="209"/>
        <w:rPr>
          <w:color w:val="auto"/>
          <w:spacing w:val="-3"/>
          <w:sz w:val="21"/>
        </w:rPr>
      </w:pPr>
      <w:r>
        <w:rPr>
          <w:rFonts w:hint="eastAsia"/>
          <w:color w:val="auto"/>
          <w:spacing w:val="-3"/>
          <w:sz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采购人可以接受该备选投标方案。</w:t>
      </w:r>
    </w:p>
    <w:p w14:paraId="73F85CD6">
      <w:pPr>
        <w:pStyle w:val="55"/>
        <w:tabs>
          <w:tab w:val="left" w:pos="440"/>
        </w:tabs>
        <w:spacing w:line="360" w:lineRule="auto"/>
        <w:ind w:left="253" w:leftChars="-40" w:hanging="337" w:hangingChars="140"/>
        <w:rPr>
          <w:b/>
          <w:bCs/>
          <w:color w:val="auto"/>
          <w:sz w:val="24"/>
          <w:lang w:val="en-US"/>
        </w:rPr>
      </w:pPr>
      <w:r>
        <w:rPr>
          <w:rFonts w:hint="eastAsia"/>
          <w:b/>
          <w:bCs/>
          <w:color w:val="auto"/>
          <w:sz w:val="24"/>
          <w:lang w:val="en-US"/>
        </w:rPr>
        <w:t>3.7 投标文件的编制</w:t>
      </w:r>
    </w:p>
    <w:p w14:paraId="567ABE15">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3.7.1 投标文件应按招标文件第六章“投标文件格式”要求进行编写，如有必要，可以增加附页作为投标文件的组成部分，但不修改投标文件格式，如修改招标文件中规定的“投标文件格式”视为不响应形式评审要求。</w:t>
      </w:r>
    </w:p>
    <w:p w14:paraId="40BE738B">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3.7.2 投标文件应当对招标文件有关交货期、投标有效期、招标范围等实质性内容响应。投标文件在满足招标文件实质性要求的基础上，可以提出比招标文件要求更有利于采购人的承诺。</w:t>
      </w:r>
    </w:p>
    <w:p w14:paraId="38397A50">
      <w:pPr>
        <w:widowControl/>
        <w:spacing w:line="360" w:lineRule="auto"/>
        <w:ind w:firstLine="408" w:firstLineChars="200"/>
        <w:rPr>
          <w:rFonts w:ascii="宋体" w:hAnsi="宋体" w:cs="宋体"/>
          <w:color w:val="auto"/>
        </w:rPr>
      </w:pPr>
      <w:r>
        <w:rPr>
          <w:rFonts w:hint="eastAsia" w:ascii="宋体" w:hAnsi="宋体" w:cs="宋体"/>
          <w:color w:val="auto"/>
          <w:spacing w:val="-3"/>
        </w:rPr>
        <w:t>3.7.3 投标文件应尽量避免涂改、行间插字或删除。如果出现上述情况，改动之处应加盖单位章。</w:t>
      </w:r>
    </w:p>
    <w:p w14:paraId="05376406">
      <w:pPr>
        <w:pStyle w:val="55"/>
        <w:tabs>
          <w:tab w:val="left" w:pos="1330"/>
        </w:tabs>
        <w:spacing w:before="29" w:line="355" w:lineRule="auto"/>
        <w:ind w:left="9" w:leftChars="-100" w:right="-136" w:rightChars="-65" w:hanging="219" w:hangingChars="78"/>
        <w:jc w:val="both"/>
        <w:rPr>
          <w:b/>
          <w:color w:val="auto"/>
          <w:sz w:val="28"/>
          <w:lang w:val="en-US"/>
        </w:rPr>
      </w:pPr>
      <w:r>
        <w:rPr>
          <w:rFonts w:hint="eastAsia"/>
          <w:b/>
          <w:color w:val="auto"/>
          <w:sz w:val="28"/>
          <w:lang w:val="en-US"/>
        </w:rPr>
        <w:t>4.投标</w:t>
      </w:r>
    </w:p>
    <w:p w14:paraId="50C7FC29">
      <w:pPr>
        <w:pStyle w:val="5"/>
        <w:numPr>
          <w:ilvl w:val="1"/>
          <w:numId w:val="7"/>
        </w:numPr>
        <w:tabs>
          <w:tab w:val="left" w:pos="440"/>
        </w:tabs>
        <w:spacing w:before="11" w:line="360" w:lineRule="auto"/>
        <w:ind w:hanging="703"/>
        <w:rPr>
          <w:b w:val="0"/>
          <w:bCs w:val="0"/>
          <w:color w:val="auto"/>
          <w:spacing w:val="-3"/>
          <w:kern w:val="2"/>
          <w:sz w:val="21"/>
          <w:lang w:val="en-US"/>
        </w:rPr>
      </w:pPr>
      <w:r>
        <w:rPr>
          <w:rFonts w:hint="eastAsia"/>
          <w:color w:val="auto"/>
        </w:rPr>
        <w:t>投标文件的递交</w:t>
      </w:r>
    </w:p>
    <w:p w14:paraId="7FFC30A3">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4.1.1投标人应在投标人须知前附表第19项规定的投标截止时间前将加密的电子投标文件成功上传提交至《全国公共资源交易平台（河南省.平顶山市）》公共资源交易系统，供应商应充分考虑并预留技术处理和上传数据所需的时间。</w:t>
      </w:r>
    </w:p>
    <w:p w14:paraId="31287E21">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4.1.2投标人递交投标文件的地点：见投标人须知前附表。</w:t>
      </w:r>
    </w:p>
    <w:p w14:paraId="5D0294F1">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4.1.3投标人所递交的投标文件不予退还。</w:t>
      </w:r>
    </w:p>
    <w:p w14:paraId="30580284">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4.1.4逾期上传的投标文件，采购人不予受理。</w:t>
      </w:r>
    </w:p>
    <w:p w14:paraId="2029AC29">
      <w:pPr>
        <w:pStyle w:val="5"/>
        <w:numPr>
          <w:ilvl w:val="1"/>
          <w:numId w:val="7"/>
        </w:numPr>
        <w:tabs>
          <w:tab w:val="left" w:pos="440"/>
        </w:tabs>
        <w:spacing w:before="11"/>
        <w:ind w:hanging="703"/>
        <w:rPr>
          <w:color w:val="auto"/>
        </w:rPr>
      </w:pPr>
      <w:r>
        <w:rPr>
          <w:rFonts w:hint="eastAsia"/>
          <w:color w:val="auto"/>
        </w:rPr>
        <w:t>投标文件的修改与撤回</w:t>
      </w:r>
    </w:p>
    <w:p w14:paraId="37CDFA26">
      <w:pPr>
        <w:pStyle w:val="55"/>
        <w:numPr>
          <w:ilvl w:val="2"/>
          <w:numId w:val="7"/>
        </w:numPr>
        <w:tabs>
          <w:tab w:val="left" w:pos="1060"/>
        </w:tabs>
        <w:spacing w:before="154" w:line="355" w:lineRule="auto"/>
        <w:ind w:left="18" w:right="-144" w:firstLine="402"/>
        <w:rPr>
          <w:color w:val="auto"/>
          <w:sz w:val="15"/>
        </w:rPr>
      </w:pPr>
      <w:r>
        <w:rPr>
          <w:rFonts w:hint="eastAsia"/>
          <w:color w:val="auto"/>
          <w:spacing w:val="1"/>
          <w:sz w:val="21"/>
        </w:rPr>
        <w:t>在投标人须知前附表第</w:t>
      </w:r>
      <w:r>
        <w:rPr>
          <w:rFonts w:hint="eastAsia"/>
          <w:color w:val="auto"/>
          <w:spacing w:val="-3"/>
          <w:kern w:val="2"/>
          <w:sz w:val="21"/>
          <w:lang w:val="en-US"/>
        </w:rPr>
        <w:t>19</w:t>
      </w:r>
      <w:r>
        <w:rPr>
          <w:rFonts w:hint="eastAsia"/>
          <w:color w:val="auto"/>
          <w:spacing w:val="-3"/>
          <w:sz w:val="21"/>
        </w:rPr>
        <w:t>项规定的投标截止时间前，投标人可以修改或撤回已递交的电子投标文件。</w:t>
      </w:r>
    </w:p>
    <w:p w14:paraId="0874D4C7">
      <w:pPr>
        <w:pStyle w:val="55"/>
        <w:tabs>
          <w:tab w:val="left" w:pos="1330"/>
        </w:tabs>
        <w:spacing w:before="29" w:line="355" w:lineRule="auto"/>
        <w:ind w:left="9" w:leftChars="-100" w:right="-136" w:rightChars="-65" w:hanging="219" w:hangingChars="78"/>
        <w:jc w:val="both"/>
        <w:rPr>
          <w:b/>
          <w:color w:val="auto"/>
          <w:sz w:val="28"/>
          <w:lang w:val="en-US"/>
        </w:rPr>
      </w:pPr>
      <w:bookmarkStart w:id="10" w:name="_bookmark7"/>
      <w:bookmarkEnd w:id="10"/>
      <w:r>
        <w:rPr>
          <w:rFonts w:hint="eastAsia"/>
          <w:b/>
          <w:color w:val="auto"/>
          <w:sz w:val="28"/>
          <w:lang w:val="en-US"/>
        </w:rPr>
        <w:t>5.开标</w:t>
      </w:r>
    </w:p>
    <w:p w14:paraId="63699454">
      <w:pPr>
        <w:pStyle w:val="5"/>
        <w:numPr>
          <w:ilvl w:val="1"/>
          <w:numId w:val="8"/>
        </w:numPr>
        <w:tabs>
          <w:tab w:val="left" w:pos="440"/>
        </w:tabs>
        <w:ind w:hanging="703"/>
        <w:rPr>
          <w:color w:val="auto"/>
        </w:rPr>
      </w:pPr>
      <w:r>
        <w:rPr>
          <w:rFonts w:hint="eastAsia"/>
          <w:color w:val="auto"/>
        </w:rPr>
        <w:t>开标时间和地点</w:t>
      </w:r>
    </w:p>
    <w:p w14:paraId="5A105232">
      <w:pPr>
        <w:pStyle w:val="53"/>
        <w:spacing w:line="400" w:lineRule="exact"/>
        <w:ind w:right="168" w:rightChars="80" w:firstLine="408" w:firstLineChars="200"/>
        <w:jc w:val="both"/>
        <w:rPr>
          <w:color w:val="auto"/>
          <w:spacing w:val="-3"/>
          <w:sz w:val="21"/>
          <w:szCs w:val="21"/>
        </w:rPr>
      </w:pPr>
      <w:r>
        <w:rPr>
          <w:rFonts w:hint="eastAsia"/>
          <w:color w:val="auto"/>
          <w:spacing w:val="-3"/>
          <w:sz w:val="21"/>
          <w:szCs w:val="21"/>
        </w:rPr>
        <w:t>采购人在投标人须知前附表第</w:t>
      </w:r>
      <w:r>
        <w:rPr>
          <w:rFonts w:hint="eastAsia"/>
          <w:color w:val="auto"/>
          <w:spacing w:val="-3"/>
          <w:sz w:val="21"/>
          <w:szCs w:val="21"/>
          <w:lang w:val="en-US"/>
        </w:rPr>
        <w:t>19</w:t>
      </w:r>
      <w:r>
        <w:rPr>
          <w:rFonts w:hint="eastAsia"/>
          <w:color w:val="auto"/>
          <w:spacing w:val="-3"/>
          <w:sz w:val="21"/>
          <w:szCs w:val="21"/>
        </w:rPr>
        <w:t>项规定的投标截止时间（开标时间）和投标人须知前附表规定的地点公开开标。</w:t>
      </w:r>
    </w:p>
    <w:p w14:paraId="1356C0CD">
      <w:pPr>
        <w:pStyle w:val="5"/>
        <w:tabs>
          <w:tab w:val="left" w:pos="704"/>
        </w:tabs>
        <w:spacing w:before="131" w:line="360" w:lineRule="auto"/>
        <w:ind w:left="217" w:hanging="217" w:hangingChars="90"/>
        <w:rPr>
          <w:color w:val="auto"/>
        </w:rPr>
      </w:pPr>
      <w:r>
        <w:rPr>
          <w:rFonts w:hint="eastAsia"/>
          <w:color w:val="auto"/>
          <w:lang w:val="en-US"/>
        </w:rPr>
        <w:t xml:space="preserve">5.2 </w:t>
      </w:r>
      <w:r>
        <w:rPr>
          <w:rFonts w:hint="eastAsia"/>
          <w:color w:val="auto"/>
        </w:rPr>
        <w:t>开标程序</w:t>
      </w:r>
    </w:p>
    <w:p w14:paraId="47AE7A08">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5.2.</w:t>
      </w:r>
      <w:r>
        <w:rPr>
          <w:rFonts w:hint="eastAsia" w:ascii="宋体" w:hAnsi="宋体" w:cs="宋体"/>
          <w:b/>
          <w:bCs/>
          <w:color w:val="auto"/>
          <w:spacing w:val="-3"/>
        </w:rPr>
        <w:t>1</w:t>
      </w:r>
      <w:r>
        <w:rPr>
          <w:rFonts w:hint="eastAsia" w:ascii="宋体" w:hAnsi="宋体" w:cs="宋体"/>
          <w:b/>
          <w:bCs/>
          <w:color w:val="auto"/>
          <w:spacing w:val="-3"/>
          <w:lang w:val="zh-CN"/>
        </w:rPr>
        <w:t>开标时，投标人采用网上远程异地解密时，请用 CA 证书登录平顶山市公共资源交易中心业务系统，进入本项目开标大厅点击解密来完成投标文件的解密工作。每位投标人的解密时间从投标截止时间起60 分钟内完成，超过规定时间解密的投标文件不予接收</w:t>
      </w:r>
      <w:r>
        <w:rPr>
          <w:rFonts w:hint="eastAsia" w:ascii="宋体" w:hAnsi="宋体" w:cs="宋体"/>
          <w:color w:val="auto"/>
          <w:spacing w:val="-3"/>
        </w:rPr>
        <w:t>。</w:t>
      </w:r>
    </w:p>
    <w:p w14:paraId="08386254">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5.2.2如出现投标人的电子投标文件无法解密的情况，投标人应及时联系</w:t>
      </w:r>
      <w:r>
        <w:rPr>
          <w:rFonts w:hint="eastAsia" w:ascii="宋体" w:hAnsi="宋体" w:cs="宋体"/>
          <w:color w:val="auto"/>
          <w:spacing w:val="-3"/>
          <w:lang w:eastAsia="zh-CN"/>
        </w:rPr>
        <w:t>技术人员</w:t>
      </w:r>
      <w:r>
        <w:rPr>
          <w:rFonts w:hint="eastAsia" w:ascii="宋体" w:hAnsi="宋体" w:cs="宋体"/>
          <w:color w:val="auto"/>
          <w:spacing w:val="-3"/>
        </w:rPr>
        <w:t>进行说明。投标文件解密异常，按以下步骤进行处理：</w:t>
      </w:r>
    </w:p>
    <w:p w14:paraId="356EE46E">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如果是投标文件自身问题导致投标文件无法解密的，该投标文件将不予接收、解密。</w:t>
      </w:r>
    </w:p>
    <w:p w14:paraId="4E33C4FD">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如果是电子化交易系统问题造成投标文件无法解密的，将由技术人员进行排查处理。如短时间内问题无法解决的，将由招标人（代理机构）联系监督部门申请暂停开标，待问题解决后继续开标。</w:t>
      </w:r>
    </w:p>
    <w:p w14:paraId="25C5EF5A">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5.2.3所有投标文件解密完成后，由代理机构操作，对开标结果进行公示。</w:t>
      </w:r>
    </w:p>
    <w:p w14:paraId="2723B52C">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5.2.4投标人应保证在开标期间电话、电脑、网络等能够正常使用，投标人因停电、电脑病毒、网络堵塞等原因，未在规定的解密时间内对投标文件进行解密的，其投标文件不予接收。</w:t>
      </w:r>
    </w:p>
    <w:p w14:paraId="58513971">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5.2.5开标结束。</w:t>
      </w:r>
    </w:p>
    <w:p w14:paraId="1A5CE7F8">
      <w:pPr>
        <w:widowControl/>
        <w:spacing w:line="360" w:lineRule="auto"/>
        <w:ind w:firstLine="408" w:firstLineChars="200"/>
        <w:rPr>
          <w:rFonts w:ascii="宋体" w:hAnsi="宋体" w:cs="宋体"/>
          <w:color w:val="auto"/>
          <w:spacing w:val="-3"/>
        </w:rPr>
      </w:pPr>
      <w:r>
        <w:rPr>
          <w:rFonts w:hint="eastAsia" w:ascii="宋体" w:hAnsi="宋体" w:cs="宋体"/>
          <w:color w:val="auto"/>
          <w:spacing w:val="-3"/>
        </w:rPr>
        <w:t>5.2.6采购人或采购代理机构依法对投标人的资格进行审查。</w:t>
      </w:r>
    </w:p>
    <w:p w14:paraId="4F14DD60">
      <w:pPr>
        <w:pStyle w:val="55"/>
        <w:tabs>
          <w:tab w:val="left" w:pos="1330"/>
        </w:tabs>
        <w:spacing w:before="29" w:line="355" w:lineRule="auto"/>
        <w:ind w:left="9" w:leftChars="-100" w:right="-136" w:rightChars="-65" w:hanging="219" w:hangingChars="78"/>
        <w:jc w:val="both"/>
        <w:rPr>
          <w:b/>
          <w:color w:val="auto"/>
          <w:sz w:val="28"/>
          <w:lang w:val="en-US"/>
        </w:rPr>
      </w:pPr>
      <w:r>
        <w:rPr>
          <w:rFonts w:hint="eastAsia"/>
          <w:b/>
          <w:color w:val="auto"/>
          <w:sz w:val="28"/>
          <w:lang w:val="en-US"/>
        </w:rPr>
        <w:t>6.评标</w:t>
      </w:r>
    </w:p>
    <w:p w14:paraId="1E928CC4">
      <w:pPr>
        <w:pStyle w:val="5"/>
        <w:numPr>
          <w:ilvl w:val="1"/>
          <w:numId w:val="9"/>
        </w:numPr>
        <w:tabs>
          <w:tab w:val="left" w:pos="440"/>
        </w:tabs>
        <w:spacing w:before="66"/>
        <w:ind w:hanging="703"/>
        <w:rPr>
          <w:color w:val="auto"/>
        </w:rPr>
      </w:pPr>
      <w:r>
        <w:rPr>
          <w:rFonts w:hint="eastAsia"/>
          <w:color w:val="auto"/>
        </w:rPr>
        <w:t>评标委员会</w:t>
      </w:r>
    </w:p>
    <w:p w14:paraId="2AA7C81C">
      <w:pPr>
        <w:pStyle w:val="55"/>
        <w:tabs>
          <w:tab w:val="left" w:pos="1330"/>
        </w:tabs>
        <w:spacing w:before="163"/>
        <w:ind w:left="279" w:leftChars="133" w:right="-155" w:rightChars="-74" w:firstLine="140" w:firstLineChars="69"/>
        <w:rPr>
          <w:color w:val="auto"/>
          <w:spacing w:val="-3"/>
          <w:sz w:val="21"/>
          <w:lang w:val="en-US"/>
        </w:rPr>
      </w:pPr>
      <w:r>
        <w:rPr>
          <w:rFonts w:hint="eastAsia"/>
          <w:color w:val="auto"/>
          <w:spacing w:val="-3"/>
          <w:sz w:val="21"/>
          <w:lang w:val="en-US"/>
        </w:rPr>
        <w:t xml:space="preserve">6.1.1 </w:t>
      </w:r>
      <w:r>
        <w:rPr>
          <w:rFonts w:hint="eastAsia"/>
          <w:color w:val="auto"/>
          <w:spacing w:val="-3"/>
          <w:sz w:val="21"/>
        </w:rPr>
        <w:t>评标由依法组建的评标委员会负责。评标委员会由采购人代表，以及有关技术、</w:t>
      </w:r>
      <w:r>
        <w:rPr>
          <w:rFonts w:hint="eastAsia"/>
          <w:color w:val="auto"/>
          <w:spacing w:val="-3"/>
          <w:sz w:val="21"/>
          <w:lang w:val="en-US"/>
        </w:rPr>
        <w:t xml:space="preserve"> </w:t>
      </w:r>
    </w:p>
    <w:p w14:paraId="020A154C">
      <w:pPr>
        <w:pStyle w:val="55"/>
        <w:tabs>
          <w:tab w:val="left" w:pos="1330"/>
        </w:tabs>
        <w:spacing w:before="163"/>
        <w:ind w:left="0" w:right="-155" w:rightChars="-74" w:firstLine="0"/>
        <w:rPr>
          <w:color w:val="auto"/>
          <w:spacing w:val="-3"/>
          <w:sz w:val="21"/>
        </w:rPr>
      </w:pPr>
      <w:r>
        <w:rPr>
          <w:rFonts w:hint="eastAsia"/>
          <w:color w:val="auto"/>
          <w:spacing w:val="-3"/>
          <w:sz w:val="21"/>
        </w:rPr>
        <w:t>经济等方面的专家组成。评标委员会成员人数见投标人须知前附表。</w:t>
      </w:r>
    </w:p>
    <w:p w14:paraId="7BD3B204">
      <w:pPr>
        <w:pStyle w:val="55"/>
        <w:tabs>
          <w:tab w:val="left" w:pos="1330"/>
        </w:tabs>
        <w:spacing w:before="163"/>
        <w:ind w:left="273" w:leftChars="130" w:firstLine="148" w:firstLineChars="73"/>
        <w:rPr>
          <w:color w:val="auto"/>
          <w:spacing w:val="-3"/>
          <w:sz w:val="21"/>
        </w:rPr>
      </w:pPr>
      <w:r>
        <w:rPr>
          <w:rFonts w:hint="eastAsia"/>
          <w:color w:val="auto"/>
          <w:spacing w:val="-3"/>
          <w:sz w:val="21"/>
          <w:lang w:val="en-US"/>
        </w:rPr>
        <w:t xml:space="preserve">6.1.2 </w:t>
      </w:r>
      <w:r>
        <w:rPr>
          <w:rFonts w:hint="eastAsia"/>
          <w:color w:val="auto"/>
          <w:spacing w:val="-3"/>
          <w:sz w:val="21"/>
        </w:rPr>
        <w:t>评标委员会成员有下列情形之一的，应当回避：</w:t>
      </w:r>
    </w:p>
    <w:p w14:paraId="45B6F681">
      <w:pPr>
        <w:pStyle w:val="55"/>
        <w:tabs>
          <w:tab w:val="left" w:pos="1330"/>
        </w:tabs>
        <w:spacing w:before="163"/>
        <w:ind w:left="698" w:firstLine="0"/>
        <w:rPr>
          <w:color w:val="auto"/>
          <w:spacing w:val="-3"/>
          <w:sz w:val="21"/>
        </w:rPr>
      </w:pPr>
      <w:r>
        <w:rPr>
          <w:rFonts w:hint="eastAsia"/>
          <w:color w:val="auto"/>
          <w:spacing w:val="-3"/>
          <w:sz w:val="21"/>
        </w:rPr>
        <w:t>（</w:t>
      </w:r>
      <w:r>
        <w:rPr>
          <w:rFonts w:hint="eastAsia"/>
          <w:color w:val="auto"/>
          <w:spacing w:val="-3"/>
          <w:sz w:val="21"/>
          <w:lang w:val="en-US"/>
        </w:rPr>
        <w:t>1</w:t>
      </w:r>
      <w:r>
        <w:rPr>
          <w:rFonts w:hint="eastAsia"/>
          <w:color w:val="auto"/>
          <w:spacing w:val="-3"/>
          <w:sz w:val="21"/>
        </w:rPr>
        <w:t>）采购人或投标人的主要负责人的近亲属；</w:t>
      </w:r>
    </w:p>
    <w:p w14:paraId="166FB5D4">
      <w:pPr>
        <w:pStyle w:val="55"/>
        <w:tabs>
          <w:tab w:val="left" w:pos="1330"/>
        </w:tabs>
        <w:spacing w:before="163"/>
        <w:ind w:left="698" w:firstLine="0"/>
        <w:rPr>
          <w:color w:val="auto"/>
          <w:spacing w:val="-3"/>
          <w:sz w:val="21"/>
        </w:rPr>
      </w:pPr>
      <w:r>
        <w:rPr>
          <w:rFonts w:hint="eastAsia"/>
          <w:color w:val="auto"/>
          <w:spacing w:val="-3"/>
          <w:sz w:val="21"/>
        </w:rPr>
        <w:t>（</w:t>
      </w:r>
      <w:r>
        <w:rPr>
          <w:rFonts w:hint="eastAsia"/>
          <w:color w:val="auto"/>
          <w:spacing w:val="-3"/>
          <w:sz w:val="21"/>
          <w:lang w:val="en-US"/>
        </w:rPr>
        <w:t>2</w:t>
      </w:r>
      <w:r>
        <w:rPr>
          <w:rFonts w:hint="eastAsia"/>
          <w:color w:val="auto"/>
          <w:spacing w:val="-3"/>
          <w:sz w:val="21"/>
        </w:rPr>
        <w:t>）项目主管部门或者行政监督部门的人员；</w:t>
      </w:r>
    </w:p>
    <w:p w14:paraId="039504AB">
      <w:pPr>
        <w:pStyle w:val="55"/>
        <w:tabs>
          <w:tab w:val="left" w:pos="1330"/>
        </w:tabs>
        <w:spacing w:before="163"/>
        <w:ind w:left="698" w:firstLine="0"/>
        <w:rPr>
          <w:color w:val="auto"/>
          <w:spacing w:val="-3"/>
          <w:sz w:val="21"/>
        </w:rPr>
      </w:pPr>
      <w:r>
        <w:rPr>
          <w:rFonts w:hint="eastAsia"/>
          <w:color w:val="auto"/>
          <w:spacing w:val="-3"/>
          <w:sz w:val="21"/>
        </w:rPr>
        <w:t>（</w:t>
      </w:r>
      <w:r>
        <w:rPr>
          <w:rFonts w:hint="eastAsia"/>
          <w:color w:val="auto"/>
          <w:spacing w:val="-3"/>
          <w:sz w:val="21"/>
          <w:lang w:val="en-US"/>
        </w:rPr>
        <w:t>3</w:t>
      </w:r>
      <w:r>
        <w:rPr>
          <w:rFonts w:hint="eastAsia"/>
          <w:color w:val="auto"/>
          <w:spacing w:val="-3"/>
          <w:sz w:val="21"/>
        </w:rPr>
        <w:t>）与投标人有经济利益关系，可能影响对投标公正评审的；</w:t>
      </w:r>
    </w:p>
    <w:p w14:paraId="29FF8151">
      <w:pPr>
        <w:pStyle w:val="55"/>
        <w:tabs>
          <w:tab w:val="left" w:pos="1330"/>
        </w:tabs>
        <w:spacing w:before="163"/>
        <w:ind w:left="698" w:firstLine="0"/>
        <w:rPr>
          <w:color w:val="auto"/>
          <w:spacing w:val="-3"/>
          <w:sz w:val="21"/>
        </w:rPr>
      </w:pPr>
      <w:r>
        <w:rPr>
          <w:rFonts w:hint="eastAsia"/>
          <w:color w:val="auto"/>
          <w:spacing w:val="-3"/>
          <w:sz w:val="21"/>
        </w:rPr>
        <w:t>（</w:t>
      </w:r>
      <w:r>
        <w:rPr>
          <w:rFonts w:hint="eastAsia"/>
          <w:color w:val="auto"/>
          <w:spacing w:val="-3"/>
          <w:sz w:val="21"/>
          <w:lang w:val="en-US"/>
        </w:rPr>
        <w:t>4</w:t>
      </w:r>
      <w:r>
        <w:rPr>
          <w:rFonts w:hint="eastAsia"/>
          <w:color w:val="auto"/>
          <w:spacing w:val="-3"/>
          <w:sz w:val="21"/>
        </w:rPr>
        <w:t>）曾因在招标、评标以及其他与招标投标有关活动中从事违法行为而受过行政处罚</w:t>
      </w:r>
    </w:p>
    <w:p w14:paraId="482191F0">
      <w:pPr>
        <w:pStyle w:val="55"/>
        <w:tabs>
          <w:tab w:val="left" w:pos="1330"/>
        </w:tabs>
        <w:spacing w:before="163"/>
        <w:ind w:left="0" w:firstLine="0"/>
        <w:rPr>
          <w:color w:val="auto"/>
          <w:spacing w:val="-3"/>
          <w:sz w:val="21"/>
        </w:rPr>
      </w:pPr>
      <w:r>
        <w:rPr>
          <w:rFonts w:hint="eastAsia"/>
          <w:color w:val="auto"/>
          <w:spacing w:val="-3"/>
          <w:sz w:val="21"/>
        </w:rPr>
        <w:t>或刑事处罚的。</w:t>
      </w:r>
    </w:p>
    <w:p w14:paraId="1089C10D">
      <w:pPr>
        <w:pStyle w:val="5"/>
        <w:numPr>
          <w:ilvl w:val="1"/>
          <w:numId w:val="9"/>
        </w:numPr>
        <w:tabs>
          <w:tab w:val="left" w:pos="440"/>
        </w:tabs>
        <w:spacing w:before="66"/>
        <w:ind w:hanging="703"/>
        <w:rPr>
          <w:color w:val="auto"/>
        </w:rPr>
      </w:pPr>
      <w:r>
        <w:rPr>
          <w:rFonts w:hint="eastAsia"/>
          <w:color w:val="auto"/>
        </w:rPr>
        <w:t>评标原则</w:t>
      </w:r>
    </w:p>
    <w:p w14:paraId="2E0200A3">
      <w:pPr>
        <w:pStyle w:val="9"/>
        <w:spacing w:before="155"/>
        <w:ind w:left="698" w:right="-136" w:rightChars="-65"/>
        <w:rPr>
          <w:color w:val="auto"/>
        </w:rPr>
      </w:pPr>
      <w:r>
        <w:rPr>
          <w:rFonts w:hint="eastAsia"/>
          <w:color w:val="auto"/>
        </w:rPr>
        <w:t>评标活动遵循公平、公正、科学和择优的原则。</w:t>
      </w:r>
    </w:p>
    <w:p w14:paraId="326862CD">
      <w:pPr>
        <w:pStyle w:val="5"/>
        <w:numPr>
          <w:ilvl w:val="1"/>
          <w:numId w:val="9"/>
        </w:numPr>
        <w:tabs>
          <w:tab w:val="left" w:pos="440"/>
        </w:tabs>
        <w:spacing w:before="66"/>
        <w:ind w:hanging="703"/>
        <w:rPr>
          <w:color w:val="auto"/>
        </w:rPr>
      </w:pPr>
      <w:r>
        <w:rPr>
          <w:rFonts w:hint="eastAsia"/>
          <w:color w:val="auto"/>
        </w:rPr>
        <w:t>评标</w:t>
      </w:r>
    </w:p>
    <w:p w14:paraId="694181C6">
      <w:pPr>
        <w:pStyle w:val="5"/>
        <w:tabs>
          <w:tab w:val="left" w:pos="704"/>
        </w:tabs>
        <w:spacing w:before="66" w:line="360" w:lineRule="auto"/>
        <w:ind w:left="18" w:firstLine="621" w:firstLineChars="303"/>
        <w:rPr>
          <w:color w:val="auto"/>
          <w:spacing w:val="-3"/>
          <w:sz w:val="21"/>
          <w:szCs w:val="22"/>
        </w:rPr>
      </w:pPr>
      <w:r>
        <w:rPr>
          <w:rFonts w:hint="eastAsia"/>
          <w:color w:val="auto"/>
          <w:spacing w:val="-3"/>
          <w:sz w:val="21"/>
          <w:szCs w:val="22"/>
          <w:lang w:val="en-US"/>
        </w:rPr>
        <w:t xml:space="preserve">6.3.1 </w:t>
      </w:r>
      <w:r>
        <w:rPr>
          <w:rFonts w:hint="eastAsia"/>
          <w:color w:val="auto"/>
          <w:spacing w:val="-3"/>
          <w:sz w:val="21"/>
          <w:szCs w:val="22"/>
        </w:rPr>
        <w:t>公开招标采购项目开标结束后，根据招标内容和特点按规定组建资格审查小组，其成员由采购代理机构专职人员</w:t>
      </w:r>
      <w:r>
        <w:rPr>
          <w:rFonts w:hint="eastAsia"/>
          <w:color w:val="auto"/>
          <w:spacing w:val="-3"/>
          <w:sz w:val="21"/>
          <w:szCs w:val="22"/>
          <w:lang w:eastAsia="zh-CN"/>
        </w:rPr>
        <w:t>和</w:t>
      </w:r>
      <w:r>
        <w:rPr>
          <w:rFonts w:hint="eastAsia"/>
          <w:color w:val="auto"/>
          <w:spacing w:val="-3"/>
          <w:sz w:val="21"/>
          <w:szCs w:val="22"/>
        </w:rPr>
        <w:t>采购人代表组成。资格审查小组依据第三章评标办法资格评审标准对投标文件进行资格审查，以确定投标人是否具备投标资格，有一项不符合评审标准的，资格审查小组应当认定其投标无效，合格投标人不足3家的，不得评标。</w:t>
      </w:r>
    </w:p>
    <w:p w14:paraId="203ED75B">
      <w:pPr>
        <w:adjustRightInd w:val="0"/>
        <w:spacing w:line="360" w:lineRule="auto"/>
        <w:ind w:left="100" w:right="56" w:firstLine="594" w:firstLineChars="290"/>
        <w:rPr>
          <w:rFonts w:ascii="宋体" w:hAnsi="宋体" w:cs="宋体"/>
          <w:b/>
          <w:bCs/>
          <w:color w:val="auto"/>
        </w:rPr>
      </w:pPr>
      <w:r>
        <w:rPr>
          <w:rFonts w:hint="eastAsia" w:ascii="宋体" w:hAnsi="宋体" w:cs="宋体"/>
          <w:b/>
          <w:bCs/>
          <w:color w:val="auto"/>
          <w:spacing w:val="-3"/>
        </w:rPr>
        <w:t>6.3.2 评标委员会按照第三章“评标办法”规定的方法、评审因素、标准和程序对投标文件进行形式，符合性评审。第三章“评标办法”没有规定的方法、评审因素和标准，不作为评标依据。</w:t>
      </w:r>
    </w:p>
    <w:p w14:paraId="386636C0">
      <w:pPr>
        <w:widowControl/>
        <w:spacing w:line="360" w:lineRule="auto"/>
        <w:ind w:firstLine="614" w:firstLineChars="300"/>
        <w:rPr>
          <w:rFonts w:ascii="宋体" w:hAnsi="宋体" w:cs="宋体"/>
          <w:b/>
          <w:bCs/>
          <w:color w:val="auto"/>
          <w:spacing w:val="-3"/>
        </w:rPr>
      </w:pPr>
      <w:r>
        <w:rPr>
          <w:rFonts w:hint="eastAsia" w:ascii="宋体" w:hAnsi="宋体" w:cs="宋体"/>
          <w:b/>
          <w:bCs/>
          <w:color w:val="auto"/>
          <w:spacing w:val="-3"/>
        </w:rPr>
        <w:t>6.3.3评标时，评标委员会对电子化投标文件有质疑的，将通过电子化交易系统对供应商发起质疑。质疑回复内容确认后，通过电子化交易系统提交至评标委员会。</w:t>
      </w:r>
    </w:p>
    <w:p w14:paraId="04AA2783">
      <w:pPr>
        <w:pStyle w:val="55"/>
        <w:tabs>
          <w:tab w:val="left" w:pos="1330"/>
        </w:tabs>
        <w:spacing w:before="29" w:line="355" w:lineRule="auto"/>
        <w:ind w:left="9" w:leftChars="-100" w:right="-136" w:rightChars="-65" w:hanging="219" w:hangingChars="78"/>
        <w:jc w:val="both"/>
        <w:rPr>
          <w:b/>
          <w:color w:val="auto"/>
          <w:sz w:val="28"/>
          <w:lang w:val="en-US"/>
        </w:rPr>
      </w:pPr>
      <w:bookmarkStart w:id="11" w:name="_bookmark9"/>
      <w:bookmarkEnd w:id="11"/>
      <w:r>
        <w:rPr>
          <w:rFonts w:hint="eastAsia"/>
          <w:b/>
          <w:color w:val="auto"/>
          <w:sz w:val="28"/>
          <w:lang w:val="en-US"/>
        </w:rPr>
        <w:t>7.合同授予</w:t>
      </w:r>
    </w:p>
    <w:p w14:paraId="7BC5EA0C">
      <w:pPr>
        <w:pStyle w:val="5"/>
        <w:numPr>
          <w:ilvl w:val="1"/>
          <w:numId w:val="10"/>
        </w:numPr>
        <w:tabs>
          <w:tab w:val="left" w:pos="440"/>
        </w:tabs>
        <w:ind w:hanging="703"/>
        <w:rPr>
          <w:color w:val="auto"/>
        </w:rPr>
      </w:pPr>
      <w:r>
        <w:rPr>
          <w:rFonts w:hint="eastAsia"/>
          <w:color w:val="auto"/>
        </w:rPr>
        <w:t>定标方式</w:t>
      </w:r>
    </w:p>
    <w:p w14:paraId="1D7C6FD8">
      <w:pPr>
        <w:pStyle w:val="9"/>
        <w:spacing w:before="154" w:line="357" w:lineRule="auto"/>
        <w:ind w:left="18" w:right="-144" w:firstLine="680"/>
        <w:rPr>
          <w:color w:val="auto"/>
        </w:rPr>
      </w:pPr>
      <w:r>
        <w:rPr>
          <w:rFonts w:hint="eastAsia"/>
          <w:color w:val="auto"/>
          <w:spacing w:val="-3"/>
        </w:rPr>
        <w:t>除投标人须知前附表规定评标委员会直接确定中标人外，采购人依据评标委员会推荐的中标候选人确定中标人，评标委员会推荐中标候选人的人数见投标人须知前附表。原则上第一名为中标人，若排名第一的中标候选供应商因不可抗力放弃中标或因自身原因不能履行合同，采购人可以顺延排名第二的中标候选供应商为中标供应商或重新招标。</w:t>
      </w:r>
    </w:p>
    <w:p w14:paraId="7C3FC917">
      <w:pPr>
        <w:pStyle w:val="5"/>
        <w:numPr>
          <w:ilvl w:val="1"/>
          <w:numId w:val="10"/>
        </w:numPr>
        <w:tabs>
          <w:tab w:val="left" w:pos="440"/>
        </w:tabs>
        <w:spacing w:before="4" w:line="440" w:lineRule="exact"/>
        <w:ind w:hanging="703"/>
        <w:rPr>
          <w:rFonts w:hint="eastAsia"/>
          <w:color w:val="auto"/>
        </w:rPr>
      </w:pPr>
      <w:r>
        <w:rPr>
          <w:rFonts w:hint="eastAsia"/>
          <w:color w:val="auto"/>
        </w:rPr>
        <w:t>中标通知</w:t>
      </w:r>
    </w:p>
    <w:p w14:paraId="235444C7">
      <w:pPr>
        <w:spacing w:line="360" w:lineRule="auto"/>
        <w:ind w:firstLine="592" w:firstLineChars="299"/>
        <w:rPr>
          <w:rFonts w:ascii="宋体" w:hAnsi="宋体" w:cs="宋体"/>
          <w:color w:val="auto"/>
          <w:spacing w:val="-6"/>
          <w:szCs w:val="21"/>
        </w:rPr>
      </w:pPr>
      <w:r>
        <w:rPr>
          <w:rFonts w:hint="eastAsia" w:ascii="宋体" w:hAnsi="宋体" w:cs="宋体"/>
          <w:color w:val="auto"/>
          <w:spacing w:val="-6"/>
          <w:szCs w:val="21"/>
        </w:rPr>
        <w:t>在规定的时间内，招标人以书面形式向中标供应商发出中标通知书，同时将中标结果通知未中标的投标人。中标供应商在收到通知书后，应予以书面确认与采购人签订合同；中标通知书将成为合同的组成部分。</w:t>
      </w:r>
    </w:p>
    <w:p w14:paraId="05FC4804">
      <w:pPr>
        <w:pStyle w:val="5"/>
        <w:numPr>
          <w:ilvl w:val="1"/>
          <w:numId w:val="10"/>
        </w:numPr>
        <w:tabs>
          <w:tab w:val="left" w:pos="440"/>
        </w:tabs>
        <w:spacing w:before="4" w:line="440" w:lineRule="exact"/>
        <w:ind w:hanging="703"/>
        <w:rPr>
          <w:color w:val="auto"/>
        </w:rPr>
      </w:pPr>
      <w:r>
        <w:rPr>
          <w:rFonts w:hint="eastAsia"/>
          <w:color w:val="auto"/>
        </w:rPr>
        <w:t>履约保证金</w:t>
      </w:r>
    </w:p>
    <w:p w14:paraId="6E5EA5C3">
      <w:pPr>
        <w:pStyle w:val="9"/>
        <w:spacing w:line="440" w:lineRule="exact"/>
        <w:ind w:left="15" w:right="-136" w:rightChars="-65" w:firstLine="599" w:firstLineChars="303"/>
        <w:rPr>
          <w:color w:val="auto"/>
          <w:spacing w:val="-3"/>
          <w:szCs w:val="22"/>
        </w:rPr>
      </w:pPr>
      <w:r>
        <w:rPr>
          <w:rFonts w:hint="eastAsia"/>
          <w:color w:val="auto"/>
          <w:spacing w:val="-6"/>
          <w:kern w:val="2"/>
          <w:lang w:val="en-US" w:eastAsia="zh-CN"/>
        </w:rPr>
        <w:t>不收取</w:t>
      </w:r>
      <w:r>
        <w:rPr>
          <w:rFonts w:hint="eastAsia"/>
          <w:color w:val="auto"/>
          <w:spacing w:val="-6"/>
          <w:kern w:val="2"/>
          <w:lang w:val="en-US"/>
        </w:rPr>
        <w:t>。</w:t>
      </w:r>
    </w:p>
    <w:p w14:paraId="624CF093">
      <w:pPr>
        <w:pStyle w:val="5"/>
        <w:numPr>
          <w:ilvl w:val="1"/>
          <w:numId w:val="10"/>
        </w:numPr>
        <w:tabs>
          <w:tab w:val="left" w:pos="440"/>
        </w:tabs>
        <w:ind w:hanging="703"/>
        <w:rPr>
          <w:rFonts w:hint="eastAsia"/>
          <w:color w:val="auto"/>
        </w:rPr>
      </w:pPr>
      <w:r>
        <w:rPr>
          <w:rFonts w:hint="eastAsia"/>
          <w:color w:val="auto"/>
        </w:rPr>
        <w:t>签订合同</w:t>
      </w:r>
    </w:p>
    <w:p w14:paraId="792A5EA4">
      <w:pPr>
        <w:pStyle w:val="55"/>
        <w:numPr>
          <w:ilvl w:val="2"/>
          <w:numId w:val="10"/>
        </w:numPr>
        <w:tabs>
          <w:tab w:val="left" w:pos="1330"/>
        </w:tabs>
        <w:spacing w:before="152" w:line="357" w:lineRule="auto"/>
        <w:ind w:left="18" w:right="-155" w:rightChars="-74" w:firstLine="680"/>
        <w:rPr>
          <w:color w:val="auto"/>
          <w:sz w:val="21"/>
        </w:rPr>
      </w:pPr>
      <w:r>
        <w:rPr>
          <w:rFonts w:hint="eastAsia"/>
          <w:color w:val="auto"/>
          <w:spacing w:val="-3"/>
          <w:sz w:val="21"/>
        </w:rPr>
        <w:t>采购人和中标人应当自中标通知书发出之日起</w:t>
      </w:r>
      <w:r>
        <w:rPr>
          <w:rFonts w:hint="eastAsia"/>
          <w:color w:val="auto"/>
          <w:sz w:val="21"/>
          <w:lang w:val="en-US" w:eastAsia="zh-CN"/>
        </w:rPr>
        <w:t>30</w:t>
      </w:r>
      <w:r>
        <w:rPr>
          <w:rFonts w:hint="eastAsia"/>
          <w:color w:val="auto"/>
          <w:spacing w:val="-3"/>
          <w:sz w:val="21"/>
        </w:rPr>
        <w:t>天内，根据招标文件和中标人的投标文</w:t>
      </w:r>
      <w:r>
        <w:rPr>
          <w:rFonts w:hint="eastAsia"/>
          <w:color w:val="auto"/>
          <w:spacing w:val="-7"/>
          <w:sz w:val="21"/>
        </w:rPr>
        <w:t>件订立书面合同。中标人无正当理由拒签合同的，采购人取消其中标资格</w:t>
      </w:r>
      <w:r>
        <w:rPr>
          <w:rFonts w:hint="eastAsia"/>
          <w:color w:val="auto"/>
          <w:spacing w:val="-7"/>
          <w:sz w:val="21"/>
          <w:lang w:val="en-US"/>
        </w:rPr>
        <w:t>;</w:t>
      </w:r>
    </w:p>
    <w:p w14:paraId="748270EE">
      <w:pPr>
        <w:pStyle w:val="55"/>
        <w:tabs>
          <w:tab w:val="left" w:pos="1436"/>
        </w:tabs>
        <w:spacing w:before="28" w:line="355" w:lineRule="auto"/>
        <w:ind w:left="0" w:right="-155" w:rightChars="-74" w:firstLine="612" w:firstLineChars="300"/>
        <w:rPr>
          <w:color w:val="auto"/>
          <w:sz w:val="21"/>
        </w:rPr>
      </w:pPr>
      <w:r>
        <w:rPr>
          <w:rFonts w:hint="eastAsia"/>
          <w:color w:val="auto"/>
          <w:spacing w:val="-3"/>
          <w:sz w:val="21"/>
          <w:lang w:val="en-US"/>
        </w:rPr>
        <w:t xml:space="preserve">7.4.2 </w:t>
      </w:r>
      <w:r>
        <w:rPr>
          <w:rFonts w:hint="eastAsia"/>
          <w:color w:val="auto"/>
          <w:spacing w:val="-3"/>
          <w:sz w:val="21"/>
        </w:rPr>
        <w:t>发出中标通知书后，采购人无正当理由拒签合同的， 给中标人造成损失的，也应当赔偿损失。</w:t>
      </w:r>
    </w:p>
    <w:p w14:paraId="58A90229">
      <w:pPr>
        <w:pStyle w:val="55"/>
        <w:tabs>
          <w:tab w:val="left" w:pos="1330"/>
        </w:tabs>
        <w:spacing w:before="29" w:line="355" w:lineRule="auto"/>
        <w:ind w:left="9" w:leftChars="-100" w:right="-136" w:rightChars="-65" w:hanging="219" w:hangingChars="78"/>
        <w:jc w:val="both"/>
        <w:rPr>
          <w:b/>
          <w:color w:val="auto"/>
          <w:sz w:val="28"/>
          <w:lang w:val="en-US"/>
        </w:rPr>
      </w:pPr>
      <w:bookmarkStart w:id="12" w:name="_Toc291089224"/>
      <w:bookmarkStart w:id="13" w:name="_Toc3894"/>
      <w:bookmarkStart w:id="14" w:name="_Toc247639880"/>
      <w:r>
        <w:rPr>
          <w:rFonts w:hint="eastAsia"/>
          <w:b/>
          <w:color w:val="auto"/>
          <w:sz w:val="28"/>
          <w:lang w:val="en-US"/>
        </w:rPr>
        <w:t>8. 重新招标</w:t>
      </w:r>
      <w:bookmarkEnd w:id="12"/>
      <w:bookmarkEnd w:id="13"/>
      <w:bookmarkEnd w:id="14"/>
    </w:p>
    <w:p w14:paraId="2ABE7700">
      <w:pPr>
        <w:pStyle w:val="5"/>
        <w:tabs>
          <w:tab w:val="left" w:pos="704"/>
        </w:tabs>
        <w:spacing w:before="10" w:after="156" w:afterLines="50"/>
        <w:ind w:left="0" w:firstLine="0"/>
        <w:rPr>
          <w:color w:val="auto"/>
        </w:rPr>
      </w:pPr>
      <w:bookmarkStart w:id="15" w:name="_Toc48"/>
      <w:bookmarkStart w:id="16" w:name="_Toc291089225"/>
      <w:bookmarkStart w:id="17" w:name="_Toc247639881"/>
      <w:r>
        <w:rPr>
          <w:rFonts w:hint="eastAsia"/>
          <w:color w:val="auto"/>
          <w:lang w:val="en-US"/>
        </w:rPr>
        <w:t>8.1 重新招标</w:t>
      </w:r>
      <w:bookmarkEnd w:id="15"/>
      <w:bookmarkEnd w:id="16"/>
      <w:bookmarkEnd w:id="17"/>
    </w:p>
    <w:p w14:paraId="28C387D0">
      <w:pPr>
        <w:adjustRightInd w:val="0"/>
        <w:spacing w:line="360" w:lineRule="auto"/>
        <w:ind w:firstLine="408" w:firstLineChars="200"/>
        <w:rPr>
          <w:rFonts w:ascii="宋体" w:hAnsi="宋体" w:cs="宋体"/>
          <w:color w:val="auto"/>
          <w:spacing w:val="-3"/>
        </w:rPr>
      </w:pPr>
      <w:r>
        <w:rPr>
          <w:rFonts w:hint="eastAsia" w:ascii="宋体" w:hAnsi="宋体" w:cs="宋体"/>
          <w:color w:val="auto"/>
          <w:spacing w:val="-3"/>
        </w:rPr>
        <w:t>有下列情形之一的，采购人将重新招标：</w:t>
      </w:r>
    </w:p>
    <w:p w14:paraId="6B9C8428">
      <w:pPr>
        <w:adjustRightInd w:val="0"/>
        <w:spacing w:line="360" w:lineRule="auto"/>
        <w:ind w:firstLine="306" w:firstLineChars="150"/>
        <w:rPr>
          <w:rFonts w:ascii="宋体" w:hAnsi="宋体" w:cs="宋体"/>
          <w:color w:val="auto"/>
          <w:spacing w:val="-3"/>
        </w:rPr>
      </w:pPr>
      <w:r>
        <w:rPr>
          <w:rFonts w:hint="eastAsia" w:ascii="宋体" w:hAnsi="宋体" w:cs="宋体"/>
          <w:color w:val="auto"/>
          <w:spacing w:val="-3"/>
        </w:rPr>
        <w:t>（1）投标截止时间止，供应商少于3个的；</w:t>
      </w:r>
    </w:p>
    <w:p w14:paraId="307DDB66">
      <w:pPr>
        <w:adjustRightInd w:val="0"/>
        <w:spacing w:line="360" w:lineRule="auto"/>
        <w:ind w:firstLine="306" w:firstLineChars="150"/>
        <w:rPr>
          <w:rFonts w:ascii="宋体" w:hAnsi="宋体" w:cs="宋体"/>
          <w:color w:val="auto"/>
          <w:spacing w:val="-3"/>
        </w:rPr>
      </w:pPr>
      <w:r>
        <w:rPr>
          <w:rFonts w:hint="eastAsia" w:ascii="宋体" w:hAnsi="宋体" w:cs="宋体"/>
          <w:color w:val="auto"/>
          <w:spacing w:val="-3"/>
        </w:rPr>
        <w:t>（2）经评标委员会评审后有效供应商少于3个的。</w:t>
      </w:r>
    </w:p>
    <w:p w14:paraId="0A4E7262">
      <w:pPr>
        <w:pStyle w:val="55"/>
        <w:tabs>
          <w:tab w:val="left" w:pos="1330"/>
        </w:tabs>
        <w:spacing w:before="29" w:line="355" w:lineRule="auto"/>
        <w:ind w:left="9" w:leftChars="-100" w:right="-136" w:rightChars="-65" w:hanging="219" w:hangingChars="78"/>
        <w:jc w:val="both"/>
        <w:rPr>
          <w:b/>
          <w:color w:val="auto"/>
          <w:sz w:val="28"/>
          <w:lang w:val="en-US"/>
        </w:rPr>
      </w:pPr>
      <w:bookmarkStart w:id="18" w:name="_bookmark10"/>
      <w:bookmarkEnd w:id="18"/>
      <w:r>
        <w:rPr>
          <w:rFonts w:hint="eastAsia"/>
          <w:b/>
          <w:color w:val="auto"/>
          <w:sz w:val="28"/>
          <w:lang w:val="en-US"/>
        </w:rPr>
        <w:t>9.纪律和监督</w:t>
      </w:r>
    </w:p>
    <w:p w14:paraId="76D02182">
      <w:pPr>
        <w:pStyle w:val="55"/>
        <w:tabs>
          <w:tab w:val="left" w:pos="1330"/>
        </w:tabs>
        <w:spacing w:before="29" w:line="355" w:lineRule="auto"/>
        <w:ind w:left="267" w:leftChars="-46" w:right="-136" w:rightChars="-65" w:hanging="364" w:hangingChars="151"/>
        <w:jc w:val="both"/>
        <w:rPr>
          <w:b/>
          <w:bCs/>
          <w:color w:val="auto"/>
          <w:sz w:val="24"/>
        </w:rPr>
      </w:pPr>
      <w:r>
        <w:rPr>
          <w:rFonts w:hint="eastAsia"/>
          <w:b/>
          <w:bCs/>
          <w:color w:val="auto"/>
          <w:sz w:val="24"/>
          <w:lang w:val="en-US"/>
        </w:rPr>
        <w:t xml:space="preserve">9.1 </w:t>
      </w:r>
      <w:r>
        <w:rPr>
          <w:rFonts w:hint="eastAsia"/>
          <w:b/>
          <w:bCs/>
          <w:color w:val="auto"/>
          <w:sz w:val="24"/>
        </w:rPr>
        <w:t>对采购人的纪律要求</w:t>
      </w:r>
    </w:p>
    <w:p w14:paraId="078C1964">
      <w:pPr>
        <w:pStyle w:val="55"/>
        <w:tabs>
          <w:tab w:val="left" w:pos="1330"/>
        </w:tabs>
        <w:spacing w:before="29" w:line="355" w:lineRule="auto"/>
        <w:ind w:left="8" w:leftChars="4" w:right="-136" w:rightChars="-65" w:firstLine="452" w:firstLineChars="222"/>
        <w:jc w:val="both"/>
        <w:rPr>
          <w:color w:val="auto"/>
          <w:spacing w:val="-3"/>
          <w:sz w:val="21"/>
          <w:szCs w:val="21"/>
        </w:rPr>
      </w:pPr>
      <w:r>
        <w:rPr>
          <w:rFonts w:hint="eastAsia"/>
          <w:color w:val="auto"/>
          <w:spacing w:val="-3"/>
          <w:sz w:val="21"/>
          <w:szCs w:val="21"/>
        </w:rPr>
        <w:t>采购人不得泄漏招标投标活动中应当保密的情况和资料，不得与投标人串通损害国家利益、社会公共利益或者他人合法权益。</w:t>
      </w:r>
    </w:p>
    <w:p w14:paraId="6158FDEB">
      <w:pPr>
        <w:pStyle w:val="5"/>
        <w:tabs>
          <w:tab w:val="left" w:pos="704"/>
        </w:tabs>
        <w:spacing w:before="4"/>
        <w:ind w:left="0" w:right="-155" w:rightChars="-74" w:firstLine="0"/>
        <w:rPr>
          <w:color w:val="auto"/>
        </w:rPr>
      </w:pPr>
      <w:r>
        <w:rPr>
          <w:rFonts w:hint="eastAsia"/>
          <w:color w:val="auto"/>
          <w:lang w:val="en-US"/>
        </w:rPr>
        <w:t xml:space="preserve">9.2 </w:t>
      </w:r>
      <w:r>
        <w:rPr>
          <w:rFonts w:hint="eastAsia"/>
          <w:color w:val="auto"/>
        </w:rPr>
        <w:t>对投标人的纪律要求</w:t>
      </w:r>
    </w:p>
    <w:p w14:paraId="0A9F6D88">
      <w:pPr>
        <w:pStyle w:val="9"/>
        <w:spacing w:before="152" w:line="357" w:lineRule="auto"/>
        <w:ind w:left="18" w:right="-155" w:rightChars="-74" w:firstLine="680"/>
        <w:jc w:val="both"/>
        <w:rPr>
          <w:color w:val="auto"/>
        </w:rPr>
      </w:pPr>
      <w:r>
        <w:rPr>
          <w:rFonts w:hint="eastAsia"/>
          <w:color w:val="auto"/>
          <w:spacing w:val="-3"/>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5BE42E41">
      <w:pPr>
        <w:pStyle w:val="5"/>
        <w:tabs>
          <w:tab w:val="left" w:pos="704"/>
        </w:tabs>
        <w:spacing w:before="4"/>
        <w:ind w:left="0" w:right="-155" w:rightChars="-74" w:firstLine="0"/>
        <w:rPr>
          <w:color w:val="auto"/>
          <w:lang w:val="en-US"/>
        </w:rPr>
      </w:pPr>
      <w:r>
        <w:rPr>
          <w:rFonts w:hint="eastAsia"/>
          <w:color w:val="auto"/>
          <w:lang w:val="en-US"/>
        </w:rPr>
        <w:t>9.3 对评标委员会成员的纪律要求</w:t>
      </w:r>
    </w:p>
    <w:p w14:paraId="48DCEB2B">
      <w:pPr>
        <w:pStyle w:val="9"/>
        <w:spacing w:before="152" w:line="360" w:lineRule="auto"/>
        <w:ind w:firstLine="392" w:firstLineChars="200"/>
        <w:rPr>
          <w:color w:val="auto"/>
          <w:spacing w:val="-7"/>
          <w:szCs w:val="22"/>
        </w:rPr>
      </w:pPr>
      <w:r>
        <w:rPr>
          <w:rFonts w:hint="eastAsia"/>
          <w:color w:val="auto"/>
          <w:spacing w:val="-7"/>
          <w:szCs w:val="22"/>
        </w:rPr>
        <w:t>评标委员会成员不得收受他人的财物或者其他好处，不得向他人透漏对投标文件的评审和比较、中标候选人的推荐情况以及评标有关的其他情况。在评标活动中，评标委员会成员不得擅离职守， 影响评标程序正常进行，不得使用第三章</w:t>
      </w:r>
      <w:r>
        <w:rPr>
          <w:rFonts w:hint="eastAsia"/>
          <w:color w:val="auto"/>
          <w:spacing w:val="-7"/>
          <w:szCs w:val="22"/>
          <w:lang w:val="en-US"/>
        </w:rPr>
        <w:t xml:space="preserve"> “</w:t>
      </w:r>
      <w:r>
        <w:rPr>
          <w:rFonts w:hint="eastAsia"/>
          <w:color w:val="auto"/>
          <w:spacing w:val="-7"/>
          <w:szCs w:val="22"/>
        </w:rPr>
        <w:t>评标办法</w:t>
      </w:r>
      <w:r>
        <w:rPr>
          <w:rFonts w:hint="eastAsia"/>
          <w:color w:val="auto"/>
          <w:spacing w:val="-7"/>
          <w:szCs w:val="22"/>
          <w:lang w:val="en-US"/>
        </w:rPr>
        <w:t>”</w:t>
      </w:r>
      <w:r>
        <w:rPr>
          <w:rFonts w:hint="eastAsia"/>
          <w:color w:val="auto"/>
          <w:spacing w:val="-7"/>
          <w:szCs w:val="22"/>
        </w:rPr>
        <w:t>没有规定的评审因素和标准进行评标。</w:t>
      </w:r>
    </w:p>
    <w:p w14:paraId="061AF5E4">
      <w:pPr>
        <w:pStyle w:val="5"/>
        <w:tabs>
          <w:tab w:val="left" w:pos="704"/>
        </w:tabs>
        <w:spacing w:line="360" w:lineRule="auto"/>
        <w:ind w:left="0" w:firstLine="0"/>
        <w:rPr>
          <w:color w:val="auto"/>
        </w:rPr>
      </w:pPr>
      <w:r>
        <w:rPr>
          <w:rFonts w:hint="eastAsia"/>
          <w:color w:val="auto"/>
          <w:lang w:val="en-US"/>
        </w:rPr>
        <w:t xml:space="preserve">9.4 </w:t>
      </w:r>
      <w:r>
        <w:rPr>
          <w:rFonts w:hint="eastAsia"/>
          <w:color w:val="auto"/>
        </w:rPr>
        <w:t>对与评标活动有关的工作人员的纪律要求</w:t>
      </w:r>
    </w:p>
    <w:p w14:paraId="79055E31">
      <w:pPr>
        <w:pStyle w:val="9"/>
        <w:spacing w:before="47" w:line="360" w:lineRule="auto"/>
        <w:ind w:firstLine="420" w:firstLineChars="200"/>
        <w:rPr>
          <w:color w:val="auto"/>
        </w:rPr>
      </w:pPr>
      <w:r>
        <w:rPr>
          <w:rFonts w:hint="eastAsia"/>
          <w:color w:val="auto"/>
        </w:rPr>
        <w:t>与评标活动有关的工作人员不得收受他人的财物或者其他好处，不得向他人透漏对投标 文件的评审和比较、中标候选人的推荐情况以及评标有关的其他情况。在评标活动中，与评标活动有关的工作人员不得擅离职守，影响评标程序正常进行。</w:t>
      </w:r>
    </w:p>
    <w:p w14:paraId="5849B227">
      <w:pPr>
        <w:pStyle w:val="9"/>
        <w:spacing w:before="47" w:line="360" w:lineRule="auto"/>
        <w:rPr>
          <w:b/>
          <w:bCs/>
          <w:color w:val="auto"/>
          <w:sz w:val="24"/>
          <w:szCs w:val="24"/>
          <w:lang w:val="en-US"/>
        </w:rPr>
      </w:pPr>
      <w:r>
        <w:rPr>
          <w:rFonts w:hint="eastAsia"/>
          <w:b/>
          <w:bCs/>
          <w:color w:val="auto"/>
          <w:sz w:val="24"/>
          <w:szCs w:val="24"/>
          <w:lang w:val="en-US"/>
        </w:rPr>
        <w:t>9.5 投诉</w:t>
      </w:r>
    </w:p>
    <w:p w14:paraId="3A9BCE9D">
      <w:pPr>
        <w:pStyle w:val="5"/>
        <w:tabs>
          <w:tab w:val="left" w:pos="704"/>
        </w:tabs>
        <w:spacing w:before="4" w:line="360" w:lineRule="auto"/>
        <w:ind w:left="0" w:firstLine="420" w:firstLineChars="200"/>
        <w:rPr>
          <w:b w:val="0"/>
          <w:bCs w:val="0"/>
          <w:color w:val="auto"/>
          <w:sz w:val="21"/>
          <w:szCs w:val="21"/>
          <w:lang w:val="en-US"/>
        </w:rPr>
      </w:pPr>
      <w:r>
        <w:rPr>
          <w:rFonts w:hint="eastAsia"/>
          <w:b w:val="0"/>
          <w:bCs w:val="0"/>
          <w:color w:val="auto"/>
          <w:sz w:val="21"/>
          <w:szCs w:val="21"/>
          <w:lang w:val="en-US"/>
        </w:rPr>
        <w:t>投标人和其他利害关系人认为本次招标活动违反法律、法规和规章规定的，有权向有关行政监督部门投诉。</w:t>
      </w:r>
    </w:p>
    <w:p w14:paraId="17019F14">
      <w:pPr>
        <w:pStyle w:val="55"/>
        <w:tabs>
          <w:tab w:val="left" w:pos="1330"/>
        </w:tabs>
        <w:spacing w:before="29" w:line="355" w:lineRule="auto"/>
        <w:ind w:left="9" w:leftChars="-100" w:right="-136" w:rightChars="-65" w:hanging="219" w:hangingChars="78"/>
        <w:jc w:val="both"/>
        <w:rPr>
          <w:rFonts w:hint="eastAsia"/>
          <w:b/>
          <w:color w:val="auto"/>
          <w:sz w:val="28"/>
          <w:lang w:val="en-US"/>
        </w:rPr>
      </w:pPr>
      <w:r>
        <w:rPr>
          <w:rFonts w:hint="eastAsia"/>
          <w:b/>
          <w:color w:val="auto"/>
          <w:sz w:val="28"/>
          <w:lang w:val="en-US"/>
        </w:rPr>
        <w:t>10 .需要补充的其他内容</w:t>
      </w:r>
    </w:p>
    <w:p w14:paraId="5929687A">
      <w:pPr>
        <w:pStyle w:val="9"/>
        <w:spacing w:before="47" w:line="360" w:lineRule="auto"/>
        <w:ind w:firstLine="210" w:firstLineChars="100"/>
        <w:rPr>
          <w:rFonts w:hint="eastAsia"/>
          <w:color w:val="auto"/>
          <w:lang w:val="en-US"/>
        </w:rPr>
      </w:pPr>
      <w:r>
        <w:rPr>
          <w:rFonts w:hint="eastAsia"/>
          <w:color w:val="auto"/>
          <w:lang w:val="en-US"/>
        </w:rPr>
        <w:t>详见投标人须知前附表</w:t>
      </w:r>
    </w:p>
    <w:p w14:paraId="3D81D2E9">
      <w:pPr>
        <w:rPr>
          <w:rFonts w:hint="eastAsia"/>
          <w:color w:val="auto"/>
          <w:lang w:val="en-US"/>
        </w:rPr>
      </w:pPr>
    </w:p>
    <w:p w14:paraId="08998EF6">
      <w:pPr>
        <w:rPr>
          <w:rFonts w:hint="eastAsia"/>
          <w:color w:val="auto"/>
          <w:lang w:val="en-US"/>
        </w:rPr>
      </w:pPr>
    </w:p>
    <w:p w14:paraId="1625E36F">
      <w:pPr>
        <w:pStyle w:val="2"/>
        <w:numPr>
          <w:ilvl w:val="0"/>
          <w:numId w:val="3"/>
        </w:numPr>
        <w:tabs>
          <w:tab w:val="left" w:pos="1284"/>
        </w:tabs>
        <w:spacing w:before="54"/>
        <w:rPr>
          <w:color w:val="auto"/>
        </w:rPr>
      </w:pPr>
      <w:bookmarkStart w:id="19" w:name="_bookmark11"/>
      <w:bookmarkEnd w:id="19"/>
      <w:bookmarkStart w:id="20" w:name="_Toc11551"/>
      <w:bookmarkStart w:id="21" w:name="_Toc25813"/>
      <w:bookmarkStart w:id="22" w:name="_Toc12010"/>
      <w:bookmarkStart w:id="23" w:name="_Toc9793"/>
      <w:r>
        <w:rPr>
          <w:rFonts w:hint="eastAsia"/>
          <w:color w:val="auto"/>
        </w:rPr>
        <w:t>评标办法</w:t>
      </w:r>
      <w:bookmarkEnd w:id="20"/>
      <w:bookmarkEnd w:id="21"/>
      <w:bookmarkEnd w:id="22"/>
      <w:bookmarkEnd w:id="23"/>
    </w:p>
    <w:p w14:paraId="57A14C42">
      <w:pPr>
        <w:ind w:right="16"/>
        <w:jc w:val="center"/>
        <w:rPr>
          <w:rFonts w:ascii="宋体" w:hAnsi="宋体" w:cs="宋体"/>
          <w:b/>
          <w:color w:val="auto"/>
          <w:sz w:val="28"/>
        </w:rPr>
      </w:pPr>
      <w:r>
        <w:rPr>
          <w:rFonts w:hint="eastAsia" w:ascii="宋体" w:hAnsi="宋体" w:cs="宋体"/>
          <w:b/>
          <w:color w:val="auto"/>
          <w:sz w:val="28"/>
        </w:rPr>
        <w:t>评标办法前附表</w:t>
      </w:r>
    </w:p>
    <w:p w14:paraId="22146C05">
      <w:pPr>
        <w:pStyle w:val="9"/>
        <w:spacing w:before="4"/>
        <w:rPr>
          <w:b/>
          <w:color w:val="auto"/>
          <w:sz w:val="10"/>
        </w:rPr>
      </w:pPr>
    </w:p>
    <w:tbl>
      <w:tblPr>
        <w:tblStyle w:val="26"/>
        <w:tblW w:w="9040" w:type="dxa"/>
        <w:jc w:val="center"/>
        <w:tblLayout w:type="fixed"/>
        <w:tblCellMar>
          <w:top w:w="0" w:type="dxa"/>
          <w:left w:w="108" w:type="dxa"/>
          <w:bottom w:w="0" w:type="dxa"/>
          <w:right w:w="108" w:type="dxa"/>
        </w:tblCellMar>
      </w:tblPr>
      <w:tblGrid>
        <w:gridCol w:w="957"/>
        <w:gridCol w:w="1304"/>
        <w:gridCol w:w="2037"/>
        <w:gridCol w:w="4742"/>
      </w:tblGrid>
      <w:tr w14:paraId="508F06D2">
        <w:tblPrEx>
          <w:tblCellMar>
            <w:top w:w="0" w:type="dxa"/>
            <w:left w:w="108" w:type="dxa"/>
            <w:bottom w:w="0" w:type="dxa"/>
            <w:right w:w="108" w:type="dxa"/>
          </w:tblCellMar>
        </w:tblPrEx>
        <w:trPr>
          <w:trHeight w:val="543" w:hRule="atLeast"/>
          <w:jc w:val="center"/>
        </w:trPr>
        <w:tc>
          <w:tcPr>
            <w:tcW w:w="2261" w:type="dxa"/>
            <w:gridSpan w:val="2"/>
            <w:tcBorders>
              <w:top w:val="single" w:color="auto" w:sz="4" w:space="0"/>
              <w:left w:val="single" w:color="auto" w:sz="4" w:space="0"/>
              <w:bottom w:val="single" w:color="auto" w:sz="4" w:space="0"/>
              <w:right w:val="single" w:color="auto" w:sz="4" w:space="0"/>
            </w:tcBorders>
            <w:vAlign w:val="center"/>
          </w:tcPr>
          <w:p w14:paraId="021478B1">
            <w:pPr>
              <w:adjustRightInd w:val="0"/>
              <w:snapToGrid w:val="0"/>
              <w:spacing w:line="320" w:lineRule="exact"/>
              <w:jc w:val="center"/>
              <w:textAlignment w:val="baseline"/>
              <w:rPr>
                <w:rFonts w:ascii="宋体" w:hAnsi="宋体" w:cs="宋体"/>
                <w:b/>
                <w:color w:val="auto"/>
                <w:spacing w:val="20"/>
                <w:szCs w:val="21"/>
              </w:rPr>
            </w:pPr>
            <w:r>
              <w:rPr>
                <w:rFonts w:hint="eastAsia" w:ascii="宋体" w:hAnsi="宋体" w:cs="宋体"/>
                <w:b/>
                <w:color w:val="auto"/>
                <w:spacing w:val="20"/>
                <w:szCs w:val="21"/>
              </w:rPr>
              <w:t>条款号</w:t>
            </w:r>
          </w:p>
        </w:tc>
        <w:tc>
          <w:tcPr>
            <w:tcW w:w="2037" w:type="dxa"/>
            <w:tcBorders>
              <w:top w:val="single" w:color="auto" w:sz="4" w:space="0"/>
              <w:left w:val="single" w:color="auto" w:sz="4" w:space="0"/>
              <w:bottom w:val="single" w:color="auto" w:sz="4" w:space="0"/>
              <w:right w:val="single" w:color="auto" w:sz="4" w:space="0"/>
            </w:tcBorders>
            <w:vAlign w:val="center"/>
          </w:tcPr>
          <w:p w14:paraId="30FE312F">
            <w:pPr>
              <w:adjustRightInd w:val="0"/>
              <w:snapToGrid w:val="0"/>
              <w:spacing w:line="320" w:lineRule="exact"/>
              <w:jc w:val="center"/>
              <w:textAlignment w:val="baseline"/>
              <w:rPr>
                <w:rFonts w:ascii="宋体" w:hAnsi="宋体" w:cs="宋体"/>
                <w:b/>
                <w:color w:val="auto"/>
                <w:spacing w:val="20"/>
                <w:szCs w:val="21"/>
              </w:rPr>
            </w:pPr>
            <w:r>
              <w:rPr>
                <w:rFonts w:hint="eastAsia" w:ascii="宋体" w:hAnsi="宋体" w:cs="宋体"/>
                <w:b/>
                <w:color w:val="auto"/>
                <w:spacing w:val="20"/>
                <w:szCs w:val="21"/>
              </w:rPr>
              <w:t>评审因素</w:t>
            </w:r>
          </w:p>
        </w:tc>
        <w:tc>
          <w:tcPr>
            <w:tcW w:w="4742" w:type="dxa"/>
            <w:tcBorders>
              <w:top w:val="single" w:color="auto" w:sz="4" w:space="0"/>
              <w:left w:val="single" w:color="auto" w:sz="4" w:space="0"/>
              <w:bottom w:val="single" w:color="auto" w:sz="4" w:space="0"/>
              <w:right w:val="single" w:color="auto" w:sz="4" w:space="0"/>
            </w:tcBorders>
            <w:vAlign w:val="center"/>
          </w:tcPr>
          <w:p w14:paraId="62691E8F">
            <w:pPr>
              <w:adjustRightInd w:val="0"/>
              <w:snapToGrid w:val="0"/>
              <w:spacing w:line="320" w:lineRule="exact"/>
              <w:jc w:val="center"/>
              <w:textAlignment w:val="baseline"/>
              <w:rPr>
                <w:rFonts w:ascii="宋体" w:hAnsi="宋体" w:cs="宋体"/>
                <w:b/>
                <w:color w:val="auto"/>
                <w:spacing w:val="20"/>
                <w:szCs w:val="21"/>
              </w:rPr>
            </w:pPr>
            <w:r>
              <w:rPr>
                <w:rFonts w:hint="eastAsia" w:ascii="宋体" w:hAnsi="宋体" w:cs="宋体"/>
                <w:b/>
                <w:color w:val="auto"/>
                <w:spacing w:val="20"/>
                <w:szCs w:val="21"/>
              </w:rPr>
              <w:t>评审标准</w:t>
            </w:r>
          </w:p>
        </w:tc>
      </w:tr>
      <w:tr w14:paraId="4A1EBD6A">
        <w:tblPrEx>
          <w:tblCellMar>
            <w:top w:w="0" w:type="dxa"/>
            <w:left w:w="108" w:type="dxa"/>
            <w:bottom w:w="0" w:type="dxa"/>
            <w:right w:w="108" w:type="dxa"/>
          </w:tblCellMar>
        </w:tblPrEx>
        <w:trPr>
          <w:trHeight w:val="90" w:hRule="atLeast"/>
          <w:jc w:val="center"/>
        </w:trPr>
        <w:tc>
          <w:tcPr>
            <w:tcW w:w="957" w:type="dxa"/>
            <w:vMerge w:val="restart"/>
            <w:tcBorders>
              <w:top w:val="single" w:color="auto" w:sz="4" w:space="0"/>
              <w:left w:val="single" w:color="auto" w:sz="4" w:space="0"/>
              <w:bottom w:val="single" w:color="auto" w:sz="4" w:space="0"/>
              <w:right w:val="single" w:color="auto" w:sz="4" w:space="0"/>
            </w:tcBorders>
            <w:vAlign w:val="center"/>
          </w:tcPr>
          <w:p w14:paraId="3DA6F952">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2.1.1</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52ACC795">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形式评</w:t>
            </w:r>
          </w:p>
          <w:p w14:paraId="25F47BCF">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审标准</w:t>
            </w:r>
          </w:p>
        </w:tc>
        <w:tc>
          <w:tcPr>
            <w:tcW w:w="2037" w:type="dxa"/>
            <w:tcBorders>
              <w:top w:val="single" w:color="auto" w:sz="4" w:space="0"/>
              <w:left w:val="single" w:color="auto" w:sz="4" w:space="0"/>
              <w:bottom w:val="single" w:color="auto" w:sz="4" w:space="0"/>
              <w:right w:val="single" w:color="auto" w:sz="4" w:space="0"/>
            </w:tcBorders>
            <w:vAlign w:val="center"/>
          </w:tcPr>
          <w:p w14:paraId="4D96C8C3">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投标人名称</w:t>
            </w:r>
          </w:p>
        </w:tc>
        <w:tc>
          <w:tcPr>
            <w:tcW w:w="4742" w:type="dxa"/>
            <w:tcBorders>
              <w:top w:val="single" w:color="auto" w:sz="4" w:space="0"/>
              <w:left w:val="single" w:color="auto" w:sz="4" w:space="0"/>
              <w:bottom w:val="single" w:color="auto" w:sz="4" w:space="0"/>
              <w:right w:val="single" w:color="auto" w:sz="4" w:space="0"/>
            </w:tcBorders>
            <w:vAlign w:val="center"/>
          </w:tcPr>
          <w:p w14:paraId="01A15973">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与营业执照、税务登记证、组织机构代码证</w:t>
            </w:r>
            <w:r>
              <w:rPr>
                <w:rFonts w:hint="eastAsia" w:ascii="宋体" w:hAnsi="宋体" w:cs="宋体"/>
                <w:color w:val="auto"/>
                <w:szCs w:val="21"/>
              </w:rPr>
              <w:t>或</w:t>
            </w:r>
            <w:r>
              <w:rPr>
                <w:rFonts w:hint="eastAsia" w:ascii="宋体" w:hAnsi="宋体" w:cs="宋体"/>
                <w:color w:val="auto"/>
                <w:spacing w:val="20"/>
                <w:szCs w:val="21"/>
              </w:rPr>
              <w:t>三证合一的营业执照一致</w:t>
            </w:r>
          </w:p>
        </w:tc>
      </w:tr>
      <w:tr w14:paraId="7A232238">
        <w:tblPrEx>
          <w:tblCellMar>
            <w:top w:w="0" w:type="dxa"/>
            <w:left w:w="108" w:type="dxa"/>
            <w:bottom w:w="0" w:type="dxa"/>
            <w:right w:w="108" w:type="dxa"/>
          </w:tblCellMar>
        </w:tblPrEx>
        <w:trPr>
          <w:trHeight w:val="691" w:hRule="exact"/>
          <w:jc w:val="center"/>
        </w:trPr>
        <w:tc>
          <w:tcPr>
            <w:tcW w:w="957" w:type="dxa"/>
            <w:vMerge w:val="continue"/>
            <w:tcBorders>
              <w:top w:val="single" w:color="auto" w:sz="4" w:space="0"/>
              <w:left w:val="single" w:color="auto" w:sz="4" w:space="0"/>
              <w:bottom w:val="single" w:color="auto" w:sz="4" w:space="0"/>
              <w:right w:val="single" w:color="auto" w:sz="4" w:space="0"/>
            </w:tcBorders>
          </w:tcPr>
          <w:p w14:paraId="3A26C08A">
            <w:pPr>
              <w:adjustRightInd w:val="0"/>
              <w:snapToGrid w:val="0"/>
              <w:spacing w:line="320" w:lineRule="exact"/>
              <w:textAlignment w:val="baseline"/>
              <w:rPr>
                <w:rFonts w:ascii="宋体" w:hAnsi="宋体" w:cs="宋体"/>
                <w:color w:val="auto"/>
                <w:spacing w:val="20"/>
                <w:szCs w:val="21"/>
              </w:rPr>
            </w:pPr>
          </w:p>
        </w:tc>
        <w:tc>
          <w:tcPr>
            <w:tcW w:w="1304" w:type="dxa"/>
            <w:vMerge w:val="continue"/>
            <w:tcBorders>
              <w:top w:val="single" w:color="auto" w:sz="4" w:space="0"/>
              <w:left w:val="single" w:color="auto" w:sz="4" w:space="0"/>
              <w:bottom w:val="single" w:color="auto" w:sz="4" w:space="0"/>
              <w:right w:val="single" w:color="auto" w:sz="4" w:space="0"/>
            </w:tcBorders>
          </w:tcPr>
          <w:p w14:paraId="7E31BA43">
            <w:pPr>
              <w:adjustRightInd w:val="0"/>
              <w:snapToGrid w:val="0"/>
              <w:spacing w:line="320" w:lineRule="exact"/>
              <w:textAlignment w:val="baseline"/>
              <w:rPr>
                <w:rFonts w:ascii="宋体" w:hAnsi="宋体" w:cs="宋体"/>
                <w:color w:val="auto"/>
                <w:spacing w:val="20"/>
                <w:szCs w:val="21"/>
              </w:rPr>
            </w:pPr>
          </w:p>
        </w:tc>
        <w:tc>
          <w:tcPr>
            <w:tcW w:w="2037" w:type="dxa"/>
            <w:tcBorders>
              <w:top w:val="single" w:color="auto" w:sz="4" w:space="0"/>
              <w:left w:val="single" w:color="auto" w:sz="4" w:space="0"/>
              <w:bottom w:val="single" w:color="auto" w:sz="4" w:space="0"/>
              <w:right w:val="single" w:color="auto" w:sz="4" w:space="0"/>
            </w:tcBorders>
            <w:vAlign w:val="center"/>
          </w:tcPr>
          <w:p w14:paraId="0E6F7440">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投标函电子签章</w:t>
            </w:r>
          </w:p>
        </w:tc>
        <w:tc>
          <w:tcPr>
            <w:tcW w:w="4742" w:type="dxa"/>
            <w:tcBorders>
              <w:top w:val="single" w:color="auto" w:sz="4" w:space="0"/>
              <w:left w:val="single" w:color="auto" w:sz="4" w:space="0"/>
              <w:bottom w:val="single" w:color="auto" w:sz="4" w:space="0"/>
              <w:right w:val="single" w:color="auto" w:sz="4" w:space="0"/>
            </w:tcBorders>
            <w:vAlign w:val="center"/>
          </w:tcPr>
          <w:p w14:paraId="20E8C97C">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按照招标文件要求具有电子签章</w:t>
            </w:r>
          </w:p>
        </w:tc>
      </w:tr>
      <w:tr w14:paraId="6DFE8FA6">
        <w:tblPrEx>
          <w:tblCellMar>
            <w:top w:w="0" w:type="dxa"/>
            <w:left w:w="108" w:type="dxa"/>
            <w:bottom w:w="0" w:type="dxa"/>
            <w:right w:w="108" w:type="dxa"/>
          </w:tblCellMar>
        </w:tblPrEx>
        <w:trPr>
          <w:trHeight w:val="703" w:hRule="exact"/>
          <w:jc w:val="center"/>
        </w:trPr>
        <w:tc>
          <w:tcPr>
            <w:tcW w:w="957" w:type="dxa"/>
            <w:vMerge w:val="continue"/>
            <w:tcBorders>
              <w:top w:val="single" w:color="auto" w:sz="4" w:space="0"/>
              <w:left w:val="single" w:color="auto" w:sz="4" w:space="0"/>
              <w:bottom w:val="single" w:color="auto" w:sz="4" w:space="0"/>
              <w:right w:val="single" w:color="auto" w:sz="4" w:space="0"/>
            </w:tcBorders>
          </w:tcPr>
          <w:p w14:paraId="313511CD">
            <w:pPr>
              <w:adjustRightInd w:val="0"/>
              <w:snapToGrid w:val="0"/>
              <w:spacing w:line="320" w:lineRule="exact"/>
              <w:textAlignment w:val="baseline"/>
              <w:rPr>
                <w:rFonts w:ascii="宋体" w:hAnsi="宋体" w:cs="宋体"/>
                <w:color w:val="auto"/>
                <w:spacing w:val="20"/>
                <w:szCs w:val="21"/>
              </w:rPr>
            </w:pPr>
          </w:p>
        </w:tc>
        <w:tc>
          <w:tcPr>
            <w:tcW w:w="1304" w:type="dxa"/>
            <w:vMerge w:val="continue"/>
            <w:tcBorders>
              <w:top w:val="single" w:color="auto" w:sz="4" w:space="0"/>
              <w:left w:val="single" w:color="auto" w:sz="4" w:space="0"/>
              <w:bottom w:val="single" w:color="auto" w:sz="4" w:space="0"/>
              <w:right w:val="single" w:color="auto" w:sz="4" w:space="0"/>
            </w:tcBorders>
          </w:tcPr>
          <w:p w14:paraId="4C72C38D">
            <w:pPr>
              <w:adjustRightInd w:val="0"/>
              <w:snapToGrid w:val="0"/>
              <w:spacing w:line="320" w:lineRule="exact"/>
              <w:textAlignment w:val="baseline"/>
              <w:rPr>
                <w:rFonts w:ascii="宋体" w:hAnsi="宋体" w:cs="宋体"/>
                <w:color w:val="auto"/>
                <w:spacing w:val="20"/>
                <w:szCs w:val="21"/>
              </w:rPr>
            </w:pPr>
          </w:p>
        </w:tc>
        <w:tc>
          <w:tcPr>
            <w:tcW w:w="2037" w:type="dxa"/>
            <w:tcBorders>
              <w:top w:val="single" w:color="auto" w:sz="4" w:space="0"/>
              <w:left w:val="single" w:color="auto" w:sz="4" w:space="0"/>
              <w:bottom w:val="single" w:color="auto" w:sz="4" w:space="0"/>
              <w:right w:val="single" w:color="auto" w:sz="4" w:space="0"/>
            </w:tcBorders>
            <w:vAlign w:val="center"/>
          </w:tcPr>
          <w:p w14:paraId="78822222">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投标文件格式</w:t>
            </w:r>
          </w:p>
        </w:tc>
        <w:tc>
          <w:tcPr>
            <w:tcW w:w="4742" w:type="dxa"/>
            <w:tcBorders>
              <w:top w:val="single" w:color="auto" w:sz="4" w:space="0"/>
              <w:left w:val="single" w:color="auto" w:sz="4" w:space="0"/>
              <w:bottom w:val="single" w:color="auto" w:sz="4" w:space="0"/>
              <w:right w:val="single" w:color="auto" w:sz="4" w:space="0"/>
            </w:tcBorders>
            <w:vAlign w:val="center"/>
          </w:tcPr>
          <w:p w14:paraId="07AC607F">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符合“招标文件格式”的要求</w:t>
            </w:r>
          </w:p>
        </w:tc>
      </w:tr>
      <w:tr w14:paraId="794CF22D">
        <w:tblPrEx>
          <w:tblCellMar>
            <w:top w:w="0" w:type="dxa"/>
            <w:left w:w="108" w:type="dxa"/>
            <w:bottom w:w="0" w:type="dxa"/>
            <w:right w:w="108" w:type="dxa"/>
          </w:tblCellMar>
        </w:tblPrEx>
        <w:trPr>
          <w:trHeight w:val="642" w:hRule="exact"/>
          <w:jc w:val="center"/>
        </w:trPr>
        <w:tc>
          <w:tcPr>
            <w:tcW w:w="957" w:type="dxa"/>
            <w:vMerge w:val="continue"/>
            <w:tcBorders>
              <w:top w:val="single" w:color="auto" w:sz="4" w:space="0"/>
              <w:left w:val="single" w:color="auto" w:sz="4" w:space="0"/>
              <w:bottom w:val="single" w:color="auto" w:sz="4" w:space="0"/>
              <w:right w:val="single" w:color="auto" w:sz="4" w:space="0"/>
            </w:tcBorders>
          </w:tcPr>
          <w:p w14:paraId="63DD4D3B">
            <w:pPr>
              <w:adjustRightInd w:val="0"/>
              <w:snapToGrid w:val="0"/>
              <w:spacing w:line="320" w:lineRule="exact"/>
              <w:textAlignment w:val="baseline"/>
              <w:rPr>
                <w:rFonts w:ascii="宋体" w:hAnsi="宋体" w:cs="宋体"/>
                <w:color w:val="auto"/>
                <w:spacing w:val="20"/>
                <w:szCs w:val="21"/>
              </w:rPr>
            </w:pPr>
          </w:p>
        </w:tc>
        <w:tc>
          <w:tcPr>
            <w:tcW w:w="1304" w:type="dxa"/>
            <w:vMerge w:val="continue"/>
            <w:tcBorders>
              <w:top w:val="single" w:color="auto" w:sz="4" w:space="0"/>
              <w:left w:val="single" w:color="auto" w:sz="4" w:space="0"/>
              <w:bottom w:val="single" w:color="auto" w:sz="4" w:space="0"/>
              <w:right w:val="single" w:color="auto" w:sz="4" w:space="0"/>
            </w:tcBorders>
          </w:tcPr>
          <w:p w14:paraId="78A5A36A">
            <w:pPr>
              <w:adjustRightInd w:val="0"/>
              <w:snapToGrid w:val="0"/>
              <w:spacing w:line="320" w:lineRule="exact"/>
              <w:textAlignment w:val="baseline"/>
              <w:rPr>
                <w:rFonts w:ascii="宋体" w:hAnsi="宋体" w:cs="宋体"/>
                <w:color w:val="auto"/>
                <w:spacing w:val="20"/>
                <w:szCs w:val="21"/>
              </w:rPr>
            </w:pPr>
          </w:p>
        </w:tc>
        <w:tc>
          <w:tcPr>
            <w:tcW w:w="2037" w:type="dxa"/>
            <w:tcBorders>
              <w:top w:val="single" w:color="auto" w:sz="4" w:space="0"/>
              <w:left w:val="single" w:color="auto" w:sz="4" w:space="0"/>
              <w:bottom w:val="single" w:color="auto" w:sz="4" w:space="0"/>
              <w:right w:val="single" w:color="auto" w:sz="4" w:space="0"/>
            </w:tcBorders>
            <w:vAlign w:val="center"/>
          </w:tcPr>
          <w:p w14:paraId="6B33B6CA">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报价唯一</w:t>
            </w:r>
          </w:p>
        </w:tc>
        <w:tc>
          <w:tcPr>
            <w:tcW w:w="4742" w:type="dxa"/>
            <w:tcBorders>
              <w:top w:val="single" w:color="auto" w:sz="4" w:space="0"/>
              <w:left w:val="single" w:color="auto" w:sz="4" w:space="0"/>
              <w:bottom w:val="single" w:color="auto" w:sz="4" w:space="0"/>
              <w:right w:val="single" w:color="auto" w:sz="4" w:space="0"/>
            </w:tcBorders>
            <w:vAlign w:val="center"/>
          </w:tcPr>
          <w:p w14:paraId="1E09F4C0">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符合“报价唯一”要求</w:t>
            </w:r>
          </w:p>
        </w:tc>
      </w:tr>
      <w:tr w14:paraId="0EBB5F1D">
        <w:tblPrEx>
          <w:tblCellMar>
            <w:top w:w="0" w:type="dxa"/>
            <w:left w:w="108" w:type="dxa"/>
            <w:bottom w:w="0" w:type="dxa"/>
            <w:right w:w="108" w:type="dxa"/>
          </w:tblCellMar>
        </w:tblPrEx>
        <w:trPr>
          <w:trHeight w:val="665" w:hRule="exact"/>
          <w:jc w:val="center"/>
        </w:trPr>
        <w:tc>
          <w:tcPr>
            <w:tcW w:w="957" w:type="dxa"/>
            <w:vMerge w:val="restart"/>
            <w:tcBorders>
              <w:top w:val="single" w:color="auto" w:sz="4" w:space="0"/>
              <w:left w:val="single" w:color="auto" w:sz="4" w:space="0"/>
              <w:right w:val="single" w:color="auto" w:sz="4" w:space="0"/>
            </w:tcBorders>
            <w:vAlign w:val="center"/>
          </w:tcPr>
          <w:p w14:paraId="6F06BEFA">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2.1.2</w:t>
            </w:r>
          </w:p>
        </w:tc>
        <w:tc>
          <w:tcPr>
            <w:tcW w:w="1304" w:type="dxa"/>
            <w:vMerge w:val="restart"/>
            <w:tcBorders>
              <w:top w:val="single" w:color="auto" w:sz="4" w:space="0"/>
              <w:left w:val="single" w:color="auto" w:sz="4" w:space="0"/>
              <w:right w:val="single" w:color="auto" w:sz="4" w:space="0"/>
            </w:tcBorders>
            <w:vAlign w:val="center"/>
          </w:tcPr>
          <w:p w14:paraId="28B5008D">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资格评</w:t>
            </w:r>
          </w:p>
          <w:p w14:paraId="5CD72063">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审标准</w:t>
            </w:r>
          </w:p>
        </w:tc>
        <w:tc>
          <w:tcPr>
            <w:tcW w:w="2037" w:type="dxa"/>
            <w:tcBorders>
              <w:top w:val="single" w:color="auto" w:sz="4" w:space="0"/>
              <w:left w:val="single" w:color="auto" w:sz="4" w:space="0"/>
              <w:right w:val="single" w:color="auto" w:sz="4" w:space="0"/>
            </w:tcBorders>
            <w:vAlign w:val="center"/>
          </w:tcPr>
          <w:p w14:paraId="39F14F07">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olor w:val="auto"/>
                <w:szCs w:val="21"/>
                <w:highlight w:val="none"/>
              </w:rPr>
              <w:t>投标人资格要求</w:t>
            </w:r>
          </w:p>
        </w:tc>
        <w:tc>
          <w:tcPr>
            <w:tcW w:w="4742" w:type="dxa"/>
            <w:tcBorders>
              <w:top w:val="single" w:color="auto" w:sz="4" w:space="0"/>
              <w:left w:val="single" w:color="auto" w:sz="4" w:space="0"/>
              <w:bottom w:val="single" w:color="auto" w:sz="4" w:space="0"/>
              <w:right w:val="single" w:color="auto" w:sz="4" w:space="0"/>
            </w:tcBorders>
            <w:vAlign w:val="center"/>
          </w:tcPr>
          <w:p w14:paraId="6AD40FD3">
            <w:pPr>
              <w:pStyle w:val="14"/>
              <w:ind w:left="920" w:hanging="500"/>
              <w:rPr>
                <w:color w:val="auto"/>
                <w:sz w:val="21"/>
                <w:szCs w:val="21"/>
              </w:rPr>
            </w:pPr>
            <w:r>
              <w:rPr>
                <w:rFonts w:hint="eastAsia" w:ascii="宋体" w:hAnsi="宋体"/>
                <w:color w:val="auto"/>
                <w:szCs w:val="21"/>
                <w:highlight w:val="none"/>
              </w:rPr>
              <w:t>符合第二章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第</w:t>
            </w:r>
            <w:r>
              <w:rPr>
                <w:rFonts w:hint="eastAsia" w:ascii="宋体" w:hAnsi="宋体"/>
                <w:color w:val="auto"/>
                <w:szCs w:val="21"/>
                <w:highlight w:val="none"/>
                <w:lang w:val="en-US" w:eastAsia="zh-CN"/>
              </w:rPr>
              <w:t>12</w:t>
            </w:r>
            <w:r>
              <w:rPr>
                <w:rFonts w:hint="eastAsia" w:ascii="宋体" w:hAnsi="宋体"/>
                <w:color w:val="auto"/>
                <w:szCs w:val="21"/>
                <w:highlight w:val="none"/>
              </w:rPr>
              <w:t>项规定</w:t>
            </w:r>
          </w:p>
        </w:tc>
      </w:tr>
      <w:tr w14:paraId="375E3D5E">
        <w:tblPrEx>
          <w:tblCellMar>
            <w:top w:w="0" w:type="dxa"/>
            <w:left w:w="108" w:type="dxa"/>
            <w:bottom w:w="0" w:type="dxa"/>
            <w:right w:w="108" w:type="dxa"/>
          </w:tblCellMar>
        </w:tblPrEx>
        <w:trPr>
          <w:trHeight w:val="602" w:hRule="atLeast"/>
          <w:jc w:val="center"/>
        </w:trPr>
        <w:tc>
          <w:tcPr>
            <w:tcW w:w="957" w:type="dxa"/>
            <w:vMerge w:val="restart"/>
            <w:tcBorders>
              <w:top w:val="single" w:color="auto" w:sz="4" w:space="0"/>
              <w:left w:val="single" w:color="auto" w:sz="4" w:space="0"/>
              <w:right w:val="single" w:color="auto" w:sz="4" w:space="0"/>
            </w:tcBorders>
            <w:vAlign w:val="center"/>
          </w:tcPr>
          <w:p w14:paraId="21BA996E">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2.1.3</w:t>
            </w:r>
          </w:p>
        </w:tc>
        <w:tc>
          <w:tcPr>
            <w:tcW w:w="1304" w:type="dxa"/>
            <w:vMerge w:val="restart"/>
            <w:tcBorders>
              <w:top w:val="single" w:color="auto" w:sz="4" w:space="0"/>
              <w:left w:val="single" w:color="auto" w:sz="4" w:space="0"/>
              <w:right w:val="single" w:color="auto" w:sz="4" w:space="0"/>
            </w:tcBorders>
            <w:vAlign w:val="center"/>
          </w:tcPr>
          <w:p w14:paraId="08418358">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lang w:eastAsia="zh-CN"/>
              </w:rPr>
              <w:t>响应</w:t>
            </w:r>
            <w:r>
              <w:rPr>
                <w:rFonts w:hint="eastAsia" w:ascii="宋体" w:hAnsi="宋体" w:cs="宋体"/>
                <w:color w:val="auto"/>
                <w:spacing w:val="20"/>
                <w:szCs w:val="21"/>
              </w:rPr>
              <w:t>性</w:t>
            </w:r>
          </w:p>
          <w:p w14:paraId="0C838B1B">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评审</w:t>
            </w:r>
          </w:p>
          <w:p w14:paraId="2FC6C7ED">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标准</w:t>
            </w:r>
          </w:p>
        </w:tc>
        <w:tc>
          <w:tcPr>
            <w:tcW w:w="2037" w:type="dxa"/>
            <w:tcBorders>
              <w:top w:val="single" w:color="auto" w:sz="4" w:space="0"/>
              <w:left w:val="single" w:color="auto" w:sz="4" w:space="0"/>
              <w:right w:val="single" w:color="auto" w:sz="4" w:space="0"/>
            </w:tcBorders>
            <w:vAlign w:val="center"/>
          </w:tcPr>
          <w:p w14:paraId="58B2103E">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zCs w:val="21"/>
              </w:rPr>
              <w:t>投标报价</w:t>
            </w:r>
          </w:p>
        </w:tc>
        <w:tc>
          <w:tcPr>
            <w:tcW w:w="4742" w:type="dxa"/>
            <w:tcBorders>
              <w:top w:val="single" w:color="auto" w:sz="4" w:space="0"/>
              <w:left w:val="single" w:color="auto" w:sz="4" w:space="0"/>
              <w:right w:val="single" w:color="auto" w:sz="4" w:space="0"/>
            </w:tcBorders>
            <w:vAlign w:val="center"/>
          </w:tcPr>
          <w:p w14:paraId="6CD4DBA1">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符合第二章“投标须知前附表”第31项</w:t>
            </w:r>
          </w:p>
        </w:tc>
      </w:tr>
      <w:tr w14:paraId="45436241">
        <w:tblPrEx>
          <w:tblCellMar>
            <w:top w:w="0" w:type="dxa"/>
            <w:left w:w="108" w:type="dxa"/>
            <w:bottom w:w="0" w:type="dxa"/>
            <w:right w:w="108" w:type="dxa"/>
          </w:tblCellMar>
        </w:tblPrEx>
        <w:trPr>
          <w:trHeight w:val="630" w:hRule="atLeast"/>
          <w:jc w:val="center"/>
        </w:trPr>
        <w:tc>
          <w:tcPr>
            <w:tcW w:w="957" w:type="dxa"/>
            <w:vMerge w:val="continue"/>
            <w:tcBorders>
              <w:left w:val="single" w:color="auto" w:sz="4" w:space="0"/>
              <w:bottom w:val="single" w:color="auto" w:sz="4" w:space="0"/>
              <w:right w:val="single" w:color="auto" w:sz="4" w:space="0"/>
            </w:tcBorders>
            <w:vAlign w:val="center"/>
          </w:tcPr>
          <w:p w14:paraId="0FD71AC9">
            <w:pPr>
              <w:adjustRightInd w:val="0"/>
              <w:snapToGrid w:val="0"/>
              <w:spacing w:line="320" w:lineRule="exact"/>
              <w:jc w:val="center"/>
              <w:textAlignment w:val="baseline"/>
              <w:rPr>
                <w:rFonts w:ascii="宋体" w:hAnsi="宋体" w:cs="宋体"/>
                <w:color w:val="auto"/>
                <w:spacing w:val="20"/>
                <w:szCs w:val="21"/>
              </w:rPr>
            </w:pPr>
          </w:p>
        </w:tc>
        <w:tc>
          <w:tcPr>
            <w:tcW w:w="1304" w:type="dxa"/>
            <w:vMerge w:val="continue"/>
            <w:tcBorders>
              <w:left w:val="single" w:color="auto" w:sz="4" w:space="0"/>
              <w:bottom w:val="single" w:color="auto" w:sz="4" w:space="0"/>
              <w:right w:val="single" w:color="auto" w:sz="4" w:space="0"/>
            </w:tcBorders>
            <w:vAlign w:val="center"/>
          </w:tcPr>
          <w:p w14:paraId="2AF8C304">
            <w:pPr>
              <w:adjustRightInd w:val="0"/>
              <w:snapToGrid w:val="0"/>
              <w:spacing w:line="320" w:lineRule="exact"/>
              <w:jc w:val="center"/>
              <w:textAlignment w:val="baseline"/>
              <w:rPr>
                <w:rFonts w:ascii="宋体" w:hAnsi="宋体" w:cs="宋体"/>
                <w:color w:val="auto"/>
                <w:spacing w:val="20"/>
                <w:szCs w:val="21"/>
              </w:rPr>
            </w:pPr>
          </w:p>
        </w:tc>
        <w:tc>
          <w:tcPr>
            <w:tcW w:w="2037" w:type="dxa"/>
            <w:tcBorders>
              <w:top w:val="single" w:color="auto" w:sz="4" w:space="0"/>
              <w:left w:val="single" w:color="auto" w:sz="4" w:space="0"/>
              <w:bottom w:val="single" w:color="auto" w:sz="4" w:space="0"/>
              <w:right w:val="single" w:color="auto" w:sz="4" w:space="0"/>
            </w:tcBorders>
            <w:vAlign w:val="center"/>
          </w:tcPr>
          <w:p w14:paraId="301C5714">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投标内容</w:t>
            </w:r>
          </w:p>
        </w:tc>
        <w:tc>
          <w:tcPr>
            <w:tcW w:w="4742" w:type="dxa"/>
            <w:tcBorders>
              <w:top w:val="single" w:color="auto" w:sz="4" w:space="0"/>
              <w:left w:val="single" w:color="auto" w:sz="4" w:space="0"/>
              <w:bottom w:val="single" w:color="auto" w:sz="4" w:space="0"/>
              <w:right w:val="single" w:color="auto" w:sz="4" w:space="0"/>
            </w:tcBorders>
            <w:vAlign w:val="center"/>
          </w:tcPr>
          <w:p w14:paraId="1D97D257">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符合第二章“投标须知前附表”第5项</w:t>
            </w:r>
          </w:p>
        </w:tc>
      </w:tr>
      <w:tr w14:paraId="30481BBC">
        <w:tblPrEx>
          <w:tblCellMar>
            <w:top w:w="0" w:type="dxa"/>
            <w:left w:w="108" w:type="dxa"/>
            <w:bottom w:w="0" w:type="dxa"/>
            <w:right w:w="108" w:type="dxa"/>
          </w:tblCellMar>
        </w:tblPrEx>
        <w:trPr>
          <w:trHeight w:val="604" w:hRule="atLeast"/>
          <w:jc w:val="center"/>
        </w:trPr>
        <w:tc>
          <w:tcPr>
            <w:tcW w:w="957" w:type="dxa"/>
            <w:vMerge w:val="continue"/>
            <w:tcBorders>
              <w:left w:val="single" w:color="auto" w:sz="4" w:space="0"/>
              <w:bottom w:val="single" w:color="auto" w:sz="4" w:space="0"/>
              <w:right w:val="single" w:color="auto" w:sz="4" w:space="0"/>
            </w:tcBorders>
            <w:vAlign w:val="center"/>
          </w:tcPr>
          <w:p w14:paraId="26F1742F">
            <w:pPr>
              <w:adjustRightInd w:val="0"/>
              <w:snapToGrid w:val="0"/>
              <w:spacing w:line="320" w:lineRule="exact"/>
              <w:jc w:val="center"/>
              <w:textAlignment w:val="baseline"/>
              <w:rPr>
                <w:rFonts w:ascii="宋体" w:hAnsi="宋体" w:cs="宋体"/>
                <w:color w:val="auto"/>
                <w:spacing w:val="20"/>
                <w:szCs w:val="21"/>
              </w:rPr>
            </w:pPr>
          </w:p>
        </w:tc>
        <w:tc>
          <w:tcPr>
            <w:tcW w:w="1304" w:type="dxa"/>
            <w:vMerge w:val="continue"/>
            <w:tcBorders>
              <w:left w:val="single" w:color="auto" w:sz="4" w:space="0"/>
              <w:bottom w:val="single" w:color="auto" w:sz="4" w:space="0"/>
              <w:right w:val="single" w:color="auto" w:sz="4" w:space="0"/>
            </w:tcBorders>
            <w:vAlign w:val="center"/>
          </w:tcPr>
          <w:p w14:paraId="04066BE8">
            <w:pPr>
              <w:adjustRightInd w:val="0"/>
              <w:snapToGrid w:val="0"/>
              <w:spacing w:line="320" w:lineRule="exact"/>
              <w:jc w:val="center"/>
              <w:textAlignment w:val="baseline"/>
              <w:rPr>
                <w:rFonts w:ascii="宋体" w:hAnsi="宋体" w:cs="宋体"/>
                <w:color w:val="auto"/>
                <w:spacing w:val="20"/>
                <w:szCs w:val="21"/>
              </w:rPr>
            </w:pPr>
          </w:p>
        </w:tc>
        <w:tc>
          <w:tcPr>
            <w:tcW w:w="2037" w:type="dxa"/>
            <w:tcBorders>
              <w:top w:val="single" w:color="auto" w:sz="4" w:space="0"/>
              <w:left w:val="single" w:color="auto" w:sz="4" w:space="0"/>
              <w:bottom w:val="single" w:color="auto" w:sz="4" w:space="0"/>
              <w:right w:val="single" w:color="auto" w:sz="4" w:space="0"/>
            </w:tcBorders>
            <w:vAlign w:val="center"/>
          </w:tcPr>
          <w:p w14:paraId="1F75311C">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交货期</w:t>
            </w:r>
          </w:p>
        </w:tc>
        <w:tc>
          <w:tcPr>
            <w:tcW w:w="4742" w:type="dxa"/>
            <w:tcBorders>
              <w:top w:val="single" w:color="auto" w:sz="4" w:space="0"/>
              <w:left w:val="single" w:color="auto" w:sz="4" w:space="0"/>
              <w:bottom w:val="single" w:color="auto" w:sz="4" w:space="0"/>
              <w:right w:val="single" w:color="auto" w:sz="4" w:space="0"/>
            </w:tcBorders>
            <w:vAlign w:val="center"/>
          </w:tcPr>
          <w:p w14:paraId="362ED63F">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符合第二章“投标须知前附表”第9项</w:t>
            </w:r>
          </w:p>
        </w:tc>
      </w:tr>
      <w:tr w14:paraId="5B102C9A">
        <w:tblPrEx>
          <w:tblCellMar>
            <w:top w:w="0" w:type="dxa"/>
            <w:left w:w="108" w:type="dxa"/>
            <w:bottom w:w="0" w:type="dxa"/>
            <w:right w:w="108" w:type="dxa"/>
          </w:tblCellMar>
        </w:tblPrEx>
        <w:trPr>
          <w:trHeight w:val="635" w:hRule="exact"/>
          <w:jc w:val="center"/>
        </w:trPr>
        <w:tc>
          <w:tcPr>
            <w:tcW w:w="957" w:type="dxa"/>
            <w:vMerge w:val="continue"/>
            <w:tcBorders>
              <w:top w:val="single" w:color="auto" w:sz="4" w:space="0"/>
              <w:left w:val="single" w:color="auto" w:sz="4" w:space="0"/>
              <w:right w:val="single" w:color="auto" w:sz="4" w:space="0"/>
            </w:tcBorders>
          </w:tcPr>
          <w:p w14:paraId="17C1CC5A">
            <w:pPr>
              <w:adjustRightInd w:val="0"/>
              <w:snapToGrid w:val="0"/>
              <w:spacing w:line="320" w:lineRule="exact"/>
              <w:textAlignment w:val="baseline"/>
              <w:rPr>
                <w:rFonts w:ascii="宋体" w:hAnsi="宋体" w:cs="宋体"/>
                <w:color w:val="auto"/>
                <w:spacing w:val="20"/>
                <w:szCs w:val="21"/>
              </w:rPr>
            </w:pPr>
          </w:p>
        </w:tc>
        <w:tc>
          <w:tcPr>
            <w:tcW w:w="1304" w:type="dxa"/>
            <w:vMerge w:val="continue"/>
            <w:tcBorders>
              <w:top w:val="single" w:color="auto" w:sz="4" w:space="0"/>
              <w:left w:val="single" w:color="auto" w:sz="4" w:space="0"/>
              <w:right w:val="single" w:color="auto" w:sz="4" w:space="0"/>
            </w:tcBorders>
          </w:tcPr>
          <w:p w14:paraId="3CE97A04">
            <w:pPr>
              <w:adjustRightInd w:val="0"/>
              <w:snapToGrid w:val="0"/>
              <w:spacing w:line="320" w:lineRule="exact"/>
              <w:textAlignment w:val="baseline"/>
              <w:rPr>
                <w:rFonts w:ascii="宋体" w:hAnsi="宋体" w:cs="宋体"/>
                <w:color w:val="auto"/>
                <w:spacing w:val="20"/>
                <w:szCs w:val="21"/>
              </w:rPr>
            </w:pPr>
          </w:p>
        </w:tc>
        <w:tc>
          <w:tcPr>
            <w:tcW w:w="2037" w:type="dxa"/>
            <w:tcBorders>
              <w:top w:val="single" w:color="auto" w:sz="4" w:space="0"/>
              <w:left w:val="single" w:color="auto" w:sz="4" w:space="0"/>
              <w:bottom w:val="single" w:color="auto" w:sz="4" w:space="0"/>
              <w:right w:val="single" w:color="auto" w:sz="4" w:space="0"/>
            </w:tcBorders>
            <w:vAlign w:val="center"/>
          </w:tcPr>
          <w:p w14:paraId="2F073010">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质量要求及质保期</w:t>
            </w:r>
          </w:p>
        </w:tc>
        <w:tc>
          <w:tcPr>
            <w:tcW w:w="4742" w:type="dxa"/>
            <w:tcBorders>
              <w:top w:val="single" w:color="auto" w:sz="4" w:space="0"/>
              <w:left w:val="single" w:color="auto" w:sz="4" w:space="0"/>
              <w:bottom w:val="single" w:color="auto" w:sz="4" w:space="0"/>
              <w:right w:val="single" w:color="auto" w:sz="4" w:space="0"/>
            </w:tcBorders>
            <w:vAlign w:val="center"/>
          </w:tcPr>
          <w:p w14:paraId="1C432CA0">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符合第二章“投标须知前附表”第11项</w:t>
            </w:r>
          </w:p>
        </w:tc>
      </w:tr>
      <w:tr w14:paraId="45C83FFE">
        <w:tblPrEx>
          <w:tblCellMar>
            <w:top w:w="0" w:type="dxa"/>
            <w:left w:w="108" w:type="dxa"/>
            <w:bottom w:w="0" w:type="dxa"/>
            <w:right w:w="108" w:type="dxa"/>
          </w:tblCellMar>
        </w:tblPrEx>
        <w:trPr>
          <w:trHeight w:val="588" w:hRule="exact"/>
          <w:jc w:val="center"/>
        </w:trPr>
        <w:tc>
          <w:tcPr>
            <w:tcW w:w="957" w:type="dxa"/>
            <w:vMerge w:val="continue"/>
            <w:tcBorders>
              <w:top w:val="single" w:color="auto" w:sz="4" w:space="0"/>
              <w:left w:val="single" w:color="auto" w:sz="4" w:space="0"/>
              <w:right w:val="single" w:color="auto" w:sz="4" w:space="0"/>
            </w:tcBorders>
          </w:tcPr>
          <w:p w14:paraId="78AE673A">
            <w:pPr>
              <w:adjustRightInd w:val="0"/>
              <w:snapToGrid w:val="0"/>
              <w:spacing w:line="320" w:lineRule="exact"/>
              <w:textAlignment w:val="baseline"/>
              <w:rPr>
                <w:rFonts w:ascii="宋体" w:hAnsi="宋体" w:cs="宋体"/>
                <w:color w:val="auto"/>
                <w:spacing w:val="20"/>
                <w:szCs w:val="21"/>
              </w:rPr>
            </w:pPr>
          </w:p>
        </w:tc>
        <w:tc>
          <w:tcPr>
            <w:tcW w:w="1304" w:type="dxa"/>
            <w:vMerge w:val="continue"/>
            <w:tcBorders>
              <w:top w:val="single" w:color="auto" w:sz="4" w:space="0"/>
              <w:left w:val="single" w:color="auto" w:sz="4" w:space="0"/>
              <w:right w:val="single" w:color="auto" w:sz="4" w:space="0"/>
            </w:tcBorders>
          </w:tcPr>
          <w:p w14:paraId="7F398F69">
            <w:pPr>
              <w:adjustRightInd w:val="0"/>
              <w:snapToGrid w:val="0"/>
              <w:spacing w:line="320" w:lineRule="exact"/>
              <w:textAlignment w:val="baseline"/>
              <w:rPr>
                <w:rFonts w:ascii="宋体" w:hAnsi="宋体" w:cs="宋体"/>
                <w:color w:val="auto"/>
                <w:spacing w:val="20"/>
                <w:szCs w:val="21"/>
              </w:rPr>
            </w:pPr>
          </w:p>
        </w:tc>
        <w:tc>
          <w:tcPr>
            <w:tcW w:w="2037" w:type="dxa"/>
            <w:tcBorders>
              <w:top w:val="single" w:color="auto" w:sz="4" w:space="0"/>
              <w:left w:val="single" w:color="auto" w:sz="4" w:space="0"/>
              <w:bottom w:val="single" w:color="auto" w:sz="4" w:space="0"/>
              <w:right w:val="single" w:color="auto" w:sz="4" w:space="0"/>
            </w:tcBorders>
            <w:vAlign w:val="center"/>
          </w:tcPr>
          <w:p w14:paraId="741A0093">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投标有效期</w:t>
            </w:r>
          </w:p>
        </w:tc>
        <w:tc>
          <w:tcPr>
            <w:tcW w:w="4742" w:type="dxa"/>
            <w:tcBorders>
              <w:top w:val="single" w:color="auto" w:sz="4" w:space="0"/>
              <w:left w:val="single" w:color="auto" w:sz="4" w:space="0"/>
              <w:bottom w:val="single" w:color="auto" w:sz="4" w:space="0"/>
              <w:right w:val="single" w:color="auto" w:sz="4" w:space="0"/>
            </w:tcBorders>
            <w:vAlign w:val="center"/>
          </w:tcPr>
          <w:p w14:paraId="5C5C3B1C">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符合第二章“投标须知前附表”第20项</w:t>
            </w:r>
          </w:p>
        </w:tc>
      </w:tr>
      <w:tr w14:paraId="3CABDB70">
        <w:tblPrEx>
          <w:tblCellMar>
            <w:top w:w="0" w:type="dxa"/>
            <w:left w:w="108" w:type="dxa"/>
            <w:bottom w:w="0" w:type="dxa"/>
            <w:right w:w="108" w:type="dxa"/>
          </w:tblCellMar>
        </w:tblPrEx>
        <w:trPr>
          <w:trHeight w:val="915" w:hRule="exact"/>
          <w:jc w:val="center"/>
        </w:trPr>
        <w:tc>
          <w:tcPr>
            <w:tcW w:w="957" w:type="dxa"/>
            <w:vMerge w:val="continue"/>
            <w:tcBorders>
              <w:left w:val="single" w:color="auto" w:sz="4" w:space="0"/>
              <w:bottom w:val="single" w:color="auto" w:sz="4" w:space="0"/>
              <w:right w:val="single" w:color="auto" w:sz="4" w:space="0"/>
            </w:tcBorders>
          </w:tcPr>
          <w:p w14:paraId="10165C0C">
            <w:pPr>
              <w:adjustRightInd w:val="0"/>
              <w:snapToGrid w:val="0"/>
              <w:spacing w:line="320" w:lineRule="exact"/>
              <w:textAlignment w:val="baseline"/>
              <w:rPr>
                <w:rFonts w:ascii="宋体" w:hAnsi="宋体" w:cs="宋体"/>
                <w:color w:val="auto"/>
                <w:spacing w:val="20"/>
                <w:szCs w:val="21"/>
              </w:rPr>
            </w:pPr>
          </w:p>
        </w:tc>
        <w:tc>
          <w:tcPr>
            <w:tcW w:w="1304" w:type="dxa"/>
            <w:vMerge w:val="continue"/>
            <w:tcBorders>
              <w:left w:val="single" w:color="auto" w:sz="4" w:space="0"/>
              <w:bottom w:val="single" w:color="auto" w:sz="4" w:space="0"/>
              <w:right w:val="single" w:color="auto" w:sz="4" w:space="0"/>
            </w:tcBorders>
          </w:tcPr>
          <w:p w14:paraId="227A7077">
            <w:pPr>
              <w:adjustRightInd w:val="0"/>
              <w:snapToGrid w:val="0"/>
              <w:spacing w:line="320" w:lineRule="exact"/>
              <w:textAlignment w:val="baseline"/>
              <w:rPr>
                <w:rFonts w:ascii="宋体" w:hAnsi="宋体" w:cs="宋体"/>
                <w:color w:val="auto"/>
                <w:spacing w:val="20"/>
                <w:szCs w:val="21"/>
              </w:rPr>
            </w:pPr>
          </w:p>
        </w:tc>
        <w:tc>
          <w:tcPr>
            <w:tcW w:w="2037" w:type="dxa"/>
            <w:tcBorders>
              <w:top w:val="single" w:color="auto" w:sz="4" w:space="0"/>
              <w:left w:val="single" w:color="auto" w:sz="4" w:space="0"/>
              <w:bottom w:val="single" w:color="auto" w:sz="4" w:space="0"/>
              <w:right w:val="single" w:color="auto" w:sz="4" w:space="0"/>
            </w:tcBorders>
            <w:vAlign w:val="center"/>
          </w:tcPr>
          <w:p w14:paraId="466A0921">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zCs w:val="21"/>
              </w:rPr>
              <w:t>其它实质性要求</w:t>
            </w:r>
          </w:p>
        </w:tc>
        <w:tc>
          <w:tcPr>
            <w:tcW w:w="4742" w:type="dxa"/>
            <w:tcBorders>
              <w:top w:val="single" w:color="auto" w:sz="4" w:space="0"/>
              <w:left w:val="single" w:color="auto" w:sz="4" w:space="0"/>
              <w:bottom w:val="single" w:color="auto" w:sz="4" w:space="0"/>
              <w:right w:val="single" w:color="auto" w:sz="4" w:space="0"/>
            </w:tcBorders>
            <w:vAlign w:val="center"/>
          </w:tcPr>
          <w:p w14:paraId="0779A6E8">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color w:val="auto"/>
                <w:spacing w:val="20"/>
                <w:szCs w:val="21"/>
              </w:rPr>
              <w:t>符合法律、法规和招标文件中规定的其他实质性要求</w:t>
            </w:r>
          </w:p>
        </w:tc>
      </w:tr>
      <w:tr w14:paraId="2D2232AD">
        <w:tblPrEx>
          <w:tblCellMar>
            <w:top w:w="0" w:type="dxa"/>
            <w:left w:w="108" w:type="dxa"/>
            <w:bottom w:w="0" w:type="dxa"/>
            <w:right w:w="108" w:type="dxa"/>
          </w:tblCellMar>
        </w:tblPrEx>
        <w:trPr>
          <w:trHeight w:val="613" w:hRule="exact"/>
          <w:jc w:val="center"/>
        </w:trPr>
        <w:tc>
          <w:tcPr>
            <w:tcW w:w="957" w:type="dxa"/>
            <w:tcBorders>
              <w:top w:val="single" w:color="auto" w:sz="4" w:space="0"/>
              <w:left w:val="single" w:color="auto" w:sz="4" w:space="0"/>
              <w:bottom w:val="single" w:color="auto" w:sz="4" w:space="0"/>
              <w:right w:val="single" w:color="auto" w:sz="4" w:space="0"/>
            </w:tcBorders>
            <w:vAlign w:val="center"/>
          </w:tcPr>
          <w:p w14:paraId="4470F6B7">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b/>
                <w:color w:val="auto"/>
                <w:spacing w:val="20"/>
                <w:szCs w:val="21"/>
              </w:rPr>
              <w:t>条款号</w:t>
            </w:r>
          </w:p>
        </w:tc>
        <w:tc>
          <w:tcPr>
            <w:tcW w:w="3341" w:type="dxa"/>
            <w:gridSpan w:val="2"/>
            <w:tcBorders>
              <w:top w:val="single" w:color="auto" w:sz="4" w:space="0"/>
              <w:left w:val="single" w:color="auto" w:sz="4" w:space="0"/>
              <w:bottom w:val="single" w:color="auto" w:sz="4" w:space="0"/>
              <w:right w:val="single" w:color="auto" w:sz="4" w:space="0"/>
            </w:tcBorders>
            <w:vAlign w:val="center"/>
          </w:tcPr>
          <w:p w14:paraId="50626E4C">
            <w:pPr>
              <w:adjustRightInd w:val="0"/>
              <w:snapToGrid w:val="0"/>
              <w:spacing w:line="320" w:lineRule="exact"/>
              <w:jc w:val="center"/>
              <w:textAlignment w:val="baseline"/>
              <w:rPr>
                <w:rFonts w:ascii="宋体" w:hAnsi="宋体" w:cs="宋体"/>
                <w:color w:val="auto"/>
                <w:szCs w:val="21"/>
              </w:rPr>
            </w:pPr>
            <w:r>
              <w:rPr>
                <w:rFonts w:hint="eastAsia" w:ascii="宋体" w:hAnsi="宋体" w:cs="宋体"/>
                <w:b/>
                <w:color w:val="auto"/>
                <w:szCs w:val="21"/>
              </w:rPr>
              <w:t>条款内容</w:t>
            </w:r>
          </w:p>
        </w:tc>
        <w:tc>
          <w:tcPr>
            <w:tcW w:w="4742" w:type="dxa"/>
            <w:tcBorders>
              <w:top w:val="single" w:color="auto" w:sz="4" w:space="0"/>
              <w:left w:val="single" w:color="auto" w:sz="4" w:space="0"/>
              <w:bottom w:val="single" w:color="auto" w:sz="4" w:space="0"/>
              <w:right w:val="single" w:color="auto" w:sz="4" w:space="0"/>
            </w:tcBorders>
            <w:vAlign w:val="center"/>
          </w:tcPr>
          <w:p w14:paraId="0485A1C6">
            <w:pPr>
              <w:adjustRightInd w:val="0"/>
              <w:snapToGrid w:val="0"/>
              <w:spacing w:line="320" w:lineRule="exact"/>
              <w:jc w:val="center"/>
              <w:textAlignment w:val="baseline"/>
              <w:rPr>
                <w:rFonts w:ascii="宋体" w:hAnsi="宋体" w:cs="宋体"/>
                <w:color w:val="auto"/>
                <w:spacing w:val="20"/>
                <w:szCs w:val="21"/>
              </w:rPr>
            </w:pPr>
            <w:r>
              <w:rPr>
                <w:rFonts w:hint="eastAsia" w:ascii="宋体" w:hAnsi="宋体" w:cs="宋体"/>
                <w:b/>
                <w:color w:val="auto"/>
                <w:spacing w:val="20"/>
                <w:szCs w:val="21"/>
              </w:rPr>
              <w:t>编列内容</w:t>
            </w:r>
          </w:p>
        </w:tc>
      </w:tr>
      <w:tr w14:paraId="213CA493">
        <w:tblPrEx>
          <w:tblCellMar>
            <w:top w:w="0" w:type="dxa"/>
            <w:left w:w="108" w:type="dxa"/>
            <w:bottom w:w="0" w:type="dxa"/>
            <w:right w:w="108" w:type="dxa"/>
          </w:tblCellMar>
        </w:tblPrEx>
        <w:trPr>
          <w:trHeight w:val="1551" w:hRule="exact"/>
          <w:jc w:val="center"/>
        </w:trPr>
        <w:tc>
          <w:tcPr>
            <w:tcW w:w="957" w:type="dxa"/>
            <w:tcBorders>
              <w:top w:val="single" w:color="auto" w:sz="4" w:space="0"/>
              <w:left w:val="single" w:color="auto" w:sz="4" w:space="0"/>
              <w:bottom w:val="single" w:color="auto" w:sz="4" w:space="0"/>
              <w:right w:val="single" w:color="auto" w:sz="4" w:space="0"/>
            </w:tcBorders>
            <w:vAlign w:val="center"/>
          </w:tcPr>
          <w:p w14:paraId="792AD331">
            <w:pPr>
              <w:adjustRightInd w:val="0"/>
              <w:snapToGrid w:val="0"/>
              <w:spacing w:line="320" w:lineRule="exact"/>
              <w:jc w:val="center"/>
              <w:textAlignment w:val="baseline"/>
              <w:rPr>
                <w:rFonts w:ascii="宋体" w:hAnsi="宋体" w:cs="宋体"/>
                <w:b/>
                <w:color w:val="auto"/>
                <w:spacing w:val="20"/>
                <w:szCs w:val="21"/>
              </w:rPr>
            </w:pPr>
            <w:r>
              <w:rPr>
                <w:rFonts w:hint="eastAsia" w:ascii="宋体" w:hAnsi="宋体" w:cs="宋体"/>
                <w:b/>
                <w:color w:val="auto"/>
                <w:spacing w:val="20"/>
                <w:szCs w:val="21"/>
              </w:rPr>
              <w:t>2.2.1</w:t>
            </w:r>
          </w:p>
        </w:tc>
        <w:tc>
          <w:tcPr>
            <w:tcW w:w="3341" w:type="dxa"/>
            <w:gridSpan w:val="2"/>
            <w:tcBorders>
              <w:top w:val="single" w:color="auto" w:sz="4" w:space="0"/>
              <w:left w:val="single" w:color="auto" w:sz="4" w:space="0"/>
              <w:bottom w:val="single" w:color="auto" w:sz="4" w:space="0"/>
              <w:right w:val="single" w:color="auto" w:sz="4" w:space="0"/>
            </w:tcBorders>
            <w:vAlign w:val="center"/>
          </w:tcPr>
          <w:p w14:paraId="0B29F382">
            <w:pPr>
              <w:adjustRightInd w:val="0"/>
              <w:snapToGrid w:val="0"/>
              <w:spacing w:line="360" w:lineRule="auto"/>
              <w:jc w:val="center"/>
              <w:textAlignment w:val="baseline"/>
              <w:rPr>
                <w:rFonts w:ascii="宋体" w:hAnsi="宋体" w:cs="宋体"/>
                <w:b/>
                <w:color w:val="auto"/>
                <w:szCs w:val="21"/>
              </w:rPr>
            </w:pPr>
            <w:r>
              <w:rPr>
                <w:rFonts w:hint="eastAsia" w:ascii="宋体" w:hAnsi="宋体" w:cs="宋体"/>
                <w:b/>
                <w:color w:val="auto"/>
                <w:szCs w:val="21"/>
              </w:rPr>
              <w:t>分值构成</w:t>
            </w:r>
          </w:p>
        </w:tc>
        <w:tc>
          <w:tcPr>
            <w:tcW w:w="4742" w:type="dxa"/>
            <w:tcBorders>
              <w:top w:val="single" w:color="auto" w:sz="4" w:space="0"/>
              <w:left w:val="single" w:color="auto" w:sz="4" w:space="0"/>
              <w:bottom w:val="single" w:color="auto" w:sz="4" w:space="0"/>
              <w:right w:val="single" w:color="auto" w:sz="4" w:space="0"/>
            </w:tcBorders>
            <w:vAlign w:val="center"/>
          </w:tcPr>
          <w:p w14:paraId="68C114EB">
            <w:pPr>
              <w:snapToGrid w:val="0"/>
              <w:spacing w:line="360" w:lineRule="auto"/>
              <w:rPr>
                <w:rFonts w:ascii="宋体" w:hAnsi="宋体" w:cs="宋体"/>
                <w:b/>
                <w:color w:val="auto"/>
                <w:szCs w:val="21"/>
              </w:rPr>
            </w:pPr>
            <w:r>
              <w:rPr>
                <w:rFonts w:hint="eastAsia" w:ascii="宋体" w:hAnsi="宋体" w:cs="宋体"/>
                <w:b/>
                <w:color w:val="auto"/>
                <w:szCs w:val="21"/>
                <w:lang w:eastAsia="zh-CN"/>
              </w:rPr>
              <w:t>投标报价</w:t>
            </w:r>
            <w:r>
              <w:rPr>
                <w:rFonts w:hint="eastAsia" w:ascii="宋体" w:hAnsi="宋体" w:cs="宋体"/>
                <w:b/>
                <w:color w:val="auto"/>
                <w:szCs w:val="21"/>
              </w:rPr>
              <w:t>：</w:t>
            </w:r>
            <w:r>
              <w:rPr>
                <w:rFonts w:hint="eastAsia" w:ascii="宋体" w:hAnsi="宋体" w:cs="宋体"/>
                <w:b/>
                <w:color w:val="auto"/>
                <w:szCs w:val="21"/>
                <w:lang w:val="en-US" w:eastAsia="zh-CN"/>
              </w:rPr>
              <w:t>45</w:t>
            </w:r>
            <w:r>
              <w:rPr>
                <w:rFonts w:hint="eastAsia" w:ascii="宋体" w:hAnsi="宋体" w:cs="宋体"/>
                <w:b/>
                <w:color w:val="auto"/>
                <w:szCs w:val="21"/>
              </w:rPr>
              <w:t>分</w:t>
            </w:r>
          </w:p>
          <w:p w14:paraId="233E1995">
            <w:pPr>
              <w:snapToGrid w:val="0"/>
              <w:spacing w:line="360" w:lineRule="auto"/>
              <w:rPr>
                <w:rFonts w:ascii="宋体" w:hAnsi="宋体" w:cs="宋体"/>
                <w:b/>
                <w:color w:val="auto"/>
                <w:szCs w:val="21"/>
              </w:rPr>
            </w:pPr>
            <w:r>
              <w:rPr>
                <w:rFonts w:hint="eastAsia" w:ascii="宋体" w:hAnsi="宋体" w:cs="宋体"/>
                <w:b/>
                <w:color w:val="auto"/>
                <w:szCs w:val="21"/>
              </w:rPr>
              <w:t>技术部分：</w:t>
            </w:r>
            <w:r>
              <w:rPr>
                <w:rFonts w:hint="eastAsia" w:ascii="宋体" w:hAnsi="宋体" w:cs="宋体"/>
                <w:b/>
                <w:color w:val="auto"/>
                <w:szCs w:val="21"/>
                <w:lang w:val="en-US" w:eastAsia="zh-CN"/>
              </w:rPr>
              <w:t>25</w:t>
            </w:r>
            <w:r>
              <w:rPr>
                <w:rFonts w:hint="eastAsia" w:ascii="宋体" w:hAnsi="宋体" w:cs="宋体"/>
                <w:b/>
                <w:color w:val="auto"/>
                <w:szCs w:val="21"/>
              </w:rPr>
              <w:t>分</w:t>
            </w:r>
          </w:p>
          <w:p w14:paraId="4E9483F6">
            <w:pPr>
              <w:snapToGrid w:val="0"/>
              <w:spacing w:line="360" w:lineRule="auto"/>
              <w:rPr>
                <w:rFonts w:ascii="宋体" w:hAnsi="宋体" w:cs="宋体"/>
                <w:b/>
                <w:color w:val="auto"/>
                <w:spacing w:val="20"/>
                <w:szCs w:val="21"/>
              </w:rPr>
            </w:pPr>
            <w:r>
              <w:rPr>
                <w:rFonts w:hint="eastAsia" w:ascii="宋体" w:hAnsi="宋体" w:cs="宋体"/>
                <w:b/>
                <w:color w:val="auto"/>
                <w:szCs w:val="21"/>
              </w:rPr>
              <w:t>综合部分：</w:t>
            </w:r>
            <w:r>
              <w:rPr>
                <w:rFonts w:hint="eastAsia" w:ascii="宋体" w:hAnsi="宋体" w:cs="宋体"/>
                <w:b/>
                <w:color w:val="auto"/>
                <w:szCs w:val="21"/>
                <w:lang w:val="en-US" w:eastAsia="zh-CN"/>
              </w:rPr>
              <w:t>30</w:t>
            </w:r>
            <w:r>
              <w:rPr>
                <w:rFonts w:hint="eastAsia" w:ascii="宋体" w:hAnsi="宋体" w:cs="宋体"/>
                <w:b/>
                <w:color w:val="auto"/>
                <w:szCs w:val="21"/>
              </w:rPr>
              <w:t>分</w:t>
            </w:r>
          </w:p>
        </w:tc>
      </w:tr>
    </w:tbl>
    <w:p w14:paraId="423053AC">
      <w:pPr>
        <w:pStyle w:val="24"/>
        <w:ind w:firstLine="0" w:firstLineChars="0"/>
        <w:rPr>
          <w:color w:val="auto"/>
        </w:rPr>
      </w:pPr>
    </w:p>
    <w:p w14:paraId="52935BC7">
      <w:pPr>
        <w:pStyle w:val="25"/>
        <w:rPr>
          <w:color w:val="auto"/>
        </w:rPr>
      </w:pPr>
    </w:p>
    <w:p w14:paraId="45A0284B">
      <w:pPr>
        <w:pStyle w:val="7"/>
        <w:rPr>
          <w:color w:val="auto"/>
        </w:rPr>
      </w:pPr>
    </w:p>
    <w:p w14:paraId="79243C23">
      <w:pPr>
        <w:pStyle w:val="8"/>
        <w:rPr>
          <w:color w:val="auto"/>
        </w:rPr>
      </w:pPr>
    </w:p>
    <w:tbl>
      <w:tblPr>
        <w:tblStyle w:val="26"/>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26"/>
        <w:gridCol w:w="1200"/>
        <w:gridCol w:w="6377"/>
      </w:tblGrid>
      <w:tr w14:paraId="479B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vAlign w:val="center"/>
          </w:tcPr>
          <w:p w14:paraId="7A7790E4">
            <w:pPr>
              <w:snapToGrid w:val="0"/>
              <w:spacing w:line="380" w:lineRule="exact"/>
              <w:jc w:val="both"/>
              <w:rPr>
                <w:rFonts w:ascii="宋体" w:hAnsi="宋体" w:cs="宋体"/>
                <w:b/>
                <w:color w:val="auto"/>
                <w:sz w:val="24"/>
              </w:rPr>
            </w:pPr>
            <w:r>
              <w:rPr>
                <w:rFonts w:hint="eastAsia" w:ascii="宋体" w:hAnsi="宋体" w:cs="宋体"/>
                <w:b/>
                <w:color w:val="auto"/>
                <w:sz w:val="24"/>
              </w:rPr>
              <w:t>条款号</w:t>
            </w:r>
            <w:r>
              <w:rPr>
                <w:rFonts w:hint="eastAsia" w:ascii="宋体" w:hAnsi="宋体" w:cs="宋体"/>
                <w:b/>
                <w:color w:val="auto"/>
                <w:sz w:val="24"/>
                <w:lang w:val="en-US" w:eastAsia="zh-CN"/>
              </w:rPr>
              <w:t xml:space="preserve">                                  </w:t>
            </w:r>
          </w:p>
        </w:tc>
        <w:tc>
          <w:tcPr>
            <w:tcW w:w="8403" w:type="dxa"/>
            <w:gridSpan w:val="3"/>
            <w:vAlign w:val="center"/>
          </w:tcPr>
          <w:p w14:paraId="7825B641">
            <w:pPr>
              <w:snapToGrid w:val="0"/>
              <w:spacing w:line="380" w:lineRule="exact"/>
              <w:jc w:val="center"/>
              <w:rPr>
                <w:rFonts w:hint="eastAsia" w:ascii="宋体" w:hAnsi="宋体" w:cs="宋体"/>
                <w:b/>
                <w:color w:val="auto"/>
                <w:sz w:val="24"/>
              </w:rPr>
            </w:pPr>
            <w:r>
              <w:rPr>
                <w:rFonts w:hint="eastAsia" w:ascii="宋体" w:hAnsi="宋体" w:cs="宋体"/>
                <w:b/>
                <w:color w:val="auto"/>
                <w:sz w:val="24"/>
              </w:rPr>
              <w:t>评分标准</w:t>
            </w:r>
          </w:p>
        </w:tc>
      </w:tr>
      <w:tr w14:paraId="3F10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tcBorders>
              <w:bottom w:val="single" w:color="auto" w:sz="4" w:space="0"/>
            </w:tcBorders>
            <w:vAlign w:val="center"/>
          </w:tcPr>
          <w:p w14:paraId="3B347539">
            <w:pPr>
              <w:snapToGrid w:val="0"/>
              <w:spacing w:line="380" w:lineRule="exact"/>
              <w:jc w:val="center"/>
              <w:rPr>
                <w:rFonts w:ascii="宋体" w:hAnsi="宋体" w:cs="宋体"/>
                <w:b/>
                <w:bCs/>
                <w:color w:val="auto"/>
                <w:sz w:val="24"/>
              </w:rPr>
            </w:pPr>
            <w:r>
              <w:rPr>
                <w:rFonts w:hint="eastAsia" w:ascii="宋体" w:hAnsi="宋体" w:cs="宋体"/>
                <w:b/>
                <w:bCs/>
                <w:color w:val="auto"/>
                <w:sz w:val="24"/>
              </w:rPr>
              <w:t>2.2.4（1）</w:t>
            </w:r>
          </w:p>
        </w:tc>
        <w:tc>
          <w:tcPr>
            <w:tcW w:w="2026" w:type="dxa"/>
            <w:gridSpan w:val="2"/>
            <w:tcBorders>
              <w:bottom w:val="single" w:color="auto" w:sz="4" w:space="0"/>
            </w:tcBorders>
            <w:vAlign w:val="center"/>
          </w:tcPr>
          <w:p w14:paraId="463D5A4D">
            <w:pPr>
              <w:snapToGrid w:val="0"/>
              <w:spacing w:line="380" w:lineRule="exact"/>
              <w:jc w:val="center"/>
              <w:rPr>
                <w:rFonts w:ascii="宋体" w:hAnsi="宋体" w:cs="宋体"/>
                <w:b/>
                <w:bCs/>
                <w:color w:val="auto"/>
                <w:sz w:val="24"/>
              </w:rPr>
            </w:pPr>
          </w:p>
          <w:p w14:paraId="6CFD662F">
            <w:pPr>
              <w:snapToGrid w:val="0"/>
              <w:spacing w:line="380" w:lineRule="exact"/>
              <w:jc w:val="center"/>
              <w:rPr>
                <w:rFonts w:ascii="宋体" w:hAnsi="宋体" w:cs="宋体"/>
                <w:color w:val="auto"/>
                <w:sz w:val="24"/>
              </w:rPr>
            </w:pPr>
          </w:p>
          <w:p w14:paraId="023C1657">
            <w:pPr>
              <w:spacing w:line="380" w:lineRule="exact"/>
              <w:jc w:val="center"/>
              <w:rPr>
                <w:rFonts w:ascii="宋体" w:hAnsi="宋体" w:cs="宋体"/>
                <w:b/>
                <w:bCs/>
                <w:color w:val="auto"/>
                <w:sz w:val="24"/>
              </w:rPr>
            </w:pPr>
            <w:r>
              <w:rPr>
                <w:rFonts w:hint="eastAsia" w:ascii="宋体" w:hAnsi="宋体" w:cs="宋体"/>
                <w:b/>
                <w:bCs/>
                <w:color w:val="auto"/>
                <w:sz w:val="24"/>
              </w:rPr>
              <w:t>投标</w:t>
            </w:r>
          </w:p>
          <w:p w14:paraId="22A0064E">
            <w:pPr>
              <w:spacing w:line="380" w:lineRule="exact"/>
              <w:jc w:val="center"/>
              <w:rPr>
                <w:rFonts w:ascii="宋体" w:hAnsi="宋体" w:cs="宋体"/>
                <w:b/>
                <w:bCs/>
                <w:color w:val="auto"/>
                <w:sz w:val="24"/>
              </w:rPr>
            </w:pPr>
            <w:r>
              <w:rPr>
                <w:rFonts w:hint="eastAsia" w:ascii="宋体" w:hAnsi="宋体" w:cs="宋体"/>
                <w:b/>
                <w:bCs/>
                <w:color w:val="auto"/>
                <w:sz w:val="24"/>
              </w:rPr>
              <w:t>报价</w:t>
            </w:r>
          </w:p>
          <w:p w14:paraId="55CF558B">
            <w:pPr>
              <w:spacing w:line="380" w:lineRule="exact"/>
              <w:jc w:val="center"/>
              <w:rPr>
                <w:rFonts w:ascii="宋体" w:hAnsi="宋体" w:cs="宋体"/>
                <w:b/>
                <w:bCs/>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45</w:t>
            </w:r>
            <w:r>
              <w:rPr>
                <w:rFonts w:hint="eastAsia" w:ascii="宋体" w:hAnsi="宋体" w:cs="宋体"/>
                <w:b/>
                <w:bCs/>
                <w:color w:val="auto"/>
                <w:sz w:val="24"/>
              </w:rPr>
              <w:t>分）</w:t>
            </w:r>
          </w:p>
        </w:tc>
        <w:tc>
          <w:tcPr>
            <w:tcW w:w="6377" w:type="dxa"/>
            <w:tcBorders>
              <w:bottom w:val="single" w:color="auto" w:sz="4" w:space="0"/>
            </w:tcBorders>
            <w:vAlign w:val="center"/>
          </w:tcPr>
          <w:p w14:paraId="120A5733">
            <w:pPr>
              <w:spacing w:line="360" w:lineRule="exact"/>
              <w:rPr>
                <w:rFonts w:ascii="宋体" w:hAnsi="宋体" w:cs="宋体"/>
                <w:color w:val="auto"/>
                <w:sz w:val="24"/>
              </w:rPr>
            </w:pPr>
            <w:r>
              <w:rPr>
                <w:rFonts w:hint="eastAsia" w:ascii="宋体" w:hAnsi="宋体" w:cs="宋体"/>
                <w:color w:val="auto"/>
                <w:sz w:val="24"/>
              </w:rPr>
              <w:t>1.投标报价得分=(评标基准值／有效投标人的投标报价)×</w:t>
            </w:r>
            <w:r>
              <w:rPr>
                <w:rFonts w:hint="eastAsia" w:ascii="宋体" w:hAnsi="宋体" w:cs="宋体"/>
                <w:color w:val="auto"/>
                <w:sz w:val="24"/>
                <w:lang w:val="en-US" w:eastAsia="zh-CN"/>
              </w:rPr>
              <w:t>45</w:t>
            </w:r>
            <w:r>
              <w:rPr>
                <w:rFonts w:hint="eastAsia" w:ascii="宋体" w:hAnsi="宋体" w:cs="宋体"/>
                <w:color w:val="auto"/>
                <w:sz w:val="24"/>
              </w:rPr>
              <w:t>；</w:t>
            </w:r>
          </w:p>
          <w:p w14:paraId="7DB86C48">
            <w:pPr>
              <w:spacing w:line="360" w:lineRule="exact"/>
              <w:rPr>
                <w:rFonts w:ascii="宋体" w:hAnsi="宋体" w:cs="宋体"/>
                <w:color w:val="auto"/>
                <w:sz w:val="24"/>
              </w:rPr>
            </w:pPr>
            <w:r>
              <w:rPr>
                <w:rFonts w:hint="eastAsia" w:ascii="宋体" w:hAnsi="宋体" w:cs="宋体"/>
                <w:color w:val="auto"/>
                <w:sz w:val="24"/>
              </w:rPr>
              <w:t>注：</w:t>
            </w:r>
          </w:p>
          <w:p w14:paraId="25B4AE71">
            <w:pPr>
              <w:spacing w:line="360" w:lineRule="exact"/>
              <w:rPr>
                <w:rFonts w:ascii="宋体" w:hAnsi="宋体" w:cs="宋体"/>
                <w:color w:val="auto"/>
                <w:sz w:val="24"/>
              </w:rPr>
            </w:pPr>
            <w:r>
              <w:rPr>
                <w:rFonts w:hint="eastAsia" w:ascii="宋体" w:hAnsi="宋体" w:cs="宋体"/>
                <w:color w:val="auto"/>
                <w:sz w:val="24"/>
              </w:rPr>
              <w:t>1.投标人的报价超出招标控制价的，按无效标处理。</w:t>
            </w:r>
          </w:p>
          <w:p w14:paraId="2AB37736">
            <w:pPr>
              <w:spacing w:line="360" w:lineRule="exact"/>
              <w:rPr>
                <w:rFonts w:ascii="宋体" w:hAnsi="宋体" w:cs="宋体"/>
                <w:color w:val="auto"/>
                <w:sz w:val="24"/>
              </w:rPr>
            </w:pPr>
            <w:r>
              <w:rPr>
                <w:rFonts w:hint="eastAsia" w:ascii="宋体" w:hAnsi="宋体" w:cs="宋体"/>
                <w:color w:val="auto"/>
                <w:sz w:val="24"/>
              </w:rPr>
              <w:t>2.评标基准值为所有投标人的最低有效投标报价，最低有效投标报价得满分</w:t>
            </w:r>
            <w:r>
              <w:rPr>
                <w:rFonts w:hint="eastAsia" w:ascii="宋体" w:hAnsi="宋体" w:cs="宋体"/>
                <w:color w:val="auto"/>
                <w:sz w:val="24"/>
                <w:lang w:val="en-US" w:eastAsia="zh-CN"/>
              </w:rPr>
              <w:t>45</w:t>
            </w:r>
            <w:r>
              <w:rPr>
                <w:rFonts w:hint="eastAsia" w:ascii="宋体" w:hAnsi="宋体" w:cs="宋体"/>
                <w:color w:val="auto"/>
                <w:sz w:val="24"/>
              </w:rPr>
              <w:t>分。</w:t>
            </w:r>
          </w:p>
          <w:p w14:paraId="2ABF64DE">
            <w:pPr>
              <w:spacing w:line="360" w:lineRule="exact"/>
              <w:rPr>
                <w:rFonts w:hint="eastAsia" w:ascii="宋体" w:hAnsi="宋体" w:eastAsia="宋体" w:cs="宋体"/>
                <w:color w:val="auto"/>
                <w:sz w:val="24"/>
                <w:lang w:eastAsia="zh-CN"/>
              </w:rPr>
            </w:pPr>
            <w:r>
              <w:rPr>
                <w:rFonts w:hint="eastAsia" w:ascii="宋体" w:hAnsi="宋体" w:cs="宋体"/>
                <w:color w:val="auto"/>
                <w:sz w:val="24"/>
              </w:rPr>
              <w:t>3.评标委员会认为投标人的报价明显低于其他通过符合性审查投标人的报价，有可能影响产品质量或者不能诚信履约的，应当在电子交易系统中要求该供应商在合理的时间内作出说明，必要时提交相关证明材料；投标人不能证明其报价合理性的，评标委员会应当将其作为无效投标处理。</w:t>
            </w:r>
            <w:r>
              <w:rPr>
                <w:rFonts w:hint="eastAsia" w:ascii="宋体" w:hAnsi="宋体" w:cs="宋体"/>
                <w:color w:val="auto"/>
                <w:sz w:val="24"/>
                <w:szCs w:val="24"/>
                <w:lang w:eastAsia="zh-CN"/>
              </w:rPr>
              <w:t>（详见</w:t>
            </w:r>
            <w:r>
              <w:rPr>
                <w:rFonts w:hint="eastAsia" w:ascii="宋体" w:hAnsi="宋体" w:cs="宋体"/>
                <w:color w:val="auto"/>
                <w:sz w:val="24"/>
                <w:szCs w:val="24"/>
              </w:rPr>
              <w:t>投标人须知前附表</w:t>
            </w:r>
            <w:r>
              <w:rPr>
                <w:rFonts w:hint="eastAsia" w:ascii="宋体" w:hAnsi="宋体" w:cs="宋体"/>
                <w:color w:val="auto"/>
                <w:sz w:val="24"/>
                <w:szCs w:val="24"/>
                <w:lang w:val="en-US" w:eastAsia="zh-CN"/>
              </w:rPr>
              <w:t>政府采购异常低价审查等相关规定）</w:t>
            </w:r>
          </w:p>
          <w:p w14:paraId="089E185D">
            <w:pPr>
              <w:spacing w:line="360" w:lineRule="exact"/>
              <w:rPr>
                <w:rFonts w:ascii="宋体" w:hAnsi="宋体" w:cs="宋体"/>
                <w:color w:val="auto"/>
                <w:sz w:val="24"/>
              </w:rPr>
            </w:pPr>
            <w:r>
              <w:rPr>
                <w:rFonts w:hint="eastAsia" w:ascii="宋体" w:hAnsi="宋体" w:cs="宋体"/>
                <w:color w:val="auto"/>
                <w:sz w:val="24"/>
              </w:rPr>
              <w:t>4.根据财政部、工信部关于印发《政府采购促进中小企业发展管理办法》的通知（财库﹝2020﹞46 号文件）及《财政部关于进一步加大政府采购支持中小企业力度的通知》（财库【2022】19号）和《河南省财政厅关于进一步做好政府采购支持中小企业发展有关事项的通知》（豫财购【2022】5号）有关要求，对小型和微型企业的价格给予20%的扣除，用扣除后的价格参与评审。供应商须在响应文件中按照相关文件的要求出具《中小企业声明函》，否则不得享受相关中小企业扶持政策。</w:t>
            </w:r>
          </w:p>
          <w:p w14:paraId="406BED10">
            <w:pPr>
              <w:spacing w:line="360" w:lineRule="exact"/>
              <w:rPr>
                <w:rFonts w:ascii="宋体" w:hAnsi="宋体" w:cs="宋体"/>
                <w:color w:val="auto"/>
                <w:sz w:val="24"/>
              </w:rPr>
            </w:pPr>
            <w:r>
              <w:rPr>
                <w:rFonts w:hint="eastAsia" w:ascii="宋体" w:hAnsi="宋体" w:cs="宋体"/>
                <w:color w:val="auto"/>
                <w:sz w:val="24"/>
              </w:rPr>
              <w:t>5.根据财政部司法部《关于政府采购支持监狱企业发展有关问题的通知》（财库〔2014〕68号）规定，本项目对监狱企业作为供应商所提供的本企业生产的产品或服务的价格给予20%的扣除，用扣除后的价格参与评审。监狱企业是指由司法部认定的为罪犯、戒毒人员提供生产项目和劳动对象，且全部产权属于司法部监狱管理局、戒毒管理局、直属煤矿管理局，各省、自治区、直辖市监狱管理局、戒毒管理局，各地 (设区的市)监狱、强制隔离戒毒所、戒毒康复所，以及新疆生产建设兵团监狱管理局、戒毒管理局的企业。监狱企业投标提供由省级以上监狱管理局、戒毒管理局(含新疆生产建设兵团)出具的属于监狱企业的证明文件。</w:t>
            </w:r>
          </w:p>
          <w:p w14:paraId="13B73101">
            <w:pPr>
              <w:spacing w:line="360" w:lineRule="exact"/>
              <w:rPr>
                <w:rFonts w:ascii="宋体" w:hAnsi="宋体" w:cs="宋体"/>
                <w:color w:val="auto"/>
                <w:sz w:val="24"/>
              </w:rPr>
            </w:pPr>
            <w:r>
              <w:rPr>
                <w:rFonts w:hint="eastAsia" w:ascii="宋体" w:hAnsi="宋体" w:cs="宋体"/>
                <w:color w:val="auto"/>
                <w:sz w:val="24"/>
              </w:rPr>
              <w:t>6.按照《关于促进残疾人就业政府采购政策的通知》财库〔2017〕141号文件规定，对残疾人福利单位的价格给予20%的扣除，用扣除后的价格参与评审。符合条件的残疾人福利性单位在参加政府采购活动时，应当提供《残疾人福利性单位声明函》，并对声明的真实性负责。任何单位或者个人在政府采购活动中均不得要求残疾人福利性单位提供其他证明声明函内容的材料。</w:t>
            </w:r>
          </w:p>
          <w:p w14:paraId="200EF3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cs="宋体"/>
                <w:color w:val="auto"/>
                <w:sz w:val="24"/>
              </w:rPr>
            </w:pPr>
            <w:r>
              <w:rPr>
                <w:rFonts w:hint="eastAsia" w:ascii="宋体" w:hAnsi="宋体" w:cs="宋体"/>
                <w:color w:val="auto"/>
                <w:sz w:val="24"/>
              </w:rPr>
              <w:t>7.残疾人福利性单位、监狱企业、属于小型、微型企业的，不重复享受政策。</w:t>
            </w:r>
          </w:p>
          <w:p w14:paraId="48820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.根据《国务院办公厅关于在政府采购中实施本国产品标准及相关政策的通知》（国办发 〔2025〕34 号）的规定，政府采购活动中既有本国产品又有非本国产品参与竞争的，依法对本国产品给予价格评审优惠，对本国产品的报价给予 20%的价格扣除，用扣除后的价格参与评审。供应商应按要求对其提供的产品出具《关于符合本国产品标准的声明函》或财政部会同有关部门规定的有关证明文件。对于仅有本国产品参与竞争的政府采购项目，本国产品不享受价格扣除评审优惠</w:t>
            </w:r>
            <w:r>
              <w:rPr>
                <w:rFonts w:hint="eastAsia" w:ascii="宋体" w:hAnsi="宋体" w:cs="宋体"/>
                <w:color w:val="auto"/>
                <w:sz w:val="24"/>
                <w:szCs w:val="24"/>
                <w:highlight w:val="none"/>
                <w:lang w:val="en-US" w:eastAsia="zh-CN"/>
              </w:rPr>
              <w:t>。</w:t>
            </w:r>
          </w:p>
          <w:p w14:paraId="14002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9CD1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对于非专门面向中小企业的采购项目，既有本国产品也有非本国产品参与竞争，且提供本国产品的供应商同时为小微企业的，应按照《国务院办公厅关于在政府采购中实施本国产品标准及相关政策的通知》（国办发〔2025〕34 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572A4B2D">
            <w:pPr>
              <w:spacing w:line="360" w:lineRule="exact"/>
              <w:rPr>
                <w:rFonts w:cs="Calibri"/>
                <w:color w:val="auto"/>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.根据上述要求计算得出的价格仅限于评标时使用，对中标价格没有任何影响。</w:t>
            </w:r>
          </w:p>
        </w:tc>
      </w:tr>
      <w:tr w14:paraId="2C0B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59" w:type="dxa"/>
            <w:tcBorders>
              <w:top w:val="single" w:color="auto" w:sz="4" w:space="0"/>
              <w:left w:val="single" w:color="auto" w:sz="4" w:space="0"/>
            </w:tcBorders>
            <w:vAlign w:val="center"/>
          </w:tcPr>
          <w:p w14:paraId="3D945897">
            <w:pPr>
              <w:spacing w:line="380" w:lineRule="exact"/>
              <w:jc w:val="center"/>
              <w:rPr>
                <w:rFonts w:ascii="宋体" w:hAnsi="宋体" w:cs="宋体"/>
                <w:b/>
                <w:bCs/>
                <w:color w:val="auto"/>
                <w:sz w:val="24"/>
              </w:rPr>
            </w:pPr>
            <w:r>
              <w:rPr>
                <w:rFonts w:hint="eastAsia" w:ascii="宋体" w:hAnsi="宋体" w:cs="宋体"/>
                <w:b/>
                <w:bCs/>
                <w:color w:val="auto"/>
                <w:sz w:val="24"/>
              </w:rPr>
              <w:t>2.2.4（2）</w:t>
            </w:r>
          </w:p>
        </w:tc>
        <w:tc>
          <w:tcPr>
            <w:tcW w:w="826" w:type="dxa"/>
            <w:tcBorders>
              <w:top w:val="single" w:color="auto" w:sz="4" w:space="0"/>
            </w:tcBorders>
            <w:vAlign w:val="center"/>
          </w:tcPr>
          <w:p w14:paraId="6FBBF577">
            <w:pPr>
              <w:spacing w:line="380" w:lineRule="exact"/>
              <w:jc w:val="center"/>
              <w:rPr>
                <w:rFonts w:ascii="宋体" w:hAnsi="宋体" w:cs="宋体"/>
                <w:b/>
                <w:bCs/>
                <w:color w:val="auto"/>
                <w:sz w:val="24"/>
              </w:rPr>
            </w:pPr>
            <w:r>
              <w:rPr>
                <w:rFonts w:hint="eastAsia" w:ascii="宋体" w:hAnsi="宋体" w:cs="宋体"/>
                <w:b/>
                <w:bCs/>
                <w:color w:val="auto"/>
                <w:sz w:val="24"/>
              </w:rPr>
              <w:t>技术</w:t>
            </w:r>
          </w:p>
          <w:p w14:paraId="57416215">
            <w:pPr>
              <w:spacing w:line="380" w:lineRule="exact"/>
              <w:jc w:val="center"/>
              <w:rPr>
                <w:rFonts w:ascii="宋体" w:hAnsi="宋体" w:cs="宋体"/>
                <w:b/>
                <w:bCs/>
                <w:color w:val="auto"/>
                <w:sz w:val="24"/>
              </w:rPr>
            </w:pPr>
            <w:r>
              <w:rPr>
                <w:rFonts w:hint="eastAsia" w:ascii="宋体" w:hAnsi="宋体" w:cs="宋体"/>
                <w:b/>
                <w:bCs/>
                <w:color w:val="auto"/>
                <w:sz w:val="24"/>
              </w:rPr>
              <w:t>部分</w:t>
            </w:r>
          </w:p>
          <w:p w14:paraId="29F75148">
            <w:pPr>
              <w:spacing w:line="380" w:lineRule="exact"/>
              <w:jc w:val="center"/>
              <w:rPr>
                <w:rFonts w:ascii="宋体" w:hAnsi="宋体" w:cs="宋体"/>
                <w:b/>
                <w:bCs/>
                <w:color w:val="auto"/>
                <w:sz w:val="24"/>
              </w:rPr>
            </w:pPr>
            <w:r>
              <w:rPr>
                <w:rFonts w:hint="eastAsia" w:ascii="宋体" w:hAnsi="宋体" w:cs="宋体"/>
                <w:b/>
                <w:bCs/>
                <w:color w:val="auto"/>
                <w:sz w:val="24"/>
                <w:lang w:val="en-US" w:eastAsia="zh-CN"/>
              </w:rPr>
              <w:t>25</w:t>
            </w:r>
            <w:r>
              <w:rPr>
                <w:rFonts w:hint="eastAsia" w:ascii="宋体" w:hAnsi="宋体" w:cs="宋体"/>
                <w:b/>
                <w:bCs/>
                <w:color w:val="auto"/>
                <w:sz w:val="24"/>
              </w:rPr>
              <w:t>分</w:t>
            </w:r>
          </w:p>
        </w:tc>
        <w:tc>
          <w:tcPr>
            <w:tcW w:w="1200" w:type="dxa"/>
            <w:tcBorders>
              <w:top w:val="single" w:color="auto" w:sz="4" w:space="0"/>
            </w:tcBorders>
            <w:vAlign w:val="center"/>
          </w:tcPr>
          <w:p w14:paraId="2AC5039A">
            <w:pPr>
              <w:spacing w:line="380" w:lineRule="exact"/>
              <w:jc w:val="center"/>
              <w:rPr>
                <w:rFonts w:ascii="宋体" w:hAnsi="宋体" w:cs="宋体"/>
                <w:b/>
                <w:bCs/>
                <w:color w:val="auto"/>
                <w:sz w:val="24"/>
              </w:rPr>
            </w:pPr>
            <w:r>
              <w:rPr>
                <w:rFonts w:hint="eastAsia" w:ascii="宋体" w:hAnsi="宋体" w:cs="宋体"/>
                <w:b/>
                <w:bCs/>
                <w:color w:val="auto"/>
                <w:sz w:val="24"/>
              </w:rPr>
              <w:t>技术</w:t>
            </w:r>
          </w:p>
          <w:p w14:paraId="6BE547D7">
            <w:pPr>
              <w:spacing w:line="380" w:lineRule="exact"/>
              <w:jc w:val="center"/>
              <w:rPr>
                <w:rFonts w:ascii="宋体" w:hAnsi="宋体" w:cs="宋体"/>
                <w:b/>
                <w:bCs/>
                <w:color w:val="auto"/>
                <w:sz w:val="24"/>
              </w:rPr>
            </w:pPr>
            <w:r>
              <w:rPr>
                <w:rFonts w:hint="eastAsia" w:ascii="宋体" w:hAnsi="宋体" w:cs="宋体"/>
                <w:b/>
                <w:bCs/>
                <w:color w:val="auto"/>
                <w:sz w:val="24"/>
              </w:rPr>
              <w:t>参数</w:t>
            </w:r>
          </w:p>
          <w:p w14:paraId="10B4EA76">
            <w:pPr>
              <w:spacing w:line="380" w:lineRule="exact"/>
              <w:jc w:val="center"/>
              <w:rPr>
                <w:rFonts w:ascii="宋体" w:hAnsi="宋体" w:cs="宋体"/>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25</w:t>
            </w:r>
            <w:r>
              <w:rPr>
                <w:rFonts w:hint="eastAsia" w:ascii="宋体" w:hAnsi="宋体" w:cs="宋体"/>
                <w:b/>
                <w:bCs/>
                <w:color w:val="auto"/>
                <w:sz w:val="24"/>
              </w:rPr>
              <w:t>分）</w:t>
            </w:r>
          </w:p>
        </w:tc>
        <w:tc>
          <w:tcPr>
            <w:tcW w:w="6377" w:type="dxa"/>
            <w:tcBorders>
              <w:top w:val="single" w:color="auto" w:sz="4" w:space="0"/>
              <w:right w:val="single" w:color="auto" w:sz="4" w:space="0"/>
            </w:tcBorders>
            <w:vAlign w:val="center"/>
          </w:tcPr>
          <w:p w14:paraId="0A558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highlight w:val="none"/>
                <w:lang w:val="zh-CN" w:eastAsia="zh-CN"/>
              </w:rPr>
              <w:t>投标产品技术参数及要求完全满足或优于招标文件技术参数及要求的得满分</w:t>
            </w:r>
            <w:r>
              <w:rPr>
                <w:rFonts w:hint="eastAsia" w:ascii="宋体" w:hAnsi="宋体" w:cs="宋体"/>
                <w:color w:val="auto"/>
                <w:sz w:val="24"/>
                <w:highlight w:val="none"/>
                <w:lang w:val="en-US" w:eastAsia="zh-CN"/>
              </w:rPr>
              <w:t>25</w:t>
            </w:r>
            <w:r>
              <w:rPr>
                <w:rFonts w:hint="eastAsia" w:ascii="宋体" w:hAnsi="宋体" w:cs="宋体"/>
                <w:color w:val="auto"/>
                <w:sz w:val="24"/>
                <w:highlight w:val="none"/>
                <w:lang w:val="zh-CN" w:eastAsia="zh-CN"/>
              </w:rPr>
              <w:t>分。不带▲项，每有一项不满足（负偏离）扣1分，</w:t>
            </w:r>
            <w:r>
              <w:rPr>
                <w:rFonts w:hint="eastAsia" w:ascii="宋体" w:hAnsi="宋体" w:cs="宋体"/>
                <w:color w:val="auto"/>
                <w:sz w:val="24"/>
                <w:highlight w:val="none"/>
                <w:lang w:val="zh-CN"/>
              </w:rPr>
              <w:t>扣完为止。</w:t>
            </w:r>
            <w:r>
              <w:rPr>
                <w:rFonts w:hint="eastAsia" w:ascii="宋体" w:hAnsi="宋体" w:cs="宋体"/>
                <w:color w:val="auto"/>
                <w:sz w:val="24"/>
                <w:highlight w:val="none"/>
                <w:lang w:val="zh-CN" w:eastAsia="zh-CN"/>
              </w:rPr>
              <w:t>带▲项，每有一个项不满足（负偏离）扣</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CN" w:eastAsia="zh-CN"/>
              </w:rPr>
              <w:t>分，扣完为止</w:t>
            </w:r>
            <w:r>
              <w:rPr>
                <w:rFonts w:hint="eastAsia" w:ascii="宋体" w:hAnsi="宋体" w:eastAsia="宋体" w:cs="宋体"/>
                <w:color w:val="auto"/>
                <w:sz w:val="24"/>
                <w:highlight w:val="none"/>
                <w:lang w:val="zh-CN" w:eastAsia="zh-CN"/>
              </w:rPr>
              <w:t>。</w:t>
            </w:r>
          </w:p>
        </w:tc>
      </w:tr>
      <w:tr w14:paraId="41CE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restart"/>
            <w:tcBorders>
              <w:top w:val="single" w:color="auto" w:sz="4" w:space="0"/>
              <w:left w:val="single" w:color="auto" w:sz="4" w:space="0"/>
            </w:tcBorders>
            <w:vAlign w:val="center"/>
          </w:tcPr>
          <w:p w14:paraId="5AC0019F">
            <w:pPr>
              <w:spacing w:line="380" w:lineRule="exact"/>
              <w:jc w:val="center"/>
              <w:rPr>
                <w:rFonts w:ascii="宋体" w:hAnsi="宋体" w:cs="宋体"/>
                <w:b/>
                <w:bCs/>
                <w:color w:val="auto"/>
                <w:sz w:val="24"/>
              </w:rPr>
            </w:pPr>
          </w:p>
          <w:p w14:paraId="302746B6">
            <w:pPr>
              <w:spacing w:line="380" w:lineRule="exact"/>
              <w:jc w:val="center"/>
              <w:rPr>
                <w:rFonts w:ascii="宋体" w:hAnsi="宋体" w:cs="宋体"/>
                <w:b/>
                <w:bCs/>
                <w:color w:val="auto"/>
                <w:sz w:val="24"/>
              </w:rPr>
            </w:pPr>
          </w:p>
          <w:p w14:paraId="4D80A0EB">
            <w:pPr>
              <w:spacing w:line="380" w:lineRule="exact"/>
              <w:jc w:val="center"/>
              <w:rPr>
                <w:rFonts w:ascii="宋体" w:hAnsi="宋体" w:cs="宋体"/>
                <w:b/>
                <w:bCs/>
                <w:color w:val="auto"/>
                <w:sz w:val="24"/>
              </w:rPr>
            </w:pPr>
          </w:p>
          <w:p w14:paraId="3C0302C7">
            <w:pPr>
              <w:spacing w:line="380" w:lineRule="exact"/>
              <w:jc w:val="center"/>
              <w:rPr>
                <w:rFonts w:ascii="宋体" w:hAnsi="宋体" w:cs="宋体"/>
                <w:b/>
                <w:bCs/>
                <w:color w:val="auto"/>
                <w:sz w:val="24"/>
              </w:rPr>
            </w:pPr>
          </w:p>
          <w:p w14:paraId="3CA01C1C">
            <w:pPr>
              <w:spacing w:line="380" w:lineRule="exact"/>
              <w:jc w:val="center"/>
              <w:rPr>
                <w:rFonts w:ascii="宋体" w:hAnsi="宋体" w:cs="宋体"/>
                <w:b/>
                <w:bCs/>
                <w:color w:val="auto"/>
                <w:sz w:val="24"/>
              </w:rPr>
            </w:pPr>
          </w:p>
          <w:p w14:paraId="68D8EEFB">
            <w:pPr>
              <w:spacing w:line="380" w:lineRule="exact"/>
              <w:jc w:val="center"/>
              <w:rPr>
                <w:rFonts w:ascii="宋体" w:hAnsi="宋体" w:cs="宋体"/>
                <w:b/>
                <w:bCs/>
                <w:color w:val="auto"/>
                <w:sz w:val="24"/>
              </w:rPr>
            </w:pPr>
          </w:p>
          <w:p w14:paraId="240357C2">
            <w:pPr>
              <w:spacing w:line="380" w:lineRule="exact"/>
              <w:jc w:val="center"/>
              <w:rPr>
                <w:rFonts w:ascii="宋体" w:hAnsi="宋体" w:cs="宋体"/>
                <w:b/>
                <w:bCs/>
                <w:color w:val="auto"/>
                <w:sz w:val="24"/>
              </w:rPr>
            </w:pPr>
          </w:p>
          <w:p w14:paraId="565B8F77">
            <w:pPr>
              <w:spacing w:line="380" w:lineRule="exact"/>
              <w:jc w:val="center"/>
              <w:rPr>
                <w:rFonts w:ascii="宋体" w:hAnsi="宋体" w:cs="宋体"/>
                <w:b/>
                <w:bCs/>
                <w:color w:val="auto"/>
                <w:sz w:val="24"/>
              </w:rPr>
            </w:pPr>
          </w:p>
          <w:p w14:paraId="3F4F866F">
            <w:pPr>
              <w:spacing w:line="380" w:lineRule="exact"/>
              <w:jc w:val="center"/>
              <w:rPr>
                <w:rFonts w:ascii="宋体" w:hAnsi="宋体" w:cs="宋体"/>
                <w:b/>
                <w:bCs/>
                <w:color w:val="auto"/>
                <w:sz w:val="24"/>
              </w:rPr>
            </w:pPr>
          </w:p>
          <w:p w14:paraId="264CCCC3">
            <w:pPr>
              <w:spacing w:line="380" w:lineRule="exact"/>
              <w:jc w:val="center"/>
              <w:rPr>
                <w:rFonts w:ascii="宋体" w:hAnsi="宋体" w:cs="宋体"/>
                <w:b/>
                <w:bCs/>
                <w:color w:val="auto"/>
                <w:sz w:val="24"/>
              </w:rPr>
            </w:pPr>
          </w:p>
          <w:p w14:paraId="468973F2">
            <w:pPr>
              <w:spacing w:line="380" w:lineRule="exact"/>
              <w:jc w:val="center"/>
              <w:rPr>
                <w:rFonts w:ascii="宋体" w:hAnsi="宋体" w:cs="宋体"/>
                <w:b/>
                <w:bCs/>
                <w:color w:val="auto"/>
                <w:sz w:val="24"/>
              </w:rPr>
            </w:pPr>
          </w:p>
          <w:p w14:paraId="14CC7EB5">
            <w:pPr>
              <w:spacing w:line="380" w:lineRule="exact"/>
              <w:jc w:val="center"/>
              <w:rPr>
                <w:rFonts w:ascii="宋体" w:hAnsi="宋体" w:cs="宋体"/>
                <w:b/>
                <w:bCs/>
                <w:color w:val="auto"/>
                <w:sz w:val="24"/>
              </w:rPr>
            </w:pPr>
            <w:r>
              <w:rPr>
                <w:rFonts w:hint="eastAsia" w:ascii="宋体" w:hAnsi="宋体" w:cs="宋体"/>
                <w:b/>
                <w:bCs/>
                <w:color w:val="auto"/>
                <w:sz w:val="24"/>
              </w:rPr>
              <w:t>2.2.4（3）</w:t>
            </w:r>
          </w:p>
          <w:p w14:paraId="7800DB69">
            <w:pPr>
              <w:pStyle w:val="3"/>
              <w:rPr>
                <w:rFonts w:ascii="宋体" w:hAnsi="宋体" w:cs="宋体"/>
                <w:b/>
                <w:bCs/>
                <w:color w:val="auto"/>
                <w:sz w:val="24"/>
              </w:rPr>
            </w:pPr>
          </w:p>
          <w:p w14:paraId="2B80D8BA">
            <w:pPr>
              <w:rPr>
                <w:rFonts w:ascii="宋体" w:hAnsi="宋体" w:cs="宋体"/>
                <w:b/>
                <w:bCs/>
                <w:color w:val="auto"/>
                <w:sz w:val="24"/>
              </w:rPr>
            </w:pPr>
          </w:p>
          <w:p w14:paraId="69D8672E">
            <w:pPr>
              <w:pStyle w:val="3"/>
              <w:rPr>
                <w:rFonts w:ascii="宋体" w:hAnsi="宋体" w:cs="宋体"/>
                <w:b/>
                <w:bCs/>
                <w:color w:val="auto"/>
                <w:sz w:val="24"/>
              </w:rPr>
            </w:pPr>
          </w:p>
          <w:p w14:paraId="43BF9F6A">
            <w:pPr>
              <w:rPr>
                <w:rFonts w:ascii="宋体" w:hAnsi="宋体" w:cs="宋体"/>
                <w:b/>
                <w:bCs/>
                <w:color w:val="auto"/>
                <w:sz w:val="24"/>
              </w:rPr>
            </w:pPr>
          </w:p>
          <w:p w14:paraId="4C46A343">
            <w:pPr>
              <w:pStyle w:val="3"/>
              <w:rPr>
                <w:rFonts w:ascii="宋体" w:hAnsi="宋体" w:cs="宋体"/>
                <w:b/>
                <w:bCs/>
                <w:color w:val="auto"/>
                <w:sz w:val="24"/>
              </w:rPr>
            </w:pPr>
          </w:p>
          <w:p w14:paraId="779DFDCA">
            <w:pPr>
              <w:rPr>
                <w:rFonts w:ascii="宋体" w:hAnsi="宋体" w:cs="宋体"/>
                <w:b/>
                <w:bCs/>
                <w:color w:val="auto"/>
                <w:sz w:val="24"/>
              </w:rPr>
            </w:pPr>
          </w:p>
          <w:p w14:paraId="731F59DD">
            <w:pPr>
              <w:pStyle w:val="3"/>
              <w:rPr>
                <w:rFonts w:ascii="宋体" w:hAnsi="宋体" w:cs="宋体"/>
                <w:b/>
                <w:bCs/>
                <w:color w:val="auto"/>
                <w:sz w:val="24"/>
              </w:rPr>
            </w:pPr>
          </w:p>
          <w:p w14:paraId="2A107A21">
            <w:pPr>
              <w:rPr>
                <w:rFonts w:ascii="宋体" w:hAnsi="宋体" w:cs="宋体"/>
                <w:b/>
                <w:bCs/>
                <w:color w:val="auto"/>
                <w:sz w:val="24"/>
              </w:rPr>
            </w:pPr>
          </w:p>
          <w:p w14:paraId="0E085730">
            <w:pPr>
              <w:pStyle w:val="3"/>
              <w:rPr>
                <w:rFonts w:ascii="宋体" w:hAnsi="宋体" w:cs="宋体"/>
                <w:b/>
                <w:bCs/>
                <w:color w:val="auto"/>
                <w:sz w:val="24"/>
              </w:rPr>
            </w:pPr>
          </w:p>
          <w:p w14:paraId="1675CE4F">
            <w:pPr>
              <w:rPr>
                <w:rFonts w:ascii="宋体" w:hAnsi="宋体" w:cs="宋体"/>
                <w:b/>
                <w:bCs/>
                <w:color w:val="auto"/>
                <w:sz w:val="24"/>
              </w:rPr>
            </w:pPr>
          </w:p>
          <w:p w14:paraId="7CBC51B0">
            <w:pPr>
              <w:pStyle w:val="3"/>
              <w:rPr>
                <w:rFonts w:ascii="宋体" w:hAnsi="宋体" w:cs="宋体"/>
                <w:b/>
                <w:bCs/>
                <w:color w:val="auto"/>
                <w:sz w:val="24"/>
              </w:rPr>
            </w:pPr>
          </w:p>
          <w:p w14:paraId="43EA9008">
            <w:pPr>
              <w:rPr>
                <w:rFonts w:ascii="宋体" w:hAnsi="宋体" w:cs="宋体"/>
                <w:b/>
                <w:bCs/>
                <w:color w:val="auto"/>
                <w:sz w:val="24"/>
              </w:rPr>
            </w:pPr>
          </w:p>
          <w:p w14:paraId="129DE61F">
            <w:pPr>
              <w:pStyle w:val="3"/>
              <w:rPr>
                <w:rFonts w:ascii="宋体" w:hAnsi="宋体" w:cs="宋体"/>
                <w:b/>
                <w:bCs/>
                <w:color w:val="auto"/>
                <w:sz w:val="24"/>
              </w:rPr>
            </w:pPr>
          </w:p>
          <w:p w14:paraId="0647FE93">
            <w:pPr>
              <w:rPr>
                <w:rFonts w:ascii="宋体" w:hAnsi="宋体" w:cs="宋体"/>
                <w:b/>
                <w:bCs/>
                <w:color w:val="auto"/>
                <w:sz w:val="24"/>
              </w:rPr>
            </w:pPr>
          </w:p>
          <w:p w14:paraId="6145B5FE">
            <w:pPr>
              <w:pStyle w:val="3"/>
              <w:rPr>
                <w:rFonts w:ascii="宋体" w:hAnsi="宋体" w:cs="宋体"/>
                <w:b/>
                <w:bCs/>
                <w:color w:val="auto"/>
                <w:sz w:val="24"/>
              </w:rPr>
            </w:pPr>
          </w:p>
          <w:p w14:paraId="5C9DA302">
            <w:pPr>
              <w:rPr>
                <w:rFonts w:ascii="宋体" w:hAnsi="宋体" w:cs="宋体"/>
                <w:b/>
                <w:bCs/>
                <w:color w:val="auto"/>
                <w:sz w:val="24"/>
              </w:rPr>
            </w:pPr>
          </w:p>
          <w:p w14:paraId="02F80642">
            <w:pPr>
              <w:pStyle w:val="3"/>
              <w:rPr>
                <w:color w:val="auto"/>
              </w:rPr>
            </w:pPr>
          </w:p>
        </w:tc>
        <w:tc>
          <w:tcPr>
            <w:tcW w:w="826" w:type="dxa"/>
            <w:vMerge w:val="restart"/>
            <w:tcBorders>
              <w:top w:val="single" w:color="auto" w:sz="4" w:space="0"/>
            </w:tcBorders>
            <w:vAlign w:val="center"/>
          </w:tcPr>
          <w:p w14:paraId="60E153CD">
            <w:pPr>
              <w:spacing w:line="380" w:lineRule="exact"/>
              <w:rPr>
                <w:rFonts w:ascii="宋体" w:hAnsi="宋体" w:cs="宋体"/>
                <w:b/>
                <w:bCs/>
                <w:color w:val="auto"/>
                <w:sz w:val="24"/>
              </w:rPr>
            </w:pPr>
          </w:p>
          <w:p w14:paraId="3FDA61D2">
            <w:pPr>
              <w:spacing w:line="380" w:lineRule="exact"/>
              <w:rPr>
                <w:rFonts w:ascii="宋体" w:hAnsi="宋体" w:cs="宋体"/>
                <w:b/>
                <w:bCs/>
                <w:color w:val="auto"/>
                <w:sz w:val="24"/>
              </w:rPr>
            </w:pPr>
          </w:p>
          <w:p w14:paraId="6ADAB274">
            <w:pPr>
              <w:spacing w:line="380" w:lineRule="exact"/>
              <w:rPr>
                <w:rFonts w:ascii="宋体" w:hAnsi="宋体" w:cs="宋体"/>
                <w:b/>
                <w:bCs/>
                <w:color w:val="auto"/>
                <w:sz w:val="24"/>
              </w:rPr>
            </w:pPr>
          </w:p>
          <w:p w14:paraId="3DC3D3E8">
            <w:pPr>
              <w:spacing w:line="380" w:lineRule="exact"/>
              <w:rPr>
                <w:rFonts w:ascii="宋体" w:hAnsi="宋体" w:cs="宋体"/>
                <w:b/>
                <w:bCs/>
                <w:color w:val="auto"/>
                <w:sz w:val="24"/>
              </w:rPr>
            </w:pPr>
          </w:p>
          <w:p w14:paraId="7C01854C">
            <w:pPr>
              <w:spacing w:line="380" w:lineRule="exact"/>
              <w:rPr>
                <w:rFonts w:ascii="宋体" w:hAnsi="宋体" w:cs="宋体"/>
                <w:b/>
                <w:bCs/>
                <w:color w:val="auto"/>
                <w:sz w:val="24"/>
              </w:rPr>
            </w:pPr>
          </w:p>
          <w:p w14:paraId="5CF46382">
            <w:pPr>
              <w:spacing w:line="380" w:lineRule="exact"/>
              <w:rPr>
                <w:rFonts w:ascii="宋体" w:hAnsi="宋体" w:cs="宋体"/>
                <w:b/>
                <w:bCs/>
                <w:color w:val="auto"/>
                <w:sz w:val="24"/>
              </w:rPr>
            </w:pPr>
          </w:p>
          <w:p w14:paraId="0CCB51EB">
            <w:pPr>
              <w:spacing w:line="380" w:lineRule="exact"/>
              <w:rPr>
                <w:rFonts w:ascii="宋体" w:hAnsi="宋体" w:cs="宋体"/>
                <w:b/>
                <w:bCs/>
                <w:color w:val="auto"/>
                <w:sz w:val="24"/>
              </w:rPr>
            </w:pPr>
          </w:p>
          <w:p w14:paraId="02FAAAAF">
            <w:pPr>
              <w:spacing w:line="380" w:lineRule="exact"/>
              <w:rPr>
                <w:rFonts w:ascii="宋体" w:hAnsi="宋体" w:cs="宋体"/>
                <w:b/>
                <w:bCs/>
                <w:color w:val="auto"/>
                <w:sz w:val="24"/>
              </w:rPr>
            </w:pPr>
          </w:p>
          <w:p w14:paraId="18CE6589">
            <w:pPr>
              <w:spacing w:line="380" w:lineRule="exact"/>
              <w:rPr>
                <w:rFonts w:ascii="宋体" w:hAnsi="宋体" w:cs="宋体"/>
                <w:b/>
                <w:bCs/>
                <w:color w:val="auto"/>
                <w:sz w:val="24"/>
              </w:rPr>
            </w:pPr>
          </w:p>
          <w:p w14:paraId="742602B8">
            <w:pPr>
              <w:spacing w:line="380" w:lineRule="exact"/>
              <w:rPr>
                <w:rFonts w:ascii="宋体" w:hAnsi="宋体" w:cs="宋体"/>
                <w:b/>
                <w:bCs/>
                <w:color w:val="auto"/>
                <w:sz w:val="24"/>
              </w:rPr>
            </w:pPr>
          </w:p>
          <w:p w14:paraId="27F97CFF">
            <w:pPr>
              <w:spacing w:line="380" w:lineRule="exact"/>
              <w:jc w:val="center"/>
              <w:rPr>
                <w:rFonts w:ascii="宋体" w:hAnsi="宋体" w:cs="宋体"/>
                <w:b/>
                <w:bCs/>
                <w:color w:val="auto"/>
                <w:sz w:val="24"/>
              </w:rPr>
            </w:pPr>
            <w:r>
              <w:rPr>
                <w:rFonts w:hint="eastAsia" w:ascii="宋体" w:hAnsi="宋体" w:cs="宋体"/>
                <w:b/>
                <w:bCs/>
                <w:color w:val="auto"/>
                <w:sz w:val="24"/>
              </w:rPr>
              <w:t>综合</w:t>
            </w:r>
          </w:p>
          <w:p w14:paraId="7D83181F">
            <w:pPr>
              <w:spacing w:line="380" w:lineRule="exact"/>
              <w:jc w:val="center"/>
              <w:rPr>
                <w:rFonts w:ascii="宋体" w:hAnsi="宋体" w:cs="宋体"/>
                <w:b/>
                <w:bCs/>
                <w:color w:val="auto"/>
                <w:sz w:val="24"/>
              </w:rPr>
            </w:pPr>
            <w:r>
              <w:rPr>
                <w:rFonts w:hint="eastAsia" w:ascii="宋体" w:hAnsi="宋体" w:cs="宋体"/>
                <w:b/>
                <w:bCs/>
                <w:color w:val="auto"/>
                <w:sz w:val="24"/>
              </w:rPr>
              <w:t>部分</w:t>
            </w:r>
          </w:p>
          <w:p w14:paraId="5C0D3A88">
            <w:pPr>
              <w:spacing w:line="380" w:lineRule="exact"/>
              <w:jc w:val="center"/>
              <w:rPr>
                <w:rFonts w:ascii="宋体" w:hAnsi="宋体" w:cs="宋体"/>
                <w:b/>
                <w:bCs/>
                <w:color w:val="auto"/>
                <w:sz w:val="24"/>
              </w:rPr>
            </w:pPr>
            <w:r>
              <w:rPr>
                <w:rFonts w:hint="eastAsia" w:ascii="宋体" w:hAnsi="宋体" w:cs="宋体"/>
                <w:b/>
                <w:bCs/>
                <w:color w:val="auto"/>
                <w:sz w:val="24"/>
                <w:lang w:val="en-US" w:eastAsia="zh-CN"/>
              </w:rPr>
              <w:t>30</w:t>
            </w:r>
            <w:r>
              <w:rPr>
                <w:rFonts w:hint="eastAsia" w:ascii="宋体" w:hAnsi="宋体" w:cs="宋体"/>
                <w:b/>
                <w:bCs/>
                <w:color w:val="auto"/>
                <w:sz w:val="24"/>
              </w:rPr>
              <w:t>分</w:t>
            </w:r>
          </w:p>
        </w:tc>
        <w:tc>
          <w:tcPr>
            <w:tcW w:w="1200" w:type="dxa"/>
            <w:tcBorders>
              <w:top w:val="single" w:color="auto" w:sz="4" w:space="0"/>
            </w:tcBorders>
            <w:vAlign w:val="center"/>
          </w:tcPr>
          <w:p w14:paraId="259CF8B9">
            <w:pPr>
              <w:spacing w:line="380" w:lineRule="exact"/>
              <w:jc w:val="center"/>
              <w:rPr>
                <w:rFonts w:ascii="宋体" w:hAnsi="宋体" w:cs="宋体"/>
                <w:b/>
                <w:bCs/>
                <w:color w:val="auto"/>
                <w:sz w:val="24"/>
              </w:rPr>
            </w:pPr>
            <w:r>
              <w:rPr>
                <w:rFonts w:hint="eastAsia" w:ascii="宋体" w:hAnsi="宋体" w:cs="宋体"/>
                <w:b/>
                <w:bCs/>
                <w:color w:val="auto"/>
                <w:sz w:val="24"/>
              </w:rPr>
              <w:t>类似业绩</w:t>
            </w:r>
          </w:p>
          <w:p w14:paraId="52D2A103">
            <w:pPr>
              <w:spacing w:line="380" w:lineRule="exact"/>
              <w:jc w:val="center"/>
              <w:rPr>
                <w:color w:val="auto"/>
              </w:rPr>
            </w:pPr>
            <w:r>
              <w:rPr>
                <w:rFonts w:hint="eastAsia" w:ascii="宋体" w:hAnsi="宋体" w:cs="宋体"/>
                <w:b/>
                <w:bCs/>
                <w:color w:val="auto"/>
                <w:sz w:val="24"/>
              </w:rPr>
              <w:t>（</w:t>
            </w:r>
            <w:r>
              <w:rPr>
                <w:rFonts w:hint="eastAsia" w:ascii="宋体" w:hAnsi="宋体" w:cs="宋体"/>
                <w:b/>
                <w:bCs/>
                <w:color w:val="auto"/>
                <w:sz w:val="24"/>
                <w:lang w:val="en-US" w:eastAsia="zh-CN"/>
              </w:rPr>
              <w:t>6</w:t>
            </w:r>
            <w:r>
              <w:rPr>
                <w:rFonts w:hint="eastAsia" w:ascii="宋体" w:hAnsi="宋体" w:cs="宋体"/>
                <w:b/>
                <w:bCs/>
                <w:color w:val="auto"/>
                <w:sz w:val="24"/>
              </w:rPr>
              <w:t>分）</w:t>
            </w:r>
          </w:p>
        </w:tc>
        <w:tc>
          <w:tcPr>
            <w:tcW w:w="6377" w:type="dxa"/>
            <w:tcBorders>
              <w:top w:val="single" w:color="auto" w:sz="4" w:space="0"/>
              <w:right w:val="single" w:color="auto" w:sz="4" w:space="0"/>
            </w:tcBorders>
            <w:vAlign w:val="center"/>
          </w:tcPr>
          <w:p w14:paraId="08403630">
            <w:pPr>
              <w:spacing w:line="380" w:lineRule="exact"/>
              <w:rPr>
                <w:rFonts w:ascii="宋体" w:hAnsi="宋体" w:cs="宋体"/>
                <w:color w:val="auto"/>
                <w:sz w:val="24"/>
                <w:highlight w:val="none"/>
              </w:rPr>
            </w:pPr>
            <w:r>
              <w:rPr>
                <w:rFonts w:hint="eastAsia" w:ascii="宋体" w:hAnsi="宋体" w:cs="宋体"/>
                <w:color w:val="auto"/>
                <w:sz w:val="24"/>
                <w:highlight w:val="none"/>
              </w:rPr>
              <w:t>提供202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年1月1日（以合同签订时间为准）以来类似</w:t>
            </w:r>
            <w:r>
              <w:rPr>
                <w:rFonts w:hint="eastAsia" w:ascii="宋体" w:hAnsi="宋体" w:cs="宋体"/>
                <w:color w:val="auto"/>
                <w:sz w:val="24"/>
                <w:highlight w:val="none"/>
                <w:lang w:eastAsia="zh-CN"/>
              </w:rPr>
              <w:t>项目</w:t>
            </w:r>
            <w:r>
              <w:rPr>
                <w:rFonts w:hint="eastAsia" w:ascii="宋体" w:hAnsi="宋体" w:cs="宋体"/>
                <w:color w:val="auto"/>
                <w:sz w:val="24"/>
                <w:highlight w:val="none"/>
              </w:rPr>
              <w:t>业绩</w:t>
            </w:r>
            <w:r>
              <w:rPr>
                <w:rFonts w:hint="eastAsia" w:ascii="宋体" w:hAnsi="宋体" w:cs="宋体"/>
                <w:b/>
                <w:bCs/>
                <w:color w:val="auto"/>
                <w:sz w:val="24"/>
                <w:highlight w:val="none"/>
              </w:rPr>
              <w:t>，</w:t>
            </w:r>
            <w:r>
              <w:rPr>
                <w:rFonts w:hint="eastAsia" w:ascii="宋体" w:hAnsi="宋体" w:cs="宋体"/>
                <w:color w:val="auto"/>
                <w:sz w:val="24"/>
                <w:highlight w:val="none"/>
              </w:rPr>
              <w:t>每提供一份类似业绩得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分，最多得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p w14:paraId="282F7555">
            <w:pPr>
              <w:spacing w:line="380" w:lineRule="exac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注：供应商须按照投标文件格式中“类似业绩一览表”填写类似业绩的相关内容，并同时提供合同原件扫描件、用户联系人、联系电话以及项目简介，以便在评标过程中进行审查</w:t>
            </w:r>
            <w:r>
              <w:rPr>
                <w:rFonts w:hint="eastAsia" w:ascii="宋体" w:hAnsi="宋体" w:cs="宋体"/>
                <w:color w:val="auto"/>
                <w:sz w:val="24"/>
                <w:highlight w:val="none"/>
                <w:lang w:val="en-US" w:eastAsia="zh-CN"/>
              </w:rPr>
              <w:t>。</w:t>
            </w:r>
          </w:p>
        </w:tc>
      </w:tr>
      <w:tr w14:paraId="7707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continue"/>
            <w:tcBorders>
              <w:left w:val="single" w:color="auto" w:sz="4" w:space="0"/>
            </w:tcBorders>
            <w:vAlign w:val="center"/>
          </w:tcPr>
          <w:p w14:paraId="7C76C38C">
            <w:pPr>
              <w:pStyle w:val="3"/>
              <w:rPr>
                <w:color w:val="auto"/>
              </w:rPr>
            </w:pPr>
          </w:p>
        </w:tc>
        <w:tc>
          <w:tcPr>
            <w:tcW w:w="826" w:type="dxa"/>
            <w:vMerge w:val="continue"/>
            <w:vAlign w:val="center"/>
          </w:tcPr>
          <w:p w14:paraId="69ECE206">
            <w:pPr>
              <w:spacing w:line="380" w:lineRule="exact"/>
              <w:jc w:val="center"/>
              <w:rPr>
                <w:rFonts w:hint="eastAsia" w:ascii="宋体" w:hAnsi="宋体" w:cs="宋体"/>
                <w:b/>
                <w:bCs/>
                <w:color w:val="auto"/>
                <w:sz w:val="24"/>
                <w:lang w:val="en-US" w:eastAsia="zh-CN"/>
              </w:rPr>
            </w:pPr>
          </w:p>
        </w:tc>
        <w:tc>
          <w:tcPr>
            <w:tcW w:w="1200" w:type="dxa"/>
            <w:tcBorders>
              <w:top w:val="single" w:color="auto" w:sz="4" w:space="0"/>
            </w:tcBorders>
            <w:vAlign w:val="center"/>
          </w:tcPr>
          <w:p w14:paraId="3D0486E9">
            <w:pPr>
              <w:spacing w:line="380" w:lineRule="exact"/>
              <w:jc w:val="center"/>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项目实施方案</w:t>
            </w:r>
          </w:p>
          <w:p w14:paraId="056C4232">
            <w:pPr>
              <w:spacing w:line="380" w:lineRule="exact"/>
              <w:jc w:val="center"/>
              <w:rPr>
                <w:rFonts w:hint="eastAsia" w:ascii="宋体" w:hAnsi="宋体" w:cs="宋体"/>
                <w:b/>
                <w:bCs/>
                <w:color w:val="auto"/>
                <w:sz w:val="24"/>
              </w:rPr>
            </w:pPr>
            <w:r>
              <w:rPr>
                <w:rFonts w:hint="eastAsia" w:ascii="宋体" w:hAnsi="宋体" w:eastAsia="宋体" w:cs="宋体"/>
                <w:b/>
                <w:bCs/>
                <w:color w:val="auto"/>
                <w:sz w:val="24"/>
                <w:lang w:eastAsia="zh-CN"/>
              </w:rPr>
              <w:t>(</w:t>
            </w:r>
            <w:r>
              <w:rPr>
                <w:rFonts w:hint="eastAsia" w:ascii="宋体" w:hAnsi="宋体" w:cs="宋体"/>
                <w:b/>
                <w:bCs/>
                <w:color w:val="auto"/>
                <w:sz w:val="24"/>
                <w:lang w:val="en-US" w:eastAsia="zh-CN"/>
              </w:rPr>
              <w:t>6</w:t>
            </w:r>
            <w:r>
              <w:rPr>
                <w:rFonts w:hint="eastAsia" w:ascii="宋体" w:hAnsi="宋体" w:eastAsia="宋体" w:cs="宋体"/>
                <w:b/>
                <w:bCs/>
                <w:color w:val="auto"/>
                <w:sz w:val="24"/>
                <w:lang w:eastAsia="zh-CN"/>
              </w:rPr>
              <w:t>分)</w:t>
            </w:r>
          </w:p>
        </w:tc>
        <w:tc>
          <w:tcPr>
            <w:tcW w:w="6377" w:type="dxa"/>
            <w:tcBorders>
              <w:top w:val="single" w:color="auto" w:sz="4" w:space="0"/>
              <w:right w:val="single" w:color="auto" w:sz="4" w:space="0"/>
            </w:tcBorders>
            <w:vAlign w:val="center"/>
          </w:tcPr>
          <w:p w14:paraId="6E28C2DB">
            <w:pPr>
              <w:spacing w:line="3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根据供应商的项目实施方案（包含但不限于整体实施计划</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供货运输方案，安装及验收方案，安全管理措施、人员配备、管理机构措施、家具成品除味、产品质量及环保承诺等方面）进行综合评分：</w:t>
            </w:r>
          </w:p>
          <w:p w14:paraId="284EC6D4">
            <w:pPr>
              <w:spacing w:line="380" w:lineRule="exact"/>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项目实施方案对每项内容论述详细、完整、清晰，可操作性强，能很好的满足项目</w:t>
            </w:r>
            <w:r>
              <w:rPr>
                <w:rFonts w:hint="eastAsia" w:ascii="宋体" w:hAnsi="宋体" w:cs="宋体"/>
                <w:color w:val="auto"/>
                <w:sz w:val="24"/>
                <w:lang w:val="en-US" w:eastAsia="zh-CN"/>
              </w:rPr>
              <w:t>采购</w:t>
            </w:r>
            <w:r>
              <w:rPr>
                <w:rFonts w:hint="eastAsia" w:ascii="宋体" w:hAnsi="宋体" w:eastAsia="宋体" w:cs="宋体"/>
                <w:color w:val="auto"/>
                <w:sz w:val="24"/>
                <w:lang w:val="en-US" w:eastAsia="zh-CN"/>
              </w:rPr>
              <w:t>需求得</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分</w:t>
            </w:r>
            <w:r>
              <w:rPr>
                <w:rFonts w:hint="eastAsia" w:ascii="宋体" w:hAnsi="宋体" w:eastAsia="宋体" w:cs="宋体"/>
                <w:color w:val="auto"/>
                <w:sz w:val="24"/>
                <w:lang w:val="zh-CN" w:eastAsia="zh-CN"/>
              </w:rPr>
              <w:t>；</w:t>
            </w:r>
          </w:p>
          <w:p w14:paraId="6588B306">
            <w:pPr>
              <w:spacing w:line="3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项目实施方案对每项内容论述较详细完整、可操作性较强，较能满足项目需求的得</w:t>
            </w: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分；</w:t>
            </w:r>
          </w:p>
          <w:p w14:paraId="689300BD">
            <w:pPr>
              <w:spacing w:line="3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项目实施方案对每项内容虽阐述但未贴合采购需求进行论述、清晰性和详实性一般、基本能满足项目需求的得</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分；</w:t>
            </w:r>
          </w:p>
          <w:p w14:paraId="3B7D249A">
            <w:pPr>
              <w:spacing w:line="380" w:lineRule="exact"/>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项目实施方案对每项内容阐述不完整、粗略、不清晰、不详实</w:t>
            </w: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可操作性差，不能满足项目需求的得1分；</w:t>
            </w:r>
          </w:p>
          <w:p w14:paraId="38EAD199">
            <w:pPr>
              <w:spacing w:line="3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不提供不得分。</w:t>
            </w:r>
          </w:p>
        </w:tc>
      </w:tr>
      <w:tr w14:paraId="4FC9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continue"/>
            <w:tcBorders>
              <w:left w:val="single" w:color="auto" w:sz="4" w:space="0"/>
            </w:tcBorders>
            <w:vAlign w:val="center"/>
          </w:tcPr>
          <w:p w14:paraId="59B32609">
            <w:pPr>
              <w:pStyle w:val="3"/>
              <w:rPr>
                <w:color w:val="auto"/>
              </w:rPr>
            </w:pPr>
          </w:p>
        </w:tc>
        <w:tc>
          <w:tcPr>
            <w:tcW w:w="826" w:type="dxa"/>
            <w:vMerge w:val="continue"/>
            <w:vAlign w:val="center"/>
          </w:tcPr>
          <w:p w14:paraId="47E4F285">
            <w:pPr>
              <w:spacing w:line="380" w:lineRule="exact"/>
              <w:jc w:val="center"/>
              <w:rPr>
                <w:rFonts w:hint="eastAsia" w:ascii="宋体" w:hAnsi="宋体" w:cs="宋体"/>
                <w:b/>
                <w:bCs/>
                <w:color w:val="auto"/>
                <w:sz w:val="24"/>
                <w:lang w:val="en-US" w:eastAsia="zh-CN"/>
              </w:rPr>
            </w:pPr>
          </w:p>
        </w:tc>
        <w:tc>
          <w:tcPr>
            <w:tcW w:w="1200" w:type="dxa"/>
            <w:tcBorders>
              <w:top w:val="single" w:color="auto" w:sz="4" w:space="0"/>
            </w:tcBorders>
            <w:vAlign w:val="center"/>
          </w:tcPr>
          <w:p w14:paraId="0E2AD587">
            <w:pPr>
              <w:spacing w:line="380" w:lineRule="exac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质量管控方案</w:t>
            </w:r>
          </w:p>
          <w:p w14:paraId="198ED1B6">
            <w:pPr>
              <w:spacing w:line="380" w:lineRule="exac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分)</w:t>
            </w:r>
          </w:p>
          <w:p w14:paraId="6E1BFDA6">
            <w:pPr>
              <w:spacing w:line="380" w:lineRule="exact"/>
              <w:jc w:val="center"/>
              <w:rPr>
                <w:rFonts w:hint="eastAsia" w:ascii="宋体" w:hAnsi="宋体" w:eastAsia="宋体" w:cs="宋体"/>
                <w:b/>
                <w:bCs/>
                <w:color w:val="auto"/>
                <w:sz w:val="24"/>
                <w:highlight w:val="none"/>
                <w:lang w:eastAsia="zh-CN"/>
              </w:rPr>
            </w:pPr>
          </w:p>
        </w:tc>
        <w:tc>
          <w:tcPr>
            <w:tcW w:w="6377" w:type="dxa"/>
            <w:tcBorders>
              <w:top w:val="single" w:color="auto" w:sz="4" w:space="0"/>
              <w:right w:val="single" w:color="auto" w:sz="4" w:space="0"/>
            </w:tcBorders>
            <w:vAlign w:val="center"/>
          </w:tcPr>
          <w:p w14:paraId="2742102E">
            <w:pPr>
              <w:spacing w:line="38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根据供应商</w:t>
            </w:r>
            <w:r>
              <w:rPr>
                <w:rFonts w:hint="default" w:ascii="宋体" w:hAnsi="宋体" w:eastAsia="宋体" w:cs="宋体"/>
                <w:color w:val="auto"/>
                <w:sz w:val="24"/>
                <w:highlight w:val="none"/>
              </w:rPr>
              <w:t>提供</w:t>
            </w:r>
            <w:r>
              <w:rPr>
                <w:rFonts w:hint="eastAsia" w:ascii="宋体" w:hAnsi="宋体" w:cs="宋体"/>
                <w:color w:val="auto"/>
                <w:sz w:val="24"/>
                <w:highlight w:val="none"/>
                <w:lang w:val="en-US" w:eastAsia="zh-CN"/>
              </w:rPr>
              <w:t>的</w:t>
            </w:r>
            <w:r>
              <w:rPr>
                <w:rFonts w:hint="default" w:ascii="宋体" w:hAnsi="宋体" w:eastAsia="宋体" w:cs="宋体"/>
                <w:color w:val="auto"/>
                <w:sz w:val="24"/>
                <w:highlight w:val="none"/>
              </w:rPr>
              <w:t>质量管控方案</w:t>
            </w:r>
            <w:r>
              <w:rPr>
                <w:rFonts w:hint="eastAsia" w:ascii="宋体" w:hAnsi="宋体" w:cs="宋体"/>
                <w:color w:val="auto"/>
                <w:sz w:val="24"/>
                <w:highlight w:val="none"/>
                <w:lang w:eastAsia="zh-CN"/>
              </w:rPr>
              <w:t>（</w:t>
            </w:r>
            <w:r>
              <w:rPr>
                <w:rFonts w:hint="default" w:ascii="宋体" w:hAnsi="宋体" w:eastAsia="宋体" w:cs="宋体"/>
                <w:color w:val="auto"/>
                <w:sz w:val="24"/>
                <w:highlight w:val="none"/>
              </w:rPr>
              <w:t>方案包含但不限于原材料质量控制、成品质量控制、家具生产工艺流程、出厂包装质量保证措施</w:t>
            </w:r>
            <w:r>
              <w:rPr>
                <w:rFonts w:hint="eastAsia" w:ascii="宋体" w:hAnsi="宋体" w:cs="宋体"/>
                <w:color w:val="auto"/>
                <w:sz w:val="24"/>
                <w:highlight w:val="none"/>
                <w:lang w:eastAsia="zh-CN"/>
              </w:rPr>
              <w:t>、</w:t>
            </w:r>
            <w:r>
              <w:rPr>
                <w:rFonts w:hint="default" w:ascii="宋体" w:hAnsi="宋体" w:eastAsia="宋体" w:cs="宋体"/>
                <w:color w:val="auto"/>
                <w:sz w:val="24"/>
                <w:highlight w:val="none"/>
              </w:rPr>
              <w:t>质量检验标准等</w:t>
            </w:r>
            <w:r>
              <w:rPr>
                <w:rFonts w:hint="eastAsia" w:ascii="宋体" w:hAnsi="宋体" w:eastAsia="宋体" w:cs="宋体"/>
                <w:color w:val="auto"/>
                <w:sz w:val="24"/>
                <w:highlight w:val="none"/>
                <w:lang w:val="en-US" w:eastAsia="zh-CN"/>
              </w:rPr>
              <w:t>方面</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进行</w:t>
            </w:r>
            <w:r>
              <w:rPr>
                <w:rFonts w:hint="eastAsia" w:ascii="宋体" w:hAnsi="宋体" w:eastAsia="宋体" w:cs="宋体"/>
                <w:color w:val="auto"/>
                <w:sz w:val="24"/>
                <w:highlight w:val="none"/>
                <w:lang w:val="zh-CN" w:eastAsia="zh-CN"/>
              </w:rPr>
              <w:t>打分</w:t>
            </w:r>
            <w:r>
              <w:rPr>
                <w:rFonts w:hint="eastAsia" w:ascii="宋体" w:hAnsi="宋体" w:eastAsia="宋体" w:cs="宋体"/>
                <w:color w:val="auto"/>
                <w:sz w:val="24"/>
                <w:highlight w:val="none"/>
                <w:lang w:val="en-US" w:eastAsia="zh-CN"/>
              </w:rPr>
              <w:t>：</w:t>
            </w:r>
          </w:p>
          <w:p w14:paraId="465557E4">
            <w:pPr>
              <w:spacing w:line="38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）质量管控方案</w:t>
            </w:r>
            <w:r>
              <w:rPr>
                <w:rFonts w:hint="eastAsia" w:ascii="宋体" w:hAnsi="宋体" w:eastAsia="宋体" w:cs="宋体"/>
                <w:color w:val="auto"/>
                <w:sz w:val="24"/>
                <w:highlight w:val="none"/>
                <w:lang w:val="en-US" w:eastAsia="zh-CN"/>
              </w:rPr>
              <w:t>内容全面，科学合理，可行性高、可操作性强，得</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w:t>
            </w:r>
          </w:p>
          <w:p w14:paraId="34973C9E">
            <w:pPr>
              <w:spacing w:line="38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（2）质量管控方案内容较全面，较科学合理，可行性及可操作性较高，得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w:t>
            </w:r>
          </w:p>
          <w:p w14:paraId="5807F12F">
            <w:pPr>
              <w:spacing w:line="38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（3）质量管控方案内容不全面，或存在明显缺陷、可操作性差，得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w:t>
            </w:r>
          </w:p>
          <w:p w14:paraId="25105BB7">
            <w:pPr>
              <w:spacing w:line="38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未提供不得分。</w:t>
            </w:r>
          </w:p>
        </w:tc>
      </w:tr>
      <w:tr w14:paraId="087C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continue"/>
            <w:tcBorders>
              <w:left w:val="single" w:color="auto" w:sz="4" w:space="0"/>
            </w:tcBorders>
            <w:vAlign w:val="center"/>
          </w:tcPr>
          <w:p w14:paraId="2E92EFED">
            <w:pPr>
              <w:pStyle w:val="3"/>
              <w:rPr>
                <w:color w:val="auto"/>
              </w:rPr>
            </w:pPr>
          </w:p>
        </w:tc>
        <w:tc>
          <w:tcPr>
            <w:tcW w:w="826" w:type="dxa"/>
            <w:vMerge w:val="continue"/>
            <w:vAlign w:val="center"/>
          </w:tcPr>
          <w:p w14:paraId="2217E135">
            <w:pPr>
              <w:spacing w:line="380" w:lineRule="exact"/>
              <w:jc w:val="center"/>
              <w:rPr>
                <w:rFonts w:hint="eastAsia" w:ascii="宋体" w:hAnsi="宋体" w:cs="宋体"/>
                <w:b/>
                <w:bCs/>
                <w:color w:val="auto"/>
                <w:sz w:val="24"/>
              </w:rPr>
            </w:pPr>
          </w:p>
        </w:tc>
        <w:tc>
          <w:tcPr>
            <w:tcW w:w="1200" w:type="dxa"/>
            <w:tcBorders>
              <w:top w:val="single" w:color="auto" w:sz="4" w:space="0"/>
            </w:tcBorders>
            <w:vAlign w:val="center"/>
          </w:tcPr>
          <w:p w14:paraId="12BE184F">
            <w:pPr>
              <w:spacing w:line="380" w:lineRule="exact"/>
              <w:jc w:val="center"/>
              <w:rPr>
                <w:rFonts w:ascii="宋体" w:hAnsi="宋体" w:cs="宋体"/>
                <w:b/>
                <w:bCs/>
                <w:color w:val="auto"/>
                <w:sz w:val="24"/>
              </w:rPr>
            </w:pPr>
            <w:r>
              <w:rPr>
                <w:rFonts w:hint="eastAsia" w:ascii="宋体" w:hAnsi="宋体" w:cs="宋体"/>
                <w:b/>
                <w:bCs/>
                <w:color w:val="auto"/>
                <w:sz w:val="24"/>
              </w:rPr>
              <w:t>售后服务方案</w:t>
            </w:r>
          </w:p>
          <w:p w14:paraId="52EFEBB9">
            <w:pPr>
              <w:spacing w:line="380" w:lineRule="exact"/>
              <w:jc w:val="center"/>
              <w:rPr>
                <w:rFonts w:hint="eastAsia" w:ascii="宋体" w:hAnsi="宋体" w:cs="宋体"/>
                <w:b/>
                <w:bCs/>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4</w:t>
            </w:r>
            <w:r>
              <w:rPr>
                <w:rFonts w:hint="eastAsia" w:ascii="宋体" w:hAnsi="宋体" w:cs="宋体"/>
                <w:b/>
                <w:bCs/>
                <w:color w:val="auto"/>
                <w:sz w:val="24"/>
              </w:rPr>
              <w:t>分）</w:t>
            </w:r>
          </w:p>
        </w:tc>
        <w:tc>
          <w:tcPr>
            <w:tcW w:w="6377" w:type="dxa"/>
            <w:tcBorders>
              <w:top w:val="single" w:color="auto" w:sz="4" w:space="0"/>
              <w:right w:val="single" w:color="auto" w:sz="4" w:space="0"/>
            </w:tcBorders>
            <w:vAlign w:val="center"/>
          </w:tcPr>
          <w:p w14:paraId="421BB9B9">
            <w:pPr>
              <w:spacing w:line="3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评标委员会根据投标供应商提供的售后服务方案[</w:t>
            </w:r>
            <w:r>
              <w:rPr>
                <w:rFonts w:hint="default" w:ascii="宋体" w:hAnsi="宋体" w:eastAsia="宋体" w:cs="宋体"/>
                <w:color w:val="auto"/>
                <w:sz w:val="24"/>
              </w:rPr>
              <w:t>包含但不限于</w:t>
            </w:r>
            <w:r>
              <w:rPr>
                <w:rFonts w:hint="eastAsia" w:ascii="宋体" w:hAnsi="宋体" w:cs="宋体"/>
                <w:color w:val="auto"/>
                <w:sz w:val="24"/>
                <w:lang w:eastAsia="zh-CN"/>
              </w:rPr>
              <w:t>：</w:t>
            </w:r>
            <w:r>
              <w:rPr>
                <w:rFonts w:hint="eastAsia" w:ascii="宋体" w:hAnsi="宋体" w:eastAsia="宋体" w:cs="宋体"/>
                <w:color w:val="auto"/>
                <w:sz w:val="24"/>
                <w:lang w:val="en-US" w:eastAsia="zh-CN"/>
              </w:rPr>
              <w:t>质保期内</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质保期外售后服务内容及方式、售后服务机构网点情况、售后服务人员安排情况、应急维修时间安排（响应及到达时间、维修地点、地址、联系电话及联系人员）、维修服务收费方式、主要零配件及易耗品价格、</w:t>
            </w:r>
            <w:r>
              <w:rPr>
                <w:rFonts w:hint="eastAsia" w:ascii="宋体" w:hAnsi="宋体" w:cs="宋体"/>
                <w:color w:val="auto"/>
                <w:sz w:val="24"/>
                <w:lang w:val="en-US" w:eastAsia="zh-CN"/>
              </w:rPr>
              <w:t>其它</w:t>
            </w:r>
            <w:r>
              <w:rPr>
                <w:rFonts w:hint="eastAsia" w:ascii="宋体" w:hAnsi="宋体" w:eastAsia="宋体" w:cs="宋体"/>
                <w:color w:val="auto"/>
                <w:sz w:val="24"/>
                <w:lang w:val="en-US" w:eastAsia="zh-CN"/>
              </w:rPr>
              <w:t>服务承诺等］进行评审：</w:t>
            </w:r>
          </w:p>
          <w:p w14:paraId="4719A6A1">
            <w:pPr>
              <w:numPr>
                <w:ilvl w:val="0"/>
                <w:numId w:val="11"/>
              </w:numPr>
              <w:spacing w:line="3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lang w:val="en-US" w:eastAsia="zh-CN"/>
              </w:rPr>
              <w:t>售后服务方案内容详实完善、考虑周全、</w:t>
            </w:r>
            <w:r>
              <w:rPr>
                <w:rFonts w:hint="eastAsia" w:ascii="宋体" w:hAnsi="宋体" w:eastAsia="宋体" w:cs="宋体"/>
                <w:color w:val="auto"/>
                <w:sz w:val="24"/>
                <w:szCs w:val="24"/>
                <w:highlight w:val="none"/>
                <w:lang w:val="zh-CN" w:eastAsia="zh-CN"/>
              </w:rPr>
              <w:t>条理清晰、</w:t>
            </w:r>
          </w:p>
          <w:p w14:paraId="23945E58">
            <w:pPr>
              <w:numPr>
                <w:ilvl w:val="0"/>
                <w:numId w:val="0"/>
              </w:numPr>
              <w:spacing w:line="380" w:lineRule="exact"/>
              <w:rPr>
                <w:rFonts w:hint="eastAsia" w:ascii="宋体" w:hAnsi="宋体" w:eastAsia="宋体" w:cs="宋体"/>
                <w:color w:val="auto"/>
                <w:sz w:val="24"/>
                <w:lang w:val="en-US" w:eastAsia="zh-CN"/>
              </w:rPr>
            </w:pPr>
            <w:r>
              <w:rPr>
                <w:rFonts w:hint="eastAsia" w:ascii="宋体" w:hAnsi="宋体" w:eastAsia="宋体" w:cs="宋体"/>
                <w:color w:val="auto"/>
                <w:sz w:val="24"/>
                <w:szCs w:val="24"/>
                <w:highlight w:val="none"/>
                <w:lang w:val="zh-CN" w:eastAsia="zh-CN"/>
              </w:rPr>
              <w:t>售后服务技术人员配备齐全、维修维护响应时间短、</w:t>
            </w:r>
            <w:r>
              <w:rPr>
                <w:rFonts w:hint="eastAsia" w:ascii="宋体" w:hAnsi="宋体" w:eastAsia="宋体" w:cs="宋体"/>
                <w:color w:val="auto"/>
                <w:sz w:val="24"/>
                <w:lang w:val="en-US" w:eastAsia="zh-CN"/>
              </w:rPr>
              <w:t>零配件及易耗品定价合理、</w:t>
            </w:r>
            <w:r>
              <w:rPr>
                <w:rFonts w:hint="eastAsia" w:ascii="宋体" w:hAnsi="宋体" w:eastAsia="宋体" w:cs="宋体"/>
                <w:color w:val="auto"/>
                <w:sz w:val="24"/>
                <w:szCs w:val="24"/>
                <w:highlight w:val="none"/>
                <w:lang w:val="zh-CN" w:eastAsia="zh-CN"/>
              </w:rPr>
              <w:t>其它</w:t>
            </w:r>
            <w:r>
              <w:rPr>
                <w:rFonts w:hint="eastAsia" w:ascii="宋体" w:hAnsi="宋体" w:eastAsia="宋体" w:cs="宋体"/>
                <w:color w:val="auto"/>
                <w:sz w:val="24"/>
                <w:lang w:val="en-US" w:eastAsia="zh-CN"/>
              </w:rPr>
              <w:t>服务承</w:t>
            </w:r>
            <w:r>
              <w:rPr>
                <w:rFonts w:hint="eastAsia" w:ascii="宋体" w:hAnsi="宋体" w:eastAsia="宋体" w:cs="宋体"/>
                <w:color w:val="auto"/>
                <w:sz w:val="24"/>
                <w:szCs w:val="24"/>
                <w:highlight w:val="none"/>
                <w:lang w:val="zh-CN" w:eastAsia="zh-CN"/>
              </w:rPr>
              <w:t>诺优</w:t>
            </w: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完全能够满足项目实际需要得</w:t>
            </w: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分；</w:t>
            </w:r>
          </w:p>
          <w:p w14:paraId="5CFED003">
            <w:pPr>
              <w:numPr>
                <w:ilvl w:val="0"/>
                <w:numId w:val="11"/>
              </w:numPr>
              <w:spacing w:line="3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售后服务方案</w:t>
            </w:r>
            <w:r>
              <w:rPr>
                <w:rFonts w:hint="eastAsia" w:ascii="宋体" w:hAnsi="宋体" w:eastAsia="宋体" w:cs="宋体"/>
                <w:color w:val="auto"/>
                <w:sz w:val="24"/>
                <w:lang w:val="zh-CN" w:eastAsia="zh-CN"/>
              </w:rPr>
              <w:t>内容较详实完善</w:t>
            </w:r>
            <w:r>
              <w:rPr>
                <w:rFonts w:hint="eastAsia" w:ascii="宋体" w:hAnsi="宋体" w:eastAsia="宋体" w:cs="宋体"/>
                <w:color w:val="auto"/>
                <w:sz w:val="24"/>
                <w:lang w:val="en-US" w:eastAsia="zh-CN"/>
              </w:rPr>
              <w:t>、</w:t>
            </w:r>
            <w:r>
              <w:rPr>
                <w:rFonts w:hint="eastAsia" w:ascii="宋体" w:hAnsi="宋体" w:eastAsia="宋体" w:cs="宋体"/>
                <w:color w:val="auto"/>
                <w:sz w:val="24"/>
                <w:szCs w:val="24"/>
                <w:highlight w:val="none"/>
                <w:lang w:val="zh-CN" w:eastAsia="zh-CN"/>
              </w:rPr>
              <w:t>条理较清晰</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eastAsia="zh-CN"/>
              </w:rPr>
              <w:t>售后服务人员配备较齐全、维修维护响应时间较短、</w:t>
            </w:r>
            <w:r>
              <w:rPr>
                <w:rFonts w:hint="eastAsia" w:ascii="宋体" w:hAnsi="宋体" w:eastAsia="宋体" w:cs="宋体"/>
                <w:color w:val="auto"/>
                <w:sz w:val="24"/>
                <w:lang w:val="en-US" w:eastAsia="zh-CN"/>
              </w:rPr>
              <w:t>零配件及易耗品价格较合理、</w:t>
            </w:r>
            <w:r>
              <w:rPr>
                <w:rFonts w:hint="eastAsia" w:ascii="宋体" w:hAnsi="宋体" w:eastAsia="宋体" w:cs="宋体"/>
                <w:color w:val="auto"/>
                <w:sz w:val="24"/>
                <w:szCs w:val="24"/>
                <w:highlight w:val="none"/>
                <w:lang w:val="zh-CN" w:eastAsia="zh-CN"/>
              </w:rPr>
              <w:t>其它</w:t>
            </w:r>
            <w:r>
              <w:rPr>
                <w:rFonts w:hint="eastAsia" w:ascii="宋体" w:hAnsi="宋体" w:eastAsia="宋体" w:cs="宋体"/>
                <w:color w:val="auto"/>
                <w:sz w:val="24"/>
                <w:lang w:val="en-US" w:eastAsia="zh-CN"/>
              </w:rPr>
              <w:t>服务承</w:t>
            </w:r>
            <w:r>
              <w:rPr>
                <w:rFonts w:hint="eastAsia" w:ascii="宋体" w:hAnsi="宋体" w:eastAsia="宋体" w:cs="宋体"/>
                <w:color w:val="auto"/>
                <w:sz w:val="24"/>
                <w:szCs w:val="24"/>
                <w:highlight w:val="none"/>
                <w:lang w:val="zh-CN" w:eastAsia="zh-CN"/>
              </w:rPr>
              <w:t>诺较好、</w:t>
            </w:r>
            <w:r>
              <w:rPr>
                <w:rFonts w:hint="eastAsia" w:ascii="宋体" w:hAnsi="宋体" w:eastAsia="宋体" w:cs="宋体"/>
                <w:color w:val="auto"/>
                <w:sz w:val="24"/>
                <w:lang w:val="zh-CN" w:eastAsia="zh-CN"/>
              </w:rPr>
              <w:t>比较</w:t>
            </w:r>
            <w:r>
              <w:rPr>
                <w:rFonts w:hint="eastAsia" w:ascii="宋体" w:hAnsi="宋体" w:eastAsia="宋体" w:cs="宋体"/>
                <w:color w:val="auto"/>
                <w:sz w:val="24"/>
                <w:lang w:val="en-US" w:eastAsia="zh-CN"/>
              </w:rPr>
              <w:t>能够满足项目实际需要得</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分；</w:t>
            </w:r>
          </w:p>
          <w:p w14:paraId="79048829">
            <w:pPr>
              <w:numPr>
                <w:ilvl w:val="0"/>
                <w:numId w:val="11"/>
              </w:numPr>
              <w:spacing w:line="3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售后服务方案</w:t>
            </w:r>
            <w:r>
              <w:rPr>
                <w:rFonts w:hint="eastAsia" w:ascii="宋体" w:hAnsi="宋体" w:eastAsia="宋体" w:cs="宋体"/>
                <w:color w:val="auto"/>
                <w:sz w:val="24"/>
                <w:szCs w:val="24"/>
                <w:highlight w:val="none"/>
                <w:lang w:val="zh-CN" w:eastAsia="zh-CN"/>
              </w:rPr>
              <w:t>内容粗略、针对性较差、售后服务人员配备基本齐全、维修维护响应时间较长、</w:t>
            </w:r>
            <w:r>
              <w:rPr>
                <w:rFonts w:hint="eastAsia" w:ascii="宋体" w:hAnsi="宋体" w:eastAsia="宋体" w:cs="宋体"/>
                <w:color w:val="auto"/>
                <w:sz w:val="24"/>
                <w:lang w:val="en-US" w:eastAsia="zh-CN"/>
              </w:rPr>
              <w:t>零配件及易耗品价格基本合理、</w:t>
            </w:r>
            <w:r>
              <w:rPr>
                <w:rFonts w:hint="eastAsia" w:ascii="宋体" w:hAnsi="宋体" w:eastAsia="宋体" w:cs="宋体"/>
                <w:color w:val="auto"/>
                <w:sz w:val="24"/>
                <w:szCs w:val="24"/>
                <w:highlight w:val="none"/>
                <w:lang w:val="zh-CN" w:eastAsia="zh-CN"/>
              </w:rPr>
              <w:t>其它</w:t>
            </w:r>
            <w:r>
              <w:rPr>
                <w:rFonts w:hint="eastAsia" w:ascii="宋体" w:hAnsi="宋体" w:eastAsia="宋体" w:cs="宋体"/>
                <w:color w:val="auto"/>
                <w:sz w:val="24"/>
                <w:lang w:val="en-US" w:eastAsia="zh-CN"/>
              </w:rPr>
              <w:t>服务承</w:t>
            </w:r>
            <w:r>
              <w:rPr>
                <w:rFonts w:hint="eastAsia" w:ascii="宋体" w:hAnsi="宋体" w:eastAsia="宋体" w:cs="宋体"/>
                <w:color w:val="auto"/>
                <w:sz w:val="24"/>
                <w:szCs w:val="24"/>
                <w:highlight w:val="none"/>
                <w:lang w:val="zh-CN" w:eastAsia="zh-CN"/>
              </w:rPr>
              <w:t>诺一般、</w:t>
            </w:r>
            <w:r>
              <w:rPr>
                <w:rFonts w:hint="eastAsia" w:ascii="宋体" w:hAnsi="宋体" w:eastAsia="宋体" w:cs="宋体"/>
                <w:color w:val="auto"/>
                <w:sz w:val="24"/>
                <w:lang w:val="zh-CN" w:eastAsia="zh-CN"/>
              </w:rPr>
              <w:t>不</w:t>
            </w:r>
            <w:r>
              <w:rPr>
                <w:rFonts w:hint="eastAsia" w:ascii="宋体" w:hAnsi="宋体" w:eastAsia="宋体" w:cs="宋体"/>
                <w:color w:val="auto"/>
                <w:sz w:val="24"/>
                <w:lang w:val="en-US" w:eastAsia="zh-CN"/>
              </w:rPr>
              <w:t>能够满足项目实际需要的得</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分；</w:t>
            </w:r>
          </w:p>
          <w:p w14:paraId="67544C71">
            <w:pPr>
              <w:pStyle w:val="24"/>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szCs w:val="24"/>
                <w:highlight w:val="none"/>
                <w:lang w:val="zh-CN" w:eastAsia="zh-CN"/>
              </w:rPr>
              <w:t>缺项或未提供不得分。</w:t>
            </w:r>
          </w:p>
        </w:tc>
      </w:tr>
      <w:tr w14:paraId="7584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continue"/>
            <w:tcBorders>
              <w:left w:val="single" w:color="auto" w:sz="4" w:space="0"/>
            </w:tcBorders>
            <w:vAlign w:val="center"/>
          </w:tcPr>
          <w:p w14:paraId="476C1DF4">
            <w:pPr>
              <w:pStyle w:val="3"/>
              <w:rPr>
                <w:color w:val="auto"/>
              </w:rPr>
            </w:pPr>
          </w:p>
        </w:tc>
        <w:tc>
          <w:tcPr>
            <w:tcW w:w="826" w:type="dxa"/>
            <w:vMerge w:val="continue"/>
            <w:vAlign w:val="center"/>
          </w:tcPr>
          <w:p w14:paraId="5B617CAE">
            <w:pPr>
              <w:spacing w:line="380" w:lineRule="exact"/>
              <w:jc w:val="center"/>
              <w:rPr>
                <w:rFonts w:hint="eastAsia" w:ascii="宋体" w:hAnsi="宋体" w:cs="宋体"/>
                <w:b/>
                <w:bCs/>
                <w:color w:val="auto"/>
                <w:sz w:val="24"/>
              </w:rPr>
            </w:pPr>
          </w:p>
        </w:tc>
        <w:tc>
          <w:tcPr>
            <w:tcW w:w="1200" w:type="dxa"/>
            <w:tcBorders>
              <w:top w:val="single" w:color="auto" w:sz="4" w:space="0"/>
            </w:tcBorders>
            <w:vAlign w:val="center"/>
          </w:tcPr>
          <w:p w14:paraId="4762F8F5">
            <w:pPr>
              <w:pStyle w:val="39"/>
              <w:keepNext w:val="0"/>
              <w:keepLines w:val="0"/>
              <w:suppressLineNumbers w:val="0"/>
              <w:spacing w:beforeAutospacing="0" w:afterAutospacing="0"/>
              <w:ind w:left="0" w:leftChars="0" w:right="0" w:firstLine="0" w:firstLineChars="0"/>
              <w:rPr>
                <w:rFonts w:hint="eastAsia"/>
                <w:color w:val="auto"/>
                <w:lang w:val="zh-TW" w:eastAsia="zh-CN"/>
              </w:rPr>
            </w:pPr>
          </w:p>
          <w:p w14:paraId="47F295A2">
            <w:pPr>
              <w:pStyle w:val="39"/>
              <w:keepNext w:val="0"/>
              <w:keepLines w:val="0"/>
              <w:suppressLineNumbers w:val="0"/>
              <w:spacing w:beforeAutospacing="0" w:afterAutospacing="0"/>
              <w:ind w:left="0" w:leftChars="0" w:right="0" w:firstLine="0" w:firstLineChars="0"/>
              <w:rPr>
                <w:rFonts w:hint="eastAsia"/>
                <w:color w:val="auto"/>
                <w:lang w:val="zh-TW" w:eastAsia="zh-CN"/>
              </w:rPr>
            </w:pPr>
          </w:p>
          <w:p w14:paraId="5221C69E">
            <w:pPr>
              <w:pStyle w:val="39"/>
              <w:keepNext w:val="0"/>
              <w:keepLines w:val="0"/>
              <w:pageBreakBefore w:val="0"/>
              <w:widowControl w:val="0"/>
              <w:suppressLineNumbers w:val="0"/>
              <w:kinsoku/>
              <w:wordWrap/>
              <w:overflowPunct/>
              <w:topLinePunct w:val="0"/>
              <w:autoSpaceDE/>
              <w:autoSpaceDN/>
              <w:bidi w:val="0"/>
              <w:adjustRightInd/>
              <w:spacing w:beforeAutospacing="0" w:afterAutospacing="0" w:line="360" w:lineRule="exact"/>
              <w:ind w:left="0" w:leftChars="0" w:right="0" w:firstLine="0" w:firstLineChars="0"/>
              <w:jc w:val="center"/>
              <w:textAlignment w:val="auto"/>
              <w:rPr>
                <w:rFonts w:hint="eastAsia" w:ascii="宋体" w:hAnsi="宋体"/>
                <w:b/>
                <w:bCs/>
                <w:color w:val="auto"/>
                <w:sz w:val="24"/>
                <w:szCs w:val="24"/>
                <w:lang w:val="zh-TW" w:eastAsia="zh-CN"/>
              </w:rPr>
            </w:pPr>
            <w:r>
              <w:rPr>
                <w:rFonts w:hint="eastAsia" w:ascii="宋体" w:hAnsi="宋体"/>
                <w:b/>
                <w:bCs/>
                <w:color w:val="auto"/>
                <w:sz w:val="24"/>
                <w:szCs w:val="24"/>
                <w:lang w:val="zh-TW" w:eastAsia="zh-CN"/>
              </w:rPr>
              <w:t>应急</w:t>
            </w:r>
            <w:r>
              <w:rPr>
                <w:rFonts w:hint="eastAsia" w:ascii="Times New Roman" w:hAnsi="Times New Roman" w:eastAsia="宋体" w:cs="宋体"/>
                <w:b/>
                <w:bCs/>
                <w:color w:val="auto"/>
                <w:spacing w:val="0"/>
                <w:sz w:val="24"/>
                <w:szCs w:val="24"/>
                <w:lang w:val="zh-CN" w:eastAsia="zh-CN" w:bidi="ar-SA"/>
              </w:rPr>
              <w:t>预案</w:t>
            </w:r>
            <w:r>
              <w:rPr>
                <w:rFonts w:hint="eastAsia" w:ascii="宋体" w:hAnsi="宋体"/>
                <w:b/>
                <w:bCs/>
                <w:color w:val="auto"/>
                <w:sz w:val="24"/>
                <w:szCs w:val="24"/>
                <w:lang w:val="zh-TW" w:eastAsia="zh-CN"/>
              </w:rPr>
              <w:t>与措施</w:t>
            </w:r>
          </w:p>
          <w:p w14:paraId="07042C3A">
            <w:pPr>
              <w:keepNext w:val="0"/>
              <w:keepLines w:val="0"/>
              <w:suppressLineNumbers w:val="0"/>
              <w:spacing w:before="0" w:beforeAutospacing="0" w:after="0" w:afterAutospacing="0" w:line="240" w:lineRule="auto"/>
              <w:ind w:left="0" w:leftChars="0" w:right="0" w:rightChars="0"/>
              <w:jc w:val="center"/>
              <w:rPr>
                <w:rFonts w:hint="default" w:ascii="宋体" w:hAnsi="宋体"/>
                <w:b/>
                <w:bCs/>
                <w:color w:val="auto"/>
                <w:sz w:val="24"/>
                <w:szCs w:val="24"/>
                <w:lang w:val="zh-TW"/>
              </w:rPr>
            </w:pPr>
            <w:r>
              <w:rPr>
                <w:rFonts w:hint="default" w:ascii="宋体" w:hAnsi="宋体"/>
                <w:b/>
                <w:bCs/>
                <w:color w:val="auto"/>
                <w:sz w:val="24"/>
                <w:szCs w:val="24"/>
                <w:lang w:val="zh-TW"/>
              </w:rPr>
              <w:t>（</w:t>
            </w:r>
            <w:r>
              <w:rPr>
                <w:rFonts w:hint="eastAsia" w:ascii="宋体" w:hAnsi="宋体"/>
                <w:b/>
                <w:bCs/>
                <w:color w:val="auto"/>
                <w:sz w:val="24"/>
                <w:szCs w:val="24"/>
                <w:lang w:val="en-US" w:eastAsia="zh-CN"/>
              </w:rPr>
              <w:t>2</w:t>
            </w:r>
            <w:r>
              <w:rPr>
                <w:rFonts w:hint="default" w:ascii="宋体" w:hAnsi="宋体"/>
                <w:b/>
                <w:bCs/>
                <w:color w:val="auto"/>
                <w:sz w:val="24"/>
                <w:szCs w:val="24"/>
                <w:lang w:val="zh-TW"/>
              </w:rPr>
              <w:t>分）</w:t>
            </w:r>
          </w:p>
          <w:p w14:paraId="6E576ED6">
            <w:pPr>
              <w:pStyle w:val="39"/>
              <w:keepNext w:val="0"/>
              <w:keepLines w:val="0"/>
              <w:suppressLineNumbers w:val="0"/>
              <w:spacing w:beforeAutospacing="0" w:afterAutospacing="0"/>
              <w:ind w:left="0" w:right="0"/>
              <w:rPr>
                <w:rFonts w:hint="default" w:ascii="宋体" w:hAnsi="宋体"/>
                <w:b/>
                <w:bCs/>
                <w:color w:val="auto"/>
                <w:sz w:val="24"/>
                <w:szCs w:val="24"/>
                <w:lang w:val="zh-TW"/>
              </w:rPr>
            </w:pPr>
          </w:p>
          <w:p w14:paraId="20896F39">
            <w:pPr>
              <w:pStyle w:val="39"/>
              <w:keepNext w:val="0"/>
              <w:keepLines w:val="0"/>
              <w:suppressLineNumbers w:val="0"/>
              <w:spacing w:beforeAutospacing="0" w:afterAutospacing="0"/>
              <w:ind w:left="0" w:leftChars="0" w:right="0" w:rightChars="0" w:firstLine="522" w:firstLineChars="200"/>
              <w:rPr>
                <w:rFonts w:hint="eastAsia" w:ascii="宋体" w:hAnsi="宋体" w:cs="宋体"/>
                <w:b/>
                <w:bCs/>
                <w:color w:val="auto"/>
                <w:sz w:val="24"/>
              </w:rPr>
            </w:pPr>
          </w:p>
        </w:tc>
        <w:tc>
          <w:tcPr>
            <w:tcW w:w="6377" w:type="dxa"/>
            <w:tcBorders>
              <w:top w:val="single" w:color="auto" w:sz="4" w:space="0"/>
              <w:right w:val="single" w:color="auto" w:sz="4" w:space="0"/>
            </w:tcBorders>
            <w:vAlign w:val="center"/>
          </w:tcPr>
          <w:p w14:paraId="16A7DC76">
            <w:pPr>
              <w:spacing w:line="380" w:lineRule="exact"/>
              <w:rPr>
                <w:rFonts w:hint="eastAsia" w:ascii="宋体" w:hAnsi="宋体" w:eastAsia="宋体" w:cs="宋体"/>
                <w:color w:val="auto"/>
                <w:sz w:val="24"/>
                <w:lang w:val="zh-TW" w:eastAsia="zh-CN"/>
              </w:rPr>
            </w:pPr>
            <w:r>
              <w:rPr>
                <w:rFonts w:hint="eastAsia" w:ascii="宋体" w:hAnsi="宋体" w:eastAsia="宋体" w:cs="宋体"/>
                <w:color w:val="auto"/>
                <w:sz w:val="24"/>
                <w:lang w:val="zh-TW" w:eastAsia="zh-CN"/>
              </w:rPr>
              <w:t>根据供应商针对各环节可能出现的突发情况</w:t>
            </w:r>
            <w:r>
              <w:rPr>
                <w:rFonts w:hint="eastAsia" w:ascii="宋体" w:hAnsi="宋体" w:cs="宋体"/>
                <w:color w:val="auto"/>
                <w:sz w:val="24"/>
                <w:lang w:val="zh-TW" w:eastAsia="zh-CN"/>
              </w:rPr>
              <w:t>，</w:t>
            </w:r>
            <w:r>
              <w:rPr>
                <w:rFonts w:hint="eastAsia" w:ascii="宋体" w:hAnsi="宋体" w:eastAsia="宋体" w:cs="宋体"/>
                <w:color w:val="auto"/>
                <w:sz w:val="24"/>
                <w:lang w:val="zh-TW" w:eastAsia="zh-CN"/>
              </w:rPr>
              <w:t>提出的应急方案与措施内容进行打分：</w:t>
            </w:r>
          </w:p>
          <w:p w14:paraId="21397F67">
            <w:pPr>
              <w:spacing w:line="3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（1）内容详实完整，预案科学合理、安全，考虑周全，针对性强，完全能够满足</w:t>
            </w:r>
            <w:r>
              <w:rPr>
                <w:rFonts w:hint="eastAsia" w:ascii="宋体" w:hAnsi="宋体" w:cs="宋体"/>
                <w:color w:val="auto"/>
                <w:sz w:val="24"/>
                <w:lang w:val="en-US" w:eastAsia="zh-CN"/>
              </w:rPr>
              <w:t>项目</w:t>
            </w:r>
            <w:r>
              <w:rPr>
                <w:rFonts w:hint="eastAsia" w:ascii="宋体" w:hAnsi="宋体" w:eastAsia="宋体" w:cs="宋体"/>
                <w:color w:val="auto"/>
                <w:sz w:val="24"/>
                <w:lang w:val="en-US" w:eastAsia="zh-CN"/>
              </w:rPr>
              <w:t>的需</w:t>
            </w:r>
            <w:r>
              <w:rPr>
                <w:rFonts w:hint="eastAsia" w:ascii="宋体" w:hAnsi="宋体" w:cs="宋体"/>
                <w:color w:val="auto"/>
                <w:sz w:val="24"/>
                <w:lang w:val="en-US" w:eastAsia="zh-CN"/>
              </w:rPr>
              <w:t>求</w:t>
            </w:r>
            <w:r>
              <w:rPr>
                <w:rFonts w:hint="eastAsia" w:ascii="宋体" w:hAnsi="宋体" w:eastAsia="宋体" w:cs="宋体"/>
                <w:color w:val="auto"/>
                <w:sz w:val="24"/>
                <w:lang w:val="en-US" w:eastAsia="zh-CN"/>
              </w:rPr>
              <w:t>，得</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分；</w:t>
            </w:r>
          </w:p>
          <w:p w14:paraId="4247CB9E">
            <w:pPr>
              <w:spacing w:line="380" w:lineRule="exact"/>
              <w:rPr>
                <w:rFonts w:hint="eastAsia" w:ascii="宋体" w:hAnsi="宋体" w:eastAsia="宋体" w:cs="宋体"/>
                <w:color w:val="auto"/>
                <w:sz w:val="24"/>
                <w:lang w:val="zh-TW" w:eastAsia="zh-CN"/>
              </w:rPr>
            </w:pPr>
            <w:r>
              <w:rPr>
                <w:rFonts w:hint="eastAsia" w:ascii="宋体" w:hAnsi="宋体" w:eastAsia="宋体" w:cs="宋体"/>
                <w:color w:val="auto"/>
                <w:sz w:val="24"/>
                <w:lang w:val="en-US" w:eastAsia="zh-CN"/>
              </w:rPr>
              <w:t>（2）内容较完整，预案较科学合理、安全，考虑较周全，针对性较强，</w:t>
            </w:r>
            <w:r>
              <w:rPr>
                <w:rFonts w:hint="eastAsia" w:ascii="宋体" w:hAnsi="宋体" w:cs="宋体"/>
                <w:color w:val="auto"/>
                <w:sz w:val="24"/>
                <w:lang w:val="en-US" w:eastAsia="zh-CN"/>
              </w:rPr>
              <w:t>较能</w:t>
            </w:r>
            <w:r>
              <w:rPr>
                <w:rFonts w:hint="eastAsia" w:ascii="宋体" w:hAnsi="宋体" w:eastAsia="宋体" w:cs="宋体"/>
                <w:color w:val="auto"/>
                <w:sz w:val="24"/>
                <w:lang w:val="en-US" w:eastAsia="zh-CN"/>
              </w:rPr>
              <w:t>满足</w:t>
            </w:r>
            <w:r>
              <w:rPr>
                <w:rFonts w:hint="eastAsia" w:ascii="宋体" w:hAnsi="宋体" w:cs="宋体"/>
                <w:color w:val="auto"/>
                <w:sz w:val="24"/>
                <w:lang w:val="en-US" w:eastAsia="zh-CN"/>
              </w:rPr>
              <w:t>项目</w:t>
            </w:r>
            <w:r>
              <w:rPr>
                <w:rFonts w:hint="eastAsia" w:ascii="宋体" w:hAnsi="宋体" w:eastAsia="宋体" w:cs="宋体"/>
                <w:color w:val="auto"/>
                <w:sz w:val="24"/>
                <w:lang w:val="en-US" w:eastAsia="zh-CN"/>
              </w:rPr>
              <w:t>的需</w:t>
            </w:r>
            <w:r>
              <w:rPr>
                <w:rFonts w:hint="eastAsia" w:ascii="宋体" w:hAnsi="宋体" w:cs="宋体"/>
                <w:color w:val="auto"/>
                <w:sz w:val="24"/>
                <w:lang w:val="en-US" w:eastAsia="zh-CN"/>
              </w:rPr>
              <w:t>求</w:t>
            </w:r>
            <w:r>
              <w:rPr>
                <w:rFonts w:hint="eastAsia" w:ascii="宋体" w:hAnsi="宋体" w:eastAsia="宋体" w:cs="宋体"/>
                <w:color w:val="auto"/>
                <w:sz w:val="24"/>
                <w:lang w:val="en-US" w:eastAsia="zh-CN"/>
              </w:rPr>
              <w:t>，得</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分；</w:t>
            </w:r>
          </w:p>
          <w:p w14:paraId="01A15687">
            <w:pPr>
              <w:spacing w:line="380" w:lineRule="exact"/>
              <w:rPr>
                <w:rFonts w:hint="eastAsia" w:ascii="宋体" w:hAnsi="宋体" w:eastAsia="宋体" w:cs="宋体"/>
                <w:color w:val="auto"/>
                <w:sz w:val="24"/>
                <w:lang w:val="zh-TW" w:eastAsia="zh-CN"/>
              </w:rPr>
            </w:pPr>
            <w:r>
              <w:rPr>
                <w:rFonts w:hint="eastAsia" w:ascii="宋体" w:hAnsi="宋体" w:eastAsia="宋体" w:cs="宋体"/>
                <w:color w:val="auto"/>
                <w:sz w:val="24"/>
                <w:lang w:val="en-US" w:eastAsia="zh-CN"/>
              </w:rPr>
              <w:t>（3）内容基本完整，预案合理、安全性及针对性一般，虽然能够基本满足</w:t>
            </w:r>
            <w:r>
              <w:rPr>
                <w:rFonts w:hint="eastAsia" w:ascii="宋体" w:hAnsi="宋体" w:cs="宋体"/>
                <w:color w:val="auto"/>
                <w:sz w:val="24"/>
                <w:lang w:val="en-US" w:eastAsia="zh-CN"/>
              </w:rPr>
              <w:t>项目</w:t>
            </w:r>
            <w:r>
              <w:rPr>
                <w:rFonts w:hint="eastAsia" w:ascii="宋体" w:hAnsi="宋体" w:eastAsia="宋体" w:cs="宋体"/>
                <w:color w:val="auto"/>
                <w:sz w:val="24"/>
                <w:lang w:val="en-US" w:eastAsia="zh-CN"/>
              </w:rPr>
              <w:t>的需</w:t>
            </w:r>
            <w:r>
              <w:rPr>
                <w:rFonts w:hint="eastAsia" w:ascii="宋体" w:hAnsi="宋体" w:cs="宋体"/>
                <w:color w:val="auto"/>
                <w:sz w:val="24"/>
                <w:lang w:val="en-US" w:eastAsia="zh-CN"/>
              </w:rPr>
              <w:t>求</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但</w:t>
            </w:r>
            <w:r>
              <w:rPr>
                <w:rFonts w:hint="eastAsia" w:ascii="宋体" w:hAnsi="宋体" w:eastAsia="宋体" w:cs="宋体"/>
                <w:color w:val="auto"/>
                <w:sz w:val="24"/>
                <w:lang w:val="en-US" w:eastAsia="zh-CN"/>
              </w:rPr>
              <w:t>有些方面需要进一步完善，得</w:t>
            </w:r>
            <w:r>
              <w:rPr>
                <w:rFonts w:hint="eastAsia" w:ascii="宋体" w:hAnsi="宋体" w:cs="宋体"/>
                <w:color w:val="auto"/>
                <w:sz w:val="24"/>
                <w:lang w:val="en-US" w:eastAsia="zh-CN"/>
              </w:rPr>
              <w:t>0.5</w:t>
            </w:r>
            <w:r>
              <w:rPr>
                <w:rFonts w:hint="eastAsia" w:ascii="宋体" w:hAnsi="宋体" w:eastAsia="宋体" w:cs="宋体"/>
                <w:color w:val="auto"/>
                <w:sz w:val="24"/>
                <w:lang w:val="en-US" w:eastAsia="zh-CN"/>
              </w:rPr>
              <w:t>分；</w:t>
            </w:r>
          </w:p>
          <w:p w14:paraId="214BF0E9">
            <w:pPr>
              <w:spacing w:line="3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CN"/>
              </w:rPr>
              <w:t>不提供不得分。</w:t>
            </w:r>
          </w:p>
        </w:tc>
      </w:tr>
      <w:tr w14:paraId="25A2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59" w:type="dxa"/>
            <w:vMerge w:val="continue"/>
            <w:tcBorders>
              <w:left w:val="single" w:color="auto" w:sz="4" w:space="0"/>
            </w:tcBorders>
            <w:vAlign w:val="center"/>
          </w:tcPr>
          <w:p w14:paraId="7017263D">
            <w:pPr>
              <w:spacing w:line="380" w:lineRule="exact"/>
              <w:jc w:val="center"/>
              <w:rPr>
                <w:rFonts w:ascii="宋体" w:hAnsi="宋体" w:cs="宋体"/>
                <w:b/>
                <w:bCs/>
                <w:color w:val="auto"/>
                <w:sz w:val="24"/>
              </w:rPr>
            </w:pPr>
          </w:p>
        </w:tc>
        <w:tc>
          <w:tcPr>
            <w:tcW w:w="826" w:type="dxa"/>
            <w:vMerge w:val="continue"/>
            <w:vAlign w:val="center"/>
          </w:tcPr>
          <w:p w14:paraId="564D9684">
            <w:pPr>
              <w:spacing w:line="380" w:lineRule="exact"/>
              <w:jc w:val="center"/>
              <w:rPr>
                <w:rFonts w:ascii="宋体" w:hAnsi="宋体" w:cs="宋体"/>
                <w:b/>
                <w:bCs/>
                <w:color w:val="auto"/>
                <w:sz w:val="24"/>
              </w:rPr>
            </w:pPr>
          </w:p>
        </w:tc>
        <w:tc>
          <w:tcPr>
            <w:tcW w:w="1200" w:type="dxa"/>
            <w:vAlign w:val="center"/>
          </w:tcPr>
          <w:p w14:paraId="3449C7B4">
            <w:pPr>
              <w:spacing w:line="38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质保期</w:t>
            </w:r>
          </w:p>
          <w:p w14:paraId="4B842CBC">
            <w:pPr>
              <w:spacing w:line="380" w:lineRule="exact"/>
              <w:jc w:val="center"/>
              <w:rPr>
                <w:rFonts w:hint="eastAsia" w:eastAsia="宋体"/>
                <w:color w:val="auto"/>
                <w:lang w:eastAsia="zh-CN"/>
              </w:rPr>
            </w:pPr>
            <w:r>
              <w:rPr>
                <w:rFonts w:hint="eastAsia" w:ascii="宋体" w:hAnsi="宋体" w:eastAsia="宋体" w:cs="宋体"/>
                <w:b/>
                <w:bCs/>
                <w:color w:val="auto"/>
                <w:sz w:val="24"/>
                <w:lang w:eastAsia="zh-CN"/>
              </w:rPr>
              <w:t>（</w:t>
            </w:r>
            <w:r>
              <w:rPr>
                <w:rFonts w:hint="eastAsia" w:ascii="宋体" w:hAnsi="宋体" w:cs="宋体"/>
                <w:b/>
                <w:bCs/>
                <w:color w:val="auto"/>
                <w:sz w:val="24"/>
                <w:lang w:val="en-US" w:eastAsia="zh-CN"/>
              </w:rPr>
              <w:t>6</w:t>
            </w:r>
            <w:r>
              <w:rPr>
                <w:rFonts w:hint="eastAsia" w:ascii="宋体" w:hAnsi="宋体" w:eastAsia="宋体" w:cs="宋体"/>
                <w:b/>
                <w:bCs/>
                <w:color w:val="auto"/>
                <w:sz w:val="24"/>
                <w:lang w:val="en-US" w:eastAsia="zh-CN"/>
              </w:rPr>
              <w:t>分</w:t>
            </w:r>
            <w:r>
              <w:rPr>
                <w:rFonts w:hint="eastAsia" w:ascii="宋体" w:hAnsi="宋体" w:eastAsia="宋体" w:cs="宋体"/>
                <w:b/>
                <w:bCs/>
                <w:color w:val="auto"/>
                <w:sz w:val="24"/>
                <w:lang w:eastAsia="zh-CN"/>
              </w:rPr>
              <w:t>）</w:t>
            </w:r>
          </w:p>
        </w:tc>
        <w:tc>
          <w:tcPr>
            <w:tcW w:w="6377" w:type="dxa"/>
            <w:tcBorders>
              <w:top w:val="single" w:color="auto" w:sz="4" w:space="0"/>
              <w:bottom w:val="single" w:color="auto" w:sz="4" w:space="0"/>
              <w:right w:val="single" w:color="auto" w:sz="4" w:space="0"/>
            </w:tcBorders>
            <w:vAlign w:val="center"/>
          </w:tcPr>
          <w:p w14:paraId="6BBE6EDE">
            <w:pPr>
              <w:spacing w:line="380" w:lineRule="exact"/>
              <w:rPr>
                <w:rFonts w:ascii="宋体" w:hAnsi="宋体" w:cs="宋体"/>
                <w:b/>
                <w:bCs/>
                <w:color w:val="auto"/>
                <w:sz w:val="24"/>
                <w:szCs w:val="24"/>
              </w:rPr>
            </w:pPr>
            <w:r>
              <w:rPr>
                <w:rFonts w:hint="eastAsia" w:ascii="宋体" w:hAnsi="宋体" w:cs="宋体"/>
                <w:color w:val="auto"/>
                <w:sz w:val="24"/>
              </w:rPr>
              <w:t>在</w:t>
            </w:r>
            <w:r>
              <w:rPr>
                <w:rFonts w:hint="eastAsia" w:ascii="宋体" w:hAnsi="宋体" w:cs="宋体"/>
                <w:color w:val="auto"/>
                <w:sz w:val="24"/>
                <w:lang w:eastAsia="zh-CN"/>
              </w:rPr>
              <w:t>招标文件要求的</w:t>
            </w:r>
            <w:r>
              <w:rPr>
                <w:rFonts w:hint="eastAsia" w:ascii="宋体" w:hAnsi="宋体" w:cs="宋体"/>
                <w:color w:val="auto"/>
                <w:sz w:val="24"/>
              </w:rPr>
              <w:t>质保期基础上，每增加一年质保期，加</w:t>
            </w:r>
            <w:r>
              <w:rPr>
                <w:rFonts w:hint="eastAsia" w:ascii="宋体" w:hAnsi="宋体" w:cs="宋体"/>
                <w:color w:val="auto"/>
                <w:sz w:val="24"/>
                <w:lang w:val="en-US" w:eastAsia="zh-CN"/>
              </w:rPr>
              <w:t>1.5</w:t>
            </w:r>
            <w:r>
              <w:rPr>
                <w:rFonts w:hint="eastAsia" w:ascii="宋体" w:hAnsi="宋体" w:cs="宋体"/>
                <w:color w:val="auto"/>
                <w:sz w:val="24"/>
              </w:rPr>
              <w:t>分，最多</w:t>
            </w:r>
            <w:r>
              <w:rPr>
                <w:rFonts w:hint="eastAsia" w:ascii="宋体" w:hAnsi="宋体" w:cs="宋体"/>
                <w:color w:val="auto"/>
                <w:sz w:val="24"/>
                <w:lang w:val="en-US" w:eastAsia="zh-CN"/>
              </w:rPr>
              <w:t>得6</w:t>
            </w:r>
            <w:r>
              <w:rPr>
                <w:rFonts w:hint="eastAsia" w:ascii="宋体" w:hAnsi="宋体" w:cs="宋体"/>
                <w:color w:val="auto"/>
                <w:sz w:val="24"/>
              </w:rPr>
              <w:t>分。</w:t>
            </w:r>
          </w:p>
        </w:tc>
      </w:tr>
      <w:tr w14:paraId="09E6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959" w:type="dxa"/>
            <w:vMerge w:val="continue"/>
            <w:tcBorders>
              <w:left w:val="single" w:color="auto" w:sz="4" w:space="0"/>
            </w:tcBorders>
            <w:vAlign w:val="center"/>
          </w:tcPr>
          <w:p w14:paraId="2880C32E">
            <w:pPr>
              <w:spacing w:line="380" w:lineRule="exact"/>
              <w:jc w:val="center"/>
              <w:rPr>
                <w:rFonts w:ascii="宋体" w:hAnsi="宋体" w:cs="宋体"/>
                <w:b/>
                <w:bCs/>
                <w:color w:val="auto"/>
                <w:sz w:val="24"/>
              </w:rPr>
            </w:pPr>
          </w:p>
        </w:tc>
        <w:tc>
          <w:tcPr>
            <w:tcW w:w="826" w:type="dxa"/>
            <w:vMerge w:val="continue"/>
            <w:vAlign w:val="center"/>
          </w:tcPr>
          <w:p w14:paraId="3BC0D60E">
            <w:pPr>
              <w:spacing w:line="380" w:lineRule="exact"/>
              <w:jc w:val="center"/>
              <w:rPr>
                <w:rFonts w:ascii="宋体" w:hAnsi="宋体" w:cs="宋体"/>
                <w:b/>
                <w:bCs/>
                <w:color w:val="auto"/>
                <w:sz w:val="24"/>
              </w:rPr>
            </w:pPr>
          </w:p>
        </w:tc>
        <w:tc>
          <w:tcPr>
            <w:tcW w:w="1200" w:type="dxa"/>
            <w:tcBorders>
              <w:top w:val="single" w:color="auto" w:sz="4" w:space="0"/>
            </w:tcBorders>
            <w:vAlign w:val="center"/>
          </w:tcPr>
          <w:p w14:paraId="32BBDF68">
            <w:pPr>
              <w:spacing w:line="380" w:lineRule="exact"/>
              <w:jc w:val="center"/>
              <w:rPr>
                <w:rFonts w:ascii="宋体" w:hAnsi="宋体" w:cs="宋体"/>
                <w:b/>
                <w:bCs/>
                <w:color w:val="auto"/>
                <w:sz w:val="24"/>
              </w:rPr>
            </w:pPr>
            <w:r>
              <w:rPr>
                <w:rFonts w:hint="eastAsia" w:ascii="宋体" w:hAnsi="宋体" w:cs="宋体"/>
                <w:b/>
                <w:bCs/>
                <w:color w:val="auto"/>
                <w:sz w:val="24"/>
              </w:rPr>
              <w:t>落实绿色产品</w:t>
            </w:r>
          </w:p>
          <w:p w14:paraId="648726BA">
            <w:pPr>
              <w:spacing w:line="380" w:lineRule="exact"/>
              <w:jc w:val="center"/>
              <w:rPr>
                <w:rFonts w:ascii="宋体" w:hAnsi="宋体" w:cs="宋体"/>
                <w:b/>
                <w:bCs/>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1</w:t>
            </w:r>
            <w:r>
              <w:rPr>
                <w:rFonts w:hint="eastAsia" w:ascii="宋体" w:hAnsi="宋体" w:cs="宋体"/>
                <w:b/>
                <w:bCs/>
                <w:color w:val="auto"/>
                <w:sz w:val="24"/>
              </w:rPr>
              <w:t>分）</w:t>
            </w:r>
          </w:p>
        </w:tc>
        <w:tc>
          <w:tcPr>
            <w:tcW w:w="6377" w:type="dxa"/>
            <w:tcBorders>
              <w:top w:val="single" w:color="auto" w:sz="4" w:space="0"/>
              <w:bottom w:val="single" w:color="auto" w:sz="4" w:space="0"/>
              <w:right w:val="single" w:color="auto" w:sz="4" w:space="0"/>
            </w:tcBorders>
            <w:vAlign w:val="center"/>
          </w:tcPr>
          <w:p w14:paraId="793D2A16">
            <w:pPr>
              <w:spacing w:line="380" w:lineRule="exact"/>
              <w:rPr>
                <w:rFonts w:hint="eastAsia" w:ascii="宋体" w:hAnsi="宋体" w:eastAsia="宋体" w:cs="宋体"/>
                <w:color w:val="auto"/>
                <w:sz w:val="24"/>
              </w:rPr>
            </w:pPr>
            <w:r>
              <w:rPr>
                <w:rFonts w:hint="eastAsia" w:ascii="宋体" w:hAnsi="宋体" w:cs="宋体"/>
                <w:color w:val="auto"/>
                <w:sz w:val="24"/>
              </w:rPr>
              <w:t>投标人所</w:t>
            </w:r>
            <w:r>
              <w:rPr>
                <w:rFonts w:hint="eastAsia" w:ascii="宋体" w:hAnsi="宋体" w:eastAsia="宋体" w:cs="宋体"/>
                <w:color w:val="auto"/>
                <w:sz w:val="24"/>
                <w:lang w:val="en-US" w:eastAsia="zh-CN"/>
              </w:rPr>
              <w:t>投产品在环境标志产品品目清单内的，提供具有国家确定的认证机构出具的、处于有效期之内的环境标志产品认证证书原件扫描件的，每提供一份得</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分，最多得1分，没有不得分。</w:t>
            </w:r>
            <w:r>
              <w:rPr>
                <w:rFonts w:ascii="宋体" w:hAnsi="宋体" w:cs="宋体"/>
                <w:color w:val="auto"/>
                <w:sz w:val="24"/>
              </w:rPr>
              <w:t>（提供任意一个</w:t>
            </w:r>
            <w:r>
              <w:rPr>
                <w:rFonts w:hint="eastAsia" w:ascii="宋体" w:hAnsi="宋体" w:cs="宋体"/>
                <w:color w:val="auto"/>
                <w:sz w:val="24"/>
              </w:rPr>
              <w:t>投标</w:t>
            </w:r>
            <w:r>
              <w:rPr>
                <w:rFonts w:ascii="宋体" w:hAnsi="宋体" w:cs="宋体"/>
                <w:color w:val="auto"/>
                <w:sz w:val="24"/>
              </w:rPr>
              <w:t>产品</w:t>
            </w:r>
            <w:r>
              <w:rPr>
                <w:rFonts w:hint="eastAsia" w:ascii="宋体" w:hAnsi="宋体" w:cs="宋体"/>
                <w:color w:val="auto"/>
                <w:sz w:val="24"/>
              </w:rPr>
              <w:t>的相关</w:t>
            </w:r>
            <w:r>
              <w:rPr>
                <w:rFonts w:ascii="宋体" w:hAnsi="宋体" w:cs="宋体"/>
                <w:color w:val="auto"/>
                <w:sz w:val="24"/>
              </w:rPr>
              <w:t>认证证书</w:t>
            </w:r>
            <w:r>
              <w:rPr>
                <w:rFonts w:hint="eastAsia" w:ascii="宋体" w:hAnsi="宋体" w:cs="宋体"/>
                <w:color w:val="auto"/>
                <w:sz w:val="24"/>
              </w:rPr>
              <w:t>即可)</w:t>
            </w:r>
          </w:p>
        </w:tc>
      </w:tr>
      <w:tr w14:paraId="5F34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2" w:type="dxa"/>
            <w:gridSpan w:val="4"/>
            <w:tcBorders>
              <w:top w:val="single" w:color="auto" w:sz="4" w:space="0"/>
            </w:tcBorders>
            <w:vAlign w:val="center"/>
          </w:tcPr>
          <w:p w14:paraId="15AF8C54">
            <w:pPr>
              <w:autoSpaceDE w:val="0"/>
              <w:autoSpaceDN w:val="0"/>
              <w:spacing w:line="320" w:lineRule="exact"/>
              <w:rPr>
                <w:rFonts w:ascii="宋体" w:hAnsi="宋体" w:cs="宋体"/>
                <w:b/>
                <w:bCs/>
                <w:color w:val="auto"/>
                <w:sz w:val="24"/>
              </w:rPr>
            </w:pPr>
            <w:r>
              <w:rPr>
                <w:rFonts w:hint="eastAsia" w:ascii="宋体" w:hAnsi="宋体" w:cs="宋体"/>
                <w:b/>
                <w:bCs/>
                <w:color w:val="auto"/>
                <w:sz w:val="28"/>
                <w:szCs w:val="28"/>
              </w:rPr>
              <w:t>注：本项目所涉及到的各种证明材料等须在投标文件中提供证明文件扫描件，因证明材料不清晰造成的后果，投标人自负。</w:t>
            </w:r>
          </w:p>
        </w:tc>
      </w:tr>
    </w:tbl>
    <w:p w14:paraId="4B0502D0">
      <w:pPr>
        <w:pStyle w:val="5"/>
        <w:tabs>
          <w:tab w:val="left" w:pos="704"/>
        </w:tabs>
        <w:spacing w:line="440" w:lineRule="exact"/>
        <w:ind w:left="0" w:firstLine="0"/>
        <w:rPr>
          <w:color w:val="auto"/>
          <w:sz w:val="28"/>
          <w:szCs w:val="28"/>
          <w:lang w:val="en-US"/>
        </w:rPr>
      </w:pPr>
      <w:bookmarkStart w:id="24" w:name="_Toc4306"/>
      <w:bookmarkStart w:id="25" w:name="_Toc19420"/>
      <w:r>
        <w:rPr>
          <w:rFonts w:hint="eastAsia"/>
          <w:color w:val="auto"/>
          <w:sz w:val="28"/>
          <w:szCs w:val="28"/>
          <w:lang w:val="en-US"/>
        </w:rPr>
        <w:t>1.评标方法</w:t>
      </w:r>
    </w:p>
    <w:p w14:paraId="1295505F">
      <w:pPr>
        <w:pStyle w:val="9"/>
        <w:adjustRightInd w:val="0"/>
        <w:snapToGrid w:val="0"/>
        <w:spacing w:line="440" w:lineRule="exact"/>
        <w:ind w:firstLine="396" w:firstLineChars="200"/>
        <w:rPr>
          <w:color w:val="auto"/>
          <w:spacing w:val="-6"/>
        </w:rPr>
      </w:pPr>
      <w:r>
        <w:rPr>
          <w:rFonts w:hint="eastAsia"/>
          <w:color w:val="auto"/>
          <w:spacing w:val="-6"/>
        </w:rPr>
        <w:t>本次评</w:t>
      </w:r>
      <w:r>
        <w:rPr>
          <w:rFonts w:hint="eastAsia"/>
          <w:color w:val="auto"/>
        </w:rPr>
        <w:t>标采用综合评估</w:t>
      </w:r>
      <w:r>
        <w:rPr>
          <w:rFonts w:hint="eastAsia"/>
          <w:color w:val="auto"/>
          <w:spacing w:val="-6"/>
        </w:rPr>
        <w:t>法。评标委员会对满足招标文件实质性要求的投标文件，按照本章规定的评分标准进行打分，并按得分由高到低顺序推荐</w:t>
      </w:r>
      <w:r>
        <w:rPr>
          <w:rFonts w:hint="eastAsia"/>
          <w:color w:val="auto"/>
          <w:spacing w:val="-6"/>
          <w:u w:val="single"/>
        </w:rPr>
        <w:t xml:space="preserve"> 3 </w:t>
      </w:r>
      <w:r>
        <w:rPr>
          <w:rFonts w:hint="eastAsia"/>
          <w:color w:val="auto"/>
          <w:spacing w:val="-6"/>
        </w:rPr>
        <w:t>名中标候选人，但投标报价低于其成本的除外。综合评分相等时，按投标报价由低到高顺序排列；得分且投标报价相同的并列，投标文件满足招标文件全部实质性要求，且按照评审因素的量化指标评审得分最高的投标人为排名第一的中标候选人。</w:t>
      </w:r>
    </w:p>
    <w:p w14:paraId="70167473">
      <w:pPr>
        <w:pStyle w:val="5"/>
        <w:tabs>
          <w:tab w:val="left" w:pos="704"/>
        </w:tabs>
        <w:spacing w:line="440" w:lineRule="exact"/>
        <w:ind w:left="0" w:firstLine="0"/>
        <w:rPr>
          <w:color w:val="auto"/>
          <w:sz w:val="28"/>
          <w:szCs w:val="28"/>
          <w:lang w:val="en-US"/>
        </w:rPr>
      </w:pPr>
      <w:r>
        <w:rPr>
          <w:rFonts w:hint="eastAsia"/>
          <w:color w:val="auto"/>
          <w:sz w:val="28"/>
          <w:szCs w:val="28"/>
          <w:lang w:val="en-US"/>
        </w:rPr>
        <w:t>2.评审标准</w:t>
      </w:r>
    </w:p>
    <w:p w14:paraId="4599086F">
      <w:pPr>
        <w:pStyle w:val="5"/>
        <w:tabs>
          <w:tab w:val="left" w:pos="911"/>
        </w:tabs>
        <w:adjustRightInd w:val="0"/>
        <w:snapToGrid w:val="0"/>
        <w:spacing w:line="440" w:lineRule="exact"/>
        <w:ind w:left="0" w:firstLine="422" w:firstLineChars="200"/>
        <w:rPr>
          <w:color w:val="auto"/>
          <w:sz w:val="21"/>
          <w:szCs w:val="21"/>
        </w:rPr>
      </w:pPr>
      <w:r>
        <w:rPr>
          <w:rFonts w:hint="eastAsia"/>
          <w:color w:val="auto"/>
          <w:sz w:val="21"/>
          <w:szCs w:val="21"/>
          <w:lang w:val="en-US"/>
        </w:rPr>
        <w:t xml:space="preserve">2.1 </w:t>
      </w:r>
      <w:r>
        <w:rPr>
          <w:rFonts w:hint="eastAsia"/>
          <w:color w:val="auto"/>
          <w:sz w:val="21"/>
          <w:szCs w:val="21"/>
        </w:rPr>
        <w:t>初步评审标准</w:t>
      </w:r>
    </w:p>
    <w:p w14:paraId="6841F289">
      <w:pPr>
        <w:pStyle w:val="55"/>
        <w:tabs>
          <w:tab w:val="left" w:pos="1436"/>
        </w:tabs>
        <w:adjustRightInd w:val="0"/>
        <w:snapToGrid w:val="0"/>
        <w:spacing w:line="440" w:lineRule="exact"/>
        <w:ind w:left="0" w:firstLine="396" w:firstLineChars="200"/>
        <w:rPr>
          <w:color w:val="auto"/>
          <w:spacing w:val="-6"/>
          <w:sz w:val="21"/>
          <w:szCs w:val="21"/>
        </w:rPr>
      </w:pPr>
      <w:r>
        <w:rPr>
          <w:rFonts w:hint="eastAsia"/>
          <w:color w:val="auto"/>
          <w:spacing w:val="-6"/>
          <w:sz w:val="21"/>
          <w:szCs w:val="21"/>
          <w:lang w:val="en-US"/>
        </w:rPr>
        <w:t>2.1.1</w:t>
      </w:r>
      <w:r>
        <w:rPr>
          <w:rFonts w:hint="eastAsia"/>
          <w:color w:val="auto"/>
          <w:spacing w:val="-6"/>
          <w:sz w:val="21"/>
          <w:szCs w:val="21"/>
        </w:rPr>
        <w:t>形式评审标准：见评标办法前附表</w:t>
      </w:r>
    </w:p>
    <w:p w14:paraId="37F16E91">
      <w:pPr>
        <w:pStyle w:val="55"/>
        <w:tabs>
          <w:tab w:val="left" w:pos="1436"/>
        </w:tabs>
        <w:adjustRightInd w:val="0"/>
        <w:snapToGrid w:val="0"/>
        <w:spacing w:line="440" w:lineRule="exact"/>
        <w:ind w:left="0" w:firstLine="396" w:firstLineChars="200"/>
        <w:rPr>
          <w:color w:val="auto"/>
          <w:spacing w:val="-6"/>
          <w:sz w:val="21"/>
          <w:szCs w:val="21"/>
        </w:rPr>
      </w:pPr>
      <w:r>
        <w:rPr>
          <w:rFonts w:hint="eastAsia"/>
          <w:color w:val="auto"/>
          <w:spacing w:val="-6"/>
          <w:sz w:val="21"/>
          <w:szCs w:val="21"/>
          <w:lang w:val="en-US"/>
        </w:rPr>
        <w:t>2.1.2</w:t>
      </w:r>
      <w:r>
        <w:rPr>
          <w:rFonts w:hint="eastAsia"/>
          <w:color w:val="auto"/>
          <w:spacing w:val="-6"/>
          <w:sz w:val="21"/>
          <w:szCs w:val="21"/>
        </w:rPr>
        <w:t>资格评审标准：见评标办法前附表</w:t>
      </w:r>
    </w:p>
    <w:p w14:paraId="792EE907">
      <w:pPr>
        <w:pStyle w:val="55"/>
        <w:tabs>
          <w:tab w:val="left" w:pos="1436"/>
        </w:tabs>
        <w:adjustRightInd w:val="0"/>
        <w:snapToGrid w:val="0"/>
        <w:spacing w:line="440" w:lineRule="exact"/>
        <w:ind w:left="0" w:firstLine="396" w:firstLineChars="200"/>
        <w:rPr>
          <w:color w:val="auto"/>
          <w:spacing w:val="-6"/>
          <w:sz w:val="21"/>
          <w:szCs w:val="21"/>
        </w:rPr>
      </w:pPr>
      <w:r>
        <w:rPr>
          <w:rFonts w:hint="eastAsia"/>
          <w:color w:val="auto"/>
          <w:spacing w:val="-6"/>
          <w:sz w:val="21"/>
          <w:szCs w:val="21"/>
          <w:lang w:val="en-US"/>
        </w:rPr>
        <w:t>2.1.3</w:t>
      </w:r>
      <w:r>
        <w:rPr>
          <w:rFonts w:hint="eastAsia"/>
          <w:color w:val="auto"/>
          <w:spacing w:val="-6"/>
          <w:sz w:val="21"/>
          <w:szCs w:val="21"/>
        </w:rPr>
        <w:t>符合性评审标准：见评标办法前附表</w:t>
      </w:r>
    </w:p>
    <w:p w14:paraId="51FF808C">
      <w:pPr>
        <w:pStyle w:val="5"/>
        <w:tabs>
          <w:tab w:val="left" w:pos="911"/>
        </w:tabs>
        <w:adjustRightInd w:val="0"/>
        <w:snapToGrid w:val="0"/>
        <w:spacing w:line="440" w:lineRule="exact"/>
        <w:ind w:left="0" w:firstLine="422" w:firstLineChars="200"/>
        <w:rPr>
          <w:color w:val="auto"/>
          <w:sz w:val="21"/>
          <w:szCs w:val="21"/>
        </w:rPr>
      </w:pPr>
      <w:r>
        <w:rPr>
          <w:rFonts w:hint="eastAsia"/>
          <w:color w:val="auto"/>
          <w:sz w:val="21"/>
          <w:szCs w:val="21"/>
          <w:lang w:val="en-US"/>
        </w:rPr>
        <w:t xml:space="preserve">2.2 </w:t>
      </w:r>
      <w:r>
        <w:rPr>
          <w:rFonts w:hint="eastAsia"/>
          <w:color w:val="auto"/>
          <w:sz w:val="21"/>
          <w:szCs w:val="21"/>
        </w:rPr>
        <w:t>分值构成与评分标准</w:t>
      </w:r>
    </w:p>
    <w:p w14:paraId="68D9D8B0">
      <w:pPr>
        <w:pStyle w:val="5"/>
        <w:tabs>
          <w:tab w:val="left" w:pos="911"/>
        </w:tabs>
        <w:adjustRightInd w:val="0"/>
        <w:snapToGrid w:val="0"/>
        <w:spacing w:line="440" w:lineRule="exact"/>
        <w:ind w:left="0" w:firstLine="420" w:firstLineChars="200"/>
        <w:rPr>
          <w:b w:val="0"/>
          <w:bCs w:val="0"/>
          <w:color w:val="auto"/>
          <w:sz w:val="21"/>
          <w:szCs w:val="21"/>
        </w:rPr>
      </w:pPr>
      <w:r>
        <w:rPr>
          <w:rFonts w:hint="eastAsia"/>
          <w:b w:val="0"/>
          <w:bCs w:val="0"/>
          <w:color w:val="auto"/>
          <w:sz w:val="21"/>
          <w:szCs w:val="21"/>
          <w:lang w:val="en-US"/>
        </w:rPr>
        <w:t>2.2.1</w:t>
      </w:r>
      <w:r>
        <w:rPr>
          <w:rFonts w:hint="eastAsia"/>
          <w:b w:val="0"/>
          <w:bCs w:val="0"/>
          <w:color w:val="auto"/>
          <w:sz w:val="21"/>
          <w:szCs w:val="21"/>
        </w:rPr>
        <w:t>分值构成</w:t>
      </w:r>
    </w:p>
    <w:p w14:paraId="50BE0A22">
      <w:pPr>
        <w:pStyle w:val="5"/>
        <w:tabs>
          <w:tab w:val="left" w:pos="911"/>
        </w:tabs>
        <w:adjustRightInd w:val="0"/>
        <w:snapToGrid w:val="0"/>
        <w:spacing w:line="440" w:lineRule="exact"/>
        <w:ind w:left="0" w:firstLine="420" w:firstLineChars="200"/>
        <w:rPr>
          <w:b w:val="0"/>
          <w:bCs w:val="0"/>
          <w:color w:val="auto"/>
          <w:sz w:val="21"/>
          <w:szCs w:val="21"/>
        </w:rPr>
      </w:pPr>
      <w:r>
        <w:rPr>
          <w:rFonts w:hint="eastAsia"/>
          <w:b w:val="0"/>
          <w:bCs w:val="0"/>
          <w:color w:val="auto"/>
          <w:sz w:val="21"/>
          <w:szCs w:val="21"/>
        </w:rPr>
        <w:t>（</w:t>
      </w:r>
      <w:r>
        <w:rPr>
          <w:rFonts w:hint="eastAsia"/>
          <w:b w:val="0"/>
          <w:bCs w:val="0"/>
          <w:color w:val="auto"/>
          <w:sz w:val="21"/>
          <w:szCs w:val="21"/>
          <w:lang w:val="en-US"/>
        </w:rPr>
        <w:t>1</w:t>
      </w:r>
      <w:r>
        <w:rPr>
          <w:rFonts w:hint="eastAsia"/>
          <w:b w:val="0"/>
          <w:bCs w:val="0"/>
          <w:color w:val="auto"/>
          <w:sz w:val="21"/>
          <w:szCs w:val="21"/>
        </w:rPr>
        <w:t>）商务部分：见评标办法前附表</w:t>
      </w:r>
    </w:p>
    <w:p w14:paraId="5506B9AD">
      <w:pPr>
        <w:pStyle w:val="5"/>
        <w:tabs>
          <w:tab w:val="left" w:pos="911"/>
        </w:tabs>
        <w:adjustRightInd w:val="0"/>
        <w:snapToGrid w:val="0"/>
        <w:spacing w:line="440" w:lineRule="exact"/>
        <w:ind w:left="0" w:firstLine="420" w:firstLineChars="200"/>
        <w:rPr>
          <w:b w:val="0"/>
          <w:bCs w:val="0"/>
          <w:color w:val="auto"/>
          <w:sz w:val="21"/>
          <w:szCs w:val="21"/>
        </w:rPr>
      </w:pPr>
      <w:r>
        <w:rPr>
          <w:rFonts w:hint="eastAsia"/>
          <w:b w:val="0"/>
          <w:bCs w:val="0"/>
          <w:color w:val="auto"/>
          <w:sz w:val="21"/>
          <w:szCs w:val="21"/>
        </w:rPr>
        <w:t>（</w:t>
      </w:r>
      <w:r>
        <w:rPr>
          <w:rFonts w:hint="eastAsia"/>
          <w:b w:val="0"/>
          <w:bCs w:val="0"/>
          <w:color w:val="auto"/>
          <w:sz w:val="21"/>
          <w:szCs w:val="21"/>
          <w:lang w:val="en-US"/>
        </w:rPr>
        <w:t>2</w:t>
      </w:r>
      <w:r>
        <w:rPr>
          <w:rFonts w:hint="eastAsia"/>
          <w:b w:val="0"/>
          <w:bCs w:val="0"/>
          <w:color w:val="auto"/>
          <w:sz w:val="21"/>
          <w:szCs w:val="21"/>
        </w:rPr>
        <w:t>）技术部分：见评标办法前附表</w:t>
      </w:r>
    </w:p>
    <w:p w14:paraId="3767B2E8">
      <w:pPr>
        <w:pStyle w:val="5"/>
        <w:tabs>
          <w:tab w:val="left" w:pos="911"/>
        </w:tabs>
        <w:adjustRightInd w:val="0"/>
        <w:snapToGrid w:val="0"/>
        <w:spacing w:line="440" w:lineRule="exact"/>
        <w:ind w:left="0" w:firstLine="420" w:firstLineChars="200"/>
        <w:rPr>
          <w:b w:val="0"/>
          <w:bCs w:val="0"/>
          <w:color w:val="auto"/>
          <w:sz w:val="21"/>
          <w:szCs w:val="21"/>
        </w:rPr>
      </w:pPr>
      <w:r>
        <w:rPr>
          <w:rFonts w:hint="eastAsia"/>
          <w:b w:val="0"/>
          <w:bCs w:val="0"/>
          <w:color w:val="auto"/>
          <w:sz w:val="21"/>
          <w:szCs w:val="21"/>
        </w:rPr>
        <w:t>（</w:t>
      </w:r>
      <w:r>
        <w:rPr>
          <w:rFonts w:hint="eastAsia"/>
          <w:b w:val="0"/>
          <w:bCs w:val="0"/>
          <w:color w:val="auto"/>
          <w:sz w:val="21"/>
          <w:szCs w:val="21"/>
          <w:lang w:val="en-US"/>
        </w:rPr>
        <w:t>3</w:t>
      </w:r>
      <w:r>
        <w:rPr>
          <w:rFonts w:hint="eastAsia"/>
          <w:b w:val="0"/>
          <w:bCs w:val="0"/>
          <w:color w:val="auto"/>
          <w:sz w:val="21"/>
          <w:szCs w:val="21"/>
        </w:rPr>
        <w:t>）综合部分：见评标办法前附表</w:t>
      </w:r>
    </w:p>
    <w:p w14:paraId="3BA41BD1">
      <w:pPr>
        <w:pStyle w:val="5"/>
        <w:tabs>
          <w:tab w:val="left" w:pos="911"/>
        </w:tabs>
        <w:adjustRightInd w:val="0"/>
        <w:snapToGrid w:val="0"/>
        <w:spacing w:line="440" w:lineRule="exact"/>
        <w:ind w:left="0" w:firstLine="420" w:firstLineChars="200"/>
        <w:rPr>
          <w:b w:val="0"/>
          <w:bCs w:val="0"/>
          <w:color w:val="auto"/>
          <w:sz w:val="21"/>
          <w:szCs w:val="21"/>
        </w:rPr>
      </w:pPr>
      <w:r>
        <w:rPr>
          <w:rFonts w:hint="eastAsia"/>
          <w:b w:val="0"/>
          <w:bCs w:val="0"/>
          <w:color w:val="auto"/>
          <w:sz w:val="21"/>
          <w:szCs w:val="21"/>
          <w:lang w:val="en-US"/>
        </w:rPr>
        <w:t>2.2.2</w:t>
      </w:r>
      <w:r>
        <w:rPr>
          <w:rFonts w:hint="eastAsia"/>
          <w:b w:val="0"/>
          <w:bCs w:val="0"/>
          <w:color w:val="auto"/>
          <w:sz w:val="21"/>
          <w:szCs w:val="21"/>
        </w:rPr>
        <w:t>评标基准价计算</w:t>
      </w:r>
    </w:p>
    <w:p w14:paraId="37E35C15">
      <w:pPr>
        <w:pStyle w:val="5"/>
        <w:tabs>
          <w:tab w:val="left" w:pos="911"/>
        </w:tabs>
        <w:adjustRightInd w:val="0"/>
        <w:snapToGrid w:val="0"/>
        <w:spacing w:line="440" w:lineRule="exact"/>
        <w:ind w:left="0" w:firstLine="420" w:firstLineChars="200"/>
        <w:rPr>
          <w:b w:val="0"/>
          <w:bCs w:val="0"/>
          <w:color w:val="auto"/>
          <w:sz w:val="21"/>
          <w:szCs w:val="21"/>
        </w:rPr>
      </w:pPr>
      <w:r>
        <w:rPr>
          <w:rFonts w:hint="eastAsia"/>
          <w:b w:val="0"/>
          <w:bCs w:val="0"/>
          <w:color w:val="auto"/>
          <w:sz w:val="21"/>
          <w:szCs w:val="21"/>
        </w:rPr>
        <w:t>评标基准价计算方法：见评标办法前附表</w:t>
      </w:r>
    </w:p>
    <w:p w14:paraId="40A6A072">
      <w:pPr>
        <w:pStyle w:val="5"/>
        <w:tabs>
          <w:tab w:val="left" w:pos="911"/>
        </w:tabs>
        <w:adjustRightInd w:val="0"/>
        <w:snapToGrid w:val="0"/>
        <w:spacing w:line="440" w:lineRule="exact"/>
        <w:ind w:left="0" w:firstLine="420" w:firstLineChars="200"/>
        <w:rPr>
          <w:b w:val="0"/>
          <w:bCs w:val="0"/>
          <w:color w:val="auto"/>
          <w:sz w:val="21"/>
          <w:szCs w:val="21"/>
        </w:rPr>
      </w:pPr>
      <w:r>
        <w:rPr>
          <w:rFonts w:hint="eastAsia"/>
          <w:b w:val="0"/>
          <w:bCs w:val="0"/>
          <w:color w:val="auto"/>
          <w:sz w:val="21"/>
          <w:szCs w:val="21"/>
          <w:lang w:val="en-US"/>
        </w:rPr>
        <w:t>2.2.3</w:t>
      </w:r>
      <w:r>
        <w:rPr>
          <w:rFonts w:hint="eastAsia"/>
          <w:b w:val="0"/>
          <w:bCs w:val="0"/>
          <w:color w:val="auto"/>
          <w:sz w:val="21"/>
          <w:szCs w:val="21"/>
        </w:rPr>
        <w:t>评分标准</w:t>
      </w:r>
    </w:p>
    <w:p w14:paraId="5AC46CB8">
      <w:pPr>
        <w:pStyle w:val="5"/>
        <w:numPr>
          <w:ilvl w:val="0"/>
          <w:numId w:val="12"/>
        </w:numPr>
        <w:tabs>
          <w:tab w:val="left" w:pos="911"/>
          <w:tab w:val="clear" w:pos="312"/>
        </w:tabs>
        <w:adjustRightInd w:val="0"/>
        <w:snapToGrid w:val="0"/>
        <w:spacing w:line="440" w:lineRule="exact"/>
        <w:ind w:left="0" w:firstLine="420" w:firstLineChars="200"/>
        <w:rPr>
          <w:b w:val="0"/>
          <w:bCs w:val="0"/>
          <w:color w:val="auto"/>
          <w:sz w:val="21"/>
          <w:szCs w:val="21"/>
        </w:rPr>
      </w:pPr>
      <w:r>
        <w:rPr>
          <w:rFonts w:hint="eastAsia"/>
          <w:b w:val="0"/>
          <w:bCs w:val="0"/>
          <w:color w:val="auto"/>
          <w:sz w:val="21"/>
          <w:szCs w:val="21"/>
        </w:rPr>
        <w:t>商务部分评分标准：见评标办法前附表</w:t>
      </w:r>
    </w:p>
    <w:p w14:paraId="52A5A9C0">
      <w:pPr>
        <w:pStyle w:val="5"/>
        <w:numPr>
          <w:ilvl w:val="0"/>
          <w:numId w:val="12"/>
        </w:numPr>
        <w:tabs>
          <w:tab w:val="left" w:pos="911"/>
          <w:tab w:val="clear" w:pos="312"/>
        </w:tabs>
        <w:adjustRightInd w:val="0"/>
        <w:snapToGrid w:val="0"/>
        <w:spacing w:line="440" w:lineRule="exact"/>
        <w:ind w:left="0" w:firstLine="420" w:firstLineChars="200"/>
        <w:rPr>
          <w:b w:val="0"/>
          <w:bCs w:val="0"/>
          <w:color w:val="auto"/>
          <w:sz w:val="21"/>
          <w:szCs w:val="21"/>
        </w:rPr>
      </w:pPr>
      <w:r>
        <w:rPr>
          <w:rFonts w:hint="eastAsia"/>
          <w:b w:val="0"/>
          <w:bCs w:val="0"/>
          <w:color w:val="auto"/>
          <w:sz w:val="21"/>
          <w:szCs w:val="21"/>
        </w:rPr>
        <w:t>技术部分评分标准：见评标办法前附表</w:t>
      </w:r>
    </w:p>
    <w:p w14:paraId="794D8692">
      <w:pPr>
        <w:pStyle w:val="5"/>
        <w:numPr>
          <w:ilvl w:val="0"/>
          <w:numId w:val="12"/>
        </w:numPr>
        <w:tabs>
          <w:tab w:val="left" w:pos="911"/>
          <w:tab w:val="clear" w:pos="312"/>
        </w:tabs>
        <w:adjustRightInd w:val="0"/>
        <w:snapToGrid w:val="0"/>
        <w:spacing w:line="440" w:lineRule="exact"/>
        <w:ind w:left="0" w:firstLine="420" w:firstLineChars="200"/>
        <w:rPr>
          <w:b w:val="0"/>
          <w:bCs w:val="0"/>
          <w:color w:val="auto"/>
          <w:sz w:val="21"/>
          <w:szCs w:val="21"/>
        </w:rPr>
      </w:pPr>
      <w:r>
        <w:rPr>
          <w:rFonts w:hint="eastAsia"/>
          <w:b w:val="0"/>
          <w:bCs w:val="0"/>
          <w:color w:val="auto"/>
          <w:sz w:val="21"/>
          <w:szCs w:val="21"/>
        </w:rPr>
        <w:t>综合部分评分标准：见评标办法前附表</w:t>
      </w:r>
    </w:p>
    <w:p w14:paraId="4EECE6D7">
      <w:pPr>
        <w:pStyle w:val="5"/>
        <w:tabs>
          <w:tab w:val="left" w:pos="704"/>
        </w:tabs>
        <w:spacing w:line="440" w:lineRule="exact"/>
        <w:ind w:left="0" w:firstLine="0"/>
        <w:rPr>
          <w:color w:val="auto"/>
          <w:sz w:val="28"/>
          <w:szCs w:val="28"/>
          <w:lang w:val="en-US"/>
        </w:rPr>
      </w:pPr>
      <w:r>
        <w:rPr>
          <w:rFonts w:hint="eastAsia"/>
          <w:color w:val="auto"/>
          <w:sz w:val="28"/>
          <w:szCs w:val="28"/>
          <w:lang w:val="en-US"/>
        </w:rPr>
        <w:t>3.评标程序</w:t>
      </w:r>
    </w:p>
    <w:p w14:paraId="03C5361A">
      <w:pPr>
        <w:pStyle w:val="5"/>
        <w:tabs>
          <w:tab w:val="left" w:pos="911"/>
        </w:tabs>
        <w:adjustRightInd w:val="0"/>
        <w:snapToGrid w:val="0"/>
        <w:spacing w:line="420" w:lineRule="exact"/>
        <w:ind w:left="0" w:firstLine="422" w:firstLineChars="200"/>
        <w:rPr>
          <w:color w:val="auto"/>
          <w:sz w:val="21"/>
          <w:szCs w:val="21"/>
        </w:rPr>
      </w:pPr>
      <w:r>
        <w:rPr>
          <w:rFonts w:hint="eastAsia"/>
          <w:color w:val="auto"/>
          <w:sz w:val="21"/>
          <w:szCs w:val="21"/>
          <w:lang w:val="en-US"/>
        </w:rPr>
        <w:t xml:space="preserve">3.1 </w:t>
      </w:r>
      <w:r>
        <w:rPr>
          <w:rFonts w:hint="eastAsia"/>
          <w:color w:val="auto"/>
          <w:sz w:val="21"/>
          <w:szCs w:val="21"/>
        </w:rPr>
        <w:t>初步评审</w:t>
      </w:r>
    </w:p>
    <w:p w14:paraId="0A6A11B8">
      <w:pPr>
        <w:pStyle w:val="6"/>
        <w:tabs>
          <w:tab w:val="left" w:pos="911"/>
        </w:tabs>
        <w:adjustRightInd w:val="0"/>
        <w:snapToGrid w:val="0"/>
        <w:spacing w:before="0" w:line="420" w:lineRule="exact"/>
        <w:ind w:left="0" w:firstLine="420" w:firstLineChars="200"/>
        <w:rPr>
          <w:color w:val="auto"/>
          <w:sz w:val="21"/>
          <w:szCs w:val="21"/>
        </w:rPr>
      </w:pPr>
      <w:r>
        <w:rPr>
          <w:rFonts w:hint="eastAsia"/>
          <w:color w:val="auto"/>
          <w:sz w:val="21"/>
          <w:szCs w:val="21"/>
          <w:lang w:val="en-US"/>
        </w:rPr>
        <w:t>3.1.1</w:t>
      </w:r>
      <w:r>
        <w:rPr>
          <w:rFonts w:hint="eastAsia"/>
          <w:color w:val="auto"/>
          <w:sz w:val="21"/>
          <w:szCs w:val="21"/>
        </w:rPr>
        <w:t>资格审查小组根据投标人提交的第二章“投标人须知前附表</w:t>
      </w:r>
      <w:r>
        <w:rPr>
          <w:rFonts w:hint="eastAsia"/>
          <w:color w:val="auto"/>
          <w:sz w:val="21"/>
          <w:szCs w:val="21"/>
          <w:lang w:val="en-US"/>
        </w:rPr>
        <w:t>12项</w:t>
      </w:r>
      <w:r>
        <w:rPr>
          <w:rFonts w:hint="eastAsia"/>
          <w:color w:val="auto"/>
          <w:sz w:val="21"/>
          <w:szCs w:val="21"/>
        </w:rPr>
        <w:t>”规定的有关证明材料，审查其资格。评标委员会依据本章第2.1款初步评审标准中形式评审标准、符合性评审标准对投标文件进行评审，具体评审标准详见评标办法前附表2.1.1、2.1.</w:t>
      </w:r>
      <w:r>
        <w:rPr>
          <w:rFonts w:hint="eastAsia"/>
          <w:color w:val="auto"/>
          <w:sz w:val="21"/>
          <w:szCs w:val="21"/>
          <w:lang w:val="en-US"/>
        </w:rPr>
        <w:t>3</w:t>
      </w:r>
      <w:r>
        <w:rPr>
          <w:rFonts w:hint="eastAsia"/>
          <w:color w:val="auto"/>
          <w:sz w:val="21"/>
          <w:szCs w:val="21"/>
        </w:rPr>
        <w:t>，投标文件有一项不符合评审标准的，则不再进行下一步评审。</w:t>
      </w:r>
    </w:p>
    <w:p w14:paraId="25404376">
      <w:pPr>
        <w:pStyle w:val="55"/>
        <w:tabs>
          <w:tab w:val="left" w:pos="1435"/>
        </w:tabs>
        <w:adjustRightInd w:val="0"/>
        <w:snapToGrid w:val="0"/>
        <w:spacing w:line="420" w:lineRule="exact"/>
        <w:ind w:left="420" w:leftChars="200" w:firstLine="0"/>
        <w:rPr>
          <w:b/>
          <w:bCs/>
          <w:color w:val="auto"/>
          <w:sz w:val="21"/>
          <w:szCs w:val="21"/>
          <w:lang w:val="en-US"/>
        </w:rPr>
      </w:pPr>
      <w:r>
        <w:rPr>
          <w:rFonts w:hint="eastAsia"/>
          <w:b/>
          <w:bCs/>
          <w:color w:val="auto"/>
          <w:sz w:val="21"/>
          <w:szCs w:val="21"/>
          <w:lang w:val="en-US"/>
        </w:rPr>
        <w:t>3.1.2 参与同一个标段（包）的供应商存在下列情形之一的，投标文件无效：</w:t>
      </w:r>
    </w:p>
    <w:p w14:paraId="3F285C80">
      <w:pPr>
        <w:pStyle w:val="55"/>
        <w:numPr>
          <w:ilvl w:val="0"/>
          <w:numId w:val="13"/>
        </w:numPr>
        <w:tabs>
          <w:tab w:val="left" w:pos="1435"/>
        </w:tabs>
        <w:adjustRightInd w:val="0"/>
        <w:snapToGrid w:val="0"/>
        <w:spacing w:line="420" w:lineRule="exact"/>
        <w:ind w:left="0" w:firstLine="422" w:firstLineChars="200"/>
        <w:rPr>
          <w:b/>
          <w:bCs/>
          <w:color w:val="auto"/>
          <w:spacing w:val="-3"/>
          <w:sz w:val="21"/>
          <w:szCs w:val="21"/>
        </w:rPr>
      </w:pPr>
      <w:r>
        <w:rPr>
          <w:rFonts w:hint="eastAsia"/>
          <w:b/>
          <w:bCs/>
          <w:color w:val="auto"/>
          <w:sz w:val="21"/>
          <w:szCs w:val="21"/>
        </w:rPr>
        <w:t>第二章“</w:t>
      </w:r>
      <w:r>
        <w:rPr>
          <w:rFonts w:hint="eastAsia"/>
          <w:b/>
          <w:bCs/>
          <w:color w:val="auto"/>
          <w:sz w:val="21"/>
          <w:szCs w:val="21"/>
          <w:lang w:val="en-US"/>
        </w:rPr>
        <w:t>1 总则</w:t>
      </w:r>
      <w:r>
        <w:rPr>
          <w:rFonts w:hint="eastAsia"/>
          <w:b/>
          <w:bCs/>
          <w:color w:val="auto"/>
          <w:sz w:val="21"/>
          <w:szCs w:val="21"/>
        </w:rPr>
        <w:t>”第1.4.</w:t>
      </w:r>
      <w:r>
        <w:rPr>
          <w:rFonts w:hint="eastAsia"/>
          <w:b/>
          <w:bCs/>
          <w:color w:val="auto"/>
          <w:sz w:val="21"/>
          <w:szCs w:val="21"/>
          <w:lang w:val="en-US"/>
        </w:rPr>
        <w:t>2</w:t>
      </w:r>
      <w:r>
        <w:rPr>
          <w:rFonts w:hint="eastAsia"/>
          <w:b/>
          <w:bCs/>
          <w:color w:val="auto"/>
          <w:sz w:val="21"/>
          <w:szCs w:val="21"/>
        </w:rPr>
        <w:t>项规定的任何一种情形的；</w:t>
      </w:r>
    </w:p>
    <w:p w14:paraId="7A95DAE0">
      <w:pPr>
        <w:pStyle w:val="55"/>
        <w:numPr>
          <w:ilvl w:val="0"/>
          <w:numId w:val="13"/>
        </w:numPr>
        <w:tabs>
          <w:tab w:val="left" w:pos="1435"/>
        </w:tabs>
        <w:adjustRightInd w:val="0"/>
        <w:snapToGrid w:val="0"/>
        <w:spacing w:line="420" w:lineRule="exact"/>
        <w:ind w:left="0" w:firstLine="410" w:firstLineChars="200"/>
        <w:rPr>
          <w:b/>
          <w:bCs/>
          <w:color w:val="auto"/>
          <w:spacing w:val="-3"/>
          <w:sz w:val="21"/>
          <w:szCs w:val="21"/>
        </w:rPr>
      </w:pPr>
      <w:r>
        <w:rPr>
          <w:rFonts w:hint="eastAsia"/>
          <w:b/>
          <w:bCs/>
          <w:color w:val="auto"/>
          <w:spacing w:val="-3"/>
          <w:sz w:val="21"/>
          <w:szCs w:val="21"/>
        </w:rPr>
        <w:t>串通投标或弄虚作假或有其他违法行为的；</w:t>
      </w:r>
    </w:p>
    <w:p w14:paraId="0C8A6D2F">
      <w:pPr>
        <w:pStyle w:val="55"/>
        <w:numPr>
          <w:ilvl w:val="0"/>
          <w:numId w:val="13"/>
        </w:numPr>
        <w:tabs>
          <w:tab w:val="left" w:pos="1435"/>
        </w:tabs>
        <w:adjustRightInd w:val="0"/>
        <w:snapToGrid w:val="0"/>
        <w:spacing w:line="420" w:lineRule="exact"/>
        <w:ind w:left="0" w:firstLine="422" w:firstLineChars="200"/>
        <w:rPr>
          <w:b/>
          <w:bCs/>
          <w:color w:val="auto"/>
          <w:sz w:val="21"/>
          <w:szCs w:val="21"/>
        </w:rPr>
      </w:pPr>
      <w:r>
        <w:rPr>
          <w:rFonts w:hint="eastAsia"/>
          <w:b/>
          <w:bCs/>
          <w:color w:val="auto"/>
          <w:sz w:val="21"/>
          <w:szCs w:val="21"/>
        </w:rPr>
        <w:t>投标文件（投标书）无投标人电子签章；</w:t>
      </w:r>
    </w:p>
    <w:p w14:paraId="785EE543">
      <w:pPr>
        <w:pStyle w:val="55"/>
        <w:numPr>
          <w:ilvl w:val="0"/>
          <w:numId w:val="13"/>
        </w:numPr>
        <w:tabs>
          <w:tab w:val="left" w:pos="1435"/>
        </w:tabs>
        <w:adjustRightInd w:val="0"/>
        <w:snapToGrid w:val="0"/>
        <w:spacing w:line="420" w:lineRule="exact"/>
        <w:ind w:left="0" w:firstLine="422" w:firstLineChars="200"/>
        <w:rPr>
          <w:b/>
          <w:bCs/>
          <w:color w:val="auto"/>
          <w:sz w:val="21"/>
          <w:szCs w:val="21"/>
          <w:lang w:val="en-US"/>
        </w:rPr>
      </w:pPr>
      <w:r>
        <w:rPr>
          <w:rFonts w:hint="eastAsia"/>
          <w:b/>
          <w:bCs/>
          <w:color w:val="auto"/>
          <w:sz w:val="21"/>
          <w:szCs w:val="21"/>
        </w:rPr>
        <w:t>投标人递交两份或多份内容不同的投标文件，或在一份投标文件中对同一招标项目报有两个或多个报价，且未声明哪一个有效的；</w:t>
      </w:r>
    </w:p>
    <w:p w14:paraId="28173FD8">
      <w:pPr>
        <w:pStyle w:val="55"/>
        <w:numPr>
          <w:ilvl w:val="0"/>
          <w:numId w:val="13"/>
        </w:numPr>
        <w:tabs>
          <w:tab w:val="left" w:pos="1435"/>
        </w:tabs>
        <w:adjustRightInd w:val="0"/>
        <w:snapToGrid w:val="0"/>
        <w:spacing w:line="420" w:lineRule="exact"/>
        <w:ind w:left="0" w:firstLine="422" w:firstLineChars="200"/>
        <w:rPr>
          <w:b/>
          <w:bCs/>
          <w:color w:val="auto"/>
          <w:sz w:val="21"/>
          <w:szCs w:val="21"/>
          <w:lang w:val="en-US"/>
        </w:rPr>
      </w:pPr>
      <w:r>
        <w:rPr>
          <w:rFonts w:hint="eastAsia"/>
          <w:b/>
          <w:bCs/>
          <w:color w:val="auto"/>
          <w:sz w:val="21"/>
          <w:szCs w:val="21"/>
          <w:lang w:val="en-US"/>
        </w:rPr>
        <w:t>不同供应商的电子投标文件上传计算机的网卡MAC地址、CPU序列号和硬盘序列号等硬件信息相同的；</w:t>
      </w:r>
    </w:p>
    <w:p w14:paraId="27127279">
      <w:pPr>
        <w:pStyle w:val="55"/>
        <w:numPr>
          <w:ilvl w:val="0"/>
          <w:numId w:val="13"/>
        </w:numPr>
        <w:tabs>
          <w:tab w:val="left" w:pos="1435"/>
        </w:tabs>
        <w:adjustRightInd w:val="0"/>
        <w:snapToGrid w:val="0"/>
        <w:spacing w:line="420" w:lineRule="exact"/>
        <w:ind w:left="0" w:firstLine="422" w:firstLineChars="200"/>
        <w:rPr>
          <w:b/>
          <w:bCs/>
          <w:color w:val="auto"/>
          <w:sz w:val="21"/>
          <w:szCs w:val="21"/>
          <w:lang w:val="en-US"/>
        </w:rPr>
      </w:pPr>
      <w:r>
        <w:rPr>
          <w:rFonts w:hint="eastAsia"/>
          <w:b/>
          <w:bCs/>
          <w:color w:val="auto"/>
          <w:sz w:val="21"/>
          <w:szCs w:val="21"/>
          <w:lang w:val="en-US"/>
        </w:rPr>
        <w:t>不同供应商的投标文件由同一电子设备编制、打印加密或者上传。</w:t>
      </w:r>
    </w:p>
    <w:p w14:paraId="09BC6AC1">
      <w:pPr>
        <w:pStyle w:val="55"/>
        <w:numPr>
          <w:ilvl w:val="0"/>
          <w:numId w:val="13"/>
        </w:numPr>
        <w:tabs>
          <w:tab w:val="left" w:pos="1435"/>
        </w:tabs>
        <w:adjustRightInd w:val="0"/>
        <w:snapToGrid w:val="0"/>
        <w:spacing w:line="420" w:lineRule="exact"/>
        <w:ind w:left="0" w:firstLine="422" w:firstLineChars="200"/>
        <w:rPr>
          <w:b/>
          <w:bCs/>
          <w:color w:val="auto"/>
          <w:sz w:val="21"/>
          <w:szCs w:val="21"/>
          <w:lang w:val="en-US"/>
        </w:rPr>
      </w:pPr>
      <w:r>
        <w:rPr>
          <w:rFonts w:hint="eastAsia"/>
          <w:b/>
          <w:bCs/>
          <w:color w:val="auto"/>
          <w:sz w:val="21"/>
          <w:szCs w:val="21"/>
          <w:lang w:val="en-US"/>
        </w:rPr>
        <w:t>不同供应商的投标文件由同一电子设备打印、复印；</w:t>
      </w:r>
    </w:p>
    <w:p w14:paraId="4E2999E1">
      <w:pPr>
        <w:pStyle w:val="55"/>
        <w:numPr>
          <w:ilvl w:val="0"/>
          <w:numId w:val="13"/>
        </w:numPr>
        <w:tabs>
          <w:tab w:val="left" w:pos="1435"/>
        </w:tabs>
        <w:adjustRightInd w:val="0"/>
        <w:snapToGrid w:val="0"/>
        <w:spacing w:line="420" w:lineRule="exact"/>
        <w:ind w:left="0" w:firstLine="422" w:firstLineChars="200"/>
        <w:rPr>
          <w:b/>
          <w:bCs/>
          <w:color w:val="auto"/>
          <w:sz w:val="21"/>
          <w:szCs w:val="21"/>
          <w:lang w:val="en-US"/>
        </w:rPr>
      </w:pPr>
      <w:r>
        <w:rPr>
          <w:rFonts w:hint="eastAsia"/>
          <w:b/>
          <w:bCs/>
          <w:color w:val="auto"/>
          <w:sz w:val="21"/>
          <w:szCs w:val="21"/>
          <w:lang w:val="en-US"/>
        </w:rPr>
        <w:t>不同供应商联系人为同一人或不同联系人的联系电话一致的；</w:t>
      </w:r>
    </w:p>
    <w:p w14:paraId="4E3B83E7">
      <w:pPr>
        <w:pStyle w:val="55"/>
        <w:numPr>
          <w:ilvl w:val="0"/>
          <w:numId w:val="13"/>
        </w:numPr>
        <w:tabs>
          <w:tab w:val="left" w:pos="1435"/>
        </w:tabs>
        <w:adjustRightInd w:val="0"/>
        <w:snapToGrid w:val="0"/>
        <w:spacing w:line="420" w:lineRule="exact"/>
        <w:ind w:left="0" w:firstLine="422" w:firstLineChars="200"/>
        <w:rPr>
          <w:b/>
          <w:bCs/>
          <w:color w:val="auto"/>
          <w:sz w:val="21"/>
          <w:szCs w:val="21"/>
          <w:lang w:val="en-US"/>
        </w:rPr>
      </w:pPr>
      <w:r>
        <w:rPr>
          <w:rFonts w:hint="eastAsia"/>
          <w:b/>
          <w:bCs/>
          <w:color w:val="auto"/>
          <w:sz w:val="21"/>
          <w:szCs w:val="21"/>
          <w:lang w:val="en-US"/>
        </w:rPr>
        <w:t>不同供应商的投标文件的内容存在两处以上细节错误一致；</w:t>
      </w:r>
    </w:p>
    <w:p w14:paraId="1638B75F">
      <w:pPr>
        <w:pStyle w:val="55"/>
        <w:numPr>
          <w:ilvl w:val="0"/>
          <w:numId w:val="13"/>
        </w:numPr>
        <w:tabs>
          <w:tab w:val="left" w:pos="1435"/>
        </w:tabs>
        <w:adjustRightInd w:val="0"/>
        <w:snapToGrid w:val="0"/>
        <w:spacing w:line="420" w:lineRule="exact"/>
        <w:ind w:left="0" w:firstLine="422" w:firstLineChars="200"/>
        <w:rPr>
          <w:b/>
          <w:bCs/>
          <w:color w:val="auto"/>
          <w:sz w:val="21"/>
          <w:szCs w:val="21"/>
          <w:lang w:val="en-US"/>
        </w:rPr>
      </w:pPr>
      <w:r>
        <w:rPr>
          <w:rFonts w:hint="eastAsia"/>
          <w:b/>
          <w:bCs/>
          <w:color w:val="auto"/>
          <w:sz w:val="21"/>
          <w:szCs w:val="21"/>
          <w:lang w:val="en-US"/>
        </w:rPr>
        <w:t>不同供应商的法定代表人、委托代理人、项目经理、项目负责人等由同一单位缴纳社会保险或者领取报酬的；</w:t>
      </w:r>
    </w:p>
    <w:p w14:paraId="1F861555">
      <w:pPr>
        <w:pStyle w:val="55"/>
        <w:numPr>
          <w:ilvl w:val="0"/>
          <w:numId w:val="13"/>
        </w:numPr>
        <w:tabs>
          <w:tab w:val="left" w:pos="1435"/>
        </w:tabs>
        <w:adjustRightInd w:val="0"/>
        <w:snapToGrid w:val="0"/>
        <w:spacing w:line="420" w:lineRule="exact"/>
        <w:ind w:left="0" w:firstLine="422" w:firstLineChars="200"/>
        <w:rPr>
          <w:b/>
          <w:bCs/>
          <w:color w:val="auto"/>
          <w:sz w:val="21"/>
          <w:szCs w:val="21"/>
          <w:lang w:val="en-US"/>
        </w:rPr>
      </w:pPr>
      <w:r>
        <w:rPr>
          <w:rFonts w:hint="eastAsia"/>
          <w:b/>
          <w:bCs/>
          <w:color w:val="auto"/>
          <w:sz w:val="21"/>
          <w:szCs w:val="21"/>
          <w:lang w:val="en-US"/>
        </w:rPr>
        <w:t>不同供应商投标文件中法定代表人或者负责人签字出自同一人之手；</w:t>
      </w:r>
    </w:p>
    <w:p w14:paraId="208AEFC5">
      <w:pPr>
        <w:pStyle w:val="55"/>
        <w:numPr>
          <w:ilvl w:val="0"/>
          <w:numId w:val="13"/>
        </w:numPr>
        <w:tabs>
          <w:tab w:val="left" w:pos="1435"/>
        </w:tabs>
        <w:adjustRightInd w:val="0"/>
        <w:snapToGrid w:val="0"/>
        <w:spacing w:line="400" w:lineRule="exact"/>
        <w:ind w:left="0" w:firstLine="422" w:firstLineChars="200"/>
        <w:rPr>
          <w:b/>
          <w:bCs/>
          <w:color w:val="auto"/>
          <w:sz w:val="21"/>
          <w:szCs w:val="21"/>
        </w:rPr>
      </w:pPr>
      <w:r>
        <w:rPr>
          <w:rFonts w:hint="eastAsia"/>
          <w:b/>
          <w:bCs/>
          <w:color w:val="auto"/>
          <w:sz w:val="21"/>
          <w:szCs w:val="21"/>
        </w:rPr>
        <w:t>招标文件中规定的其他情形。</w:t>
      </w:r>
    </w:p>
    <w:p w14:paraId="40E591C6">
      <w:pPr>
        <w:pStyle w:val="55"/>
        <w:tabs>
          <w:tab w:val="left" w:pos="1435"/>
        </w:tabs>
        <w:adjustRightInd w:val="0"/>
        <w:snapToGrid w:val="0"/>
        <w:spacing w:line="400" w:lineRule="exact"/>
        <w:ind w:left="0" w:firstLine="420" w:firstLineChars="200"/>
        <w:rPr>
          <w:color w:val="auto"/>
          <w:sz w:val="21"/>
          <w:szCs w:val="21"/>
        </w:rPr>
      </w:pPr>
      <w:r>
        <w:rPr>
          <w:rFonts w:hint="eastAsia"/>
          <w:color w:val="auto"/>
          <w:sz w:val="21"/>
          <w:szCs w:val="21"/>
          <w:lang w:val="en-US"/>
        </w:rPr>
        <w:t>3.1.3</w:t>
      </w:r>
      <w:r>
        <w:rPr>
          <w:rFonts w:hint="eastAsia"/>
          <w:color w:val="auto"/>
          <w:sz w:val="21"/>
          <w:szCs w:val="21"/>
        </w:rPr>
        <w:t>投标报价有算术错误的，评标委员会按以下原则对投标报价进行修正，修正的价格经投标人书面确认后具有约束力。投标人不接受修正价格的，否决其投标。</w:t>
      </w:r>
    </w:p>
    <w:p w14:paraId="305EC019">
      <w:pPr>
        <w:pStyle w:val="55"/>
        <w:tabs>
          <w:tab w:val="left" w:pos="1435"/>
        </w:tabs>
        <w:adjustRightInd w:val="0"/>
        <w:snapToGrid w:val="0"/>
        <w:spacing w:line="400" w:lineRule="exact"/>
        <w:ind w:left="0" w:firstLine="420" w:firstLineChars="200"/>
        <w:rPr>
          <w:color w:val="auto"/>
          <w:sz w:val="21"/>
          <w:szCs w:val="21"/>
        </w:rPr>
      </w:pPr>
      <w:r>
        <w:rPr>
          <w:rFonts w:hint="eastAsia"/>
          <w:color w:val="auto"/>
          <w:sz w:val="21"/>
          <w:szCs w:val="21"/>
        </w:rPr>
        <w:t>（</w:t>
      </w:r>
      <w:r>
        <w:rPr>
          <w:rFonts w:hint="eastAsia"/>
          <w:color w:val="auto"/>
          <w:sz w:val="21"/>
          <w:szCs w:val="21"/>
          <w:lang w:val="en-US"/>
        </w:rPr>
        <w:t>1</w:t>
      </w:r>
      <w:r>
        <w:rPr>
          <w:rFonts w:hint="eastAsia"/>
          <w:color w:val="auto"/>
          <w:sz w:val="21"/>
          <w:szCs w:val="21"/>
        </w:rPr>
        <w:t>）投标文件中开标一览表（报价表）内容与投标文件中相应内容不一致的，以开标一览表（报价表）为准。</w:t>
      </w:r>
    </w:p>
    <w:p w14:paraId="4A89F68D">
      <w:pPr>
        <w:pStyle w:val="5"/>
        <w:tabs>
          <w:tab w:val="left" w:pos="911"/>
        </w:tabs>
        <w:adjustRightInd w:val="0"/>
        <w:snapToGrid w:val="0"/>
        <w:spacing w:line="400" w:lineRule="exact"/>
        <w:ind w:left="420" w:leftChars="200" w:firstLine="0"/>
        <w:rPr>
          <w:b w:val="0"/>
          <w:bCs w:val="0"/>
          <w:color w:val="auto"/>
          <w:sz w:val="21"/>
          <w:szCs w:val="21"/>
        </w:rPr>
      </w:pPr>
      <w:r>
        <w:rPr>
          <w:rFonts w:hint="eastAsia"/>
          <w:b w:val="0"/>
          <w:bCs w:val="0"/>
          <w:color w:val="auto"/>
          <w:sz w:val="21"/>
          <w:szCs w:val="21"/>
        </w:rPr>
        <w:t>（</w:t>
      </w:r>
      <w:r>
        <w:rPr>
          <w:rFonts w:hint="eastAsia"/>
          <w:b w:val="0"/>
          <w:bCs w:val="0"/>
          <w:color w:val="auto"/>
          <w:sz w:val="21"/>
          <w:szCs w:val="21"/>
          <w:lang w:val="en-US"/>
        </w:rPr>
        <w:t>2</w:t>
      </w:r>
      <w:r>
        <w:rPr>
          <w:rFonts w:hint="eastAsia"/>
          <w:b w:val="0"/>
          <w:bCs w:val="0"/>
          <w:color w:val="auto"/>
          <w:sz w:val="21"/>
          <w:szCs w:val="21"/>
        </w:rPr>
        <w:t>）投标文件中的大写金额与小写金额不一致的，以大写金额为准；</w:t>
      </w:r>
    </w:p>
    <w:p w14:paraId="5DB9E50E">
      <w:pPr>
        <w:pStyle w:val="5"/>
        <w:tabs>
          <w:tab w:val="left" w:pos="911"/>
        </w:tabs>
        <w:adjustRightInd w:val="0"/>
        <w:snapToGrid w:val="0"/>
        <w:spacing w:line="400" w:lineRule="exact"/>
        <w:ind w:left="0" w:firstLine="420" w:firstLineChars="200"/>
        <w:rPr>
          <w:b w:val="0"/>
          <w:bCs w:val="0"/>
          <w:color w:val="auto"/>
          <w:sz w:val="21"/>
        </w:rPr>
      </w:pPr>
      <w:r>
        <w:rPr>
          <w:rFonts w:hint="eastAsia"/>
          <w:b w:val="0"/>
          <w:bCs w:val="0"/>
          <w:color w:val="auto"/>
          <w:sz w:val="21"/>
          <w:szCs w:val="21"/>
        </w:rPr>
        <w:t>（</w:t>
      </w:r>
      <w:r>
        <w:rPr>
          <w:rFonts w:hint="eastAsia"/>
          <w:b w:val="0"/>
          <w:bCs w:val="0"/>
          <w:color w:val="auto"/>
          <w:sz w:val="21"/>
          <w:szCs w:val="21"/>
          <w:lang w:val="en-US"/>
        </w:rPr>
        <w:t>3</w:t>
      </w:r>
      <w:r>
        <w:rPr>
          <w:rFonts w:hint="eastAsia"/>
          <w:b w:val="0"/>
          <w:bCs w:val="0"/>
          <w:color w:val="auto"/>
          <w:sz w:val="21"/>
          <w:szCs w:val="21"/>
        </w:rPr>
        <w:t>）总价金额与按单价汇总金额不一致的，以单价金额计算结果为准。单价金额小数点或者百分比有明显错位的，以开标一览表（投标函）的总价为准，并修改单价。</w:t>
      </w:r>
    </w:p>
    <w:p w14:paraId="1A5910A1">
      <w:pPr>
        <w:pStyle w:val="5"/>
        <w:tabs>
          <w:tab w:val="left" w:pos="911"/>
        </w:tabs>
        <w:adjustRightInd w:val="0"/>
        <w:snapToGrid w:val="0"/>
        <w:spacing w:line="400" w:lineRule="exact"/>
        <w:ind w:left="0" w:firstLine="420" w:firstLineChars="200"/>
        <w:rPr>
          <w:b w:val="0"/>
          <w:bCs w:val="0"/>
          <w:color w:val="auto"/>
          <w:sz w:val="21"/>
        </w:rPr>
      </w:pPr>
      <w:r>
        <w:rPr>
          <w:rFonts w:hint="eastAsia"/>
          <w:b w:val="0"/>
          <w:bCs w:val="0"/>
          <w:color w:val="auto"/>
          <w:sz w:val="21"/>
          <w:szCs w:val="21"/>
          <w:lang w:val="en-US"/>
        </w:rPr>
        <w:t>（4）如果分项报价</w:t>
      </w:r>
      <w:r>
        <w:rPr>
          <w:rFonts w:hint="eastAsia"/>
          <w:b w:val="0"/>
          <w:bCs w:val="0"/>
          <w:color w:val="auto"/>
          <w:spacing w:val="-3"/>
          <w:sz w:val="21"/>
        </w:rPr>
        <w:t>中存在缺漏项，则视为缺漏项价格已包含在其他分项报价之中。</w:t>
      </w:r>
    </w:p>
    <w:p w14:paraId="6DFEC890">
      <w:pPr>
        <w:pStyle w:val="5"/>
        <w:tabs>
          <w:tab w:val="left" w:pos="911"/>
        </w:tabs>
        <w:adjustRightInd w:val="0"/>
        <w:snapToGrid w:val="0"/>
        <w:spacing w:line="400" w:lineRule="exact"/>
        <w:ind w:left="0" w:firstLine="0"/>
        <w:rPr>
          <w:color w:val="auto"/>
          <w:sz w:val="21"/>
          <w:szCs w:val="21"/>
        </w:rPr>
      </w:pPr>
      <w:r>
        <w:rPr>
          <w:rFonts w:hint="eastAsia"/>
          <w:color w:val="auto"/>
          <w:sz w:val="21"/>
          <w:szCs w:val="21"/>
          <w:lang w:val="en-US"/>
        </w:rPr>
        <w:t xml:space="preserve">3.2 </w:t>
      </w:r>
      <w:r>
        <w:rPr>
          <w:rFonts w:hint="eastAsia"/>
          <w:color w:val="auto"/>
          <w:sz w:val="21"/>
          <w:szCs w:val="21"/>
        </w:rPr>
        <w:t>详细评审</w:t>
      </w:r>
    </w:p>
    <w:p w14:paraId="0730D663">
      <w:pPr>
        <w:pStyle w:val="5"/>
        <w:tabs>
          <w:tab w:val="left" w:pos="911"/>
        </w:tabs>
        <w:adjustRightInd w:val="0"/>
        <w:snapToGrid w:val="0"/>
        <w:spacing w:line="400" w:lineRule="exact"/>
        <w:ind w:left="0" w:firstLine="400" w:firstLineChars="200"/>
        <w:rPr>
          <w:b w:val="0"/>
          <w:bCs w:val="0"/>
          <w:color w:val="auto"/>
          <w:spacing w:val="-7"/>
          <w:sz w:val="21"/>
          <w:szCs w:val="21"/>
        </w:rPr>
      </w:pPr>
      <w:r>
        <w:rPr>
          <w:rFonts w:hint="eastAsia"/>
          <w:b w:val="0"/>
          <w:bCs w:val="0"/>
          <w:color w:val="auto"/>
          <w:spacing w:val="-5"/>
          <w:sz w:val="21"/>
          <w:szCs w:val="21"/>
          <w:lang w:val="en-US"/>
        </w:rPr>
        <w:t>3.2.1</w:t>
      </w:r>
      <w:r>
        <w:rPr>
          <w:rFonts w:hint="eastAsia"/>
          <w:b w:val="0"/>
          <w:bCs w:val="0"/>
          <w:color w:val="auto"/>
          <w:spacing w:val="-5"/>
          <w:sz w:val="21"/>
          <w:szCs w:val="21"/>
        </w:rPr>
        <w:t>评标委员会按招标文件要求对所有投标文件进行检查，并进行综合比较与独立评分</w:t>
      </w:r>
      <w:r>
        <w:rPr>
          <w:rFonts w:hint="eastAsia"/>
          <w:b w:val="0"/>
          <w:bCs w:val="0"/>
          <w:color w:val="auto"/>
          <w:spacing w:val="-5"/>
          <w:sz w:val="21"/>
          <w:szCs w:val="21"/>
          <w:lang w:val="en-US"/>
        </w:rPr>
        <w:t>并</w:t>
      </w:r>
      <w:r>
        <w:rPr>
          <w:rFonts w:hint="eastAsia"/>
          <w:b w:val="0"/>
          <w:bCs w:val="0"/>
          <w:color w:val="auto"/>
          <w:spacing w:val="-5"/>
          <w:sz w:val="21"/>
          <w:szCs w:val="21"/>
        </w:rPr>
        <w:t xml:space="preserve">按本章第 </w:t>
      </w:r>
      <w:r>
        <w:rPr>
          <w:rFonts w:hint="eastAsia"/>
          <w:b w:val="0"/>
          <w:bCs w:val="0"/>
          <w:color w:val="auto"/>
          <w:sz w:val="21"/>
          <w:szCs w:val="21"/>
        </w:rPr>
        <w:t>2.2</w:t>
      </w:r>
      <w:r>
        <w:rPr>
          <w:rFonts w:hint="eastAsia"/>
          <w:b w:val="0"/>
          <w:bCs w:val="0"/>
          <w:color w:val="auto"/>
          <w:spacing w:val="-7"/>
          <w:sz w:val="21"/>
          <w:szCs w:val="21"/>
        </w:rPr>
        <w:t xml:space="preserve"> 款</w:t>
      </w:r>
      <w:r>
        <w:rPr>
          <w:rFonts w:hint="eastAsia"/>
          <w:b w:val="0"/>
          <w:bCs w:val="0"/>
          <w:color w:val="auto"/>
          <w:sz w:val="21"/>
          <w:szCs w:val="21"/>
        </w:rPr>
        <w:t>分值构成与评分标准中</w:t>
      </w:r>
      <w:r>
        <w:rPr>
          <w:rFonts w:hint="eastAsia"/>
          <w:b w:val="0"/>
          <w:bCs w:val="0"/>
          <w:color w:val="auto"/>
          <w:spacing w:val="-7"/>
          <w:sz w:val="21"/>
          <w:szCs w:val="21"/>
        </w:rPr>
        <w:t>规定的量化因素和分值进行打分，计算出综合评估得分。中标价和合同签约价仍以其投标文件中的一次报价为准。</w:t>
      </w:r>
    </w:p>
    <w:p w14:paraId="2FCD9E1F">
      <w:pPr>
        <w:pStyle w:val="55"/>
        <w:tabs>
          <w:tab w:val="left" w:pos="1701"/>
        </w:tabs>
        <w:adjustRightInd w:val="0"/>
        <w:snapToGrid w:val="0"/>
        <w:spacing w:line="400" w:lineRule="exact"/>
        <w:ind w:left="0" w:firstLine="408" w:firstLineChars="200"/>
        <w:rPr>
          <w:color w:val="auto"/>
          <w:sz w:val="21"/>
          <w:szCs w:val="21"/>
        </w:rPr>
      </w:pPr>
      <w:r>
        <w:rPr>
          <w:rFonts w:hint="eastAsia"/>
          <w:color w:val="auto"/>
          <w:spacing w:val="-3"/>
          <w:sz w:val="21"/>
          <w:szCs w:val="21"/>
        </w:rPr>
        <w:t>（</w:t>
      </w:r>
      <w:r>
        <w:rPr>
          <w:rFonts w:hint="eastAsia"/>
          <w:color w:val="auto"/>
          <w:spacing w:val="-3"/>
          <w:sz w:val="21"/>
          <w:szCs w:val="21"/>
          <w:lang w:val="en-US"/>
        </w:rPr>
        <w:t>1</w:t>
      </w:r>
      <w:r>
        <w:rPr>
          <w:rFonts w:hint="eastAsia"/>
          <w:color w:val="auto"/>
          <w:spacing w:val="-3"/>
          <w:sz w:val="21"/>
          <w:szCs w:val="21"/>
        </w:rPr>
        <w:t xml:space="preserve">）按本章规定的评审因素和分值对商务部分计算出得分 </w:t>
      </w:r>
      <w:r>
        <w:rPr>
          <w:rFonts w:hint="eastAsia"/>
          <w:color w:val="auto"/>
          <w:sz w:val="21"/>
          <w:szCs w:val="21"/>
        </w:rPr>
        <w:t>A；</w:t>
      </w:r>
    </w:p>
    <w:p w14:paraId="6BFCC519">
      <w:pPr>
        <w:pStyle w:val="55"/>
        <w:tabs>
          <w:tab w:val="left" w:pos="1582"/>
        </w:tabs>
        <w:adjustRightInd w:val="0"/>
        <w:snapToGrid w:val="0"/>
        <w:spacing w:line="400" w:lineRule="exact"/>
        <w:ind w:left="0" w:firstLine="408" w:firstLineChars="200"/>
        <w:rPr>
          <w:color w:val="auto"/>
          <w:sz w:val="21"/>
          <w:szCs w:val="21"/>
        </w:rPr>
      </w:pPr>
      <w:r>
        <w:rPr>
          <w:rFonts w:hint="eastAsia"/>
          <w:color w:val="auto"/>
          <w:spacing w:val="-3"/>
          <w:sz w:val="21"/>
          <w:szCs w:val="21"/>
        </w:rPr>
        <w:t>（</w:t>
      </w:r>
      <w:r>
        <w:rPr>
          <w:rFonts w:hint="eastAsia"/>
          <w:color w:val="auto"/>
          <w:spacing w:val="-3"/>
          <w:sz w:val="21"/>
          <w:szCs w:val="21"/>
          <w:lang w:val="en-US"/>
        </w:rPr>
        <w:t>2</w:t>
      </w:r>
      <w:r>
        <w:rPr>
          <w:rFonts w:hint="eastAsia"/>
          <w:color w:val="auto"/>
          <w:spacing w:val="-3"/>
          <w:sz w:val="21"/>
          <w:szCs w:val="21"/>
        </w:rPr>
        <w:t xml:space="preserve">）按本章规定的评审因素和分值对技术部分计算出得分 </w:t>
      </w:r>
      <w:r>
        <w:rPr>
          <w:rFonts w:hint="eastAsia"/>
          <w:color w:val="auto"/>
          <w:sz w:val="21"/>
          <w:szCs w:val="21"/>
        </w:rPr>
        <w:t>B；</w:t>
      </w:r>
    </w:p>
    <w:p w14:paraId="062617D1">
      <w:pPr>
        <w:pStyle w:val="55"/>
        <w:tabs>
          <w:tab w:val="left" w:pos="1582"/>
        </w:tabs>
        <w:adjustRightInd w:val="0"/>
        <w:snapToGrid w:val="0"/>
        <w:spacing w:line="400" w:lineRule="exact"/>
        <w:ind w:left="0" w:firstLine="408" w:firstLineChars="200"/>
        <w:rPr>
          <w:color w:val="auto"/>
          <w:sz w:val="21"/>
          <w:szCs w:val="21"/>
        </w:rPr>
      </w:pPr>
      <w:r>
        <w:rPr>
          <w:rFonts w:hint="eastAsia"/>
          <w:color w:val="auto"/>
          <w:spacing w:val="-3"/>
          <w:sz w:val="21"/>
          <w:szCs w:val="21"/>
        </w:rPr>
        <w:t>（</w:t>
      </w:r>
      <w:r>
        <w:rPr>
          <w:rFonts w:hint="eastAsia"/>
          <w:color w:val="auto"/>
          <w:spacing w:val="-3"/>
          <w:sz w:val="21"/>
          <w:szCs w:val="21"/>
          <w:lang w:val="en-US"/>
        </w:rPr>
        <w:t>3</w:t>
      </w:r>
      <w:r>
        <w:rPr>
          <w:rFonts w:hint="eastAsia"/>
          <w:color w:val="auto"/>
          <w:spacing w:val="-3"/>
          <w:sz w:val="21"/>
          <w:szCs w:val="21"/>
        </w:rPr>
        <w:t xml:space="preserve">）按本章规定的评审因素和分值对综合部分计算出得分 </w:t>
      </w:r>
      <w:r>
        <w:rPr>
          <w:rFonts w:hint="eastAsia"/>
          <w:color w:val="auto"/>
          <w:sz w:val="21"/>
          <w:szCs w:val="21"/>
        </w:rPr>
        <w:t>C；</w:t>
      </w:r>
    </w:p>
    <w:p w14:paraId="19C5B83C">
      <w:pPr>
        <w:pStyle w:val="55"/>
        <w:tabs>
          <w:tab w:val="left" w:pos="1701"/>
        </w:tabs>
        <w:adjustRightInd w:val="0"/>
        <w:snapToGrid w:val="0"/>
        <w:spacing w:line="400" w:lineRule="exact"/>
        <w:ind w:left="0" w:firstLine="420" w:firstLineChars="200"/>
        <w:rPr>
          <w:color w:val="auto"/>
          <w:sz w:val="21"/>
          <w:szCs w:val="21"/>
        </w:rPr>
      </w:pPr>
      <w:r>
        <w:rPr>
          <w:rFonts w:hint="eastAsia"/>
          <w:color w:val="auto"/>
          <w:sz w:val="21"/>
          <w:szCs w:val="21"/>
        </w:rPr>
        <w:t>（</w:t>
      </w:r>
      <w:r>
        <w:rPr>
          <w:rFonts w:hint="eastAsia"/>
          <w:color w:val="auto"/>
          <w:sz w:val="21"/>
          <w:szCs w:val="21"/>
          <w:lang w:val="en-US"/>
        </w:rPr>
        <w:t>4</w:t>
      </w:r>
      <w:r>
        <w:rPr>
          <w:rFonts w:hint="eastAsia"/>
          <w:color w:val="auto"/>
          <w:sz w:val="21"/>
          <w:szCs w:val="21"/>
        </w:rPr>
        <w:t>）评分分值计算保留小数点后两位，小数点后第三位“四舍五入”。</w:t>
      </w:r>
    </w:p>
    <w:p w14:paraId="3B2D302C">
      <w:pPr>
        <w:pStyle w:val="55"/>
        <w:tabs>
          <w:tab w:val="left" w:pos="1701"/>
        </w:tabs>
        <w:adjustRightInd w:val="0"/>
        <w:snapToGrid w:val="0"/>
        <w:spacing w:line="400" w:lineRule="exact"/>
        <w:ind w:left="0" w:firstLine="420" w:firstLineChars="200"/>
        <w:rPr>
          <w:color w:val="auto"/>
          <w:sz w:val="21"/>
          <w:szCs w:val="21"/>
        </w:rPr>
      </w:pPr>
      <w:r>
        <w:rPr>
          <w:rFonts w:hint="eastAsia"/>
          <w:color w:val="auto"/>
          <w:sz w:val="21"/>
          <w:szCs w:val="21"/>
        </w:rPr>
        <w:t>（</w:t>
      </w:r>
      <w:r>
        <w:rPr>
          <w:rFonts w:hint="eastAsia"/>
          <w:color w:val="auto"/>
          <w:sz w:val="21"/>
          <w:szCs w:val="21"/>
          <w:lang w:val="en-US"/>
        </w:rPr>
        <w:t>5</w:t>
      </w:r>
      <w:r>
        <w:rPr>
          <w:rFonts w:hint="eastAsia"/>
          <w:color w:val="auto"/>
          <w:sz w:val="21"/>
          <w:szCs w:val="21"/>
        </w:rPr>
        <w:t>）投标人得分=A+B+C。</w:t>
      </w:r>
    </w:p>
    <w:p w14:paraId="5F12F2D1">
      <w:pPr>
        <w:pStyle w:val="55"/>
        <w:tabs>
          <w:tab w:val="left" w:pos="1701"/>
        </w:tabs>
        <w:adjustRightInd w:val="0"/>
        <w:snapToGrid w:val="0"/>
        <w:spacing w:line="400" w:lineRule="exact"/>
        <w:ind w:left="0" w:firstLine="420" w:firstLineChars="200"/>
        <w:jc w:val="both"/>
        <w:rPr>
          <w:color w:val="auto"/>
          <w:sz w:val="21"/>
          <w:szCs w:val="21"/>
        </w:rPr>
      </w:pPr>
      <w:r>
        <w:rPr>
          <w:rFonts w:hint="eastAsia"/>
          <w:color w:val="auto"/>
          <w:sz w:val="21"/>
          <w:szCs w:val="21"/>
        </w:rPr>
        <w:t>（</w:t>
      </w:r>
      <w:r>
        <w:rPr>
          <w:rFonts w:hint="eastAsia"/>
          <w:color w:val="auto"/>
          <w:sz w:val="21"/>
          <w:szCs w:val="21"/>
          <w:lang w:val="en-US"/>
        </w:rPr>
        <w:t>6</w:t>
      </w:r>
      <w:r>
        <w:rPr>
          <w:rFonts w:hint="eastAsia"/>
          <w:color w:val="auto"/>
          <w:sz w:val="21"/>
          <w:szCs w:val="21"/>
        </w:rPr>
        <w:t>）投标人最终得分：最终得分为各评委打分之和的算术平均值。</w:t>
      </w:r>
    </w:p>
    <w:p w14:paraId="113A972A">
      <w:pPr>
        <w:pStyle w:val="55"/>
        <w:tabs>
          <w:tab w:val="left" w:pos="1701"/>
        </w:tabs>
        <w:adjustRightInd w:val="0"/>
        <w:snapToGrid w:val="0"/>
        <w:spacing w:line="400" w:lineRule="exact"/>
        <w:ind w:left="0" w:firstLine="420" w:firstLineChars="200"/>
        <w:jc w:val="both"/>
        <w:rPr>
          <w:color w:val="auto"/>
          <w:sz w:val="21"/>
          <w:szCs w:val="21"/>
        </w:rPr>
      </w:pPr>
      <w:r>
        <w:rPr>
          <w:rFonts w:hint="eastAsia"/>
          <w:color w:val="auto"/>
          <w:sz w:val="21"/>
          <w:szCs w:val="21"/>
        </w:rPr>
        <w:t>（</w:t>
      </w:r>
      <w:r>
        <w:rPr>
          <w:rFonts w:hint="eastAsia"/>
          <w:color w:val="auto"/>
          <w:sz w:val="21"/>
          <w:szCs w:val="21"/>
          <w:lang w:val="en-US"/>
        </w:rPr>
        <w:t>7</w:t>
      </w:r>
      <w:r>
        <w:rPr>
          <w:rFonts w:hint="eastAsia"/>
          <w:color w:val="auto"/>
          <w:sz w:val="21"/>
          <w:szCs w:val="21"/>
        </w:rPr>
        <w:t>）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将被否决。</w:t>
      </w:r>
    </w:p>
    <w:p w14:paraId="69EC5043">
      <w:pPr>
        <w:pStyle w:val="5"/>
        <w:tabs>
          <w:tab w:val="left" w:pos="911"/>
        </w:tabs>
        <w:adjustRightInd w:val="0"/>
        <w:snapToGrid w:val="0"/>
        <w:spacing w:line="400" w:lineRule="exact"/>
        <w:ind w:left="0" w:firstLine="0"/>
        <w:rPr>
          <w:color w:val="auto"/>
          <w:sz w:val="21"/>
          <w:szCs w:val="21"/>
        </w:rPr>
      </w:pPr>
      <w:r>
        <w:rPr>
          <w:rFonts w:hint="eastAsia"/>
          <w:color w:val="auto"/>
          <w:sz w:val="21"/>
          <w:szCs w:val="21"/>
          <w:lang w:val="en-US"/>
        </w:rPr>
        <w:t xml:space="preserve">3.3 </w:t>
      </w:r>
      <w:r>
        <w:rPr>
          <w:rFonts w:hint="eastAsia"/>
          <w:color w:val="auto"/>
          <w:sz w:val="21"/>
          <w:szCs w:val="21"/>
        </w:rPr>
        <w:t>投标文件的澄清和补正</w:t>
      </w:r>
    </w:p>
    <w:p w14:paraId="33162E2D">
      <w:pPr>
        <w:pStyle w:val="55"/>
        <w:tabs>
          <w:tab w:val="left" w:pos="1701"/>
        </w:tabs>
        <w:adjustRightInd w:val="0"/>
        <w:snapToGrid w:val="0"/>
        <w:spacing w:line="400" w:lineRule="exact"/>
        <w:ind w:left="0" w:firstLine="420" w:firstLineChars="200"/>
        <w:jc w:val="both"/>
        <w:rPr>
          <w:color w:val="auto"/>
          <w:sz w:val="21"/>
          <w:szCs w:val="21"/>
        </w:rPr>
      </w:pPr>
      <w:r>
        <w:rPr>
          <w:rFonts w:hint="eastAsia"/>
          <w:color w:val="auto"/>
          <w:sz w:val="21"/>
          <w:szCs w:val="21"/>
          <w:lang w:val="en-US"/>
        </w:rPr>
        <w:t>3.3.1</w:t>
      </w:r>
      <w:r>
        <w:rPr>
          <w:rFonts w:hint="eastAsia"/>
          <w:color w:val="auto"/>
          <w:sz w:val="21"/>
          <w:szCs w:val="21"/>
        </w:rPr>
        <w:t>在评标过程中，评标委员会可以在电子交易系统中要求投标人对所提交投标文件中不明确的内容进行澄清或说明，或者对细微偏差进行补正。评标委员会不接受投标人主动提出的澄清、说明或补正。</w:t>
      </w:r>
    </w:p>
    <w:p w14:paraId="376B30D4">
      <w:pPr>
        <w:pStyle w:val="55"/>
        <w:tabs>
          <w:tab w:val="left" w:pos="1701"/>
        </w:tabs>
        <w:adjustRightInd w:val="0"/>
        <w:snapToGrid w:val="0"/>
        <w:spacing w:line="400" w:lineRule="exact"/>
        <w:ind w:left="0" w:firstLine="420" w:firstLineChars="200"/>
        <w:jc w:val="both"/>
        <w:rPr>
          <w:color w:val="auto"/>
          <w:sz w:val="21"/>
          <w:szCs w:val="21"/>
        </w:rPr>
      </w:pPr>
      <w:r>
        <w:rPr>
          <w:rFonts w:hint="eastAsia"/>
          <w:color w:val="auto"/>
          <w:sz w:val="21"/>
          <w:szCs w:val="21"/>
          <w:lang w:val="en-US"/>
        </w:rPr>
        <w:t>3.3.2</w:t>
      </w:r>
      <w:r>
        <w:rPr>
          <w:rFonts w:hint="eastAsia"/>
          <w:color w:val="auto"/>
          <w:sz w:val="21"/>
          <w:szCs w:val="21"/>
        </w:rPr>
        <w:t>澄清、说明和补正不得改变投标文件的实质性内容（算术性错误修正的除外）。投标人的澄清、说明和补正属于投标文件的组成部分。</w:t>
      </w:r>
    </w:p>
    <w:p w14:paraId="37AD58A8">
      <w:pPr>
        <w:pStyle w:val="55"/>
        <w:tabs>
          <w:tab w:val="left" w:pos="1701"/>
        </w:tabs>
        <w:adjustRightInd w:val="0"/>
        <w:snapToGrid w:val="0"/>
        <w:spacing w:line="400" w:lineRule="exact"/>
        <w:ind w:left="0" w:firstLine="420" w:firstLineChars="200"/>
        <w:jc w:val="both"/>
        <w:rPr>
          <w:color w:val="auto"/>
          <w:sz w:val="21"/>
          <w:szCs w:val="21"/>
        </w:rPr>
      </w:pPr>
      <w:r>
        <w:rPr>
          <w:rFonts w:hint="eastAsia"/>
          <w:color w:val="auto"/>
          <w:sz w:val="21"/>
          <w:szCs w:val="21"/>
          <w:lang w:val="en-US"/>
        </w:rPr>
        <w:t>3.3.3</w:t>
      </w:r>
      <w:r>
        <w:rPr>
          <w:rFonts w:hint="eastAsia"/>
          <w:color w:val="auto"/>
          <w:sz w:val="21"/>
          <w:szCs w:val="21"/>
        </w:rPr>
        <w:t>评标委员会对投标人提交的澄清、说明或补正有疑问的，可以要求投标人进一步澄清、说明或补正，直至满足评标委员会的要求。</w:t>
      </w:r>
    </w:p>
    <w:p w14:paraId="3AB245F6">
      <w:pPr>
        <w:pStyle w:val="5"/>
        <w:tabs>
          <w:tab w:val="left" w:pos="704"/>
        </w:tabs>
        <w:spacing w:line="400" w:lineRule="exact"/>
        <w:ind w:left="0" w:firstLine="0"/>
        <w:rPr>
          <w:color w:val="auto"/>
          <w:sz w:val="28"/>
          <w:szCs w:val="28"/>
          <w:lang w:val="en-US"/>
        </w:rPr>
      </w:pPr>
      <w:r>
        <w:rPr>
          <w:rFonts w:hint="eastAsia"/>
          <w:color w:val="auto"/>
          <w:sz w:val="28"/>
          <w:szCs w:val="28"/>
          <w:lang w:val="en-US"/>
        </w:rPr>
        <w:t>3.4 评标结果</w:t>
      </w:r>
    </w:p>
    <w:p w14:paraId="098387B9">
      <w:pPr>
        <w:pStyle w:val="55"/>
        <w:tabs>
          <w:tab w:val="left" w:pos="1641"/>
        </w:tabs>
        <w:adjustRightInd w:val="0"/>
        <w:snapToGrid w:val="0"/>
        <w:spacing w:line="400" w:lineRule="exact"/>
        <w:ind w:left="0" w:firstLine="404" w:firstLineChars="200"/>
        <w:rPr>
          <w:color w:val="auto"/>
          <w:sz w:val="21"/>
          <w:szCs w:val="21"/>
        </w:rPr>
      </w:pPr>
      <w:r>
        <w:rPr>
          <w:rFonts w:hint="eastAsia"/>
          <w:color w:val="auto"/>
          <w:spacing w:val="-4"/>
          <w:sz w:val="21"/>
          <w:szCs w:val="21"/>
          <w:lang w:val="en-US"/>
        </w:rPr>
        <w:t>3.4.1</w:t>
      </w:r>
      <w:r>
        <w:rPr>
          <w:rFonts w:hint="eastAsia"/>
          <w:color w:val="auto"/>
          <w:spacing w:val="-4"/>
          <w:sz w:val="21"/>
          <w:szCs w:val="21"/>
        </w:rPr>
        <w:t>评标委员会按照得分由高到低的顺序推荐</w:t>
      </w:r>
      <w:r>
        <w:rPr>
          <w:rFonts w:hint="eastAsia"/>
          <w:color w:val="auto"/>
          <w:sz w:val="21"/>
          <w:szCs w:val="21"/>
        </w:rPr>
        <w:t>3</w:t>
      </w:r>
      <w:r>
        <w:rPr>
          <w:rFonts w:hint="eastAsia"/>
          <w:color w:val="auto"/>
          <w:spacing w:val="-60"/>
          <w:sz w:val="21"/>
          <w:szCs w:val="21"/>
        </w:rPr>
        <w:t xml:space="preserve"> </w:t>
      </w:r>
      <w:r>
        <w:rPr>
          <w:rFonts w:hint="eastAsia"/>
          <w:color w:val="auto"/>
          <w:sz w:val="21"/>
          <w:szCs w:val="21"/>
        </w:rPr>
        <w:t>名中标候选人。</w:t>
      </w:r>
    </w:p>
    <w:p w14:paraId="603A98C2">
      <w:pPr>
        <w:pStyle w:val="55"/>
        <w:tabs>
          <w:tab w:val="left" w:pos="1761"/>
        </w:tabs>
        <w:adjustRightInd w:val="0"/>
        <w:snapToGrid w:val="0"/>
        <w:spacing w:line="420" w:lineRule="exact"/>
        <w:ind w:left="0" w:firstLine="420" w:firstLineChars="200"/>
        <w:rPr>
          <w:color w:val="auto"/>
        </w:rPr>
      </w:pPr>
      <w:r>
        <w:rPr>
          <w:rFonts w:hint="eastAsia"/>
          <w:color w:val="auto"/>
          <w:sz w:val="21"/>
          <w:szCs w:val="21"/>
          <w:lang w:val="en-US"/>
        </w:rPr>
        <w:t>3.4.2</w:t>
      </w:r>
      <w:r>
        <w:rPr>
          <w:rFonts w:hint="eastAsia"/>
          <w:color w:val="auto"/>
          <w:sz w:val="21"/>
          <w:szCs w:val="21"/>
        </w:rPr>
        <w:t>评标委员会完成评标后，应当向采购人提交书面评标报告。</w:t>
      </w:r>
      <w:bookmarkStart w:id="26" w:name="_bookmark12"/>
      <w:bookmarkEnd w:id="26"/>
    </w:p>
    <w:p w14:paraId="6918324D">
      <w:pPr>
        <w:pStyle w:val="2"/>
        <w:tabs>
          <w:tab w:val="left" w:pos="4513"/>
        </w:tabs>
        <w:spacing w:before="55"/>
        <w:ind w:right="0"/>
        <w:rPr>
          <w:color w:val="auto"/>
        </w:rPr>
      </w:pPr>
      <w:bookmarkStart w:id="27" w:name="_Toc15842"/>
      <w:bookmarkStart w:id="28" w:name="_Toc31506"/>
    </w:p>
    <w:p w14:paraId="382FEBE5">
      <w:pPr>
        <w:rPr>
          <w:color w:val="auto"/>
        </w:rPr>
      </w:pPr>
    </w:p>
    <w:p w14:paraId="08E0FA18">
      <w:pPr>
        <w:pStyle w:val="2"/>
        <w:tabs>
          <w:tab w:val="left" w:pos="4513"/>
        </w:tabs>
        <w:spacing w:before="55"/>
        <w:ind w:right="0"/>
        <w:rPr>
          <w:rFonts w:hint="eastAsia"/>
          <w:color w:val="auto"/>
        </w:rPr>
      </w:pPr>
    </w:p>
    <w:p w14:paraId="458C380D">
      <w:pPr>
        <w:pStyle w:val="2"/>
        <w:tabs>
          <w:tab w:val="left" w:pos="4513"/>
        </w:tabs>
        <w:spacing w:before="55"/>
        <w:ind w:right="0"/>
        <w:rPr>
          <w:rFonts w:hint="eastAsia"/>
          <w:color w:val="auto"/>
        </w:rPr>
      </w:pPr>
    </w:p>
    <w:p w14:paraId="012B8B32">
      <w:pPr>
        <w:rPr>
          <w:rFonts w:hint="eastAsia"/>
          <w:color w:val="auto"/>
        </w:rPr>
      </w:pPr>
    </w:p>
    <w:p w14:paraId="601A00D2">
      <w:pPr>
        <w:rPr>
          <w:rFonts w:hint="eastAsia"/>
          <w:color w:val="auto"/>
        </w:rPr>
      </w:pPr>
    </w:p>
    <w:p w14:paraId="12788B86">
      <w:pPr>
        <w:rPr>
          <w:rFonts w:hint="eastAsia"/>
          <w:color w:val="auto"/>
        </w:rPr>
      </w:pPr>
    </w:p>
    <w:p w14:paraId="2E4CE67F">
      <w:pPr>
        <w:rPr>
          <w:rFonts w:hint="eastAsia"/>
          <w:color w:val="auto"/>
        </w:rPr>
      </w:pPr>
    </w:p>
    <w:p w14:paraId="05829783">
      <w:pPr>
        <w:rPr>
          <w:rFonts w:hint="eastAsia"/>
          <w:color w:val="auto"/>
        </w:rPr>
      </w:pPr>
    </w:p>
    <w:p w14:paraId="7555F553">
      <w:pPr>
        <w:rPr>
          <w:rFonts w:hint="eastAsia"/>
          <w:color w:val="auto"/>
        </w:rPr>
      </w:pPr>
    </w:p>
    <w:p w14:paraId="4D861278">
      <w:pPr>
        <w:rPr>
          <w:rFonts w:hint="eastAsia"/>
          <w:color w:val="auto"/>
        </w:rPr>
      </w:pPr>
    </w:p>
    <w:p w14:paraId="36D1F581">
      <w:pPr>
        <w:rPr>
          <w:rFonts w:hint="eastAsia"/>
          <w:color w:val="auto"/>
        </w:rPr>
      </w:pPr>
    </w:p>
    <w:p w14:paraId="21941BDF">
      <w:pPr>
        <w:rPr>
          <w:rFonts w:hint="eastAsia"/>
          <w:color w:val="auto"/>
        </w:rPr>
      </w:pPr>
    </w:p>
    <w:p w14:paraId="41F7EADA">
      <w:pPr>
        <w:rPr>
          <w:rFonts w:hint="eastAsia"/>
          <w:color w:val="auto"/>
        </w:rPr>
      </w:pPr>
    </w:p>
    <w:p w14:paraId="27814B30">
      <w:pPr>
        <w:rPr>
          <w:rFonts w:hint="eastAsia"/>
          <w:color w:val="auto"/>
        </w:rPr>
      </w:pPr>
    </w:p>
    <w:p w14:paraId="546DA5A8">
      <w:pPr>
        <w:rPr>
          <w:rFonts w:hint="eastAsia"/>
          <w:color w:val="auto"/>
        </w:rPr>
      </w:pPr>
    </w:p>
    <w:p w14:paraId="6A5950AD">
      <w:pPr>
        <w:rPr>
          <w:rFonts w:hint="eastAsia"/>
          <w:color w:val="auto"/>
        </w:rPr>
      </w:pPr>
    </w:p>
    <w:p w14:paraId="70B588EB">
      <w:pPr>
        <w:rPr>
          <w:rFonts w:hint="eastAsia"/>
          <w:color w:val="auto"/>
        </w:rPr>
      </w:pPr>
    </w:p>
    <w:p w14:paraId="67C43015">
      <w:pPr>
        <w:rPr>
          <w:rFonts w:hint="eastAsia"/>
          <w:color w:val="auto"/>
        </w:rPr>
      </w:pPr>
    </w:p>
    <w:p w14:paraId="79CE92A7">
      <w:pPr>
        <w:rPr>
          <w:rFonts w:hint="eastAsia"/>
          <w:color w:val="auto"/>
        </w:rPr>
      </w:pPr>
    </w:p>
    <w:p w14:paraId="6D707BB6">
      <w:pPr>
        <w:rPr>
          <w:rFonts w:hint="eastAsia"/>
          <w:color w:val="auto"/>
        </w:rPr>
      </w:pPr>
    </w:p>
    <w:p w14:paraId="03161724">
      <w:pPr>
        <w:rPr>
          <w:rFonts w:hint="eastAsia"/>
          <w:color w:val="auto"/>
        </w:rPr>
      </w:pPr>
    </w:p>
    <w:p w14:paraId="5161A0B4">
      <w:pPr>
        <w:rPr>
          <w:rFonts w:hint="eastAsia"/>
          <w:color w:val="auto"/>
        </w:rPr>
      </w:pPr>
    </w:p>
    <w:p w14:paraId="7C6370FF">
      <w:pPr>
        <w:rPr>
          <w:rFonts w:hint="eastAsia"/>
          <w:color w:val="auto"/>
        </w:rPr>
      </w:pPr>
    </w:p>
    <w:p w14:paraId="03F63155">
      <w:pPr>
        <w:rPr>
          <w:rFonts w:hint="eastAsia"/>
          <w:color w:val="auto"/>
        </w:rPr>
      </w:pPr>
    </w:p>
    <w:p w14:paraId="7A8781A3">
      <w:pPr>
        <w:rPr>
          <w:rFonts w:hint="eastAsia"/>
          <w:color w:val="auto"/>
        </w:rPr>
      </w:pPr>
    </w:p>
    <w:p w14:paraId="0D8EEC77">
      <w:pPr>
        <w:rPr>
          <w:rFonts w:hint="eastAsia"/>
          <w:color w:val="auto"/>
        </w:rPr>
      </w:pPr>
    </w:p>
    <w:p w14:paraId="44C8B8C0">
      <w:pPr>
        <w:rPr>
          <w:rFonts w:hint="eastAsia"/>
          <w:color w:val="auto"/>
        </w:rPr>
      </w:pPr>
    </w:p>
    <w:p w14:paraId="55F65A6C">
      <w:pPr>
        <w:rPr>
          <w:rFonts w:hint="eastAsia"/>
          <w:color w:val="auto"/>
        </w:rPr>
      </w:pPr>
    </w:p>
    <w:p w14:paraId="696C9C74">
      <w:pPr>
        <w:rPr>
          <w:rFonts w:hint="eastAsia"/>
          <w:color w:val="auto"/>
        </w:rPr>
      </w:pPr>
    </w:p>
    <w:p w14:paraId="7061F004">
      <w:pPr>
        <w:rPr>
          <w:rFonts w:hint="eastAsia"/>
          <w:color w:val="auto"/>
        </w:rPr>
      </w:pPr>
    </w:p>
    <w:p w14:paraId="49E47D9F">
      <w:pPr>
        <w:rPr>
          <w:rFonts w:hint="eastAsia"/>
          <w:color w:val="auto"/>
        </w:rPr>
      </w:pPr>
    </w:p>
    <w:p w14:paraId="5A14B6E4">
      <w:pPr>
        <w:rPr>
          <w:rFonts w:hint="eastAsia"/>
          <w:color w:val="auto"/>
        </w:rPr>
      </w:pPr>
    </w:p>
    <w:p w14:paraId="6639491D">
      <w:pPr>
        <w:rPr>
          <w:rFonts w:hint="eastAsia"/>
          <w:color w:val="auto"/>
        </w:rPr>
      </w:pPr>
    </w:p>
    <w:p w14:paraId="4BF93B46">
      <w:pPr>
        <w:rPr>
          <w:rFonts w:hint="eastAsia"/>
          <w:color w:val="auto"/>
        </w:rPr>
      </w:pPr>
    </w:p>
    <w:p w14:paraId="5622D4B0">
      <w:pPr>
        <w:pStyle w:val="2"/>
        <w:tabs>
          <w:tab w:val="left" w:pos="4513"/>
        </w:tabs>
        <w:spacing w:before="55"/>
        <w:ind w:right="0"/>
        <w:rPr>
          <w:rFonts w:hint="eastAsia"/>
          <w:color w:val="auto"/>
        </w:rPr>
      </w:pPr>
    </w:p>
    <w:p w14:paraId="65AE332B">
      <w:pPr>
        <w:pStyle w:val="2"/>
        <w:tabs>
          <w:tab w:val="left" w:pos="4513"/>
        </w:tabs>
        <w:spacing w:before="55"/>
        <w:ind w:right="0"/>
        <w:rPr>
          <w:rFonts w:hint="eastAsia"/>
          <w:color w:val="auto"/>
        </w:rPr>
      </w:pPr>
      <w:r>
        <w:rPr>
          <w:rFonts w:hint="eastAsia"/>
          <w:color w:val="auto"/>
        </w:rPr>
        <w:t>第四章</w:t>
      </w:r>
      <w:r>
        <w:rPr>
          <w:rFonts w:hint="eastAsia"/>
          <w:color w:val="auto"/>
          <w:lang w:val="en-US"/>
        </w:rPr>
        <w:t xml:space="preserve"> </w:t>
      </w:r>
      <w:r>
        <w:rPr>
          <w:rFonts w:hint="eastAsia"/>
          <w:color w:val="auto"/>
        </w:rPr>
        <w:t>合同条款及格式</w:t>
      </w:r>
      <w:bookmarkEnd w:id="24"/>
      <w:bookmarkEnd w:id="25"/>
      <w:bookmarkEnd w:id="27"/>
      <w:bookmarkEnd w:id="28"/>
    </w:p>
    <w:p w14:paraId="5F582FFA">
      <w:pPr>
        <w:rPr>
          <w:color w:val="auto"/>
        </w:rPr>
      </w:pPr>
    </w:p>
    <w:p w14:paraId="65C05450">
      <w:pPr>
        <w:spacing w:line="5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(参考模板）</w:t>
      </w:r>
    </w:p>
    <w:p w14:paraId="056EA1B2">
      <w:pPr>
        <w:spacing w:line="540" w:lineRule="exact"/>
        <w:ind w:left="1650" w:leftChars="100" w:hanging="1440" w:hangingChars="600"/>
        <w:jc w:val="center"/>
        <w:rPr>
          <w:rFonts w:hint="eastAsia" w:ascii="宋体" w:hAnsi="宋体" w:eastAsia="宋体" w:cs="宋体"/>
          <w:color w:val="auto"/>
          <w:sz w:val="24"/>
          <w:szCs w:val="24"/>
        </w:rPr>
      </w:pPr>
      <w:r>
        <w:rPr>
          <w:rFonts w:hint="eastAsia" w:ascii="宋体" w:hAnsi="宋体" w:eastAsia="宋体" w:cs="宋体"/>
          <w:color w:val="auto"/>
          <w:sz w:val="24"/>
          <w:szCs w:val="24"/>
        </w:rPr>
        <w:t>平顶山学院</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项目合同</w:t>
      </w:r>
    </w:p>
    <w:p w14:paraId="6F6D1737">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b/>
          <w:color w:val="auto"/>
          <w:sz w:val="24"/>
          <w:szCs w:val="24"/>
          <w:u w:val="single"/>
        </w:rPr>
        <w:t>平顶山学院</w:t>
      </w:r>
      <w:r>
        <w:rPr>
          <w:rFonts w:hint="eastAsia" w:ascii="宋体" w:hAnsi="宋体" w:eastAsia="宋体" w:cs="宋体"/>
          <w:color w:val="auto"/>
          <w:sz w:val="24"/>
          <w:szCs w:val="24"/>
        </w:rPr>
        <w:t xml:space="preserve">                   （采购方）</w:t>
      </w:r>
    </w:p>
    <w:p w14:paraId="7BC5DF00">
      <w:pPr>
        <w:shd w:val="clear" w:color="auto" w:fill="FFFFFF"/>
        <w:spacing w:before="100" w:beforeAutospacing="1" w:after="100" w:afterAutospacing="1" w:line="510" w:lineRule="atLeas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乙方：</w:t>
      </w:r>
      <w:r>
        <w:rPr>
          <w:rFonts w:hint="eastAsia" w:ascii="宋体" w:hAnsi="宋体" w:eastAsia="宋体" w:cs="宋体"/>
          <w:b/>
          <w:bCs/>
          <w:color w:val="auto"/>
          <w:sz w:val="24"/>
          <w:szCs w:val="24"/>
          <w:u w:val="single"/>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 xml:space="preserve">           （供货方）</w:t>
      </w:r>
    </w:p>
    <w:p w14:paraId="253B579F">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经过招标，甲乙双方充分协商，特订立本合同，以便共同遵守。</w:t>
      </w:r>
    </w:p>
    <w:p w14:paraId="2C175069">
      <w:pPr>
        <w:spacing w:line="520" w:lineRule="exact"/>
        <w:ind w:firstLine="556"/>
        <w:rPr>
          <w:rFonts w:hint="eastAsia" w:ascii="宋体" w:hAnsi="宋体" w:eastAsia="宋体" w:cs="宋体"/>
          <w:b/>
          <w:color w:val="auto"/>
          <w:sz w:val="24"/>
          <w:szCs w:val="24"/>
        </w:rPr>
      </w:pPr>
      <w:r>
        <w:rPr>
          <w:rFonts w:hint="eastAsia" w:ascii="宋体" w:hAnsi="宋体" w:eastAsia="宋体" w:cs="宋体"/>
          <w:b/>
          <w:color w:val="auto"/>
          <w:sz w:val="24"/>
          <w:szCs w:val="24"/>
        </w:rPr>
        <w:t>一、合同标的</w:t>
      </w:r>
    </w:p>
    <w:p w14:paraId="21B85454">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根据招标文件及其补充文件、成交供应商的投标响应文件及其澄清文件和甲方政府采购项目明细表等确定（清单附后，甲乙双方须在清单上盖章）。</w:t>
      </w:r>
    </w:p>
    <w:p w14:paraId="3C007979">
      <w:pPr>
        <w:spacing w:line="520" w:lineRule="exact"/>
        <w:ind w:firstLine="556"/>
        <w:rPr>
          <w:rFonts w:hint="eastAsia" w:ascii="宋体" w:hAnsi="宋体" w:eastAsia="宋体" w:cs="宋体"/>
          <w:b/>
          <w:color w:val="auto"/>
          <w:sz w:val="24"/>
          <w:szCs w:val="24"/>
        </w:rPr>
      </w:pPr>
      <w:r>
        <w:rPr>
          <w:rFonts w:hint="eastAsia" w:ascii="宋体" w:hAnsi="宋体" w:eastAsia="宋体" w:cs="宋体"/>
          <w:b/>
          <w:color w:val="auto"/>
          <w:sz w:val="24"/>
          <w:szCs w:val="24"/>
        </w:rPr>
        <w:t>二、合同价格</w:t>
      </w:r>
    </w:p>
    <w:p w14:paraId="524CA6C4">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大写人民币：</w:t>
      </w:r>
      <w:r>
        <w:rPr>
          <w:rFonts w:hint="eastAsia" w:ascii="宋体" w:hAnsi="宋体" w:eastAsia="宋体" w:cs="宋体"/>
          <w:b/>
          <w:color w:val="auto"/>
          <w:sz w:val="24"/>
          <w:szCs w:val="24"/>
          <w:u w:val="single"/>
        </w:rPr>
        <w:t xml:space="preserve">         元整</w:t>
      </w:r>
    </w:p>
    <w:p w14:paraId="37FFA777">
      <w:pPr>
        <w:spacing w:line="52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小写人民币</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rPr>
        <w:t xml:space="preserve">¥            </w:t>
      </w:r>
    </w:p>
    <w:p w14:paraId="49D4EFF9">
      <w:pPr>
        <w:spacing w:line="520" w:lineRule="exact"/>
        <w:ind w:firstLine="556"/>
        <w:rPr>
          <w:rFonts w:hint="eastAsia" w:ascii="宋体" w:hAnsi="宋体" w:eastAsia="宋体" w:cs="宋体"/>
          <w:b/>
          <w:color w:val="auto"/>
          <w:sz w:val="24"/>
          <w:szCs w:val="24"/>
        </w:rPr>
      </w:pPr>
      <w:r>
        <w:rPr>
          <w:rFonts w:hint="eastAsia" w:ascii="宋体" w:hAnsi="宋体" w:eastAsia="宋体" w:cs="宋体"/>
          <w:b/>
          <w:color w:val="auto"/>
          <w:sz w:val="24"/>
          <w:szCs w:val="24"/>
        </w:rPr>
        <w:t>三、交货时间及地点</w:t>
      </w:r>
    </w:p>
    <w:p w14:paraId="6DB82A92">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1.乙方在采购合同签订后N个日历天内全部到货安装、调试并培训完毕（具体日期由签订合同之日起计算），供货前3个工作日乙方应提前与甲方联系；</w:t>
      </w:r>
    </w:p>
    <w:p w14:paraId="57482EB9">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2.乙方自定运输方式、自付费用并自担风险将合同标的送达甲方指定地点；</w:t>
      </w:r>
    </w:p>
    <w:p w14:paraId="02E983D1">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家具</w:t>
      </w:r>
      <w:r>
        <w:rPr>
          <w:rFonts w:hint="eastAsia" w:ascii="宋体" w:hAnsi="宋体" w:eastAsia="宋体" w:cs="宋体"/>
          <w:color w:val="auto"/>
          <w:sz w:val="24"/>
          <w:szCs w:val="24"/>
        </w:rPr>
        <w:t>安装过程中的</w:t>
      </w:r>
      <w:r>
        <w:rPr>
          <w:rFonts w:hint="eastAsia" w:ascii="宋体" w:hAnsi="宋体" w:eastAsia="宋体" w:cs="宋体"/>
          <w:color w:val="auto"/>
          <w:sz w:val="24"/>
          <w:szCs w:val="24"/>
          <w:lang w:eastAsia="zh-CN"/>
        </w:rPr>
        <w:t>装卸车</w:t>
      </w:r>
      <w:r>
        <w:rPr>
          <w:rFonts w:hint="eastAsia" w:ascii="宋体" w:hAnsi="宋体" w:eastAsia="宋体" w:cs="宋体"/>
          <w:color w:val="auto"/>
          <w:sz w:val="24"/>
          <w:szCs w:val="24"/>
        </w:rPr>
        <w:t>风险由乙方承担；</w:t>
      </w:r>
    </w:p>
    <w:p w14:paraId="26BA8BF0">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4.本项目价格包含</w:t>
      </w:r>
      <w:r>
        <w:rPr>
          <w:rFonts w:hint="eastAsia" w:ascii="宋体" w:hAnsi="宋体" w:eastAsia="宋体" w:cs="宋体"/>
          <w:color w:val="auto"/>
          <w:sz w:val="24"/>
          <w:szCs w:val="24"/>
          <w:lang w:eastAsia="zh-CN"/>
        </w:rPr>
        <w:t>所有产生的</w:t>
      </w:r>
      <w:r>
        <w:rPr>
          <w:rFonts w:hint="eastAsia" w:ascii="宋体" w:hAnsi="宋体" w:eastAsia="宋体" w:cs="宋体"/>
          <w:color w:val="auto"/>
          <w:sz w:val="24"/>
          <w:szCs w:val="24"/>
        </w:rPr>
        <w:t>费用。</w:t>
      </w:r>
    </w:p>
    <w:p w14:paraId="3039D804">
      <w:pPr>
        <w:spacing w:line="520" w:lineRule="exact"/>
        <w:ind w:firstLine="556"/>
        <w:rPr>
          <w:rFonts w:hint="eastAsia" w:ascii="宋体" w:hAnsi="宋体" w:eastAsia="宋体" w:cs="宋体"/>
          <w:b/>
          <w:color w:val="auto"/>
          <w:sz w:val="24"/>
          <w:szCs w:val="24"/>
        </w:rPr>
      </w:pPr>
      <w:r>
        <w:rPr>
          <w:rFonts w:hint="eastAsia" w:ascii="宋体" w:hAnsi="宋体" w:eastAsia="宋体" w:cs="宋体"/>
          <w:b/>
          <w:color w:val="auto"/>
          <w:sz w:val="24"/>
          <w:szCs w:val="24"/>
        </w:rPr>
        <w:t>四、技术规格</w:t>
      </w:r>
    </w:p>
    <w:p w14:paraId="29720EB1">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1.乙方所提供产品的技术规格应符合现行国家标准，无国家标准的应符合部颁标准或行业标准，并满足标的清单中的规定；依据甲方招标技术要求，满足招标响应文件中的参数偏离承诺。</w:t>
      </w:r>
    </w:p>
    <w:p w14:paraId="5A9AFF80">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2.乙方保证提供的产品是全新的正品；产品包装符合有关标准、包装箱内附装箱清单、质量合格证、产品说明书、保修卡、维修手册、检验手续等一系列保证产品质量和正常使用的全套中文使用和维护手册，并可享受厂家承诺的所有服务。</w:t>
      </w:r>
    </w:p>
    <w:p w14:paraId="6032ED0C">
      <w:pPr>
        <w:spacing w:line="520" w:lineRule="exact"/>
        <w:ind w:firstLine="556"/>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、附件、配件</w:t>
      </w:r>
    </w:p>
    <w:p w14:paraId="02AD275E">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按产品所附使用说明书及清单执行；包括厂家在招标期间承诺提供的附件、招标文件中要求及投标文件中承诺提供或赠送的附件和配件。</w:t>
      </w:r>
    </w:p>
    <w:p w14:paraId="2AEC595E">
      <w:pPr>
        <w:spacing w:line="520" w:lineRule="exact"/>
        <w:ind w:firstLine="556"/>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、售后服务</w:t>
      </w:r>
    </w:p>
    <w:p w14:paraId="6FD2945C">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1.产品质量：产品质保期自验收合格签字之日起计算，所有产品质保期</w:t>
      </w:r>
      <w:r>
        <w:rPr>
          <w:rFonts w:hint="eastAsia" w:ascii="宋体" w:hAnsi="宋体" w:eastAsia="宋体" w:cs="宋体"/>
          <w:b/>
          <w:color w:val="auto"/>
          <w:sz w:val="24"/>
          <w:szCs w:val="24"/>
        </w:rPr>
        <w:t>N年，</w:t>
      </w:r>
      <w:r>
        <w:rPr>
          <w:rFonts w:hint="eastAsia" w:ascii="宋体" w:hAnsi="宋体" w:eastAsia="宋体" w:cs="宋体"/>
          <w:color w:val="auto"/>
          <w:sz w:val="24"/>
          <w:szCs w:val="24"/>
        </w:rPr>
        <w:t>质保期内乙方免费维修、更换设备零配件，免费对软件更新维护，每学期不少于1</w:t>
      </w:r>
      <w:r>
        <w:rPr>
          <w:rFonts w:hint="eastAsia" w:ascii="宋体" w:hAnsi="宋体" w:eastAsia="宋体" w:cs="宋体"/>
          <w:b/>
          <w:color w:val="auto"/>
          <w:sz w:val="24"/>
          <w:szCs w:val="24"/>
        </w:rPr>
        <w:t>次</w:t>
      </w:r>
      <w:r>
        <w:rPr>
          <w:rFonts w:hint="eastAsia" w:ascii="宋体" w:hAnsi="宋体" w:eastAsia="宋体" w:cs="宋体"/>
          <w:bCs/>
          <w:color w:val="auto"/>
          <w:sz w:val="24"/>
          <w:szCs w:val="24"/>
        </w:rPr>
        <w:t>主动</w:t>
      </w:r>
      <w:r>
        <w:rPr>
          <w:rFonts w:hint="eastAsia" w:ascii="宋体" w:hAnsi="宋体" w:eastAsia="宋体" w:cs="宋体"/>
          <w:color w:val="auto"/>
          <w:sz w:val="24"/>
          <w:szCs w:val="24"/>
        </w:rPr>
        <w:t>上门对设备进行巡检保养。质保期外上门服务，维修只收取零配件成本费用，不收维修费。软件终身免费升级。</w:t>
      </w:r>
    </w:p>
    <w:p w14:paraId="72246B07">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技术培训：按照招标文件中要求及投标文件中承诺，乙方免费对甲方（不限人次数）进行技术培训，保证甲方人员能够熟练独立操作，主要内容包括但不限于设备、软件的原理及功能、操作使用、维护、保养、常见问题及解决办法等内容。培训结束后，乙方要对被培训人员考核，同时发放培训合格证。</w:t>
      </w:r>
    </w:p>
    <w:p w14:paraId="1399D59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于产品出现的问题，乙方在接到甲方通知后0.5小时内响应，2小时内到达现场维修，在4小时内保证设备正常使用；4小时内不能排除故障的，乙方提供同等性能、同等配置产品服务直至维修完成，费用由乙方承担。</w:t>
      </w:r>
    </w:p>
    <w:p w14:paraId="1DB936CF">
      <w:pPr>
        <w:spacing w:line="49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4. 同一产品在保修期内连续3次维修仍无法正常使用，乙方在3日内完全免费给予更换，并重新开始计算质保期，一切费用由乙方承担。</w:t>
      </w:r>
    </w:p>
    <w:p w14:paraId="30F14D30">
      <w:pPr>
        <w:spacing w:line="49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5.质保期内重大故障无法及时排除时，乙方在20分钟内提供备品备件供甲方使用，且每发生一次，其质保期相应延长30天。如给甲方带来重大损失的，乙方承担损失费用。</w:t>
      </w:r>
    </w:p>
    <w:p w14:paraId="613FF940">
      <w:pPr>
        <w:spacing w:line="520" w:lineRule="exact"/>
        <w:ind w:firstLine="556"/>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七</w:t>
      </w:r>
      <w:r>
        <w:rPr>
          <w:rFonts w:hint="eastAsia" w:ascii="宋体" w:hAnsi="宋体" w:eastAsia="宋体" w:cs="宋体"/>
          <w:b/>
          <w:color w:val="auto"/>
          <w:sz w:val="24"/>
          <w:szCs w:val="24"/>
        </w:rPr>
        <w:t>、验收及异议</w:t>
      </w:r>
    </w:p>
    <w:p w14:paraId="5D1EDBE2">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1.乙方供货、安装调试完毕，甲方经过试用后根据实际验收情况签发验收报告，验收时甲方可邀请第三方参与验收过程；</w:t>
      </w:r>
    </w:p>
    <w:p w14:paraId="7269E8E6">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2.甲方在最终验收中，如果发现有与合同规定不符的，应及时向乙方提出异议，不签发验收报告，并同时将该书面异议送达有关部门；乙方在接到甲方书面异议后，应在3天内予以纠正，并对纠正情况以书面形式告知有关部门，否则视为无效。乙方在纠正过程中产生的费用由乙方承担。乙方不积极按照甲方要求予以调整、调换货物的，甲方有权解除合同，并不支付任何费用。</w:t>
      </w:r>
    </w:p>
    <w:p w14:paraId="47014DBA">
      <w:pPr>
        <w:spacing w:line="520" w:lineRule="exact"/>
        <w:ind w:firstLine="556"/>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、付款方式</w:t>
      </w:r>
    </w:p>
    <w:p w14:paraId="6074DB65">
      <w:pPr>
        <w:spacing w:line="520" w:lineRule="exact"/>
        <w:ind w:firstLine="556"/>
        <w:rPr>
          <w:rFonts w:hint="eastAsia" w:ascii="宋体" w:hAnsi="宋体" w:eastAsia="宋体" w:cs="宋体"/>
          <w:color w:val="auto"/>
          <w:sz w:val="24"/>
          <w:szCs w:val="24"/>
          <w:highlight w:val="red"/>
        </w:rPr>
      </w:pPr>
      <w:r>
        <w:rPr>
          <w:rFonts w:hint="eastAsia" w:ascii="宋体" w:hAnsi="宋体" w:eastAsia="宋体" w:cs="宋体"/>
          <w:color w:val="auto"/>
          <w:sz w:val="24"/>
          <w:szCs w:val="24"/>
        </w:rPr>
        <w:t>乙方供货安装调试完毕，甲方试用无质量问题，经甲方验收合格后，乙方开具</w:t>
      </w:r>
      <w:r>
        <w:rPr>
          <w:rFonts w:hint="eastAsia" w:ascii="宋体" w:hAnsi="宋体" w:eastAsia="宋体" w:cs="宋体"/>
          <w:b/>
          <w:color w:val="auto"/>
          <w:sz w:val="24"/>
          <w:szCs w:val="24"/>
        </w:rPr>
        <w:t>增值税专用发票并向甲方提交合同总金额5%（¥*****.00元）期限N年的银行履约保函（银行履约保函内容必须担保本合同售后服务的所有事项）后，</w:t>
      </w:r>
      <w:r>
        <w:rPr>
          <w:rFonts w:hint="eastAsia" w:ascii="宋体" w:hAnsi="宋体" w:eastAsia="宋体" w:cs="宋体"/>
          <w:color w:val="auto"/>
          <w:sz w:val="24"/>
          <w:szCs w:val="24"/>
        </w:rPr>
        <w:t>甲方向乙方支付总合同金额的100%货款</w:t>
      </w:r>
      <w:r>
        <w:rPr>
          <w:rFonts w:hint="eastAsia" w:ascii="宋体" w:hAnsi="宋体" w:eastAsia="宋体" w:cs="宋体"/>
          <w:b/>
          <w:bCs/>
          <w:color w:val="auto"/>
          <w:sz w:val="24"/>
          <w:szCs w:val="24"/>
        </w:rPr>
        <w:t>。从验收合格之日起N年后，双方无异议，退还保函。</w:t>
      </w:r>
    </w:p>
    <w:p w14:paraId="106D69F4">
      <w:pPr>
        <w:spacing w:line="520" w:lineRule="exact"/>
        <w:ind w:firstLine="556"/>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九</w:t>
      </w:r>
      <w:r>
        <w:rPr>
          <w:rFonts w:hint="eastAsia" w:ascii="宋体" w:hAnsi="宋体" w:eastAsia="宋体" w:cs="宋体"/>
          <w:b/>
          <w:color w:val="auto"/>
          <w:sz w:val="24"/>
          <w:szCs w:val="24"/>
        </w:rPr>
        <w:t xml:space="preserve">、违约责任 </w:t>
      </w:r>
    </w:p>
    <w:p w14:paraId="0CE9CD46">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1.乙方不能在合同约定的时间内交货（含安装、调试和培训）或因不可抗力的原因不能按时全部交货（含安装、调试和培训）的，且未能在不可抗力发生后提供书面证明材料的，10日以内按照合同金额的0.5%每日向甲方支付违约金，超过10日按合同金额的1%每日向甲方支付违约金，超过20日未完成供货者，甲方除了有权要求乙方支付违约金之外，且有权解除合同，并向乙方索赔由此造成的损失。</w:t>
      </w:r>
    </w:p>
    <w:p w14:paraId="3B41012C">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2.乙方所交标的品牌、型号、规格、质量等不符合合同规定的，甲方有权拒绝接收，并按违约处理，同时按照超期供货缴纳违约金、承担由此给甲方带来的损失，且甲方有权解除合同。</w:t>
      </w:r>
    </w:p>
    <w:p w14:paraId="09AFCAE0">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3.甲方对产品验收合格后应及时办理付款手续并向乙方支付货款。</w:t>
      </w:r>
    </w:p>
    <w:p w14:paraId="12E1583A">
      <w:pPr>
        <w:spacing w:line="520" w:lineRule="exact"/>
        <w:ind w:firstLine="556"/>
        <w:rPr>
          <w:rFonts w:hint="eastAsia" w:ascii="宋体" w:hAnsi="宋体" w:eastAsia="宋体" w:cs="宋体"/>
          <w:color w:val="auto"/>
          <w:sz w:val="24"/>
          <w:szCs w:val="24"/>
        </w:rPr>
      </w:pPr>
      <w:r>
        <w:rPr>
          <w:rFonts w:hint="eastAsia" w:ascii="宋体" w:hAnsi="宋体" w:eastAsia="宋体" w:cs="宋体"/>
          <w:color w:val="auto"/>
          <w:sz w:val="24"/>
          <w:szCs w:val="24"/>
        </w:rPr>
        <w:t>4.乙方若未按照合同约定进行售后服务，甲方有权通知银行进行索赔。</w:t>
      </w:r>
    </w:p>
    <w:p w14:paraId="2C8692BE">
      <w:pPr>
        <w:spacing w:line="52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十、由于不可抗力的原因不能履行合同时，应及时向对方通报不能履行或不能完全履行的理由，在取得有关权威部门的证明以后，允许延期履行、部分履行或者不履行合同，并根据情况可部分或全部免予承担违约责任。</w:t>
      </w:r>
    </w:p>
    <w:p w14:paraId="395F08EC">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、本合同如发生纠纷，甲乙双方协商解决，协商不成时，约定由平顶山仲裁委员会仲裁。</w:t>
      </w:r>
    </w:p>
    <w:p w14:paraId="220E1F38">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、本合同自签章之日起生效，甲乙双方均不得随意变更或解除合同。</w:t>
      </w:r>
    </w:p>
    <w:p w14:paraId="73986538">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、合同如有未尽事宜，须经甲乙双方共同协商，做出补充约定，补充约定与本合同具有同等法律效力。</w:t>
      </w:r>
    </w:p>
    <w:p w14:paraId="2299FD80">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、本合同一式六份，甲方四份，乙方二份。</w:t>
      </w:r>
    </w:p>
    <w:p w14:paraId="5DB9DC1D">
      <w:pPr>
        <w:spacing w:line="520" w:lineRule="exact"/>
        <w:ind w:firstLine="482" w:firstLineChars="200"/>
        <w:rPr>
          <w:rFonts w:hint="eastAsia" w:ascii="宋体" w:hAnsi="宋体" w:eastAsia="宋体" w:cs="宋体"/>
          <w:b/>
          <w:color w:val="auto"/>
          <w:sz w:val="24"/>
          <w:szCs w:val="24"/>
          <w:u w:val="single"/>
        </w:rPr>
      </w:pPr>
    </w:p>
    <w:tbl>
      <w:tblPr>
        <w:tblStyle w:val="26"/>
        <w:tblW w:w="9105" w:type="dxa"/>
        <w:tblInd w:w="0" w:type="dxa"/>
        <w:tblLayout w:type="fixed"/>
        <w:tblCellMar>
          <w:top w:w="57" w:type="dxa"/>
          <w:left w:w="108" w:type="dxa"/>
          <w:bottom w:w="57" w:type="dxa"/>
          <w:right w:w="108" w:type="dxa"/>
        </w:tblCellMar>
      </w:tblPr>
      <w:tblGrid>
        <w:gridCol w:w="4260"/>
        <w:gridCol w:w="4845"/>
      </w:tblGrid>
      <w:tr w14:paraId="6857D810">
        <w:tblPrEx>
          <w:tblCellMar>
            <w:top w:w="57" w:type="dxa"/>
            <w:left w:w="108" w:type="dxa"/>
            <w:bottom w:w="57" w:type="dxa"/>
            <w:right w:w="108" w:type="dxa"/>
          </w:tblCellMar>
        </w:tblPrEx>
        <w:tc>
          <w:tcPr>
            <w:tcW w:w="4260" w:type="dxa"/>
            <w:noWrap w:val="0"/>
            <w:vAlign w:val="top"/>
          </w:tcPr>
          <w:p w14:paraId="632EF60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需方（甲方）：（合同章）</w:t>
            </w:r>
          </w:p>
        </w:tc>
        <w:tc>
          <w:tcPr>
            <w:tcW w:w="4845" w:type="dxa"/>
            <w:noWrap w:val="0"/>
            <w:vAlign w:val="top"/>
          </w:tcPr>
          <w:p w14:paraId="4953F01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供方（乙方）：（合同章）</w:t>
            </w:r>
          </w:p>
        </w:tc>
      </w:tr>
      <w:tr w14:paraId="666EC140">
        <w:tblPrEx>
          <w:tblCellMar>
            <w:top w:w="57" w:type="dxa"/>
            <w:left w:w="108" w:type="dxa"/>
            <w:bottom w:w="57" w:type="dxa"/>
            <w:right w:w="108" w:type="dxa"/>
          </w:tblCellMar>
        </w:tblPrEx>
        <w:trPr>
          <w:trHeight w:val="837" w:hRule="atLeast"/>
        </w:trPr>
        <w:tc>
          <w:tcPr>
            <w:tcW w:w="4260" w:type="dxa"/>
            <w:noWrap w:val="0"/>
            <w:vAlign w:val="top"/>
          </w:tcPr>
          <w:p w14:paraId="71FDB04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代表人：（签字）</w:t>
            </w:r>
          </w:p>
        </w:tc>
        <w:tc>
          <w:tcPr>
            <w:tcW w:w="4845" w:type="dxa"/>
            <w:noWrap w:val="0"/>
            <w:vAlign w:val="top"/>
          </w:tcPr>
          <w:p w14:paraId="3AFC300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代表人：（签字）</w:t>
            </w:r>
          </w:p>
        </w:tc>
      </w:tr>
      <w:tr w14:paraId="2621C0A7">
        <w:tblPrEx>
          <w:tblCellMar>
            <w:top w:w="57" w:type="dxa"/>
            <w:left w:w="108" w:type="dxa"/>
            <w:bottom w:w="57" w:type="dxa"/>
            <w:right w:w="108" w:type="dxa"/>
          </w:tblCellMar>
        </w:tblPrEx>
        <w:trPr>
          <w:trHeight w:val="90" w:hRule="atLeast"/>
        </w:trPr>
        <w:tc>
          <w:tcPr>
            <w:tcW w:w="4260" w:type="dxa"/>
            <w:noWrap w:val="0"/>
            <w:vAlign w:val="top"/>
          </w:tcPr>
          <w:p w14:paraId="59BE5DCE">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地  址：河南省平顶山市新城区未来路</w:t>
            </w:r>
          </w:p>
          <w:p w14:paraId="676114C6">
            <w:pPr>
              <w:spacing w:line="360" w:lineRule="exact"/>
              <w:ind w:firstLine="1200" w:firstLineChars="500"/>
              <w:rPr>
                <w:rFonts w:hint="eastAsia" w:ascii="宋体" w:hAnsi="宋体" w:eastAsia="宋体" w:cs="宋体"/>
                <w:color w:val="auto"/>
                <w:sz w:val="24"/>
                <w:szCs w:val="24"/>
              </w:rPr>
            </w:pPr>
            <w:r>
              <w:rPr>
                <w:rFonts w:hint="eastAsia" w:ascii="宋体" w:hAnsi="宋体" w:eastAsia="宋体" w:cs="宋体"/>
                <w:color w:val="auto"/>
                <w:sz w:val="24"/>
                <w:szCs w:val="24"/>
              </w:rPr>
              <w:t>南段</w:t>
            </w:r>
          </w:p>
        </w:tc>
        <w:tc>
          <w:tcPr>
            <w:tcW w:w="4845" w:type="dxa"/>
            <w:noWrap w:val="0"/>
            <w:vAlign w:val="top"/>
          </w:tcPr>
          <w:p w14:paraId="1F0EDEE4">
            <w:pPr>
              <w:autoSpaceDE w:val="0"/>
              <w:autoSpaceDN w:val="0"/>
              <w:adjustRightInd w:val="0"/>
              <w:ind w:left="840" w:hanging="960" w:hangingChars="400"/>
              <w:jc w:val="left"/>
              <w:rPr>
                <w:rFonts w:hint="eastAsia" w:ascii="宋体" w:hAnsi="宋体" w:eastAsia="宋体" w:cs="宋体"/>
                <w:color w:val="auto"/>
                <w:sz w:val="24"/>
                <w:szCs w:val="24"/>
              </w:rPr>
            </w:pPr>
            <w:r>
              <w:rPr>
                <w:rFonts w:hint="eastAsia" w:ascii="宋体" w:hAnsi="宋体" w:eastAsia="宋体" w:cs="宋体"/>
                <w:color w:val="auto"/>
                <w:sz w:val="24"/>
                <w:szCs w:val="24"/>
              </w:rPr>
              <w:t>地  址：</w:t>
            </w:r>
          </w:p>
        </w:tc>
      </w:tr>
      <w:tr w14:paraId="38513BF0">
        <w:tblPrEx>
          <w:tblCellMar>
            <w:top w:w="57" w:type="dxa"/>
            <w:left w:w="108" w:type="dxa"/>
            <w:bottom w:w="57" w:type="dxa"/>
            <w:right w:w="108" w:type="dxa"/>
          </w:tblCellMar>
        </w:tblPrEx>
        <w:tc>
          <w:tcPr>
            <w:tcW w:w="4260" w:type="dxa"/>
            <w:noWrap w:val="0"/>
            <w:vAlign w:val="top"/>
          </w:tcPr>
          <w:p w14:paraId="3DCADC1E">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开户银行：中国银行平顶山分行营业部</w:t>
            </w:r>
          </w:p>
        </w:tc>
        <w:tc>
          <w:tcPr>
            <w:tcW w:w="4845" w:type="dxa"/>
            <w:noWrap w:val="0"/>
            <w:vAlign w:val="top"/>
          </w:tcPr>
          <w:p w14:paraId="63C6C00B">
            <w:pPr>
              <w:ind w:left="1200" w:hanging="1200" w:hangingChars="500"/>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13F16C03">
        <w:tblPrEx>
          <w:tblCellMar>
            <w:top w:w="57" w:type="dxa"/>
            <w:left w:w="108" w:type="dxa"/>
            <w:bottom w:w="57" w:type="dxa"/>
            <w:right w:w="108" w:type="dxa"/>
          </w:tblCellMar>
        </w:tblPrEx>
        <w:tc>
          <w:tcPr>
            <w:tcW w:w="4260" w:type="dxa"/>
            <w:noWrap w:val="0"/>
            <w:vAlign w:val="top"/>
          </w:tcPr>
          <w:p w14:paraId="6DA0DDDB">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账    号：257290314413</w:t>
            </w:r>
          </w:p>
          <w:p w14:paraId="5CA52D9E">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纳税人识别号：124100004168469074</w:t>
            </w:r>
          </w:p>
        </w:tc>
        <w:tc>
          <w:tcPr>
            <w:tcW w:w="4845" w:type="dxa"/>
            <w:noWrap w:val="0"/>
            <w:vAlign w:val="top"/>
          </w:tcPr>
          <w:p w14:paraId="38D3E30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b/>
                <w:color w:val="auto"/>
                <w:sz w:val="24"/>
                <w:szCs w:val="24"/>
              </w:rPr>
              <w:t xml:space="preserve"> </w:t>
            </w:r>
          </w:p>
          <w:p w14:paraId="61DEAEA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tc>
      </w:tr>
      <w:tr w14:paraId="311F5DD7">
        <w:tblPrEx>
          <w:tblCellMar>
            <w:top w:w="57" w:type="dxa"/>
            <w:left w:w="108" w:type="dxa"/>
            <w:bottom w:w="57" w:type="dxa"/>
            <w:right w:w="108" w:type="dxa"/>
          </w:tblCellMar>
        </w:tblPrEx>
        <w:tc>
          <w:tcPr>
            <w:tcW w:w="4260" w:type="dxa"/>
            <w:noWrap w:val="0"/>
            <w:vAlign w:val="top"/>
          </w:tcPr>
          <w:p w14:paraId="3FE0862E">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电    话：0375-2657656</w:t>
            </w:r>
          </w:p>
        </w:tc>
        <w:tc>
          <w:tcPr>
            <w:tcW w:w="4845" w:type="dxa"/>
            <w:noWrap w:val="0"/>
            <w:vAlign w:val="top"/>
          </w:tcPr>
          <w:p w14:paraId="4A8E4DD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w:t>
            </w:r>
          </w:p>
        </w:tc>
      </w:tr>
      <w:tr w14:paraId="5A218F26">
        <w:tblPrEx>
          <w:tblCellMar>
            <w:top w:w="57" w:type="dxa"/>
            <w:left w:w="108" w:type="dxa"/>
            <w:bottom w:w="57" w:type="dxa"/>
            <w:right w:w="108" w:type="dxa"/>
          </w:tblCellMar>
        </w:tblPrEx>
        <w:tc>
          <w:tcPr>
            <w:tcW w:w="4260" w:type="dxa"/>
            <w:noWrap w:val="0"/>
            <w:vAlign w:val="top"/>
          </w:tcPr>
          <w:p w14:paraId="4C0D84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tc>
        <w:tc>
          <w:tcPr>
            <w:tcW w:w="4845" w:type="dxa"/>
            <w:noWrap w:val="0"/>
            <w:vAlign w:val="top"/>
          </w:tcPr>
          <w:p w14:paraId="1031C38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tc>
      </w:tr>
    </w:tbl>
    <w:p w14:paraId="1CB9C395">
      <w:pPr>
        <w:spacing w:line="520" w:lineRule="exact"/>
        <w:rPr>
          <w:rFonts w:ascii="仿宋_GB2312" w:hAnsi="宋体" w:eastAsia="仿宋_GB2312" w:cs="宋体"/>
          <w:color w:val="auto"/>
          <w:sz w:val="28"/>
          <w:szCs w:val="28"/>
        </w:rPr>
      </w:pPr>
      <w:bookmarkStart w:id="29" w:name="_Toc16106"/>
    </w:p>
    <w:p w14:paraId="38DE26E0">
      <w:pPr>
        <w:spacing w:line="520" w:lineRule="exact"/>
        <w:ind w:firstLine="556"/>
        <w:rPr>
          <w:rFonts w:ascii="仿宋_GB2312" w:hAnsi="宋体" w:eastAsia="仿宋_GB2312" w:cs="宋体"/>
          <w:color w:val="auto"/>
          <w:sz w:val="28"/>
          <w:szCs w:val="28"/>
        </w:rPr>
      </w:pPr>
    </w:p>
    <w:p w14:paraId="03C1FF5A">
      <w:pPr>
        <w:rPr>
          <w:color w:val="auto"/>
        </w:rPr>
        <w:sectPr>
          <w:headerReference r:id="rId6" w:type="default"/>
          <w:footerReference r:id="rId7" w:type="default"/>
          <w:pgSz w:w="11906" w:h="16838"/>
          <w:pgMar w:top="1440" w:right="1800" w:bottom="1440" w:left="1800" w:header="680" w:footer="992" w:gutter="0"/>
          <w:pgNumType w:fmt="numberInDash" w:start="1"/>
          <w:cols w:space="720" w:num="1"/>
          <w:docGrid w:type="lines" w:linePitch="312" w:charSpace="0"/>
        </w:sectPr>
      </w:pPr>
    </w:p>
    <w:p w14:paraId="17CAED4D">
      <w:pPr>
        <w:rPr>
          <w:rFonts w:ascii="宋体" w:hAnsi="宋体"/>
          <w:b/>
          <w:color w:val="auto"/>
        </w:rPr>
      </w:pPr>
      <w:r>
        <w:rPr>
          <w:rFonts w:hint="eastAsia" w:ascii="宋体" w:hAnsi="宋体"/>
          <w:b/>
          <w:color w:val="auto"/>
        </w:rPr>
        <w:t>附件1.</w:t>
      </w:r>
      <w:r>
        <w:rPr>
          <w:rFonts w:hint="eastAsia" w:ascii="宋体" w:hAnsi="宋体"/>
          <w:b/>
          <w:color w:val="auto"/>
          <w:lang w:eastAsia="zh-CN"/>
        </w:rPr>
        <w:t>产品</w:t>
      </w:r>
      <w:r>
        <w:rPr>
          <w:rFonts w:hint="eastAsia" w:ascii="宋体" w:hAnsi="宋体"/>
          <w:b/>
          <w:color w:val="auto"/>
        </w:rPr>
        <w:t>清单</w:t>
      </w:r>
    </w:p>
    <w:tbl>
      <w:tblPr>
        <w:tblStyle w:val="26"/>
        <w:tblpPr w:leftFromText="180" w:rightFromText="180" w:vertAnchor="text" w:horzAnchor="page" w:tblpX="1853" w:tblpY="122"/>
        <w:tblOverlap w:val="never"/>
        <w:tblW w:w="125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3317"/>
        <w:gridCol w:w="725"/>
        <w:gridCol w:w="1019"/>
        <w:gridCol w:w="1317"/>
        <w:gridCol w:w="1200"/>
        <w:gridCol w:w="1216"/>
        <w:gridCol w:w="1067"/>
        <w:gridCol w:w="1150"/>
        <w:gridCol w:w="1017"/>
      </w:tblGrid>
      <w:tr w14:paraId="2A119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7901F6B">
            <w:pPr>
              <w:spacing w:line="360" w:lineRule="auto"/>
              <w:jc w:val="center"/>
              <w:rPr>
                <w:rStyle w:val="57"/>
                <w:rFonts w:ascii="仿宋_GB2312" w:hAnsi="宋体" w:eastAsia="仿宋_GB2312" w:cs="Calibri"/>
                <w:b/>
                <w:color w:val="auto"/>
                <w:szCs w:val="21"/>
              </w:rPr>
            </w:pPr>
            <w:r>
              <w:rPr>
                <w:rStyle w:val="57"/>
                <w:rFonts w:hint="eastAsia" w:ascii="仿宋_GB2312" w:hAnsi="宋体" w:eastAsia="仿宋_GB2312" w:cs="Calibri"/>
                <w:b/>
                <w:color w:val="auto"/>
                <w:szCs w:val="21"/>
              </w:rPr>
              <w:t>序号</w:t>
            </w:r>
          </w:p>
        </w:tc>
        <w:tc>
          <w:tcPr>
            <w:tcW w:w="3317" w:type="dxa"/>
            <w:tcBorders>
              <w:top w:val="single" w:color="000000" w:sz="4" w:space="0"/>
              <w:left w:val="single" w:color="000000" w:sz="4" w:space="0"/>
              <w:bottom w:val="single" w:color="000000" w:sz="4" w:space="0"/>
              <w:right w:val="single" w:color="000000" w:sz="4" w:space="0"/>
            </w:tcBorders>
            <w:vAlign w:val="center"/>
          </w:tcPr>
          <w:p w14:paraId="5A5E1496">
            <w:pPr>
              <w:spacing w:line="360" w:lineRule="auto"/>
              <w:jc w:val="center"/>
              <w:rPr>
                <w:rStyle w:val="57"/>
                <w:rFonts w:ascii="仿宋_GB2312" w:hAnsi="宋体" w:eastAsia="仿宋_GB2312" w:cs="Calibri"/>
                <w:b/>
                <w:color w:val="auto"/>
                <w:szCs w:val="21"/>
              </w:rPr>
            </w:pPr>
            <w:r>
              <w:rPr>
                <w:rStyle w:val="57"/>
                <w:rFonts w:hint="eastAsia" w:ascii="仿宋_GB2312" w:hAnsi="宋体" w:eastAsia="仿宋_GB2312" w:cs="Calibri"/>
                <w:b/>
                <w:color w:val="auto"/>
                <w:szCs w:val="21"/>
              </w:rPr>
              <w:t>货物名称</w:t>
            </w:r>
          </w:p>
        </w:tc>
        <w:tc>
          <w:tcPr>
            <w:tcW w:w="725" w:type="dxa"/>
            <w:tcBorders>
              <w:top w:val="single" w:color="000000" w:sz="4" w:space="0"/>
              <w:left w:val="single" w:color="000000" w:sz="4" w:space="0"/>
              <w:bottom w:val="single" w:color="000000" w:sz="4" w:space="0"/>
              <w:right w:val="single" w:color="000000" w:sz="4" w:space="0"/>
            </w:tcBorders>
            <w:vAlign w:val="center"/>
          </w:tcPr>
          <w:p w14:paraId="3AB49133">
            <w:pPr>
              <w:spacing w:line="360" w:lineRule="auto"/>
              <w:jc w:val="center"/>
              <w:rPr>
                <w:rStyle w:val="57"/>
                <w:rFonts w:ascii="仿宋_GB2312" w:hAnsi="宋体" w:eastAsia="仿宋_GB2312" w:cs="Calibri"/>
                <w:b/>
                <w:bCs/>
                <w:color w:val="auto"/>
                <w:szCs w:val="21"/>
              </w:rPr>
            </w:pPr>
            <w:r>
              <w:rPr>
                <w:rStyle w:val="57"/>
                <w:rFonts w:hint="eastAsia" w:ascii="仿宋_GB2312" w:hAnsi="宋体" w:eastAsia="仿宋_GB2312" w:cs="Calibri"/>
                <w:b/>
                <w:color w:val="auto"/>
                <w:szCs w:val="21"/>
              </w:rPr>
              <w:t>品牌</w:t>
            </w:r>
          </w:p>
        </w:tc>
        <w:tc>
          <w:tcPr>
            <w:tcW w:w="1019" w:type="dxa"/>
            <w:tcBorders>
              <w:top w:val="single" w:color="000000" w:sz="4" w:space="0"/>
              <w:left w:val="single" w:color="000000" w:sz="4" w:space="0"/>
              <w:bottom w:val="single" w:color="000000" w:sz="4" w:space="0"/>
              <w:right w:val="single" w:color="000000" w:sz="4" w:space="0"/>
            </w:tcBorders>
            <w:vAlign w:val="top"/>
          </w:tcPr>
          <w:p w14:paraId="7F211FCF">
            <w:pPr>
              <w:spacing w:line="360" w:lineRule="auto"/>
              <w:jc w:val="center"/>
              <w:rPr>
                <w:rStyle w:val="57"/>
                <w:rFonts w:ascii="仿宋_GB2312" w:hAnsi="宋体" w:eastAsia="仿宋_GB2312" w:cs="Calibri"/>
                <w:b/>
                <w:bCs/>
                <w:color w:val="auto"/>
                <w:szCs w:val="21"/>
              </w:rPr>
            </w:pPr>
            <w:r>
              <w:rPr>
                <w:rStyle w:val="57"/>
                <w:rFonts w:hint="eastAsia" w:ascii="仿宋_GB2312" w:hAnsi="宋体" w:eastAsia="仿宋_GB2312" w:cs="Calibri"/>
                <w:b/>
                <w:color w:val="auto"/>
                <w:szCs w:val="21"/>
              </w:rPr>
              <w:t>规格型号</w:t>
            </w:r>
          </w:p>
        </w:tc>
        <w:tc>
          <w:tcPr>
            <w:tcW w:w="1317" w:type="dxa"/>
            <w:tcBorders>
              <w:top w:val="single" w:color="000000" w:sz="4" w:space="0"/>
              <w:left w:val="single" w:color="000000" w:sz="4" w:space="0"/>
              <w:bottom w:val="single" w:color="000000" w:sz="4" w:space="0"/>
              <w:right w:val="single" w:color="000000" w:sz="4" w:space="0"/>
            </w:tcBorders>
            <w:vAlign w:val="center"/>
          </w:tcPr>
          <w:p w14:paraId="6B45BA7B">
            <w:pPr>
              <w:spacing w:line="360" w:lineRule="auto"/>
              <w:jc w:val="center"/>
              <w:rPr>
                <w:rStyle w:val="57"/>
                <w:rFonts w:ascii="仿宋_GB2312" w:hAnsi="宋体" w:eastAsia="仿宋_GB2312" w:cs="Calibri"/>
                <w:b/>
                <w:color w:val="auto"/>
                <w:szCs w:val="21"/>
              </w:rPr>
            </w:pPr>
            <w:r>
              <w:rPr>
                <w:rStyle w:val="57"/>
                <w:rFonts w:hint="eastAsia" w:ascii="仿宋_GB2312" w:hAnsi="宋体" w:eastAsia="仿宋_GB2312" w:cs="Calibri"/>
                <w:b/>
                <w:color w:val="auto"/>
                <w:szCs w:val="21"/>
              </w:rPr>
              <w:t>生产厂家</w:t>
            </w:r>
          </w:p>
        </w:tc>
        <w:tc>
          <w:tcPr>
            <w:tcW w:w="1200" w:type="dxa"/>
            <w:tcBorders>
              <w:top w:val="single" w:color="000000" w:sz="4" w:space="0"/>
              <w:left w:val="single" w:color="000000" w:sz="4" w:space="0"/>
              <w:bottom w:val="single" w:color="000000" w:sz="4" w:space="0"/>
              <w:right w:val="single" w:color="000000" w:sz="4" w:space="0"/>
            </w:tcBorders>
          </w:tcPr>
          <w:p w14:paraId="7DDE57CC">
            <w:pPr>
              <w:spacing w:line="360" w:lineRule="auto"/>
              <w:jc w:val="center"/>
              <w:rPr>
                <w:rStyle w:val="57"/>
                <w:rFonts w:ascii="仿宋_GB2312" w:hAnsi="宋体" w:eastAsia="仿宋_GB2312" w:cs="Calibri"/>
                <w:b/>
                <w:color w:val="auto"/>
                <w:szCs w:val="21"/>
              </w:rPr>
            </w:pPr>
            <w:r>
              <w:rPr>
                <w:rStyle w:val="57"/>
                <w:rFonts w:hint="eastAsia" w:ascii="仿宋_GB2312" w:hAnsi="宋体" w:eastAsia="仿宋_GB2312" w:cs="Calibri"/>
                <w:b/>
                <w:color w:val="auto"/>
                <w:szCs w:val="21"/>
              </w:rPr>
              <w:t>产地</w:t>
            </w:r>
          </w:p>
        </w:tc>
        <w:tc>
          <w:tcPr>
            <w:tcW w:w="1216" w:type="dxa"/>
            <w:tcBorders>
              <w:top w:val="single" w:color="000000" w:sz="4" w:space="0"/>
              <w:left w:val="single" w:color="000000" w:sz="4" w:space="0"/>
              <w:bottom w:val="single" w:color="000000" w:sz="4" w:space="0"/>
              <w:right w:val="single" w:color="000000" w:sz="4" w:space="0"/>
            </w:tcBorders>
            <w:vAlign w:val="center"/>
          </w:tcPr>
          <w:p w14:paraId="029F6AE6">
            <w:pPr>
              <w:spacing w:line="360" w:lineRule="auto"/>
              <w:jc w:val="center"/>
              <w:rPr>
                <w:rStyle w:val="57"/>
                <w:rFonts w:ascii="仿宋_GB2312" w:hAnsi="宋体" w:eastAsia="仿宋_GB2312" w:cs="Calibri"/>
                <w:b/>
                <w:color w:val="auto"/>
                <w:szCs w:val="21"/>
              </w:rPr>
            </w:pPr>
            <w:r>
              <w:rPr>
                <w:rStyle w:val="57"/>
                <w:rFonts w:hint="eastAsia" w:ascii="仿宋_GB2312" w:hAnsi="宋体" w:eastAsia="仿宋_GB2312" w:cs="Calibri"/>
                <w:b/>
                <w:color w:val="auto"/>
                <w:szCs w:val="21"/>
              </w:rPr>
              <w:t>数量</w:t>
            </w:r>
          </w:p>
        </w:tc>
        <w:tc>
          <w:tcPr>
            <w:tcW w:w="1067" w:type="dxa"/>
            <w:tcBorders>
              <w:top w:val="single" w:color="000000" w:sz="4" w:space="0"/>
              <w:left w:val="single" w:color="000000" w:sz="4" w:space="0"/>
              <w:bottom w:val="single" w:color="000000" w:sz="4" w:space="0"/>
              <w:right w:val="single" w:color="000000" w:sz="4" w:space="0"/>
            </w:tcBorders>
            <w:vAlign w:val="center"/>
          </w:tcPr>
          <w:p w14:paraId="5FEE792D">
            <w:pPr>
              <w:spacing w:line="360" w:lineRule="auto"/>
              <w:jc w:val="center"/>
              <w:rPr>
                <w:rStyle w:val="57"/>
                <w:rFonts w:ascii="仿宋_GB2312" w:hAnsi="宋体" w:eastAsia="仿宋_GB2312" w:cs="Calibri"/>
                <w:b/>
                <w:color w:val="auto"/>
                <w:szCs w:val="21"/>
              </w:rPr>
            </w:pPr>
            <w:r>
              <w:rPr>
                <w:rStyle w:val="57"/>
                <w:rFonts w:hint="eastAsia" w:ascii="仿宋_GB2312" w:hAnsi="宋体" w:eastAsia="仿宋_GB2312" w:cs="Calibri"/>
                <w:b/>
                <w:color w:val="auto"/>
                <w:szCs w:val="21"/>
              </w:rPr>
              <w:t>单位</w:t>
            </w:r>
          </w:p>
        </w:tc>
        <w:tc>
          <w:tcPr>
            <w:tcW w:w="1150" w:type="dxa"/>
            <w:tcBorders>
              <w:top w:val="single" w:color="000000" w:sz="4" w:space="0"/>
              <w:left w:val="single" w:color="000000" w:sz="4" w:space="0"/>
              <w:bottom w:val="single" w:color="000000" w:sz="4" w:space="0"/>
              <w:right w:val="single" w:color="000000" w:sz="4" w:space="0"/>
            </w:tcBorders>
            <w:vAlign w:val="center"/>
          </w:tcPr>
          <w:p w14:paraId="5594D2F0">
            <w:pPr>
              <w:spacing w:line="360" w:lineRule="auto"/>
              <w:jc w:val="center"/>
              <w:rPr>
                <w:rStyle w:val="57"/>
                <w:rFonts w:ascii="仿宋_GB2312" w:hAnsi="宋体" w:eastAsia="仿宋_GB2312" w:cs="Calibri"/>
                <w:b/>
                <w:color w:val="auto"/>
                <w:szCs w:val="21"/>
              </w:rPr>
            </w:pPr>
            <w:r>
              <w:rPr>
                <w:rStyle w:val="57"/>
                <w:rFonts w:hint="eastAsia" w:ascii="仿宋_GB2312" w:hAnsi="宋体" w:eastAsia="仿宋_GB2312" w:cs="Calibri"/>
                <w:b/>
                <w:color w:val="auto"/>
                <w:szCs w:val="21"/>
              </w:rPr>
              <w:t>单价（元）</w:t>
            </w:r>
          </w:p>
        </w:tc>
        <w:tc>
          <w:tcPr>
            <w:tcW w:w="1017" w:type="dxa"/>
            <w:tcBorders>
              <w:top w:val="single" w:color="000000" w:sz="4" w:space="0"/>
              <w:left w:val="single" w:color="000000" w:sz="4" w:space="0"/>
              <w:bottom w:val="single" w:color="000000" w:sz="4" w:space="0"/>
              <w:right w:val="single" w:color="000000" w:sz="4" w:space="0"/>
            </w:tcBorders>
            <w:vAlign w:val="center"/>
          </w:tcPr>
          <w:p w14:paraId="7FD64489">
            <w:pPr>
              <w:spacing w:line="360" w:lineRule="auto"/>
              <w:jc w:val="center"/>
              <w:rPr>
                <w:rStyle w:val="57"/>
                <w:rFonts w:hint="eastAsia" w:ascii="仿宋_GB2312" w:hAnsi="宋体" w:eastAsia="宋体" w:cs="Calibri"/>
                <w:b/>
                <w:color w:val="auto"/>
                <w:szCs w:val="21"/>
                <w:lang w:eastAsia="zh-CN"/>
              </w:rPr>
            </w:pPr>
            <w:r>
              <w:rPr>
                <w:rStyle w:val="57"/>
                <w:rFonts w:hint="eastAsia" w:ascii="仿宋_GB2312" w:hAnsi="宋体" w:eastAsia="仿宋_GB2312" w:cs="Calibri"/>
                <w:b/>
                <w:color w:val="auto"/>
                <w:szCs w:val="21"/>
                <w:lang w:eastAsia="zh-CN"/>
              </w:rPr>
              <w:t>合价（元</w:t>
            </w:r>
            <w:r>
              <w:rPr>
                <w:rFonts w:hint="eastAsia"/>
                <w:color w:val="auto"/>
                <w:lang w:eastAsia="zh-CN"/>
              </w:rPr>
              <w:t>）</w:t>
            </w:r>
          </w:p>
        </w:tc>
      </w:tr>
      <w:tr w14:paraId="74B5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0C64B0E8">
            <w:pPr>
              <w:spacing w:line="300" w:lineRule="exact"/>
              <w:jc w:val="center"/>
              <w:rPr>
                <w:rStyle w:val="57"/>
                <w:rFonts w:ascii="仿宋_GB2312" w:hAnsi="宋体" w:eastAsia="仿宋_GB2312" w:cs="Calibri"/>
                <w:color w:val="auto"/>
                <w:szCs w:val="21"/>
              </w:rPr>
            </w:pPr>
            <w:r>
              <w:rPr>
                <w:rFonts w:cs="Calibri"/>
                <w:color w:val="auto"/>
                <w:kern w:val="0"/>
                <w:szCs w:val="21"/>
              </w:rPr>
              <w:t>1</w:t>
            </w:r>
          </w:p>
        </w:tc>
        <w:tc>
          <w:tcPr>
            <w:tcW w:w="3317" w:type="dxa"/>
            <w:tcBorders>
              <w:top w:val="single" w:color="000000" w:sz="4" w:space="0"/>
              <w:left w:val="single" w:color="000000" w:sz="4" w:space="0"/>
              <w:bottom w:val="single" w:color="000000" w:sz="4" w:space="0"/>
              <w:right w:val="single" w:color="000000" w:sz="4" w:space="0"/>
            </w:tcBorders>
            <w:vAlign w:val="center"/>
          </w:tcPr>
          <w:p w14:paraId="2F62C287">
            <w:pPr>
              <w:spacing w:line="300" w:lineRule="exact"/>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2A7B7BC7">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17C9F320">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690B5A67">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3000192">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1C45E1CD">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5B92C0A5">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0CD1EF63">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44C91474">
            <w:pPr>
              <w:spacing w:line="360" w:lineRule="auto"/>
              <w:jc w:val="center"/>
              <w:rPr>
                <w:rStyle w:val="57"/>
                <w:rFonts w:ascii="仿宋_GB2312" w:hAnsi="宋体" w:eastAsia="仿宋_GB2312" w:cs="Calibri"/>
                <w:color w:val="auto"/>
                <w:szCs w:val="21"/>
              </w:rPr>
            </w:pPr>
          </w:p>
        </w:tc>
      </w:tr>
      <w:tr w14:paraId="0F72D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67C10240">
            <w:pPr>
              <w:spacing w:line="300" w:lineRule="exact"/>
              <w:jc w:val="center"/>
              <w:rPr>
                <w:rStyle w:val="57"/>
                <w:rFonts w:ascii="仿宋_GB2312" w:hAnsi="宋体" w:eastAsia="仿宋_GB2312" w:cs="Calibri"/>
                <w:color w:val="auto"/>
                <w:szCs w:val="21"/>
              </w:rPr>
            </w:pPr>
            <w:r>
              <w:rPr>
                <w:rFonts w:cs="Calibri"/>
                <w:color w:val="auto"/>
                <w:kern w:val="0"/>
                <w:szCs w:val="21"/>
              </w:rPr>
              <w:t>2</w:t>
            </w:r>
          </w:p>
        </w:tc>
        <w:tc>
          <w:tcPr>
            <w:tcW w:w="3317" w:type="dxa"/>
            <w:tcBorders>
              <w:top w:val="single" w:color="000000" w:sz="4" w:space="0"/>
              <w:left w:val="single" w:color="000000" w:sz="4" w:space="0"/>
              <w:bottom w:val="single" w:color="000000" w:sz="4" w:space="0"/>
              <w:right w:val="single" w:color="000000" w:sz="4" w:space="0"/>
            </w:tcBorders>
            <w:vAlign w:val="center"/>
          </w:tcPr>
          <w:p w14:paraId="7F5660D4">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492B5B66">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3B4DDDA1">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1FD43A95">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0BDA536">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0EB42E19">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31E02CC9">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45243151">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45A231BA">
            <w:pPr>
              <w:spacing w:line="360" w:lineRule="auto"/>
              <w:jc w:val="center"/>
              <w:rPr>
                <w:rStyle w:val="57"/>
                <w:rFonts w:ascii="仿宋_GB2312" w:hAnsi="宋体" w:eastAsia="仿宋_GB2312" w:cs="Calibri"/>
                <w:color w:val="auto"/>
                <w:szCs w:val="21"/>
              </w:rPr>
            </w:pPr>
          </w:p>
        </w:tc>
      </w:tr>
      <w:tr w14:paraId="4ABC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604F761">
            <w:pPr>
              <w:spacing w:line="300" w:lineRule="exact"/>
              <w:jc w:val="center"/>
              <w:rPr>
                <w:rStyle w:val="57"/>
                <w:rFonts w:ascii="仿宋_GB2312" w:hAnsi="宋体" w:eastAsia="仿宋_GB2312" w:cs="Calibri"/>
                <w:color w:val="auto"/>
                <w:szCs w:val="21"/>
              </w:rPr>
            </w:pPr>
            <w:r>
              <w:rPr>
                <w:rFonts w:hint="eastAsia" w:cs="Calibri"/>
                <w:color w:val="auto"/>
                <w:kern w:val="0"/>
                <w:szCs w:val="21"/>
              </w:rPr>
              <w:t>3</w:t>
            </w:r>
          </w:p>
        </w:tc>
        <w:tc>
          <w:tcPr>
            <w:tcW w:w="3317" w:type="dxa"/>
            <w:tcBorders>
              <w:top w:val="single" w:color="000000" w:sz="4" w:space="0"/>
              <w:left w:val="single" w:color="000000" w:sz="4" w:space="0"/>
              <w:bottom w:val="single" w:color="000000" w:sz="4" w:space="0"/>
              <w:right w:val="single" w:color="000000" w:sz="4" w:space="0"/>
            </w:tcBorders>
            <w:vAlign w:val="center"/>
          </w:tcPr>
          <w:p w14:paraId="54016C63">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51E12EB2">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4F3D0F7D">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045AE836">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52A2138">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3D1ABD31">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0643B78C">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43FAAB6B">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A2A5899">
            <w:pPr>
              <w:spacing w:line="360" w:lineRule="auto"/>
              <w:jc w:val="center"/>
              <w:rPr>
                <w:rStyle w:val="57"/>
                <w:rFonts w:ascii="仿宋_GB2312" w:hAnsi="宋体" w:eastAsia="仿宋_GB2312" w:cs="Calibri"/>
                <w:color w:val="auto"/>
                <w:szCs w:val="21"/>
              </w:rPr>
            </w:pPr>
          </w:p>
        </w:tc>
      </w:tr>
      <w:tr w14:paraId="50354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7EB1F777">
            <w:pPr>
              <w:spacing w:line="300" w:lineRule="exact"/>
              <w:jc w:val="center"/>
              <w:rPr>
                <w:rStyle w:val="57"/>
                <w:rFonts w:ascii="仿宋_GB2312" w:hAnsi="宋体" w:eastAsia="仿宋_GB2312" w:cs="Calibri"/>
                <w:color w:val="auto"/>
                <w:szCs w:val="21"/>
              </w:rPr>
            </w:pPr>
            <w:r>
              <w:rPr>
                <w:rFonts w:hint="eastAsia" w:cs="Calibri"/>
                <w:color w:val="auto"/>
                <w:kern w:val="0"/>
                <w:szCs w:val="21"/>
              </w:rPr>
              <w:t>4</w:t>
            </w:r>
          </w:p>
        </w:tc>
        <w:tc>
          <w:tcPr>
            <w:tcW w:w="3317" w:type="dxa"/>
            <w:tcBorders>
              <w:top w:val="single" w:color="000000" w:sz="4" w:space="0"/>
              <w:left w:val="single" w:color="000000" w:sz="4" w:space="0"/>
              <w:bottom w:val="single" w:color="000000" w:sz="4" w:space="0"/>
              <w:right w:val="single" w:color="000000" w:sz="4" w:space="0"/>
            </w:tcBorders>
            <w:vAlign w:val="center"/>
          </w:tcPr>
          <w:p w14:paraId="13CB0FFD">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2866B290">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5CBF8F0A">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44C7198B">
            <w:pPr>
              <w:spacing w:line="300" w:lineRule="exact"/>
              <w:jc w:val="center"/>
              <w:rPr>
                <w:color w:val="auto"/>
                <w:kern w:val="0"/>
                <w:szCs w:val="21"/>
                <w:highlight w:val="yellow"/>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F31FC5D">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3016F0C3">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0D65CF1B">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1164536">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0C43AED3">
            <w:pPr>
              <w:spacing w:line="360" w:lineRule="auto"/>
              <w:jc w:val="center"/>
              <w:rPr>
                <w:rStyle w:val="57"/>
                <w:rFonts w:ascii="仿宋_GB2312" w:hAnsi="宋体" w:eastAsia="仿宋_GB2312" w:cs="Calibri"/>
                <w:color w:val="auto"/>
                <w:szCs w:val="21"/>
              </w:rPr>
            </w:pPr>
          </w:p>
        </w:tc>
      </w:tr>
      <w:tr w14:paraId="50BBF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4F66E133">
            <w:pPr>
              <w:spacing w:line="300" w:lineRule="exact"/>
              <w:jc w:val="center"/>
              <w:rPr>
                <w:rFonts w:cs="Calibri"/>
                <w:color w:val="auto"/>
              </w:rPr>
            </w:pPr>
            <w:r>
              <w:rPr>
                <w:rFonts w:hint="eastAsia" w:cs="Calibri"/>
                <w:color w:val="auto"/>
                <w:kern w:val="0"/>
                <w:szCs w:val="21"/>
              </w:rPr>
              <w:t>5</w:t>
            </w:r>
          </w:p>
        </w:tc>
        <w:tc>
          <w:tcPr>
            <w:tcW w:w="3317" w:type="dxa"/>
            <w:tcBorders>
              <w:top w:val="single" w:color="000000" w:sz="4" w:space="0"/>
              <w:left w:val="single" w:color="000000" w:sz="4" w:space="0"/>
              <w:bottom w:val="single" w:color="000000" w:sz="4" w:space="0"/>
              <w:right w:val="single" w:color="000000" w:sz="4" w:space="0"/>
            </w:tcBorders>
            <w:vAlign w:val="center"/>
          </w:tcPr>
          <w:p w14:paraId="30A4F87B">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0139E750">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5B581A92">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20DA44D6">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2F3E9EF">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4B5BB045">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6EEFF274">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0BA88C9A">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09569EE8">
            <w:pPr>
              <w:spacing w:line="360" w:lineRule="auto"/>
              <w:jc w:val="center"/>
              <w:rPr>
                <w:rStyle w:val="57"/>
                <w:rFonts w:ascii="仿宋_GB2312" w:hAnsi="宋体" w:eastAsia="仿宋_GB2312" w:cs="Calibri"/>
                <w:color w:val="auto"/>
                <w:szCs w:val="21"/>
              </w:rPr>
            </w:pPr>
          </w:p>
        </w:tc>
      </w:tr>
      <w:tr w14:paraId="0958F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641824CF">
            <w:pPr>
              <w:spacing w:line="300" w:lineRule="exact"/>
              <w:jc w:val="center"/>
              <w:rPr>
                <w:rFonts w:cs="Calibri"/>
                <w:color w:val="auto"/>
              </w:rPr>
            </w:pPr>
            <w:r>
              <w:rPr>
                <w:rFonts w:hint="eastAsia" w:cs="Calibri"/>
                <w:color w:val="auto"/>
                <w:kern w:val="0"/>
                <w:szCs w:val="21"/>
              </w:rPr>
              <w:t>6</w:t>
            </w:r>
          </w:p>
        </w:tc>
        <w:tc>
          <w:tcPr>
            <w:tcW w:w="3317" w:type="dxa"/>
            <w:tcBorders>
              <w:top w:val="single" w:color="000000" w:sz="4" w:space="0"/>
              <w:left w:val="single" w:color="000000" w:sz="4" w:space="0"/>
              <w:bottom w:val="single" w:color="000000" w:sz="4" w:space="0"/>
              <w:right w:val="single" w:color="000000" w:sz="4" w:space="0"/>
            </w:tcBorders>
            <w:vAlign w:val="center"/>
          </w:tcPr>
          <w:p w14:paraId="1F31933B">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69FF2A28">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32A34359">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1C4D3C7F">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96B13F8">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6C44CC71">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7F979882">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76D5F41">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15D70EBA">
            <w:pPr>
              <w:spacing w:line="360" w:lineRule="auto"/>
              <w:jc w:val="center"/>
              <w:rPr>
                <w:rStyle w:val="57"/>
                <w:rFonts w:ascii="仿宋_GB2312" w:hAnsi="宋体" w:eastAsia="仿宋_GB2312" w:cs="Calibri"/>
                <w:color w:val="auto"/>
                <w:szCs w:val="21"/>
              </w:rPr>
            </w:pPr>
          </w:p>
        </w:tc>
      </w:tr>
      <w:tr w14:paraId="104F5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218ED1F">
            <w:pPr>
              <w:spacing w:line="300" w:lineRule="exact"/>
              <w:jc w:val="center"/>
              <w:rPr>
                <w:rFonts w:cs="Calibri"/>
                <w:color w:val="auto"/>
              </w:rPr>
            </w:pPr>
            <w:r>
              <w:rPr>
                <w:rFonts w:hint="eastAsia" w:cs="Calibri"/>
                <w:color w:val="auto"/>
                <w:kern w:val="0"/>
                <w:szCs w:val="21"/>
              </w:rPr>
              <w:t>7</w:t>
            </w:r>
          </w:p>
        </w:tc>
        <w:tc>
          <w:tcPr>
            <w:tcW w:w="3317" w:type="dxa"/>
            <w:tcBorders>
              <w:top w:val="single" w:color="000000" w:sz="4" w:space="0"/>
              <w:left w:val="single" w:color="000000" w:sz="4" w:space="0"/>
              <w:bottom w:val="single" w:color="000000" w:sz="4" w:space="0"/>
              <w:right w:val="single" w:color="000000" w:sz="4" w:space="0"/>
            </w:tcBorders>
            <w:vAlign w:val="center"/>
          </w:tcPr>
          <w:p w14:paraId="5BA39C81">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1DE3355B">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374F7571">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20534FD8">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F06E6D8">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0B8F469C">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6C43E9A7">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418C0CF7">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4CB81D38">
            <w:pPr>
              <w:spacing w:line="360" w:lineRule="auto"/>
              <w:jc w:val="center"/>
              <w:rPr>
                <w:rStyle w:val="57"/>
                <w:rFonts w:ascii="仿宋_GB2312" w:hAnsi="宋体" w:eastAsia="仿宋_GB2312" w:cs="Calibri"/>
                <w:color w:val="auto"/>
                <w:szCs w:val="21"/>
              </w:rPr>
            </w:pPr>
          </w:p>
        </w:tc>
      </w:tr>
      <w:tr w14:paraId="7A304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3ADD52EE">
            <w:pPr>
              <w:spacing w:line="300" w:lineRule="exact"/>
              <w:jc w:val="center"/>
              <w:rPr>
                <w:rFonts w:cs="Calibri"/>
                <w:color w:val="auto"/>
              </w:rPr>
            </w:pPr>
            <w:r>
              <w:rPr>
                <w:rFonts w:hint="eastAsia" w:cs="Calibri"/>
                <w:color w:val="auto"/>
                <w:kern w:val="0"/>
                <w:szCs w:val="21"/>
              </w:rPr>
              <w:t>8</w:t>
            </w:r>
          </w:p>
        </w:tc>
        <w:tc>
          <w:tcPr>
            <w:tcW w:w="3317" w:type="dxa"/>
            <w:tcBorders>
              <w:top w:val="single" w:color="000000" w:sz="4" w:space="0"/>
              <w:left w:val="single" w:color="000000" w:sz="4" w:space="0"/>
              <w:bottom w:val="single" w:color="000000" w:sz="4" w:space="0"/>
              <w:right w:val="single" w:color="000000" w:sz="4" w:space="0"/>
            </w:tcBorders>
            <w:vAlign w:val="center"/>
          </w:tcPr>
          <w:p w14:paraId="172D592C">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3B06DBDC">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1A6722B8">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74A04E1C">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C2AF830">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6307840A">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16935EA1">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08BF9AB6">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986CBCF">
            <w:pPr>
              <w:spacing w:line="360" w:lineRule="auto"/>
              <w:jc w:val="center"/>
              <w:rPr>
                <w:rStyle w:val="57"/>
                <w:rFonts w:ascii="仿宋_GB2312" w:hAnsi="宋体" w:eastAsia="仿宋_GB2312" w:cs="Calibri"/>
                <w:color w:val="auto"/>
                <w:szCs w:val="21"/>
              </w:rPr>
            </w:pPr>
          </w:p>
        </w:tc>
      </w:tr>
      <w:tr w14:paraId="26D7B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7AA6896B">
            <w:pPr>
              <w:spacing w:line="300" w:lineRule="exact"/>
              <w:jc w:val="center"/>
              <w:rPr>
                <w:rFonts w:hint="eastAsia" w:cs="Calibri"/>
                <w:color w:val="auto"/>
                <w:kern w:val="0"/>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1A636DCC">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4318F8D2">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0B601D2B">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5C81448D">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CEF0CB1">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1ADDE3D8">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04837E8E">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5C82B53">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5AD4428">
            <w:pPr>
              <w:spacing w:line="360" w:lineRule="auto"/>
              <w:jc w:val="center"/>
              <w:rPr>
                <w:rStyle w:val="57"/>
                <w:rFonts w:ascii="仿宋_GB2312" w:hAnsi="宋体" w:eastAsia="仿宋_GB2312" w:cs="Calibri"/>
                <w:color w:val="auto"/>
                <w:szCs w:val="21"/>
              </w:rPr>
            </w:pPr>
          </w:p>
        </w:tc>
      </w:tr>
      <w:tr w14:paraId="3569C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0114C37">
            <w:pPr>
              <w:spacing w:line="300" w:lineRule="exact"/>
              <w:jc w:val="center"/>
              <w:rPr>
                <w:rFonts w:hint="eastAsia" w:cs="Calibri"/>
                <w:color w:val="auto"/>
                <w:kern w:val="0"/>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2F24EB97">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4E7A98CD">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45277489">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65BB5F56">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5F1C01C">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6197FE17">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7CCFA7A6">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0A485C82">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75C3BA2">
            <w:pPr>
              <w:spacing w:line="360" w:lineRule="auto"/>
              <w:jc w:val="center"/>
              <w:rPr>
                <w:rStyle w:val="57"/>
                <w:rFonts w:ascii="仿宋_GB2312" w:hAnsi="宋体" w:eastAsia="仿宋_GB2312" w:cs="Calibri"/>
                <w:color w:val="auto"/>
                <w:szCs w:val="21"/>
              </w:rPr>
            </w:pPr>
          </w:p>
        </w:tc>
      </w:tr>
      <w:tr w14:paraId="3CA7C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00837F85">
            <w:pPr>
              <w:spacing w:line="300" w:lineRule="exact"/>
              <w:jc w:val="center"/>
              <w:rPr>
                <w:rFonts w:hint="eastAsia" w:cs="Calibri"/>
                <w:color w:val="auto"/>
                <w:kern w:val="0"/>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1B96AFBA">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4A06D390">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11E6F897">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693679D4">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3456346">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71442B62">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21D71734">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EBDACD5">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47DB40FC">
            <w:pPr>
              <w:spacing w:line="360" w:lineRule="auto"/>
              <w:jc w:val="center"/>
              <w:rPr>
                <w:rStyle w:val="57"/>
                <w:rFonts w:ascii="仿宋_GB2312" w:hAnsi="宋体" w:eastAsia="仿宋_GB2312" w:cs="Calibri"/>
                <w:color w:val="auto"/>
                <w:szCs w:val="21"/>
              </w:rPr>
            </w:pPr>
          </w:p>
        </w:tc>
      </w:tr>
      <w:tr w14:paraId="5E6D5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09631B38">
            <w:pPr>
              <w:spacing w:line="300" w:lineRule="exact"/>
              <w:jc w:val="center"/>
              <w:rPr>
                <w:rFonts w:hint="eastAsia" w:cs="Calibri"/>
                <w:color w:val="auto"/>
                <w:kern w:val="0"/>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6FFA66FF">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22D8F971">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52D26E16">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6E34627D">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85E30F5">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4FB525CE">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24BC78F2">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154CC263">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559FB38">
            <w:pPr>
              <w:spacing w:line="360" w:lineRule="auto"/>
              <w:jc w:val="center"/>
              <w:rPr>
                <w:rStyle w:val="57"/>
                <w:rFonts w:ascii="仿宋_GB2312" w:hAnsi="宋体" w:eastAsia="仿宋_GB2312" w:cs="Calibri"/>
                <w:color w:val="auto"/>
                <w:szCs w:val="21"/>
              </w:rPr>
            </w:pPr>
          </w:p>
        </w:tc>
      </w:tr>
      <w:tr w14:paraId="3F555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45B01A47">
            <w:pPr>
              <w:spacing w:line="300" w:lineRule="exact"/>
              <w:jc w:val="center"/>
              <w:rPr>
                <w:rFonts w:hint="eastAsia" w:cs="Calibri"/>
                <w:color w:val="auto"/>
                <w:kern w:val="0"/>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47D069FB">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6FF63D32">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0466109E">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398E15D9">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0D24649">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452CA938">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7C03AB83">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7C64FFD9">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68FBBF7A">
            <w:pPr>
              <w:spacing w:line="360" w:lineRule="auto"/>
              <w:jc w:val="center"/>
              <w:rPr>
                <w:rStyle w:val="57"/>
                <w:rFonts w:ascii="仿宋_GB2312" w:hAnsi="宋体" w:eastAsia="仿宋_GB2312" w:cs="Calibri"/>
                <w:color w:val="auto"/>
                <w:szCs w:val="21"/>
              </w:rPr>
            </w:pPr>
          </w:p>
        </w:tc>
      </w:tr>
      <w:tr w14:paraId="50D41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444AFDF3">
            <w:pPr>
              <w:spacing w:line="300" w:lineRule="exact"/>
              <w:jc w:val="center"/>
              <w:rPr>
                <w:rFonts w:hint="eastAsia" w:cs="Calibri"/>
                <w:color w:val="auto"/>
                <w:kern w:val="0"/>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6D90DC30">
            <w:pPr>
              <w:spacing w:line="300" w:lineRule="exact"/>
              <w:jc w:val="center"/>
              <w:rPr>
                <w:rFonts w:ascii="仿宋_GB2312" w:hAnsi="宋体" w:eastAsia="仿宋_GB2312" w:cs="Calibri"/>
                <w:color w:val="auto"/>
                <w:szCs w:val="21"/>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065CB6CB">
            <w:pPr>
              <w:snapToGrid w:val="0"/>
              <w:spacing w:line="400" w:lineRule="exact"/>
              <w:jc w:val="center"/>
              <w:rPr>
                <w:rStyle w:val="57"/>
                <w:rFonts w:ascii="仿宋_GB2312" w:hAnsi="宋体" w:eastAsia="仿宋_GB2312" w:cs="Calibri"/>
                <w:color w:val="auto"/>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4AC2FEF5">
            <w:pPr>
              <w:snapToGrid w:val="0"/>
              <w:spacing w:line="400" w:lineRule="exact"/>
              <w:jc w:val="center"/>
              <w:rPr>
                <w:rStyle w:val="57"/>
                <w:rFonts w:ascii="仿宋_GB2312" w:hAnsi="宋体" w:eastAsia="仿宋_GB2312" w:cs="Calibri"/>
                <w:color w:val="auto"/>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43FA13CF">
            <w:pPr>
              <w:spacing w:line="300" w:lineRule="exact"/>
              <w:jc w:val="center"/>
              <w:rPr>
                <w:color w:val="auto"/>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982B4D1">
            <w:pPr>
              <w:spacing w:line="300" w:lineRule="exact"/>
              <w:jc w:val="center"/>
              <w:rPr>
                <w:color w:val="auto"/>
                <w:kern w:val="0"/>
                <w:szCs w:val="21"/>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72A1A20C">
            <w:pPr>
              <w:spacing w:line="300" w:lineRule="exact"/>
              <w:jc w:val="center"/>
              <w:rPr>
                <w:color w:val="auto"/>
                <w:kern w:val="0"/>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71B65756">
            <w:pPr>
              <w:snapToGrid w:val="0"/>
              <w:spacing w:line="400" w:lineRule="exact"/>
              <w:jc w:val="center"/>
              <w:rPr>
                <w:color w:val="auto"/>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76A17D8">
            <w:pPr>
              <w:snapToGrid w:val="0"/>
              <w:spacing w:line="400" w:lineRule="exact"/>
              <w:jc w:val="center"/>
              <w:rPr>
                <w:color w:val="auto"/>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F123D53">
            <w:pPr>
              <w:spacing w:line="360" w:lineRule="auto"/>
              <w:jc w:val="center"/>
              <w:rPr>
                <w:rStyle w:val="57"/>
                <w:rFonts w:ascii="仿宋_GB2312" w:hAnsi="宋体" w:eastAsia="仿宋_GB2312" w:cs="Calibri"/>
                <w:color w:val="auto"/>
                <w:szCs w:val="21"/>
              </w:rPr>
            </w:pPr>
          </w:p>
        </w:tc>
      </w:tr>
      <w:tr w14:paraId="3DA0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566" w:type="dxa"/>
            <w:gridSpan w:val="9"/>
            <w:tcBorders>
              <w:top w:val="single" w:color="000000" w:sz="4" w:space="0"/>
              <w:left w:val="single" w:color="000000" w:sz="4" w:space="0"/>
              <w:bottom w:val="single" w:color="000000" w:sz="4" w:space="0"/>
              <w:right w:val="single" w:color="000000" w:sz="4" w:space="0"/>
            </w:tcBorders>
            <w:vAlign w:val="center"/>
          </w:tcPr>
          <w:p w14:paraId="7647E808">
            <w:pPr>
              <w:spacing w:line="360" w:lineRule="auto"/>
              <w:jc w:val="center"/>
              <w:rPr>
                <w:rStyle w:val="57"/>
                <w:rFonts w:ascii="仿宋_GB2312" w:hAnsi="宋体" w:eastAsia="仿宋_GB2312" w:cs="Calibri"/>
                <w:color w:val="auto"/>
                <w:szCs w:val="21"/>
              </w:rPr>
            </w:pPr>
            <w:r>
              <w:rPr>
                <w:rStyle w:val="57"/>
                <w:rFonts w:hint="eastAsia" w:ascii="仿宋_GB2312" w:hAnsi="宋体" w:eastAsia="仿宋_GB2312" w:cs="Calibri"/>
                <w:b/>
                <w:color w:val="auto"/>
                <w:szCs w:val="21"/>
              </w:rPr>
              <w:t>金额：人民币（大写）   整 ；          （小写）¥    元</w:t>
            </w:r>
          </w:p>
        </w:tc>
        <w:tc>
          <w:tcPr>
            <w:tcW w:w="1017" w:type="dxa"/>
            <w:tcBorders>
              <w:top w:val="single" w:color="000000" w:sz="4" w:space="0"/>
              <w:left w:val="single" w:color="000000" w:sz="4" w:space="0"/>
              <w:bottom w:val="single" w:color="000000" w:sz="4" w:space="0"/>
              <w:right w:val="single" w:color="000000" w:sz="4" w:space="0"/>
            </w:tcBorders>
            <w:vAlign w:val="center"/>
          </w:tcPr>
          <w:p w14:paraId="6AB7EA62">
            <w:pPr>
              <w:spacing w:line="360" w:lineRule="auto"/>
              <w:jc w:val="center"/>
              <w:rPr>
                <w:rStyle w:val="57"/>
                <w:rFonts w:ascii="仿宋_GB2312" w:hAnsi="宋体" w:eastAsia="仿宋_GB2312" w:cs="Calibri"/>
                <w:color w:val="auto"/>
                <w:szCs w:val="21"/>
              </w:rPr>
            </w:pPr>
          </w:p>
        </w:tc>
      </w:tr>
    </w:tbl>
    <w:p w14:paraId="02A7670C">
      <w:pPr>
        <w:pStyle w:val="7"/>
        <w:rPr>
          <w:color w:val="auto"/>
        </w:rPr>
      </w:pPr>
    </w:p>
    <w:p w14:paraId="692D4BB2">
      <w:pPr>
        <w:pStyle w:val="7"/>
        <w:rPr>
          <w:color w:val="auto"/>
        </w:rPr>
      </w:pPr>
    </w:p>
    <w:p w14:paraId="2BB9C6B5">
      <w:pPr>
        <w:pStyle w:val="7"/>
        <w:rPr>
          <w:color w:val="auto"/>
        </w:rPr>
      </w:pPr>
    </w:p>
    <w:p w14:paraId="7B332D21">
      <w:pPr>
        <w:pStyle w:val="7"/>
        <w:rPr>
          <w:color w:val="auto"/>
        </w:rPr>
      </w:pPr>
    </w:p>
    <w:p w14:paraId="6F76B2D1">
      <w:pPr>
        <w:pStyle w:val="8"/>
        <w:rPr>
          <w:color w:val="auto"/>
        </w:rPr>
      </w:pPr>
    </w:p>
    <w:p w14:paraId="71752631">
      <w:pPr>
        <w:pStyle w:val="8"/>
        <w:rPr>
          <w:color w:val="auto"/>
        </w:rPr>
      </w:pPr>
    </w:p>
    <w:p w14:paraId="13FAA229">
      <w:pPr>
        <w:pStyle w:val="8"/>
        <w:rPr>
          <w:color w:val="auto"/>
        </w:rPr>
      </w:pPr>
    </w:p>
    <w:p w14:paraId="4961A839">
      <w:pPr>
        <w:pStyle w:val="8"/>
        <w:rPr>
          <w:color w:val="auto"/>
        </w:rPr>
      </w:pPr>
    </w:p>
    <w:p w14:paraId="6E0E6FA6">
      <w:pPr>
        <w:pStyle w:val="8"/>
        <w:rPr>
          <w:color w:val="auto"/>
        </w:rPr>
      </w:pPr>
    </w:p>
    <w:p w14:paraId="06A6B7BF">
      <w:pPr>
        <w:pStyle w:val="8"/>
        <w:rPr>
          <w:color w:val="auto"/>
        </w:rPr>
      </w:pPr>
    </w:p>
    <w:p w14:paraId="69EC9104">
      <w:pPr>
        <w:pStyle w:val="8"/>
        <w:rPr>
          <w:color w:val="auto"/>
        </w:rPr>
      </w:pPr>
    </w:p>
    <w:p w14:paraId="5938FF55">
      <w:pPr>
        <w:pStyle w:val="8"/>
        <w:rPr>
          <w:color w:val="auto"/>
        </w:rPr>
      </w:pPr>
    </w:p>
    <w:p w14:paraId="1E07B8CF">
      <w:pPr>
        <w:pStyle w:val="8"/>
        <w:rPr>
          <w:color w:val="auto"/>
        </w:rPr>
      </w:pPr>
    </w:p>
    <w:p w14:paraId="2F8CB53B">
      <w:pPr>
        <w:pStyle w:val="8"/>
        <w:rPr>
          <w:color w:val="auto"/>
        </w:rPr>
      </w:pPr>
    </w:p>
    <w:p w14:paraId="7DF92C50">
      <w:pPr>
        <w:rPr>
          <w:rFonts w:ascii="宋体" w:hAnsi="宋体"/>
          <w:b/>
          <w:color w:val="auto"/>
        </w:rPr>
      </w:pPr>
      <w:r>
        <w:rPr>
          <w:rFonts w:hint="eastAsia" w:ascii="宋体" w:hAnsi="宋体"/>
          <w:b/>
          <w:color w:val="auto"/>
        </w:rPr>
        <w:t>附件2.产品技术参数</w:t>
      </w:r>
    </w:p>
    <w:tbl>
      <w:tblPr>
        <w:tblStyle w:val="26"/>
        <w:tblW w:w="14359"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242"/>
        <w:gridCol w:w="12479"/>
      </w:tblGrid>
      <w:tr w14:paraId="6C3FD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vAlign w:val="center"/>
          </w:tcPr>
          <w:p w14:paraId="0E270744">
            <w:pPr>
              <w:spacing w:line="360" w:lineRule="auto"/>
              <w:jc w:val="center"/>
              <w:rPr>
                <w:rStyle w:val="57"/>
                <w:rFonts w:ascii="仿宋_GB2312" w:hAnsi="宋体" w:eastAsia="仿宋_GB2312" w:cs="Calibri"/>
                <w:b/>
                <w:color w:val="auto"/>
                <w:szCs w:val="21"/>
              </w:rPr>
            </w:pPr>
            <w:r>
              <w:rPr>
                <w:rStyle w:val="57"/>
                <w:rFonts w:hint="eastAsia" w:ascii="仿宋_GB2312" w:hAnsi="宋体" w:eastAsia="仿宋_GB2312" w:cs="Calibri"/>
                <w:b/>
                <w:color w:val="auto"/>
                <w:szCs w:val="21"/>
              </w:rPr>
              <w:t>序号</w:t>
            </w:r>
          </w:p>
        </w:tc>
        <w:tc>
          <w:tcPr>
            <w:tcW w:w="1242" w:type="dxa"/>
            <w:tcBorders>
              <w:top w:val="single" w:color="000000" w:sz="4" w:space="0"/>
              <w:left w:val="single" w:color="000000" w:sz="4" w:space="0"/>
              <w:bottom w:val="single" w:color="000000" w:sz="4" w:space="0"/>
              <w:right w:val="single" w:color="000000" w:sz="4" w:space="0"/>
            </w:tcBorders>
            <w:vAlign w:val="center"/>
          </w:tcPr>
          <w:p w14:paraId="2D508703">
            <w:pPr>
              <w:spacing w:line="360" w:lineRule="auto"/>
              <w:jc w:val="center"/>
              <w:rPr>
                <w:rStyle w:val="57"/>
                <w:rFonts w:ascii="仿宋_GB2312" w:hAnsi="宋体" w:eastAsia="仿宋_GB2312" w:cs="Calibri"/>
                <w:b/>
                <w:color w:val="auto"/>
                <w:szCs w:val="21"/>
              </w:rPr>
            </w:pPr>
            <w:r>
              <w:rPr>
                <w:rStyle w:val="57"/>
                <w:rFonts w:hint="eastAsia" w:ascii="仿宋_GB2312" w:hAnsi="宋体" w:eastAsia="仿宋_GB2312" w:cs="Calibri"/>
                <w:b/>
                <w:color w:val="auto"/>
                <w:szCs w:val="21"/>
              </w:rPr>
              <w:t>名称</w:t>
            </w:r>
          </w:p>
        </w:tc>
        <w:tc>
          <w:tcPr>
            <w:tcW w:w="12479" w:type="dxa"/>
            <w:tcBorders>
              <w:top w:val="single" w:color="000000" w:sz="4" w:space="0"/>
              <w:left w:val="single" w:color="000000" w:sz="4" w:space="0"/>
              <w:bottom w:val="single" w:color="000000" w:sz="4" w:space="0"/>
              <w:right w:val="single" w:color="000000" w:sz="4" w:space="0"/>
            </w:tcBorders>
            <w:vAlign w:val="center"/>
          </w:tcPr>
          <w:p w14:paraId="5BA6E3B0">
            <w:pPr>
              <w:spacing w:line="360" w:lineRule="auto"/>
              <w:jc w:val="center"/>
              <w:rPr>
                <w:rStyle w:val="57"/>
                <w:rFonts w:ascii="仿宋_GB2312" w:hAnsi="宋体" w:eastAsia="仿宋_GB2312" w:cs="Calibri"/>
                <w:b/>
                <w:color w:val="auto"/>
                <w:szCs w:val="21"/>
              </w:rPr>
            </w:pPr>
            <w:r>
              <w:rPr>
                <w:rStyle w:val="57"/>
                <w:rFonts w:hint="eastAsia" w:ascii="仿宋_GB2312" w:hAnsi="宋体" w:eastAsia="仿宋_GB2312" w:cs="Calibri"/>
                <w:b/>
                <w:color w:val="auto"/>
                <w:szCs w:val="21"/>
              </w:rPr>
              <w:t>详细技术参数及材质</w:t>
            </w:r>
          </w:p>
        </w:tc>
      </w:tr>
      <w:tr w14:paraId="12444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5" w:hRule="atLeast"/>
        </w:trPr>
        <w:tc>
          <w:tcPr>
            <w:tcW w:w="638" w:type="dxa"/>
            <w:tcBorders>
              <w:top w:val="single" w:color="000000" w:sz="4" w:space="0"/>
              <w:left w:val="single" w:color="000000" w:sz="4" w:space="0"/>
              <w:bottom w:val="single" w:color="000000" w:sz="4" w:space="0"/>
              <w:right w:val="single" w:color="000000" w:sz="4" w:space="0"/>
            </w:tcBorders>
            <w:vAlign w:val="center"/>
          </w:tcPr>
          <w:p w14:paraId="5605A7E0">
            <w:pPr>
              <w:spacing w:line="280" w:lineRule="exact"/>
              <w:jc w:val="center"/>
              <w:rPr>
                <w:rStyle w:val="57"/>
                <w:rFonts w:ascii="宋体" w:hAnsi="宋体" w:cs="宋体"/>
                <w:color w:val="auto"/>
                <w:szCs w:val="21"/>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150B421B">
            <w:pPr>
              <w:spacing w:line="300" w:lineRule="exact"/>
              <w:jc w:val="center"/>
              <w:rPr>
                <w:rFonts w:ascii="宋体" w:hAnsi="宋体" w:cs="宋体"/>
                <w:color w:val="auto"/>
                <w:szCs w:val="21"/>
              </w:rPr>
            </w:pPr>
          </w:p>
        </w:tc>
        <w:tc>
          <w:tcPr>
            <w:tcW w:w="12479" w:type="dxa"/>
            <w:tcBorders>
              <w:top w:val="single" w:color="000000" w:sz="4" w:space="0"/>
              <w:left w:val="single" w:color="000000" w:sz="4" w:space="0"/>
              <w:bottom w:val="single" w:color="000000" w:sz="4" w:space="0"/>
              <w:right w:val="single" w:color="000000" w:sz="4" w:space="0"/>
            </w:tcBorders>
            <w:vAlign w:val="center"/>
          </w:tcPr>
          <w:p w14:paraId="75BC8792">
            <w:pPr>
              <w:spacing w:line="280" w:lineRule="exact"/>
              <w:jc w:val="left"/>
              <w:rPr>
                <w:rFonts w:ascii="宋体" w:hAnsi="宋体" w:cs="宋体"/>
                <w:color w:val="auto"/>
                <w:szCs w:val="21"/>
              </w:rPr>
            </w:pPr>
          </w:p>
        </w:tc>
      </w:tr>
    </w:tbl>
    <w:p w14:paraId="61B0D368">
      <w:pPr>
        <w:pStyle w:val="8"/>
        <w:rPr>
          <w:color w:val="auto"/>
        </w:rPr>
      </w:pPr>
    </w:p>
    <w:p w14:paraId="78E837EF">
      <w:pPr>
        <w:rPr>
          <w:color w:val="auto"/>
        </w:rPr>
      </w:pPr>
    </w:p>
    <w:p w14:paraId="34AD4621">
      <w:pPr>
        <w:rPr>
          <w:color w:val="auto"/>
        </w:rPr>
        <w:sectPr>
          <w:pgSz w:w="16838" w:h="11906" w:orient="landscape"/>
          <w:pgMar w:top="1800" w:right="1440" w:bottom="1800" w:left="1440" w:header="851" w:footer="992" w:gutter="0"/>
          <w:pgNumType w:fmt="numberInDash"/>
          <w:cols w:space="720" w:num="1"/>
          <w:docGrid w:type="lines" w:linePitch="312" w:charSpace="0"/>
        </w:sectPr>
      </w:pPr>
    </w:p>
    <w:bookmarkEnd w:id="29"/>
    <w:p w14:paraId="6B1C81A8">
      <w:pPr>
        <w:pStyle w:val="2"/>
        <w:numPr>
          <w:ilvl w:val="0"/>
          <w:numId w:val="0"/>
        </w:numPr>
        <w:ind w:leftChars="0" w:right="18" w:rightChars="0"/>
        <w:jc w:val="center"/>
        <w:rPr>
          <w:rFonts w:hint="eastAsia" w:eastAsia="宋体"/>
          <w:color w:val="auto"/>
          <w:lang w:eastAsia="zh-CN"/>
        </w:rPr>
      </w:pPr>
      <w:r>
        <w:rPr>
          <w:rFonts w:hint="eastAsia"/>
          <w:color w:val="auto"/>
          <w:lang w:eastAsia="zh-CN"/>
        </w:rPr>
        <w:t>第五章</w:t>
      </w:r>
      <w:r>
        <w:rPr>
          <w:rFonts w:hint="eastAsia"/>
          <w:color w:val="auto"/>
          <w:lang w:val="en-US" w:eastAsia="zh-CN"/>
        </w:rPr>
        <w:t xml:space="preserve"> </w:t>
      </w:r>
      <w:r>
        <w:rPr>
          <w:rFonts w:hint="eastAsia"/>
          <w:color w:val="auto"/>
        </w:rPr>
        <w:t>采购内容及技术</w:t>
      </w:r>
      <w:bookmarkStart w:id="30" w:name="_Toc24485"/>
      <w:bookmarkStart w:id="31" w:name="_Toc19058"/>
      <w:r>
        <w:rPr>
          <w:rFonts w:hint="eastAsia"/>
          <w:color w:val="auto"/>
          <w:lang w:eastAsia="zh-CN"/>
        </w:rPr>
        <w:t>要求</w:t>
      </w:r>
    </w:p>
    <w:p w14:paraId="3D7315F2">
      <w:pPr>
        <w:rPr>
          <w:rFonts w:cs="宋体"/>
          <w:color w:val="auto"/>
          <w:lang w:bidi="ar"/>
        </w:rPr>
      </w:pPr>
    </w:p>
    <w:p w14:paraId="496178D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b/>
          <w:bCs/>
          <w:color w:val="auto"/>
          <w:sz w:val="24"/>
          <w:szCs w:val="24"/>
          <w:lang w:val="en-US" w:eastAsia="zh-CN"/>
        </w:rPr>
      </w:pPr>
      <w:r>
        <w:rPr>
          <w:rFonts w:hint="eastAsia"/>
          <w:b/>
          <w:bCs/>
          <w:color w:val="auto"/>
          <w:sz w:val="24"/>
          <w:szCs w:val="24"/>
          <w:lang w:val="en-US" w:eastAsia="zh-CN"/>
        </w:rPr>
        <w:t>一、三人位步梯床架(数量1920套)</w:t>
      </w:r>
    </w:p>
    <w:p w14:paraId="0A2A3B6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1、</w:t>
      </w:r>
      <w:r>
        <w:rPr>
          <w:rFonts w:hint="eastAsia"/>
          <w:color w:val="auto"/>
          <w:sz w:val="24"/>
          <w:szCs w:val="24"/>
          <w:lang w:val="en-US" w:eastAsia="zh-Hans"/>
        </w:rPr>
        <w:t>▲</w:t>
      </w:r>
      <w:r>
        <w:rPr>
          <w:rFonts w:hint="eastAsia"/>
          <w:color w:val="auto"/>
          <w:sz w:val="24"/>
          <w:szCs w:val="24"/>
          <w:lang w:val="en-US" w:eastAsia="zh-CN"/>
        </w:rPr>
        <w:t>规格尺寸：长6900mm×宽</w:t>
      </w:r>
      <w:r>
        <w:rPr>
          <w:rFonts w:hint="eastAsia"/>
          <w:color w:val="auto"/>
          <w:sz w:val="24"/>
          <w:szCs w:val="24"/>
          <w:highlight w:val="none"/>
          <w:lang w:val="en-US" w:eastAsia="zh-CN"/>
        </w:rPr>
        <w:t>≥900mm</w:t>
      </w:r>
      <w:r>
        <w:rPr>
          <w:rFonts w:hint="eastAsia"/>
          <w:color w:val="auto"/>
          <w:sz w:val="24"/>
          <w:szCs w:val="24"/>
          <w:lang w:val="en-US" w:eastAsia="zh-CN"/>
        </w:rPr>
        <w:t>×高2150mm（±5mm）含蚊帐杆高度2900mm，床下净高度不低于1700mm。</w:t>
      </w:r>
    </w:p>
    <w:p w14:paraId="1CFCFD7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2、</w:t>
      </w:r>
      <w:r>
        <w:rPr>
          <w:rFonts w:hint="eastAsia"/>
          <w:color w:val="auto"/>
          <w:sz w:val="24"/>
          <w:szCs w:val="24"/>
          <w:lang w:val="en-US" w:eastAsia="zh-Hans"/>
        </w:rPr>
        <w:t>▲</w:t>
      </w:r>
      <w:r>
        <w:rPr>
          <w:rFonts w:hint="eastAsia"/>
          <w:color w:val="auto"/>
          <w:sz w:val="24"/>
          <w:szCs w:val="24"/>
          <w:lang w:val="en-US" w:eastAsia="zh-CN"/>
        </w:rPr>
        <w:t>立柱：采用优质高频焊接闭口钢型材管，截面成型尺寸≥</w:t>
      </w:r>
      <w:r>
        <w:rPr>
          <w:rFonts w:hint="eastAsia"/>
          <w:color w:val="auto"/>
          <w:sz w:val="24"/>
          <w:szCs w:val="24"/>
          <w:highlight w:val="none"/>
          <w:lang w:val="en-US" w:eastAsia="zh-CN"/>
        </w:rPr>
        <w:t>72mm×72mm，</w:t>
      </w:r>
      <w:r>
        <w:rPr>
          <w:rFonts w:hint="eastAsia"/>
          <w:color w:val="auto"/>
          <w:sz w:val="24"/>
          <w:szCs w:val="24"/>
          <w:lang w:val="en-US" w:eastAsia="zh-CN"/>
        </w:rPr>
        <w:t>材料壁厚≥1.2mm。管材截面由不少于6条折弯及6个立面组成，</w:t>
      </w:r>
      <w:r>
        <w:rPr>
          <w:rFonts w:hint="eastAsia"/>
          <w:color w:val="auto"/>
          <w:sz w:val="24"/>
          <w:szCs w:val="24"/>
          <w:lang w:val="en-US" w:eastAsia="zh-Hans"/>
        </w:rPr>
        <w:t>表面均经环氧树脂静电喷涂，防腐处理，强吸附、抗酸碱。</w:t>
      </w:r>
      <w:r>
        <w:rPr>
          <w:rFonts w:hint="eastAsia"/>
          <w:color w:val="auto"/>
          <w:sz w:val="24"/>
          <w:szCs w:val="24"/>
          <w:lang w:val="en-US" w:eastAsia="zh-CN"/>
        </w:rPr>
        <w:t>立柱正面挂钩洞不外漏，立柱上下胶套，立柱下采用优质符合环保要求PP塑料静音胶套，底部为外包脚套或内置脚套，高度≥60mm。</w:t>
      </w:r>
    </w:p>
    <w:p w14:paraId="237D31D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3、</w:t>
      </w:r>
      <w:r>
        <w:rPr>
          <w:rFonts w:hint="eastAsia"/>
          <w:color w:val="auto"/>
          <w:sz w:val="24"/>
          <w:szCs w:val="24"/>
          <w:lang w:val="en-US" w:eastAsia="zh-Hans"/>
        </w:rPr>
        <w:t>▲</w:t>
      </w:r>
      <w:r>
        <w:rPr>
          <w:rFonts w:hint="eastAsia"/>
          <w:color w:val="auto"/>
          <w:sz w:val="24"/>
          <w:szCs w:val="24"/>
          <w:lang w:val="en-US" w:eastAsia="zh-CN"/>
        </w:rPr>
        <w:t>前后床厅（床横梁）：采用优质高频焊接闭口钢型材管，截面成型尺寸≥95mm×32mm，材料壁厚≥1.2mm，下方外圆弧防碰撞设计，可安装防撞胶条。</w:t>
      </w:r>
    </w:p>
    <w:p w14:paraId="13F10E8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Hans"/>
        </w:rPr>
      </w:pPr>
      <w:r>
        <w:rPr>
          <w:rFonts w:hint="eastAsia"/>
          <w:color w:val="auto"/>
          <w:sz w:val="24"/>
          <w:szCs w:val="24"/>
          <w:lang w:val="en-US" w:eastAsia="zh-CN"/>
        </w:rPr>
        <w:t>4、</w:t>
      </w:r>
      <w:r>
        <w:rPr>
          <w:rFonts w:hint="eastAsia"/>
          <w:color w:val="auto"/>
          <w:sz w:val="24"/>
          <w:szCs w:val="24"/>
          <w:lang w:val="en-US" w:eastAsia="zh-Hans"/>
        </w:rPr>
        <w:t>▲</w:t>
      </w:r>
      <w:r>
        <w:rPr>
          <w:rFonts w:hint="eastAsia"/>
          <w:color w:val="auto"/>
          <w:sz w:val="24"/>
          <w:szCs w:val="24"/>
          <w:lang w:val="en-US" w:eastAsia="zh-CN"/>
        </w:rPr>
        <w:t>连接挂件：</w:t>
      </w:r>
      <w:r>
        <w:rPr>
          <w:rFonts w:hint="eastAsia"/>
          <w:color w:val="auto"/>
          <w:sz w:val="24"/>
          <w:szCs w:val="24"/>
          <w:lang w:val="en-US" w:eastAsia="zh-Hans"/>
        </w:rPr>
        <w:t>隐藏式卡式连接挂件</w:t>
      </w:r>
      <w:r>
        <w:rPr>
          <w:rFonts w:hint="eastAsia"/>
          <w:color w:val="auto"/>
          <w:sz w:val="24"/>
          <w:szCs w:val="24"/>
          <w:lang w:val="en-US" w:eastAsia="zh-CN"/>
        </w:rPr>
        <w:t>采用优质冷轧钢板经</w:t>
      </w:r>
      <w:r>
        <w:rPr>
          <w:rFonts w:hint="eastAsia"/>
          <w:color w:val="auto"/>
          <w:sz w:val="24"/>
          <w:szCs w:val="24"/>
          <w:highlight w:val="none"/>
          <w:lang w:val="en-US" w:eastAsia="zh-CN"/>
        </w:rPr>
        <w:t>冲压成一次成型，</w:t>
      </w:r>
      <w:r>
        <w:rPr>
          <w:rFonts w:hint="eastAsia"/>
          <w:color w:val="auto"/>
          <w:sz w:val="24"/>
          <w:szCs w:val="24"/>
          <w:lang w:val="en-US" w:eastAsia="zh-CN"/>
        </w:rPr>
        <w:t>材料壁厚≥2.0mm。</w:t>
      </w:r>
      <w:r>
        <w:rPr>
          <w:rFonts w:hint="eastAsia"/>
          <w:color w:val="auto"/>
          <w:sz w:val="24"/>
          <w:szCs w:val="24"/>
          <w:highlight w:val="none"/>
          <w:lang w:val="en-US" w:eastAsia="zh-CN"/>
        </w:rPr>
        <w:t>挂件与床厅接触不少于3面满焊，无缝隙，</w:t>
      </w:r>
      <w:r>
        <w:rPr>
          <w:rFonts w:hint="eastAsia"/>
          <w:color w:val="auto"/>
          <w:sz w:val="24"/>
          <w:szCs w:val="24"/>
          <w:lang w:val="en-US" w:eastAsia="zh-Hans"/>
        </w:rPr>
        <w:t>采用</w:t>
      </w:r>
      <w:r>
        <w:rPr>
          <w:rFonts w:hint="eastAsia"/>
          <w:color w:val="auto"/>
          <w:sz w:val="24"/>
          <w:szCs w:val="24"/>
          <w:lang w:val="en-US" w:eastAsia="zh-CN"/>
        </w:rPr>
        <w:t>三卡</w:t>
      </w:r>
      <w:r>
        <w:rPr>
          <w:rFonts w:hint="eastAsia"/>
          <w:color w:val="auto"/>
          <w:sz w:val="24"/>
          <w:szCs w:val="24"/>
          <w:lang w:val="en-US" w:eastAsia="zh-Hans"/>
        </w:rPr>
        <w:t>齿内挂卡式连接挂件，增加床的稳定性、接触面大、更加牢固不易松动。榫插挂件与横梁焊接，与立柱采用内挂结构，安装后连接件不外漏。</w:t>
      </w:r>
    </w:p>
    <w:p w14:paraId="10D4375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5、床头护栏：整体采用全钢结构，上部横梁采用≥25mm×25mm×1.0mm优质钢管或</w:t>
      </w:r>
      <w:r>
        <w:rPr>
          <w:rFonts w:hint="eastAsia"/>
          <w:color w:val="auto"/>
          <w:sz w:val="24"/>
          <w:szCs w:val="24"/>
          <w:highlight w:val="none"/>
          <w:lang w:val="en-US" w:eastAsia="zh-CN"/>
        </w:rPr>
        <w:t>D形钢管</w:t>
      </w:r>
      <w:r>
        <w:rPr>
          <w:rFonts w:hint="eastAsia"/>
          <w:color w:val="auto"/>
          <w:sz w:val="24"/>
          <w:szCs w:val="24"/>
          <w:lang w:val="en-US" w:eastAsia="zh-CN"/>
        </w:rPr>
        <w:t>，下部横梁≥30mm×50mm×1.0mm优质钢管，挡板采用≥0.6mm厚冷轧钢板，颜色为浅绿色。护栏上下横梁与连接件焊接为整体，与立柱采用内挂式连接，安装后连接件不外漏。</w:t>
      </w:r>
    </w:p>
    <w:p w14:paraId="1F7AC0A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6、床前护栏：整体采用全钢结构，</w:t>
      </w:r>
      <w:r>
        <w:rPr>
          <w:rFonts w:hint="eastAsia"/>
          <w:color w:val="auto"/>
          <w:sz w:val="24"/>
          <w:szCs w:val="24"/>
          <w:lang w:val="en-US" w:eastAsia="zh-Hans"/>
        </w:rPr>
        <w:t>护栏高度≥350mm，长度≥1800mm，上部横管采用</w:t>
      </w:r>
      <w:r>
        <w:rPr>
          <w:rFonts w:hint="eastAsia"/>
          <w:color w:val="auto"/>
          <w:sz w:val="24"/>
          <w:szCs w:val="24"/>
          <w:lang w:val="en-US" w:eastAsia="zh-CN"/>
        </w:rPr>
        <w:t>≥</w:t>
      </w:r>
      <w:r>
        <w:rPr>
          <w:rFonts w:hint="eastAsia"/>
          <w:color w:val="auto"/>
          <w:sz w:val="24"/>
          <w:szCs w:val="24"/>
          <w:lang w:val="en-US" w:eastAsia="zh-Hans"/>
        </w:rPr>
        <w:t>25mm×25mm×1.2mm优质钢管</w:t>
      </w:r>
      <w:r>
        <w:rPr>
          <w:rFonts w:hint="eastAsia"/>
          <w:color w:val="auto"/>
          <w:sz w:val="24"/>
          <w:szCs w:val="24"/>
          <w:lang w:val="en-US" w:eastAsia="zh-CN"/>
        </w:rPr>
        <w:t>或</w:t>
      </w:r>
      <w:r>
        <w:rPr>
          <w:rFonts w:hint="eastAsia"/>
          <w:color w:val="auto"/>
          <w:sz w:val="24"/>
          <w:szCs w:val="24"/>
          <w:highlight w:val="none"/>
          <w:lang w:val="en-US" w:eastAsia="zh-CN"/>
        </w:rPr>
        <w:t>D形钢管</w:t>
      </w:r>
      <w:r>
        <w:rPr>
          <w:rFonts w:hint="eastAsia"/>
          <w:color w:val="auto"/>
          <w:sz w:val="24"/>
          <w:szCs w:val="24"/>
          <w:highlight w:val="none"/>
          <w:lang w:val="en-US" w:eastAsia="zh-Hans"/>
        </w:rPr>
        <w:t>两</w:t>
      </w:r>
      <w:r>
        <w:rPr>
          <w:rFonts w:hint="eastAsia"/>
          <w:color w:val="auto"/>
          <w:sz w:val="24"/>
          <w:szCs w:val="24"/>
          <w:lang w:val="en-US" w:eastAsia="zh-Hans"/>
        </w:rPr>
        <w:t>头经弯管机握弯成型，</w:t>
      </w:r>
      <w:r>
        <w:rPr>
          <w:rFonts w:hint="eastAsia"/>
          <w:color w:val="auto"/>
          <w:sz w:val="24"/>
          <w:szCs w:val="24"/>
          <w:lang w:val="en-US" w:eastAsia="zh-CN"/>
        </w:rPr>
        <w:t>中部横管竖管采用≥</w:t>
      </w:r>
      <w:r>
        <w:rPr>
          <w:rFonts w:hint="eastAsia"/>
          <w:color w:val="auto"/>
          <w:sz w:val="24"/>
          <w:szCs w:val="24"/>
          <w:lang w:val="en-US" w:eastAsia="zh-Hans"/>
        </w:rPr>
        <w:t>2</w:t>
      </w:r>
      <w:r>
        <w:rPr>
          <w:rFonts w:hint="eastAsia"/>
          <w:color w:val="auto"/>
          <w:sz w:val="24"/>
          <w:szCs w:val="24"/>
          <w:lang w:val="en-US" w:eastAsia="zh-CN"/>
        </w:rPr>
        <w:t>0</w:t>
      </w:r>
      <w:r>
        <w:rPr>
          <w:rFonts w:hint="eastAsia"/>
          <w:color w:val="auto"/>
          <w:sz w:val="24"/>
          <w:szCs w:val="24"/>
          <w:lang w:val="en-US" w:eastAsia="zh-Hans"/>
        </w:rPr>
        <w:t>mm×2</w:t>
      </w:r>
      <w:r>
        <w:rPr>
          <w:rFonts w:hint="eastAsia"/>
          <w:color w:val="auto"/>
          <w:sz w:val="24"/>
          <w:szCs w:val="24"/>
          <w:lang w:val="en-US" w:eastAsia="zh-CN"/>
        </w:rPr>
        <w:t>0</w:t>
      </w:r>
      <w:r>
        <w:rPr>
          <w:rFonts w:hint="eastAsia"/>
          <w:color w:val="auto"/>
          <w:sz w:val="24"/>
          <w:szCs w:val="24"/>
          <w:lang w:val="en-US" w:eastAsia="zh-Hans"/>
        </w:rPr>
        <w:t>mm×1.</w:t>
      </w:r>
      <w:r>
        <w:rPr>
          <w:rFonts w:hint="eastAsia"/>
          <w:color w:val="auto"/>
          <w:sz w:val="24"/>
          <w:szCs w:val="24"/>
          <w:lang w:val="en-US" w:eastAsia="zh-CN"/>
        </w:rPr>
        <w:t>0</w:t>
      </w:r>
      <w:r>
        <w:rPr>
          <w:rFonts w:hint="eastAsia"/>
          <w:color w:val="auto"/>
          <w:sz w:val="24"/>
          <w:szCs w:val="24"/>
          <w:lang w:val="en-US" w:eastAsia="zh-Hans"/>
        </w:rPr>
        <w:t>mm优质钢管</w:t>
      </w:r>
      <w:r>
        <w:rPr>
          <w:rFonts w:hint="eastAsia"/>
          <w:color w:val="auto"/>
          <w:sz w:val="24"/>
          <w:szCs w:val="24"/>
          <w:lang w:val="en-US" w:eastAsia="zh-CN"/>
        </w:rPr>
        <w:t>，挡板采用≥0.6mm厚冷轧钢板，中间挡板可设置校徽和床位信息，两侧挡板内侧带储物槽，可存放小件物品，挡板颜色为浅绿色</w:t>
      </w:r>
      <w:r>
        <w:rPr>
          <w:rFonts w:hint="eastAsia"/>
          <w:color w:val="auto"/>
          <w:sz w:val="24"/>
          <w:szCs w:val="24"/>
          <w:lang w:val="en-US" w:eastAsia="zh-Hans"/>
        </w:rPr>
        <w:t>。</w:t>
      </w:r>
    </w:p>
    <w:p w14:paraId="2A2BFCF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7、床撑：采用优质高频焊接闭口型材管，截面成型尺寸</w:t>
      </w:r>
      <w:r>
        <w:rPr>
          <w:rFonts w:hint="eastAsia"/>
          <w:color w:val="auto"/>
          <w:sz w:val="24"/>
          <w:szCs w:val="24"/>
          <w:lang w:val="en-US" w:eastAsia="zh-Hans"/>
        </w:rPr>
        <w:t>≥</w:t>
      </w:r>
      <w:r>
        <w:rPr>
          <w:rFonts w:hint="eastAsia"/>
          <w:color w:val="auto"/>
          <w:sz w:val="24"/>
          <w:szCs w:val="24"/>
          <w:lang w:val="en-US" w:eastAsia="zh-CN"/>
        </w:rPr>
        <w:t>20mm×30mm，材料壁厚≥1.2mm。管材截面为梯形，下部为圆弧。床撑数量≥6根，均匀分布，两端插入横梁内并配置PP塑料静音套，保证床架安全牢固。</w:t>
      </w:r>
    </w:p>
    <w:p w14:paraId="636D372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8、后拉杆：采用≥30mm×50mm×1.0mm优质钢管制作。</w:t>
      </w:r>
    </w:p>
    <w:p w14:paraId="2B487EB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9、储物楼梯（步梯柜）：规格为≥1350mm(高)×450mm(宽)×860mm(深), 整体为全钢结构，四步四柜设计，踏步板规格≥450mm×200mm，采用≥1.5mm优质冷轧钢板冲压成型，表面防滑设计。踏步板下带独立储物柜，储物柜采用≥0.6mm优质冷轧钢板，储物</w:t>
      </w:r>
      <w:r>
        <w:rPr>
          <w:rFonts w:hint="eastAsia"/>
          <w:color w:val="auto"/>
          <w:sz w:val="24"/>
          <w:szCs w:val="24"/>
          <w:highlight w:val="none"/>
          <w:lang w:val="en-US" w:eastAsia="zh-CN"/>
        </w:rPr>
        <w:t>柜最大限度深度，可收纳小件物品，储物柜门采用环保A</w:t>
      </w:r>
      <w:r>
        <w:rPr>
          <w:rFonts w:hint="eastAsia"/>
          <w:color w:val="auto"/>
          <w:sz w:val="24"/>
          <w:szCs w:val="24"/>
          <w:lang w:val="en-US" w:eastAsia="zh-CN"/>
        </w:rPr>
        <w:t>BS</w:t>
      </w:r>
      <w:r>
        <w:rPr>
          <w:rFonts w:hint="eastAsia"/>
          <w:color w:val="auto"/>
          <w:sz w:val="24"/>
          <w:szCs w:val="24"/>
          <w:highlight w:val="none"/>
          <w:lang w:val="en-US" w:eastAsia="zh-CN"/>
        </w:rPr>
        <w:t>、优质冷轧钢板</w:t>
      </w:r>
      <w:r>
        <w:rPr>
          <w:rFonts w:hint="eastAsia"/>
          <w:color w:val="auto"/>
          <w:sz w:val="24"/>
          <w:szCs w:val="24"/>
          <w:lang w:val="en-US" w:eastAsia="zh-CN"/>
        </w:rPr>
        <w:t xml:space="preserve">等材料。 </w:t>
      </w:r>
    </w:p>
    <w:p w14:paraId="2E300A3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10、蚊帐杆：采用≥φ19mm的圆管，壁厚≥1.0mm；由立杆和横杆组成，可升降，蚊帐杆套件采用PP聚丙烯硬性工程塑料注塑成型，立杆底部插入立柱内塞内以防立杆晃动。</w:t>
      </w:r>
    </w:p>
    <w:p w14:paraId="3C9E84E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11、杉木原木板（床</w:t>
      </w:r>
      <w:r>
        <w:rPr>
          <w:rFonts w:hint="eastAsia"/>
          <w:color w:val="auto"/>
          <w:sz w:val="24"/>
          <w:szCs w:val="24"/>
          <w:highlight w:val="none"/>
          <w:lang w:val="en-US" w:eastAsia="zh-CN"/>
        </w:rPr>
        <w:t>板）：四面刨</w:t>
      </w:r>
      <w:r>
        <w:rPr>
          <w:rFonts w:hint="eastAsia"/>
          <w:color w:val="auto"/>
          <w:sz w:val="24"/>
          <w:szCs w:val="24"/>
          <w:lang w:val="en-US" w:eastAsia="zh-CN"/>
        </w:rPr>
        <w:t>光，经过烘干除虫处理。</w:t>
      </w:r>
      <w:r>
        <w:rPr>
          <w:rFonts w:hint="eastAsia"/>
          <w:color w:val="auto"/>
          <w:sz w:val="24"/>
          <w:szCs w:val="24"/>
          <w:highlight w:val="none"/>
          <w:lang w:val="en-US" w:eastAsia="zh-CN"/>
        </w:rPr>
        <w:t>木板厚度≥16mm，底部横撑≥4根</w:t>
      </w:r>
      <w:r>
        <w:rPr>
          <w:rFonts w:hint="eastAsia"/>
          <w:color w:val="auto"/>
          <w:sz w:val="24"/>
          <w:szCs w:val="24"/>
          <w:lang w:val="en-US" w:eastAsia="zh-CN"/>
        </w:rPr>
        <w:t>，采用 ≥25mm×35mm 木条，拼板少于8块，表面</w:t>
      </w:r>
      <w:r>
        <w:rPr>
          <w:rFonts w:hint="eastAsia"/>
          <w:color w:val="auto"/>
          <w:sz w:val="24"/>
          <w:szCs w:val="24"/>
          <w:highlight w:val="none"/>
          <w:lang w:val="en-US" w:eastAsia="zh-CN"/>
        </w:rPr>
        <w:t>刨</w:t>
      </w:r>
      <w:r>
        <w:rPr>
          <w:rFonts w:hint="eastAsia"/>
          <w:color w:val="auto"/>
          <w:sz w:val="24"/>
          <w:szCs w:val="24"/>
          <w:lang w:val="en-US" w:eastAsia="zh-CN"/>
        </w:rPr>
        <w:t xml:space="preserve">光、无毛刺，每根横撑与床板用自攻螺丝固定，尺寸按床架内空间大小制作，安装后与横梁平齐。   </w:t>
      </w:r>
    </w:p>
    <w:p w14:paraId="72706FD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b/>
          <w:bCs/>
          <w:color w:val="auto"/>
          <w:sz w:val="24"/>
          <w:szCs w:val="24"/>
          <w:lang w:val="en-US" w:eastAsia="zh-CN"/>
        </w:rPr>
      </w:pPr>
      <w:r>
        <w:rPr>
          <w:rFonts w:hint="eastAsia"/>
          <w:b/>
          <w:bCs/>
          <w:color w:val="auto"/>
          <w:sz w:val="24"/>
          <w:szCs w:val="24"/>
          <w:lang w:val="en-US" w:eastAsia="zh-CN"/>
        </w:rPr>
        <w:t>二、床下组合柜(数量1920套)</w:t>
      </w:r>
    </w:p>
    <w:p w14:paraId="15CC348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1、 规格尺寸：长1920mm×宽≥750mm×高1695mm（±5mm）（此规格为衣柜、书架、学习桌组合整体安装后尺寸）颜色要求：柜体白色，柜门浅绿色。（最终由采购人确定）。</w:t>
      </w:r>
    </w:p>
    <w:p w14:paraId="3065A59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lang w:val="en-US" w:eastAsia="zh-CN"/>
        </w:rPr>
        <w:t>2 、衣柜：高1695mm×宽≥640mm×深600mm,上下二门设计，上门内空，下门内部安装一根不锈钢挂衣杆，柜门内部设计一面镜子。采用≥0.6mm厚优质冷轧钢板，表面除油、去锈、陶化、钝化等工序处理，静电喷塑，</w:t>
      </w:r>
      <w:r>
        <w:rPr>
          <w:rFonts w:hint="eastAsia"/>
          <w:color w:val="auto"/>
          <w:sz w:val="24"/>
          <w:szCs w:val="24"/>
          <w:highlight w:val="none"/>
          <w:lang w:val="en-US" w:eastAsia="zh-CN"/>
        </w:rPr>
        <w:t>涂层有较强耐腐蚀性能，颜色为白色（颜色可选</w:t>
      </w:r>
      <w:r>
        <w:rPr>
          <w:rFonts w:hint="eastAsia"/>
          <w:color w:val="auto"/>
          <w:sz w:val="24"/>
          <w:szCs w:val="24"/>
          <w:lang w:val="en-US" w:eastAsia="zh-CN"/>
        </w:rPr>
        <w:t>），锁具为转鼻外挂锁，</w:t>
      </w:r>
      <w:r>
        <w:rPr>
          <w:rFonts w:hint="eastAsia"/>
          <w:color w:val="auto"/>
          <w:sz w:val="24"/>
          <w:szCs w:val="24"/>
          <w:highlight w:val="none"/>
          <w:lang w:val="en-US" w:eastAsia="zh-CN"/>
        </w:rPr>
        <w:t>兼备扣手功能底部安装防潮调整底脚。</w:t>
      </w:r>
    </w:p>
    <w:p w14:paraId="10AC6CF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3、 书柜：规格≥长750mm×深240mm×高1695mm，上下均分五格，采用≥0.6mm厚优质冷轧钢板，表面除油、去锈、陶化、钝化等工序处理，静电喷塑。采用≥0.6mm厚优质冷轧钢板。</w:t>
      </w:r>
    </w:p>
    <w:p w14:paraId="3D9A7BE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4、</w:t>
      </w:r>
      <w:r>
        <w:rPr>
          <w:rFonts w:hint="eastAsia"/>
          <w:color w:val="auto"/>
          <w:sz w:val="24"/>
          <w:szCs w:val="24"/>
          <w:lang w:val="en-US" w:eastAsia="zh-Hans"/>
        </w:rPr>
        <w:t>▲</w:t>
      </w:r>
      <w:r>
        <w:rPr>
          <w:rFonts w:hint="eastAsia"/>
          <w:color w:val="auto"/>
          <w:sz w:val="24"/>
          <w:szCs w:val="24"/>
          <w:lang w:val="en-US" w:eastAsia="zh-CN"/>
        </w:rPr>
        <w:t>学习桌：桌面离地高度≥760mm，桌面长≥960mm×宽≥600mm×厚25mm，</w:t>
      </w:r>
      <w:r>
        <w:rPr>
          <w:rFonts w:hint="eastAsia"/>
          <w:color w:val="auto"/>
          <w:sz w:val="24"/>
          <w:szCs w:val="24"/>
          <w:highlight w:val="none"/>
          <w:lang w:val="en-US" w:eastAsia="zh-CN"/>
        </w:rPr>
        <w:t>桌面基材为E1级密度板</w:t>
      </w:r>
      <w:r>
        <w:rPr>
          <w:rFonts w:hint="eastAsia"/>
          <w:color w:val="auto"/>
          <w:sz w:val="24"/>
          <w:szCs w:val="24"/>
          <w:lang w:val="en-US" w:eastAsia="zh-CN"/>
        </w:rPr>
        <w:t>，四周注塑封边一次成型无接缝，前沿符合人体工程学设计位鸭嘴弧边，颜色为木纹色，桌面下方一侧设计一抽一门柜，规格宽350mm×深500mm×高735mm，采用≥0.6mm厚优质冷轧钢板，表面除油、去锈、陶化、钝化等工序处理，静电喷塑，均安装转鼻外挂锁，扣手为梯形内嵌一体式钢制压型扣手，抽屉导轨采用三节静音滑轨，底部安装钢制防潮底脚。桌面上部安装一层书架，采用≥0.6mm厚优质冷轧钢板，左右分两格。</w:t>
      </w:r>
    </w:p>
    <w:p w14:paraId="7904BD4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b/>
          <w:bCs/>
          <w:color w:val="auto"/>
          <w:sz w:val="24"/>
          <w:szCs w:val="24"/>
          <w:lang w:val="en-US" w:eastAsia="zh-Hans"/>
        </w:rPr>
      </w:pPr>
      <w:r>
        <w:rPr>
          <w:rFonts w:hint="eastAsia"/>
          <w:b/>
          <w:bCs/>
          <w:color w:val="auto"/>
          <w:sz w:val="24"/>
          <w:szCs w:val="24"/>
          <w:lang w:val="en-US" w:eastAsia="zh-Hans"/>
        </w:rPr>
        <w:t>三、公寓椅</w:t>
      </w:r>
      <w:r>
        <w:rPr>
          <w:rFonts w:hint="eastAsia"/>
          <w:b/>
          <w:bCs/>
          <w:color w:val="auto"/>
          <w:sz w:val="24"/>
          <w:szCs w:val="24"/>
          <w:lang w:val="en-US" w:eastAsia="zh-CN"/>
        </w:rPr>
        <w:t>(数量1920套)</w:t>
      </w:r>
    </w:p>
    <w:p w14:paraId="54AA141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1.整体规格：高800mm×宽420mm×深≥370mm,座面高度440mm。椅架颜色为白色，靠板、座板为浅绿色（最终由采购人确定）。</w:t>
      </w:r>
    </w:p>
    <w:p w14:paraId="4CFB7D1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2.座板和靠板：座椅板和座靠板均采用中空吹塑成型，原材料用HDPE高密度环保聚乙烯；靠板尺寸为≥420mm宽×260mm高；座板尺寸为≥420mm宽×380mm深，座椅板和座靠板均采用弧型设计，符合人体工程学，靠板上部带有椭圆形提拉环，座椅板和座靠板表面均带长条形透气孔。</w:t>
      </w:r>
    </w:p>
    <w:p w14:paraId="2B64F88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3.椅架：采用15mm×30mm×1.2mm优质椭圆管经数控弯管机推弯成型，侧拉撑采用15mm×30mm×1.2mm优质椭圆管。</w:t>
      </w:r>
    </w:p>
    <w:p w14:paraId="4E36FD3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4.制作工艺：所有钢材符合国家相关标准，焊接采用二氧化碳保护焊焊接，保证焊缝平整光滑，无漏焊、假焊，经抛丸机喷砂去油除锈处理，静电喷塑，高温固化。喷塑后外表光滑、整洁，焊接后保证整体平稳，椅架无倾斜等不良现象，放置平稳，无晃动。</w:t>
      </w:r>
    </w:p>
    <w:p w14:paraId="3B887EF0">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注：1、提供质量检测部门出具的2025年以来公寓组合床检测报告(全项检测：主要尺寸及偏差-床类主要尺寸、主要尺寸及偏差-产品外形尺寸偏差、形状和位置公差、外观性能、安全性能、产品表面理化性能-金属喷漆（塑）涂层、理化性能-产品表面理化性能-金属电镀层、产品表面理化性能-木制件表面装饰层（软硬质覆面层）、人造板含水率、力学性能-双层床强度和耐久性、力学性能-双层床稳定性、有害物质限量、品质属性-产品寿命-床类），标准依据国家最新标准，检测报告需带CMA标志。（该部分内容投标人须在投标文件中提供，不提供或提供不全的视为未实质性响应招标文件要求，按无效投标处理。）</w:t>
      </w:r>
    </w:p>
    <w:p w14:paraId="50186D26">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2、提供质量检测部门出具的2025年以来涉及的组合单体及材料，配件检测报告：（1）床板（2）桌面（3）学生椅（4）立柱（5）横梁（6）塑粉（7）冷轧钢板等（该部分内容仅需中标人供货时提供，具体由采购人与中标人协商）</w:t>
      </w:r>
    </w:p>
    <w:p w14:paraId="51AAF0FE">
      <w:pPr>
        <w:rPr>
          <w:rFonts w:cs="宋体"/>
          <w:color w:val="auto"/>
          <w:lang w:bidi="ar"/>
        </w:rPr>
      </w:pPr>
    </w:p>
    <w:p w14:paraId="464B09B6">
      <w:pPr>
        <w:rPr>
          <w:rFonts w:cs="宋体"/>
          <w:color w:val="auto"/>
          <w:lang w:bidi="ar"/>
        </w:rPr>
      </w:pPr>
    </w:p>
    <w:p w14:paraId="72DE125C">
      <w:pPr>
        <w:rPr>
          <w:rFonts w:cs="宋体"/>
          <w:color w:val="auto"/>
          <w:lang w:bidi="ar"/>
        </w:rPr>
      </w:pPr>
    </w:p>
    <w:p w14:paraId="321C71ED">
      <w:pPr>
        <w:rPr>
          <w:rFonts w:cs="宋体"/>
          <w:color w:val="auto"/>
          <w:lang w:bidi="ar"/>
        </w:rPr>
      </w:pPr>
    </w:p>
    <w:p w14:paraId="224125C1">
      <w:pPr>
        <w:rPr>
          <w:rFonts w:cs="宋体"/>
          <w:color w:val="auto"/>
          <w:lang w:bidi="ar"/>
        </w:rPr>
      </w:pPr>
    </w:p>
    <w:p w14:paraId="216C3D6D">
      <w:pPr>
        <w:rPr>
          <w:rFonts w:cs="宋体"/>
          <w:color w:val="auto"/>
          <w:lang w:bidi="ar"/>
        </w:rPr>
      </w:pPr>
    </w:p>
    <w:p w14:paraId="1BB8E336">
      <w:pPr>
        <w:rPr>
          <w:rFonts w:cs="宋体"/>
          <w:color w:val="auto"/>
          <w:lang w:bidi="ar"/>
        </w:rPr>
      </w:pPr>
    </w:p>
    <w:p w14:paraId="5066E702">
      <w:pPr>
        <w:rPr>
          <w:rFonts w:cs="宋体"/>
          <w:color w:val="auto"/>
          <w:lang w:bidi="ar"/>
        </w:rPr>
      </w:pPr>
    </w:p>
    <w:p w14:paraId="6AC83A5C">
      <w:pPr>
        <w:pStyle w:val="2"/>
        <w:tabs>
          <w:tab w:val="left" w:pos="1286"/>
        </w:tabs>
        <w:spacing w:before="29"/>
        <w:ind w:right="17"/>
        <w:rPr>
          <w:color w:val="auto"/>
        </w:rPr>
      </w:pPr>
      <w:bookmarkStart w:id="32" w:name="_Toc19016"/>
      <w:bookmarkStart w:id="33" w:name="_Toc9710"/>
      <w:r>
        <w:rPr>
          <w:rFonts w:hint="eastAsia"/>
          <w:color w:val="auto"/>
        </w:rPr>
        <w:t>第六章</w:t>
      </w:r>
      <w:r>
        <w:rPr>
          <w:rFonts w:hint="eastAsia"/>
          <w:color w:val="auto"/>
        </w:rPr>
        <w:tab/>
      </w:r>
      <w:r>
        <w:rPr>
          <w:rFonts w:hint="eastAsia"/>
          <w:color w:val="auto"/>
        </w:rPr>
        <w:t>投标文件格式</w:t>
      </w:r>
      <w:bookmarkEnd w:id="30"/>
      <w:bookmarkEnd w:id="31"/>
      <w:bookmarkEnd w:id="32"/>
      <w:bookmarkEnd w:id="33"/>
    </w:p>
    <w:p w14:paraId="3F5075D7">
      <w:pPr>
        <w:widowControl/>
        <w:shd w:val="clear" w:color="auto" w:fill="FFFFFF"/>
        <w:spacing w:line="440" w:lineRule="exact"/>
        <w:ind w:right="-370" w:rightChars="-176"/>
        <w:rPr>
          <w:rFonts w:ascii="宋体" w:hAnsi="宋体" w:cs="宋体"/>
          <w:b/>
          <w:bCs/>
          <w:color w:val="auto"/>
          <w:kern w:val="0"/>
          <w:sz w:val="32"/>
          <w:szCs w:val="32"/>
          <w:shd w:val="clear" w:color="auto" w:fill="FFFFFF"/>
          <w:lang w:bidi="ar"/>
        </w:rPr>
      </w:pPr>
    </w:p>
    <w:p w14:paraId="1403A680">
      <w:pPr>
        <w:widowControl/>
        <w:shd w:val="clear" w:color="auto" w:fill="FFFFFF"/>
        <w:spacing w:line="440" w:lineRule="exact"/>
        <w:ind w:right="-370" w:rightChars="-176"/>
        <w:jc w:val="both"/>
        <w:rPr>
          <w:rFonts w:hint="eastAsia" w:ascii="宋体" w:hAnsi="宋体" w:cs="宋体"/>
          <w:b/>
          <w:bCs/>
          <w:color w:val="auto"/>
          <w:kern w:val="0"/>
          <w:sz w:val="36"/>
          <w:szCs w:val="36"/>
          <w:shd w:val="clear" w:color="auto" w:fill="FFFFFF"/>
          <w:lang w:eastAsia="zh-CN" w:bidi="ar"/>
        </w:rPr>
      </w:pPr>
      <w:r>
        <w:rPr>
          <w:rFonts w:hint="eastAsia" w:ascii="宋体" w:hAnsi="宋体" w:cs="宋体"/>
          <w:b/>
          <w:bCs/>
          <w:color w:val="auto"/>
          <w:kern w:val="0"/>
          <w:sz w:val="36"/>
          <w:szCs w:val="36"/>
          <w:shd w:val="clear" w:color="auto" w:fill="FFFFFF"/>
          <w:lang w:eastAsia="zh-CN" w:bidi="ar"/>
        </w:rPr>
        <w:t>平顶山学院24#、25#、26#、27#号学生公寓购置</w:t>
      </w:r>
    </w:p>
    <w:p w14:paraId="008349BB">
      <w:pPr>
        <w:widowControl/>
        <w:shd w:val="clear" w:color="auto" w:fill="FFFFFF"/>
        <w:spacing w:line="440" w:lineRule="exact"/>
        <w:ind w:right="-370" w:rightChars="-176" w:firstLine="3253" w:firstLineChars="900"/>
        <w:jc w:val="both"/>
        <w:rPr>
          <w:rFonts w:hint="eastAsia" w:ascii="宋体" w:hAnsi="宋体" w:eastAsia="宋体" w:cs="宋体"/>
          <w:b/>
          <w:bCs/>
          <w:color w:val="auto"/>
          <w:kern w:val="0"/>
          <w:sz w:val="36"/>
          <w:szCs w:val="36"/>
          <w:shd w:val="clear" w:color="auto" w:fill="FFFFFF"/>
          <w:lang w:eastAsia="zh-CN" w:bidi="ar"/>
        </w:rPr>
      </w:pPr>
      <w:r>
        <w:rPr>
          <w:rFonts w:hint="eastAsia" w:ascii="宋体" w:hAnsi="宋体" w:cs="宋体"/>
          <w:b/>
          <w:bCs/>
          <w:color w:val="auto"/>
          <w:kern w:val="0"/>
          <w:sz w:val="36"/>
          <w:szCs w:val="36"/>
          <w:shd w:val="clear" w:color="auto" w:fill="FFFFFF"/>
          <w:lang w:eastAsia="zh-CN" w:bidi="ar"/>
        </w:rPr>
        <w:t>家具项目</w:t>
      </w:r>
    </w:p>
    <w:p w14:paraId="46483486">
      <w:pPr>
        <w:widowControl/>
        <w:jc w:val="center"/>
        <w:rPr>
          <w:rFonts w:ascii="宋体" w:hAnsi="宋体" w:cs="宋体"/>
          <w:b/>
          <w:bCs/>
          <w:color w:val="auto"/>
          <w:sz w:val="44"/>
          <w:szCs w:val="44"/>
        </w:rPr>
      </w:pPr>
    </w:p>
    <w:p w14:paraId="40FDF6D9">
      <w:pPr>
        <w:spacing w:before="240" w:beforeLines="100"/>
        <w:jc w:val="center"/>
        <w:rPr>
          <w:rFonts w:ascii="宋体" w:hAnsi="宋体" w:cs="宋体"/>
          <w:b/>
          <w:bCs/>
          <w:color w:val="auto"/>
          <w:sz w:val="36"/>
          <w:szCs w:val="36"/>
        </w:rPr>
      </w:pPr>
    </w:p>
    <w:p w14:paraId="0A4A6DC8">
      <w:pPr>
        <w:spacing w:before="240" w:beforeLines="100"/>
        <w:jc w:val="center"/>
        <w:rPr>
          <w:rFonts w:ascii="宋体" w:hAnsi="宋体" w:cs="宋体"/>
          <w:b/>
          <w:bCs/>
          <w:color w:val="auto"/>
          <w:sz w:val="36"/>
          <w:szCs w:val="36"/>
        </w:rPr>
      </w:pPr>
      <w:r>
        <w:rPr>
          <w:rFonts w:hint="eastAsia" w:ascii="宋体" w:hAnsi="宋体" w:cs="宋体"/>
          <w:b/>
          <w:bCs/>
          <w:color w:val="auto"/>
          <w:sz w:val="36"/>
          <w:szCs w:val="36"/>
        </w:rPr>
        <w:t xml:space="preserve"> </w:t>
      </w:r>
    </w:p>
    <w:p w14:paraId="6114C29B">
      <w:pPr>
        <w:spacing w:before="240" w:beforeLines="100"/>
        <w:jc w:val="center"/>
        <w:rPr>
          <w:rFonts w:ascii="宋体" w:hAnsi="宋体" w:cs="宋体"/>
          <w:b/>
          <w:bCs/>
          <w:color w:val="auto"/>
          <w:sz w:val="30"/>
          <w:szCs w:val="30"/>
        </w:rPr>
      </w:pPr>
      <w:r>
        <w:rPr>
          <w:rFonts w:hint="eastAsia" w:ascii="宋体" w:hAnsi="宋体" w:cs="宋体"/>
          <w:b/>
          <w:bCs/>
          <w:color w:val="auto"/>
          <w:sz w:val="72"/>
          <w:szCs w:val="72"/>
        </w:rPr>
        <w:t>投  标  文  件</w:t>
      </w:r>
    </w:p>
    <w:p w14:paraId="3D7496C4">
      <w:pPr>
        <w:adjustRightInd w:val="0"/>
        <w:snapToGrid w:val="0"/>
        <w:spacing w:line="480" w:lineRule="auto"/>
        <w:ind w:firstLine="2168" w:firstLineChars="900"/>
        <w:rPr>
          <w:rFonts w:ascii="宋体" w:hAnsi="宋体" w:cs="宋体"/>
          <w:b/>
          <w:bCs/>
          <w:color w:val="auto"/>
          <w:kern w:val="0"/>
          <w:sz w:val="24"/>
          <w:lang w:val="zh-CN"/>
        </w:rPr>
      </w:pPr>
    </w:p>
    <w:p w14:paraId="585148DA">
      <w:pPr>
        <w:pStyle w:val="39"/>
        <w:spacing w:line="480" w:lineRule="auto"/>
        <w:ind w:firstLine="1928" w:firstLineChars="800"/>
        <w:rPr>
          <w:rFonts w:ascii="宋体" w:hAnsi="宋体" w:cs="宋体"/>
          <w:color w:val="auto"/>
          <w:sz w:val="30"/>
          <w:szCs w:val="30"/>
          <w:u w:val="single"/>
        </w:rPr>
      </w:pPr>
      <w:r>
        <w:rPr>
          <w:rFonts w:hint="eastAsia" w:ascii="宋体" w:hAnsi="宋体" w:cs="宋体"/>
          <w:b/>
          <w:color w:val="auto"/>
          <w:spacing w:val="0"/>
        </w:rPr>
        <w:t>项目编号</w:t>
      </w:r>
      <w:r>
        <w:rPr>
          <w:rFonts w:hint="eastAsia" w:ascii="宋体" w:hAnsi="宋体" w:cs="宋体"/>
          <w:color w:val="auto"/>
          <w:sz w:val="30"/>
          <w:szCs w:val="30"/>
        </w:rPr>
        <w:t>：</w:t>
      </w:r>
      <w:r>
        <w:rPr>
          <w:rFonts w:hint="eastAsia" w:ascii="宋体" w:hAnsi="宋体" w:cs="宋体"/>
          <w:color w:val="auto"/>
          <w:sz w:val="30"/>
          <w:szCs w:val="30"/>
          <w:u w:val="single"/>
        </w:rPr>
        <w:t xml:space="preserve">                </w:t>
      </w:r>
    </w:p>
    <w:p w14:paraId="0DB0B87A">
      <w:pPr>
        <w:jc w:val="center"/>
        <w:rPr>
          <w:rFonts w:ascii="宋体" w:hAnsi="宋体" w:cs="宋体"/>
          <w:color w:val="auto"/>
          <w:sz w:val="30"/>
          <w:szCs w:val="30"/>
        </w:rPr>
      </w:pPr>
    </w:p>
    <w:p w14:paraId="5E6440D0">
      <w:pPr>
        <w:rPr>
          <w:rFonts w:ascii="宋体" w:hAnsi="宋体" w:cs="宋体"/>
          <w:color w:val="auto"/>
          <w:sz w:val="24"/>
        </w:rPr>
      </w:pPr>
    </w:p>
    <w:p w14:paraId="3D862374">
      <w:pPr>
        <w:pStyle w:val="24"/>
        <w:ind w:firstLine="210"/>
        <w:rPr>
          <w:rFonts w:ascii="宋体" w:hAnsi="宋体"/>
          <w:color w:val="auto"/>
        </w:rPr>
      </w:pPr>
    </w:p>
    <w:p w14:paraId="5AFB20A5">
      <w:pPr>
        <w:pStyle w:val="24"/>
        <w:ind w:firstLine="210"/>
        <w:rPr>
          <w:rFonts w:ascii="宋体" w:hAnsi="宋体"/>
          <w:color w:val="auto"/>
        </w:rPr>
      </w:pPr>
    </w:p>
    <w:p w14:paraId="6CECBD09">
      <w:pPr>
        <w:rPr>
          <w:rFonts w:ascii="宋体" w:hAnsi="宋体" w:cs="宋体"/>
          <w:color w:val="auto"/>
        </w:rPr>
      </w:pPr>
    </w:p>
    <w:p w14:paraId="65EE9BB7">
      <w:pPr>
        <w:pStyle w:val="54"/>
        <w:rPr>
          <w:color w:val="auto"/>
        </w:rPr>
      </w:pPr>
    </w:p>
    <w:p w14:paraId="135DA995">
      <w:pPr>
        <w:jc w:val="center"/>
        <w:rPr>
          <w:rFonts w:ascii="宋体" w:hAnsi="宋体" w:cs="宋体"/>
          <w:color w:val="auto"/>
          <w:sz w:val="24"/>
        </w:rPr>
      </w:pPr>
    </w:p>
    <w:p w14:paraId="5E93E569">
      <w:pPr>
        <w:jc w:val="center"/>
        <w:rPr>
          <w:rFonts w:ascii="宋体" w:hAnsi="宋体" w:cs="宋体"/>
          <w:color w:val="auto"/>
          <w:sz w:val="24"/>
        </w:rPr>
      </w:pPr>
    </w:p>
    <w:p w14:paraId="0407FEC5">
      <w:pPr>
        <w:jc w:val="center"/>
        <w:rPr>
          <w:rFonts w:ascii="宋体" w:hAnsi="宋体" w:cs="宋体"/>
          <w:color w:val="auto"/>
          <w:sz w:val="24"/>
        </w:rPr>
      </w:pPr>
    </w:p>
    <w:p w14:paraId="35911C39">
      <w:pPr>
        <w:spacing w:line="480" w:lineRule="auto"/>
        <w:jc w:val="center"/>
        <w:rPr>
          <w:rFonts w:ascii="宋体" w:hAnsi="宋体" w:cs="宋体"/>
          <w:b/>
          <w:bCs/>
          <w:color w:val="auto"/>
          <w:spacing w:val="-13"/>
          <w:sz w:val="28"/>
          <w:szCs w:val="28"/>
        </w:rPr>
      </w:pPr>
      <w:r>
        <w:rPr>
          <w:rFonts w:hint="eastAsia" w:ascii="宋体" w:hAnsi="宋体" w:cs="宋体"/>
          <w:b/>
          <w:bCs/>
          <w:color w:val="auto"/>
          <w:sz w:val="28"/>
          <w:szCs w:val="28"/>
        </w:rPr>
        <w:t xml:space="preserve">    </w:t>
      </w:r>
      <w:r>
        <w:rPr>
          <w:rFonts w:hint="eastAsia" w:ascii="宋体" w:hAnsi="宋体" w:cs="宋体"/>
          <w:b/>
          <w:bCs/>
          <w:color w:val="auto"/>
          <w:spacing w:val="-3"/>
          <w:sz w:val="28"/>
          <w:szCs w:val="28"/>
        </w:rPr>
        <w:t>供应商名称</w:t>
      </w:r>
      <w:r>
        <w:rPr>
          <w:rFonts w:hint="eastAsia" w:ascii="宋体" w:hAnsi="宋体" w:cs="宋体"/>
          <w:b/>
          <w:bCs/>
          <w:color w:val="auto"/>
          <w:sz w:val="28"/>
          <w:szCs w:val="28"/>
        </w:rPr>
        <w:t>：</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rPr>
        <w:tab/>
      </w:r>
      <w:r>
        <w:rPr>
          <w:rFonts w:hint="eastAsia" w:ascii="宋体" w:hAnsi="宋体" w:cs="宋体"/>
          <w:b/>
          <w:bCs/>
          <w:color w:val="auto"/>
          <w:sz w:val="28"/>
          <w:szCs w:val="28"/>
          <w:u w:val="single"/>
        </w:rPr>
        <w:tab/>
      </w:r>
      <w:r>
        <w:rPr>
          <w:rFonts w:hint="eastAsia" w:ascii="宋体" w:hAnsi="宋体" w:cs="宋体"/>
          <w:b/>
          <w:bCs/>
          <w:color w:val="auto"/>
          <w:sz w:val="28"/>
          <w:szCs w:val="28"/>
          <w:u w:val="single"/>
        </w:rPr>
        <w:tab/>
      </w:r>
      <w:r>
        <w:rPr>
          <w:rFonts w:hint="eastAsia" w:ascii="宋体" w:hAnsi="宋体" w:cs="宋体"/>
          <w:b/>
          <w:bCs/>
          <w:color w:val="auto"/>
          <w:sz w:val="28"/>
          <w:szCs w:val="28"/>
          <w:u w:val="single"/>
        </w:rPr>
        <w:tab/>
      </w:r>
      <w:r>
        <w:rPr>
          <w:rFonts w:hint="eastAsia" w:ascii="宋体" w:hAnsi="宋体" w:cs="宋体"/>
          <w:b/>
          <w:bCs/>
          <w:color w:val="auto"/>
          <w:sz w:val="28"/>
          <w:szCs w:val="28"/>
          <w:u w:val="single"/>
        </w:rPr>
        <w:t xml:space="preserve">             </w:t>
      </w:r>
      <w:r>
        <w:rPr>
          <w:rFonts w:hint="eastAsia" w:ascii="宋体" w:hAnsi="宋体" w:cs="宋体"/>
          <w:b/>
          <w:bCs/>
          <w:color w:val="auto"/>
          <w:sz w:val="28"/>
          <w:szCs w:val="28"/>
        </w:rPr>
        <w:t>（电子签章）</w:t>
      </w:r>
    </w:p>
    <w:p w14:paraId="3FF13E4A">
      <w:pPr>
        <w:spacing w:line="480" w:lineRule="auto"/>
        <w:ind w:firstLine="843" w:firstLineChars="300"/>
        <w:rPr>
          <w:rFonts w:ascii="宋体" w:hAnsi="宋体" w:cs="宋体"/>
          <w:b/>
          <w:bCs/>
          <w:color w:val="auto"/>
          <w:spacing w:val="-15"/>
          <w:sz w:val="28"/>
          <w:szCs w:val="28"/>
        </w:rPr>
      </w:pPr>
      <w:r>
        <w:rPr>
          <w:rFonts w:hint="eastAsia" w:ascii="宋体" w:hAnsi="宋体" w:cs="宋体"/>
          <w:b/>
          <w:bCs/>
          <w:color w:val="auto"/>
          <w:sz w:val="28"/>
          <w:szCs w:val="28"/>
        </w:rPr>
        <w:t>法</w:t>
      </w:r>
      <w:r>
        <w:rPr>
          <w:rFonts w:hint="eastAsia" w:ascii="宋体" w:hAnsi="宋体" w:cs="宋体"/>
          <w:b/>
          <w:bCs/>
          <w:color w:val="auto"/>
          <w:spacing w:val="-3"/>
          <w:sz w:val="28"/>
          <w:szCs w:val="28"/>
        </w:rPr>
        <w:t>定代表人或其委托代理人：</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rPr>
        <w:tab/>
      </w:r>
      <w:r>
        <w:rPr>
          <w:rFonts w:hint="eastAsia" w:ascii="宋体" w:hAnsi="宋体" w:cs="宋体"/>
          <w:b/>
          <w:bCs/>
          <w:color w:val="auto"/>
          <w:sz w:val="28"/>
          <w:szCs w:val="28"/>
          <w:u w:val="single"/>
        </w:rPr>
        <w:tab/>
      </w:r>
      <w:r>
        <w:rPr>
          <w:rFonts w:hint="eastAsia" w:ascii="宋体" w:hAnsi="宋体" w:cs="宋体"/>
          <w:b/>
          <w:bCs/>
          <w:color w:val="auto"/>
          <w:sz w:val="28"/>
          <w:szCs w:val="28"/>
          <w:u w:val="single"/>
        </w:rPr>
        <w:t xml:space="preserve">       </w:t>
      </w:r>
      <w:r>
        <w:rPr>
          <w:rFonts w:hint="eastAsia" w:ascii="宋体" w:hAnsi="宋体" w:cs="宋体"/>
          <w:b/>
          <w:bCs/>
          <w:color w:val="auto"/>
          <w:sz w:val="28"/>
          <w:szCs w:val="28"/>
        </w:rPr>
        <w:t>（电子签章）</w:t>
      </w:r>
    </w:p>
    <w:p w14:paraId="378D9A67">
      <w:pPr>
        <w:spacing w:line="480" w:lineRule="auto"/>
        <w:jc w:val="center"/>
        <w:rPr>
          <w:rFonts w:ascii="宋体" w:hAnsi="宋体" w:cs="宋体"/>
          <w:b/>
          <w:bCs/>
          <w:color w:val="auto"/>
          <w:sz w:val="28"/>
          <w:szCs w:val="28"/>
        </w:rPr>
      </w:pPr>
      <w:r>
        <w:rPr>
          <w:rFonts w:hint="eastAsia" w:ascii="宋体" w:hAnsi="宋体" w:cs="宋体"/>
          <w:b/>
          <w:bCs/>
          <w:color w:val="auto"/>
          <w:spacing w:val="-15"/>
          <w:sz w:val="28"/>
          <w:szCs w:val="28"/>
        </w:rPr>
        <w:t xml:space="preserve"> </w:t>
      </w:r>
      <w:r>
        <w:rPr>
          <w:rFonts w:hint="eastAsia" w:ascii="宋体" w:hAnsi="宋体" w:cs="宋体"/>
          <w:b/>
          <w:bCs/>
          <w:color w:val="auto"/>
          <w:sz w:val="28"/>
          <w:szCs w:val="28"/>
        </w:rPr>
        <w:t>日</w:t>
      </w:r>
      <w:r>
        <w:rPr>
          <w:rFonts w:hint="eastAsia" w:ascii="宋体" w:hAnsi="宋体" w:cs="宋体"/>
          <w:b/>
          <w:bCs/>
          <w:color w:val="auto"/>
          <w:sz w:val="28"/>
          <w:szCs w:val="28"/>
        </w:rPr>
        <w:tab/>
      </w:r>
      <w:r>
        <w:rPr>
          <w:rFonts w:hint="eastAsia" w:ascii="宋体" w:hAnsi="宋体" w:cs="宋体"/>
          <w:b/>
          <w:bCs/>
          <w:color w:val="auto"/>
          <w:sz w:val="28"/>
          <w:szCs w:val="28"/>
        </w:rPr>
        <w:t>期：</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rPr>
        <w:tab/>
      </w:r>
      <w:r>
        <w:rPr>
          <w:rFonts w:hint="eastAsia" w:ascii="宋体" w:hAnsi="宋体" w:cs="宋体"/>
          <w:b/>
          <w:bCs/>
          <w:color w:val="auto"/>
          <w:sz w:val="28"/>
          <w:szCs w:val="28"/>
          <w:u w:val="single"/>
        </w:rPr>
        <w:t xml:space="preserve">    </w:t>
      </w:r>
      <w:r>
        <w:rPr>
          <w:rFonts w:hint="eastAsia" w:ascii="宋体" w:hAnsi="宋体" w:cs="宋体"/>
          <w:b/>
          <w:bCs/>
          <w:color w:val="auto"/>
          <w:sz w:val="28"/>
          <w:szCs w:val="28"/>
        </w:rPr>
        <w:t>年</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rPr>
        <w:tab/>
      </w:r>
      <w:r>
        <w:rPr>
          <w:rFonts w:hint="eastAsia" w:ascii="宋体" w:hAnsi="宋体" w:cs="宋体"/>
          <w:b/>
          <w:bCs/>
          <w:color w:val="auto"/>
          <w:spacing w:val="-3"/>
          <w:sz w:val="28"/>
          <w:szCs w:val="28"/>
        </w:rPr>
        <w:t>月</w:t>
      </w:r>
      <w:r>
        <w:rPr>
          <w:rFonts w:hint="eastAsia" w:ascii="宋体" w:hAnsi="宋体" w:cs="宋体"/>
          <w:b/>
          <w:bCs/>
          <w:color w:val="auto"/>
          <w:spacing w:val="-3"/>
          <w:sz w:val="28"/>
          <w:szCs w:val="28"/>
          <w:u w:val="single"/>
        </w:rPr>
        <w:t xml:space="preserve">     </w:t>
      </w:r>
      <w:r>
        <w:rPr>
          <w:rFonts w:hint="eastAsia" w:ascii="宋体" w:hAnsi="宋体" w:cs="宋体"/>
          <w:b/>
          <w:bCs/>
          <w:color w:val="auto"/>
          <w:sz w:val="28"/>
          <w:szCs w:val="28"/>
        </w:rPr>
        <w:t>日</w:t>
      </w:r>
    </w:p>
    <w:p w14:paraId="58B976A5">
      <w:pPr>
        <w:rPr>
          <w:rFonts w:ascii="宋体" w:hAnsi="宋体" w:cs="宋体"/>
          <w:color w:val="auto"/>
          <w:sz w:val="36"/>
          <w:szCs w:val="36"/>
        </w:rPr>
      </w:pPr>
    </w:p>
    <w:p w14:paraId="3585372D">
      <w:pPr>
        <w:jc w:val="center"/>
        <w:rPr>
          <w:rFonts w:ascii="宋体" w:hAnsi="宋体" w:cs="宋体"/>
          <w:color w:val="auto"/>
          <w:sz w:val="36"/>
          <w:szCs w:val="36"/>
        </w:rPr>
      </w:pPr>
    </w:p>
    <w:p w14:paraId="70EEF2B2">
      <w:pPr>
        <w:jc w:val="center"/>
        <w:rPr>
          <w:rFonts w:ascii="宋体" w:hAnsi="宋体" w:cs="宋体"/>
          <w:color w:val="auto"/>
          <w:sz w:val="36"/>
          <w:szCs w:val="36"/>
        </w:rPr>
      </w:pPr>
    </w:p>
    <w:p w14:paraId="6D500B6A">
      <w:pPr>
        <w:pStyle w:val="3"/>
        <w:rPr>
          <w:rFonts w:ascii="宋体" w:hAnsi="宋体" w:cs="宋体"/>
          <w:color w:val="auto"/>
          <w:sz w:val="36"/>
          <w:szCs w:val="36"/>
        </w:rPr>
      </w:pPr>
    </w:p>
    <w:p w14:paraId="2D8AE268">
      <w:pPr>
        <w:rPr>
          <w:rFonts w:ascii="宋体" w:hAnsi="宋体" w:cs="宋体"/>
          <w:color w:val="auto"/>
          <w:sz w:val="36"/>
          <w:szCs w:val="36"/>
        </w:rPr>
      </w:pPr>
    </w:p>
    <w:p w14:paraId="420A83C0">
      <w:pPr>
        <w:pStyle w:val="3"/>
        <w:rPr>
          <w:color w:val="auto"/>
        </w:rPr>
      </w:pPr>
    </w:p>
    <w:p w14:paraId="19BBC4D8">
      <w:pPr>
        <w:jc w:val="center"/>
        <w:rPr>
          <w:rFonts w:ascii="宋体" w:hAnsi="宋体" w:cs="宋体"/>
          <w:b/>
          <w:bCs/>
          <w:color w:val="auto"/>
          <w:sz w:val="36"/>
          <w:szCs w:val="36"/>
        </w:rPr>
      </w:pPr>
      <w:r>
        <w:rPr>
          <w:rFonts w:hint="eastAsia" w:ascii="宋体" w:hAnsi="宋体" w:cs="宋体"/>
          <w:b/>
          <w:bCs/>
          <w:color w:val="auto"/>
          <w:sz w:val="36"/>
          <w:szCs w:val="36"/>
        </w:rPr>
        <w:t>目    录</w:t>
      </w:r>
    </w:p>
    <w:p w14:paraId="5AE41485">
      <w:pPr>
        <w:rPr>
          <w:rFonts w:ascii="宋体" w:hAnsi="宋体" w:cs="宋体"/>
          <w:color w:val="auto"/>
          <w:sz w:val="36"/>
          <w:szCs w:val="36"/>
        </w:rPr>
      </w:pPr>
    </w:p>
    <w:p w14:paraId="2098A547">
      <w:pPr>
        <w:snapToGrid w:val="0"/>
        <w:spacing w:line="360" w:lineRule="auto"/>
        <w:ind w:firstLine="1287" w:firstLineChars="550"/>
        <w:rPr>
          <w:rFonts w:ascii="宋体" w:hAnsi="宋体" w:cs="宋体"/>
          <w:color w:val="auto"/>
          <w:spacing w:val="-3"/>
          <w:sz w:val="24"/>
        </w:rPr>
      </w:pPr>
      <w:r>
        <w:rPr>
          <w:rFonts w:hint="eastAsia" w:ascii="宋体" w:hAnsi="宋体" w:cs="宋体"/>
          <w:color w:val="auto"/>
          <w:spacing w:val="-3"/>
          <w:sz w:val="24"/>
        </w:rPr>
        <w:t>（1）投标函</w:t>
      </w:r>
    </w:p>
    <w:p w14:paraId="61267195">
      <w:pPr>
        <w:snapToGrid w:val="0"/>
        <w:spacing w:line="360" w:lineRule="auto"/>
        <w:ind w:firstLine="1287" w:firstLineChars="550"/>
        <w:rPr>
          <w:rFonts w:ascii="宋体" w:hAnsi="宋体" w:cs="宋体"/>
          <w:color w:val="auto"/>
          <w:spacing w:val="-3"/>
          <w:sz w:val="24"/>
        </w:rPr>
      </w:pPr>
      <w:r>
        <w:rPr>
          <w:rFonts w:hint="eastAsia" w:ascii="宋体" w:hAnsi="宋体" w:cs="宋体"/>
          <w:color w:val="auto"/>
          <w:spacing w:val="-3"/>
          <w:sz w:val="24"/>
        </w:rPr>
        <w:t>（2）开标一览表</w:t>
      </w:r>
    </w:p>
    <w:p w14:paraId="2C3CED18">
      <w:pPr>
        <w:snapToGrid w:val="0"/>
        <w:spacing w:line="360" w:lineRule="auto"/>
        <w:ind w:firstLine="1287" w:firstLineChars="550"/>
        <w:rPr>
          <w:rFonts w:ascii="宋体" w:hAnsi="宋体" w:cs="宋体"/>
          <w:color w:val="auto"/>
          <w:spacing w:val="-3"/>
          <w:sz w:val="24"/>
        </w:rPr>
      </w:pPr>
      <w:r>
        <w:rPr>
          <w:rFonts w:hint="eastAsia" w:ascii="宋体" w:hAnsi="宋体" w:cs="宋体"/>
          <w:color w:val="auto"/>
          <w:spacing w:val="-3"/>
          <w:sz w:val="24"/>
        </w:rPr>
        <w:t>（3）法定代表人身份证明及授权委托书</w:t>
      </w:r>
    </w:p>
    <w:p w14:paraId="69347458">
      <w:pPr>
        <w:snapToGrid w:val="0"/>
        <w:spacing w:line="360" w:lineRule="auto"/>
        <w:ind w:firstLine="1287" w:firstLineChars="550"/>
        <w:rPr>
          <w:rFonts w:ascii="宋体" w:hAnsi="宋体" w:cs="宋体"/>
          <w:color w:val="auto"/>
          <w:spacing w:val="-3"/>
          <w:sz w:val="24"/>
        </w:rPr>
      </w:pPr>
      <w:r>
        <w:rPr>
          <w:rFonts w:hint="eastAsia" w:ascii="宋体" w:hAnsi="宋体" w:cs="宋体"/>
          <w:color w:val="auto"/>
          <w:spacing w:val="-3"/>
          <w:sz w:val="24"/>
        </w:rPr>
        <w:t>（4）投标分项报价表</w:t>
      </w:r>
    </w:p>
    <w:p w14:paraId="1DB136A1">
      <w:pPr>
        <w:snapToGrid w:val="0"/>
        <w:spacing w:line="360" w:lineRule="auto"/>
        <w:ind w:firstLine="1287" w:firstLineChars="550"/>
        <w:rPr>
          <w:rFonts w:ascii="宋体" w:hAnsi="宋体" w:cs="宋体"/>
          <w:color w:val="auto"/>
          <w:spacing w:val="-3"/>
          <w:sz w:val="24"/>
        </w:rPr>
      </w:pPr>
      <w:r>
        <w:rPr>
          <w:rFonts w:hint="eastAsia" w:ascii="宋体" w:hAnsi="宋体" w:cs="宋体"/>
          <w:color w:val="auto"/>
          <w:spacing w:val="-3"/>
          <w:sz w:val="24"/>
        </w:rPr>
        <w:t>（5）技术参数偏离表</w:t>
      </w:r>
    </w:p>
    <w:p w14:paraId="1A753418">
      <w:pPr>
        <w:snapToGrid w:val="0"/>
        <w:spacing w:line="360" w:lineRule="auto"/>
        <w:ind w:firstLine="1287" w:firstLineChars="550"/>
        <w:rPr>
          <w:rFonts w:ascii="宋体" w:hAnsi="宋体" w:cs="宋体"/>
          <w:color w:val="auto"/>
          <w:spacing w:val="-3"/>
          <w:sz w:val="24"/>
        </w:rPr>
      </w:pPr>
      <w:r>
        <w:rPr>
          <w:rFonts w:hint="eastAsia" w:ascii="宋体" w:hAnsi="宋体" w:cs="宋体"/>
          <w:color w:val="auto"/>
          <w:spacing w:val="-3"/>
          <w:sz w:val="24"/>
        </w:rPr>
        <w:t>（6）类似业绩一览表</w:t>
      </w:r>
    </w:p>
    <w:p w14:paraId="48943A82">
      <w:pPr>
        <w:snapToGrid w:val="0"/>
        <w:spacing w:line="360" w:lineRule="auto"/>
        <w:ind w:firstLine="1287" w:firstLineChars="550"/>
        <w:rPr>
          <w:rFonts w:ascii="宋体" w:hAnsi="宋体" w:cs="宋体"/>
          <w:color w:val="auto"/>
          <w:spacing w:val="-3"/>
          <w:sz w:val="24"/>
        </w:rPr>
      </w:pPr>
      <w:r>
        <w:rPr>
          <w:rFonts w:hint="eastAsia" w:ascii="宋体" w:hAnsi="宋体" w:cs="宋体"/>
          <w:color w:val="auto"/>
          <w:spacing w:val="-3"/>
          <w:sz w:val="24"/>
        </w:rPr>
        <w:t>（7）技术方案</w:t>
      </w:r>
    </w:p>
    <w:p w14:paraId="04EAE589">
      <w:pPr>
        <w:snapToGrid w:val="0"/>
        <w:spacing w:line="360" w:lineRule="auto"/>
        <w:ind w:firstLine="1287" w:firstLineChars="550"/>
        <w:rPr>
          <w:rFonts w:ascii="宋体" w:hAnsi="宋体" w:cs="宋体"/>
          <w:color w:val="auto"/>
          <w:spacing w:val="-3"/>
          <w:sz w:val="24"/>
        </w:rPr>
      </w:pPr>
      <w:r>
        <w:rPr>
          <w:rFonts w:hint="eastAsia" w:ascii="宋体" w:hAnsi="宋体" w:cs="宋体"/>
          <w:color w:val="auto"/>
          <w:spacing w:val="-3"/>
          <w:sz w:val="24"/>
        </w:rPr>
        <w:t>（8）资格审查资料</w:t>
      </w:r>
    </w:p>
    <w:p w14:paraId="2011F81B">
      <w:pPr>
        <w:snapToGrid w:val="0"/>
        <w:spacing w:line="360" w:lineRule="auto"/>
        <w:ind w:firstLine="1287" w:firstLineChars="550"/>
        <w:rPr>
          <w:rFonts w:ascii="宋体" w:hAnsi="宋体" w:cs="宋体"/>
          <w:color w:val="auto"/>
          <w:spacing w:val="-3"/>
          <w:sz w:val="24"/>
        </w:rPr>
      </w:pPr>
      <w:r>
        <w:rPr>
          <w:rFonts w:hint="eastAsia" w:ascii="宋体" w:hAnsi="宋体" w:cs="宋体"/>
          <w:color w:val="auto"/>
          <w:spacing w:val="-3"/>
          <w:sz w:val="24"/>
        </w:rPr>
        <w:t>（9）其它资料</w:t>
      </w:r>
    </w:p>
    <w:p w14:paraId="5B78E827">
      <w:pPr>
        <w:pStyle w:val="14"/>
        <w:ind w:left="860" w:hanging="440"/>
        <w:rPr>
          <w:color w:val="auto"/>
        </w:rPr>
      </w:pPr>
    </w:p>
    <w:p w14:paraId="0032DF8A">
      <w:pPr>
        <w:pStyle w:val="55"/>
        <w:tabs>
          <w:tab w:val="left" w:pos="1335"/>
        </w:tabs>
        <w:spacing w:before="131" w:line="360" w:lineRule="auto"/>
        <w:ind w:left="0" w:firstLine="0"/>
        <w:rPr>
          <w:color w:val="auto"/>
          <w:spacing w:val="-3"/>
          <w:sz w:val="21"/>
          <w:szCs w:val="21"/>
          <w:lang w:val="en-US"/>
        </w:rPr>
      </w:pPr>
    </w:p>
    <w:p w14:paraId="3D155F1F">
      <w:pPr>
        <w:spacing w:line="360" w:lineRule="auto"/>
        <w:ind w:firstLine="560" w:firstLineChars="200"/>
        <w:rPr>
          <w:rFonts w:ascii="宋体" w:hAnsi="宋体" w:cs="宋体"/>
          <w:color w:val="auto"/>
          <w:sz w:val="28"/>
          <w:szCs w:val="28"/>
        </w:rPr>
      </w:pPr>
    </w:p>
    <w:p w14:paraId="75419B49">
      <w:pPr>
        <w:pStyle w:val="39"/>
        <w:ind w:firstLine="600"/>
        <w:rPr>
          <w:rFonts w:ascii="宋体" w:hAnsi="宋体" w:cs="宋体"/>
          <w:color w:val="auto"/>
          <w:sz w:val="28"/>
          <w:szCs w:val="28"/>
        </w:rPr>
      </w:pPr>
    </w:p>
    <w:p w14:paraId="6E09CC92">
      <w:pPr>
        <w:pStyle w:val="39"/>
        <w:ind w:firstLine="600"/>
        <w:rPr>
          <w:rFonts w:ascii="宋体" w:hAnsi="宋体" w:cs="宋体"/>
          <w:color w:val="auto"/>
          <w:sz w:val="28"/>
          <w:szCs w:val="28"/>
        </w:rPr>
      </w:pPr>
    </w:p>
    <w:p w14:paraId="14FA7AB0">
      <w:pPr>
        <w:spacing w:line="440" w:lineRule="exact"/>
        <w:rPr>
          <w:rFonts w:ascii="宋体" w:hAnsi="宋体" w:cs="宋体"/>
          <w:color w:val="auto"/>
          <w:sz w:val="30"/>
          <w:szCs w:val="30"/>
        </w:rPr>
      </w:pPr>
    </w:p>
    <w:p w14:paraId="40125C70">
      <w:pPr>
        <w:pStyle w:val="24"/>
        <w:ind w:firstLine="300"/>
        <w:rPr>
          <w:rFonts w:ascii="宋体" w:hAnsi="宋体"/>
          <w:color w:val="auto"/>
          <w:sz w:val="30"/>
          <w:szCs w:val="30"/>
        </w:rPr>
      </w:pPr>
    </w:p>
    <w:p w14:paraId="497759BC">
      <w:pPr>
        <w:pStyle w:val="24"/>
        <w:ind w:firstLine="300"/>
        <w:rPr>
          <w:rFonts w:ascii="宋体" w:hAnsi="宋体"/>
          <w:color w:val="auto"/>
          <w:sz w:val="30"/>
          <w:szCs w:val="30"/>
        </w:rPr>
      </w:pPr>
    </w:p>
    <w:p w14:paraId="316D058E">
      <w:pPr>
        <w:pStyle w:val="24"/>
        <w:ind w:firstLine="300"/>
        <w:rPr>
          <w:rFonts w:ascii="宋体" w:hAnsi="宋体"/>
          <w:color w:val="auto"/>
          <w:sz w:val="30"/>
          <w:szCs w:val="30"/>
        </w:rPr>
      </w:pPr>
    </w:p>
    <w:p w14:paraId="4AFB623F">
      <w:pPr>
        <w:pStyle w:val="24"/>
        <w:ind w:firstLine="300"/>
        <w:rPr>
          <w:rFonts w:ascii="宋体" w:hAnsi="宋体"/>
          <w:color w:val="auto"/>
          <w:sz w:val="30"/>
          <w:szCs w:val="30"/>
        </w:rPr>
      </w:pPr>
    </w:p>
    <w:p w14:paraId="2EFE380B">
      <w:pPr>
        <w:pStyle w:val="25"/>
        <w:ind w:firstLine="440"/>
        <w:rPr>
          <w:color w:val="auto"/>
        </w:rPr>
      </w:pPr>
    </w:p>
    <w:p w14:paraId="7068FF16">
      <w:pPr>
        <w:rPr>
          <w:rFonts w:ascii="宋体" w:hAnsi="宋体" w:cs="宋体"/>
          <w:color w:val="auto"/>
          <w:sz w:val="30"/>
          <w:szCs w:val="30"/>
        </w:rPr>
      </w:pPr>
    </w:p>
    <w:p w14:paraId="397F52D5">
      <w:pPr>
        <w:pStyle w:val="54"/>
        <w:rPr>
          <w:color w:val="auto"/>
        </w:rPr>
      </w:pPr>
    </w:p>
    <w:p w14:paraId="1F5083C8">
      <w:pPr>
        <w:pStyle w:val="24"/>
        <w:ind w:firstLine="300"/>
        <w:rPr>
          <w:rFonts w:ascii="宋体" w:hAnsi="宋体"/>
          <w:color w:val="auto"/>
          <w:sz w:val="30"/>
          <w:szCs w:val="30"/>
        </w:rPr>
      </w:pPr>
    </w:p>
    <w:p w14:paraId="352951F9">
      <w:pPr>
        <w:pStyle w:val="25"/>
        <w:ind w:left="0" w:leftChars="0" w:firstLine="0" w:firstLineChars="0"/>
        <w:rPr>
          <w:color w:val="auto"/>
        </w:rPr>
      </w:pPr>
    </w:p>
    <w:p w14:paraId="09977A8D">
      <w:pPr>
        <w:pStyle w:val="7"/>
        <w:rPr>
          <w:color w:val="auto"/>
        </w:rPr>
      </w:pPr>
    </w:p>
    <w:p w14:paraId="32D6C938">
      <w:pPr>
        <w:rPr>
          <w:rFonts w:ascii="宋体" w:hAnsi="宋体" w:cs="宋体"/>
          <w:color w:val="auto"/>
        </w:rPr>
      </w:pPr>
    </w:p>
    <w:p w14:paraId="5ABEC820">
      <w:pPr>
        <w:jc w:val="center"/>
        <w:rPr>
          <w:rFonts w:ascii="宋体" w:hAnsi="宋体" w:cs="宋体"/>
          <w:b/>
          <w:color w:val="auto"/>
          <w:sz w:val="32"/>
          <w:szCs w:val="32"/>
        </w:rPr>
      </w:pPr>
      <w:r>
        <w:rPr>
          <w:rFonts w:hint="eastAsia" w:ascii="宋体" w:hAnsi="宋体" w:cs="宋体"/>
          <w:b/>
          <w:color w:val="auto"/>
          <w:sz w:val="32"/>
          <w:szCs w:val="32"/>
        </w:rPr>
        <w:t>一、投标函</w:t>
      </w:r>
    </w:p>
    <w:p w14:paraId="6ECA7F75">
      <w:pPr>
        <w:pStyle w:val="24"/>
        <w:ind w:left="210" w:leftChars="100" w:firstLine="0" w:firstLineChars="0"/>
        <w:rPr>
          <w:rFonts w:ascii="宋体" w:hAnsi="宋体"/>
          <w:color w:val="auto"/>
        </w:rPr>
      </w:pPr>
    </w:p>
    <w:p w14:paraId="66816C19">
      <w:pPr>
        <w:spacing w:line="360" w:lineRule="auto"/>
        <w:rPr>
          <w:rFonts w:ascii="宋体" w:hAnsi="宋体" w:cs="宋体"/>
          <w:color w:val="auto"/>
          <w:sz w:val="24"/>
          <w:u w:val="single"/>
        </w:rPr>
      </w:pPr>
      <w:bookmarkStart w:id="34" w:name="_Toc9094"/>
      <w:bookmarkStart w:id="35" w:name="_Toc865"/>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（采购人）</w:t>
      </w:r>
    </w:p>
    <w:p w14:paraId="3CCB1826">
      <w:pPr>
        <w:spacing w:line="360" w:lineRule="auto"/>
        <w:ind w:firstLine="480"/>
        <w:rPr>
          <w:rFonts w:ascii="宋体" w:hAnsi="宋体" w:cs="宋体"/>
          <w:color w:val="auto"/>
          <w:sz w:val="24"/>
        </w:rPr>
      </w:pPr>
      <w:r>
        <w:rPr>
          <w:rFonts w:hint="eastAsia" w:ascii="宋体" w:hAnsi="宋体" w:cs="宋体"/>
          <w:color w:val="auto"/>
          <w:sz w:val="24"/>
        </w:rPr>
        <w:t>我们收到了你们关于</w:t>
      </w:r>
      <w:r>
        <w:rPr>
          <w:rFonts w:hint="eastAsia" w:ascii="宋体" w:hAnsi="宋体" w:cs="宋体"/>
          <w:color w:val="auto"/>
          <w:sz w:val="24"/>
          <w:u w:val="single"/>
        </w:rPr>
        <w:t xml:space="preserve">                      （项目名称）  </w:t>
      </w:r>
      <w:r>
        <w:rPr>
          <w:rFonts w:hint="eastAsia" w:ascii="宋体" w:hAnsi="宋体" w:cs="宋体"/>
          <w:color w:val="auto"/>
          <w:sz w:val="24"/>
        </w:rPr>
        <w:t>的招标文件，经正式授权</w:t>
      </w:r>
      <w:r>
        <w:rPr>
          <w:rFonts w:hint="eastAsia" w:ascii="宋体" w:hAnsi="宋体" w:cs="宋体"/>
          <w:color w:val="auto"/>
          <w:sz w:val="24"/>
          <w:u w:val="single"/>
        </w:rPr>
        <w:t xml:space="preserve">      （授权代表全名）  </w:t>
      </w:r>
      <w:r>
        <w:rPr>
          <w:rFonts w:hint="eastAsia" w:ascii="宋体" w:hAnsi="宋体" w:cs="宋体"/>
          <w:color w:val="auto"/>
          <w:sz w:val="24"/>
        </w:rPr>
        <w:t>签字代理并代表投标人</w:t>
      </w:r>
      <w:r>
        <w:rPr>
          <w:rFonts w:hint="eastAsia" w:ascii="宋体" w:hAnsi="宋体" w:cs="宋体"/>
          <w:color w:val="auto"/>
          <w:sz w:val="24"/>
          <w:u w:val="single"/>
        </w:rPr>
        <w:t xml:space="preserve">    （供应商名称）</w:t>
      </w:r>
      <w:r>
        <w:rPr>
          <w:rFonts w:hint="eastAsia" w:ascii="宋体" w:hAnsi="宋体" w:cs="宋体"/>
          <w:color w:val="auto"/>
          <w:sz w:val="24"/>
        </w:rPr>
        <w:t>负责本次投标活动及处理相关事宜。</w:t>
      </w:r>
    </w:p>
    <w:p w14:paraId="62C35AF8">
      <w:pPr>
        <w:spacing w:line="360" w:lineRule="auto"/>
        <w:ind w:left="480"/>
        <w:rPr>
          <w:rFonts w:ascii="宋体" w:hAnsi="宋体" w:cs="宋体"/>
          <w:color w:val="auto"/>
          <w:sz w:val="24"/>
        </w:rPr>
      </w:pPr>
      <w:r>
        <w:rPr>
          <w:rFonts w:hint="eastAsia" w:ascii="宋体" w:hAnsi="宋体" w:cs="宋体"/>
          <w:color w:val="auto"/>
          <w:sz w:val="24"/>
        </w:rPr>
        <w:t>据此函，签字人宣布同意如下：</w:t>
      </w:r>
    </w:p>
    <w:p w14:paraId="09AA85C8">
      <w:pPr>
        <w:numPr>
          <w:ilvl w:val="0"/>
          <w:numId w:val="14"/>
        </w:numPr>
        <w:tabs>
          <w:tab w:val="left" w:pos="425"/>
        </w:tabs>
        <w:autoSpaceDE w:val="0"/>
        <w:autoSpaceDN w:val="0"/>
        <w:spacing w:line="360" w:lineRule="auto"/>
        <w:ind w:firstLine="480" w:firstLineChars="200"/>
        <w:jc w:val="left"/>
        <w:rPr>
          <w:rFonts w:ascii="宋体" w:hAnsi="宋体" w:cs="宋体"/>
          <w:color w:val="auto"/>
          <w:sz w:val="24"/>
        </w:rPr>
      </w:pPr>
      <w:r>
        <w:rPr>
          <w:rFonts w:hint="eastAsia" w:ascii="宋体" w:hAnsi="宋体" w:cs="宋体"/>
          <w:color w:val="auto"/>
          <w:sz w:val="24"/>
        </w:rPr>
        <w:t>愿意按照招标文件中的条款和要求，所附投标价格表中规定的应提交和交付的货物投标总报价</w:t>
      </w:r>
      <w:r>
        <w:rPr>
          <w:rFonts w:hint="eastAsia" w:ascii="宋体" w:hAnsi="宋体" w:cs="宋体"/>
          <w:color w:val="auto"/>
          <w:sz w:val="24"/>
          <w:u w:val="single"/>
        </w:rPr>
        <w:t xml:space="preserve">       （大写）</w:t>
      </w:r>
      <w:r>
        <w:rPr>
          <w:rFonts w:hint="eastAsia" w:ascii="宋体" w:hAnsi="宋体" w:cs="宋体"/>
          <w:color w:val="auto"/>
          <w:sz w:val="24"/>
        </w:rPr>
        <w:t>人民币，</w:t>
      </w:r>
      <w:r>
        <w:rPr>
          <w:rFonts w:hint="eastAsia" w:ascii="宋体" w:hAnsi="宋体" w:cs="宋体"/>
          <w:color w:val="auto"/>
          <w:sz w:val="24"/>
          <w:u w:val="single"/>
        </w:rPr>
        <w:t xml:space="preserve">        （小写）元</w:t>
      </w:r>
      <w:r>
        <w:rPr>
          <w:rFonts w:hint="eastAsia" w:ascii="宋体" w:hAnsi="宋体" w:cs="宋体"/>
          <w:color w:val="auto"/>
          <w:sz w:val="24"/>
        </w:rPr>
        <w:t>人民币。</w:t>
      </w:r>
    </w:p>
    <w:p w14:paraId="1C7EF2C4">
      <w:pPr>
        <w:tabs>
          <w:tab w:val="left" w:pos="0"/>
        </w:tabs>
        <w:spacing w:line="360" w:lineRule="auto"/>
        <w:ind w:firstLine="420" w:firstLineChars="175"/>
        <w:rPr>
          <w:rFonts w:ascii="宋体" w:hAnsi="宋体" w:cs="宋体"/>
          <w:color w:val="auto"/>
          <w:sz w:val="24"/>
        </w:rPr>
      </w:pPr>
      <w:r>
        <w:rPr>
          <w:rFonts w:hint="eastAsia" w:ascii="宋体" w:hAnsi="宋体" w:cs="宋体"/>
          <w:color w:val="auto"/>
          <w:sz w:val="24"/>
        </w:rPr>
        <w:t>2.我方已详细审查全部招标文件，包括修改文件（如有的话）以及全部参考资料和有关附件。我们完全理解并同意放弃对这方面有不明及误解的权利；</w:t>
      </w:r>
    </w:p>
    <w:p w14:paraId="6CD6BFBA">
      <w:pPr>
        <w:tabs>
          <w:tab w:val="left" w:pos="0"/>
        </w:tabs>
        <w:spacing w:line="360" w:lineRule="auto"/>
        <w:ind w:firstLine="420" w:firstLineChars="175"/>
        <w:rPr>
          <w:rFonts w:ascii="宋体" w:hAnsi="宋体" w:cs="宋体"/>
          <w:color w:val="auto"/>
          <w:sz w:val="24"/>
        </w:rPr>
      </w:pPr>
      <w:r>
        <w:rPr>
          <w:rFonts w:hint="eastAsia" w:ascii="宋体" w:hAnsi="宋体" w:cs="宋体"/>
          <w:color w:val="auto"/>
          <w:sz w:val="24"/>
        </w:rPr>
        <w:t>3.我方同意提供按照贵单位可能要求的与其投标有关的一切数据或资料，并愿承担因材料不实而致的一切后果；完全理解贵单位不一定接受最低价的投标；</w:t>
      </w:r>
    </w:p>
    <w:p w14:paraId="1DBA7027">
      <w:pPr>
        <w:tabs>
          <w:tab w:val="left" w:pos="0"/>
        </w:tabs>
        <w:spacing w:line="360" w:lineRule="auto"/>
        <w:ind w:firstLine="420" w:firstLineChars="175"/>
        <w:rPr>
          <w:rFonts w:ascii="宋体" w:hAnsi="宋体" w:cs="宋体"/>
          <w:color w:val="auto"/>
          <w:sz w:val="24"/>
        </w:rPr>
      </w:pPr>
      <w:r>
        <w:rPr>
          <w:rFonts w:hint="eastAsia" w:ascii="宋体" w:hAnsi="宋体" w:cs="宋体"/>
          <w:color w:val="auto"/>
          <w:sz w:val="24"/>
        </w:rPr>
        <w:t xml:space="preserve">4.如果我方中标，愿按照规定向招标代理机构支付招标代理服务费。  </w:t>
      </w:r>
    </w:p>
    <w:p w14:paraId="4CC655FA">
      <w:pPr>
        <w:tabs>
          <w:tab w:val="left" w:pos="0"/>
        </w:tabs>
        <w:spacing w:line="360" w:lineRule="auto"/>
        <w:ind w:firstLine="420" w:firstLineChars="175"/>
        <w:rPr>
          <w:rFonts w:ascii="宋体" w:hAnsi="宋体" w:cs="宋体"/>
          <w:color w:val="auto"/>
          <w:sz w:val="24"/>
        </w:rPr>
      </w:pPr>
      <w:r>
        <w:rPr>
          <w:rFonts w:hint="eastAsia" w:ascii="宋体" w:hAnsi="宋体" w:cs="宋体"/>
          <w:color w:val="auto"/>
          <w:sz w:val="24"/>
        </w:rPr>
        <w:t>5. 我们愿按《中华人民共和国合同法》履行自己的全部责任。</w:t>
      </w:r>
    </w:p>
    <w:p w14:paraId="753E0381">
      <w:pPr>
        <w:pStyle w:val="17"/>
        <w:rPr>
          <w:color w:val="auto"/>
          <w:sz w:val="24"/>
        </w:rPr>
      </w:pPr>
    </w:p>
    <w:p w14:paraId="47CE8B5D">
      <w:pPr>
        <w:pStyle w:val="17"/>
        <w:ind w:firstLine="0"/>
        <w:rPr>
          <w:color w:val="auto"/>
          <w:sz w:val="24"/>
        </w:rPr>
      </w:pPr>
    </w:p>
    <w:p w14:paraId="546814A5">
      <w:pPr>
        <w:pStyle w:val="17"/>
        <w:ind w:firstLine="0"/>
        <w:rPr>
          <w:color w:val="auto"/>
          <w:sz w:val="24"/>
        </w:rPr>
      </w:pPr>
    </w:p>
    <w:p w14:paraId="75524195">
      <w:pPr>
        <w:pStyle w:val="17"/>
        <w:ind w:firstLine="0"/>
        <w:rPr>
          <w:color w:val="auto"/>
          <w:sz w:val="24"/>
        </w:rPr>
      </w:pPr>
    </w:p>
    <w:p w14:paraId="22F6D4D6">
      <w:pPr>
        <w:pStyle w:val="17"/>
        <w:rPr>
          <w:color w:val="auto"/>
          <w:sz w:val="24"/>
        </w:rPr>
      </w:pPr>
    </w:p>
    <w:p w14:paraId="5A727408">
      <w:pPr>
        <w:pStyle w:val="17"/>
        <w:rPr>
          <w:color w:val="auto"/>
          <w:sz w:val="24"/>
        </w:rPr>
      </w:pPr>
    </w:p>
    <w:p w14:paraId="08D2B7C5">
      <w:pPr>
        <w:pStyle w:val="17"/>
        <w:rPr>
          <w:color w:val="auto"/>
          <w:sz w:val="24"/>
        </w:rPr>
      </w:pPr>
    </w:p>
    <w:p w14:paraId="43292F33">
      <w:pPr>
        <w:pStyle w:val="17"/>
        <w:rPr>
          <w:color w:val="auto"/>
          <w:sz w:val="24"/>
        </w:rPr>
      </w:pPr>
    </w:p>
    <w:p w14:paraId="5CB8C14D">
      <w:pPr>
        <w:jc w:val="center"/>
        <w:rPr>
          <w:rFonts w:ascii="宋体" w:hAnsi="宋体" w:cs="宋体"/>
          <w:color w:val="auto"/>
          <w:sz w:val="24"/>
        </w:rPr>
      </w:pPr>
      <w:r>
        <w:rPr>
          <w:rFonts w:hint="eastAsia" w:ascii="宋体" w:hAnsi="宋体" w:cs="宋体"/>
          <w:color w:val="auto"/>
          <w:sz w:val="24"/>
        </w:rPr>
        <w:t xml:space="preserve">         供应商名称：</w:t>
      </w:r>
      <w:r>
        <w:rPr>
          <w:rFonts w:hint="eastAsia" w:ascii="宋体" w:hAnsi="宋体" w:cs="宋体"/>
          <w:color w:val="auto"/>
          <w:sz w:val="24"/>
          <w:u w:val="single"/>
        </w:rPr>
        <w:t xml:space="preserve">            （电子签章）   </w:t>
      </w:r>
      <w:r>
        <w:rPr>
          <w:rFonts w:hint="eastAsia" w:ascii="宋体" w:hAnsi="宋体" w:cs="宋体"/>
          <w:color w:val="auto"/>
          <w:sz w:val="24"/>
        </w:rPr>
        <w:t xml:space="preserve"> </w:t>
      </w:r>
    </w:p>
    <w:p w14:paraId="0D6CE8B8">
      <w:pPr>
        <w:jc w:val="center"/>
        <w:rPr>
          <w:rFonts w:ascii="宋体" w:hAnsi="宋体" w:cs="宋体"/>
          <w:color w:val="auto"/>
          <w:sz w:val="24"/>
        </w:rPr>
      </w:pPr>
    </w:p>
    <w:p w14:paraId="0FB399CF">
      <w:pPr>
        <w:jc w:val="center"/>
        <w:rPr>
          <w:rFonts w:ascii="宋体" w:hAnsi="宋体" w:cs="宋体"/>
          <w:color w:val="auto"/>
          <w:sz w:val="24"/>
        </w:rPr>
      </w:pPr>
      <w:r>
        <w:rPr>
          <w:rFonts w:hint="eastAsia" w:ascii="宋体" w:hAnsi="宋体" w:cs="宋体"/>
          <w:color w:val="auto"/>
          <w:sz w:val="24"/>
        </w:rPr>
        <w:t xml:space="preserve">            法定代表人或其委托代理人：</w:t>
      </w:r>
      <w:r>
        <w:rPr>
          <w:rFonts w:hint="eastAsia" w:ascii="宋体" w:hAnsi="宋体" w:cs="宋体"/>
          <w:color w:val="auto"/>
          <w:sz w:val="24"/>
          <w:u w:val="single"/>
        </w:rPr>
        <w:t xml:space="preserve">     （电子签章）</w:t>
      </w:r>
    </w:p>
    <w:p w14:paraId="63E00FCB">
      <w:pPr>
        <w:rPr>
          <w:rFonts w:ascii="宋体" w:hAnsi="宋体" w:cs="宋体"/>
          <w:color w:val="auto"/>
          <w:sz w:val="24"/>
        </w:rPr>
      </w:pPr>
      <w:r>
        <w:rPr>
          <w:rFonts w:hint="eastAsia" w:ascii="宋体" w:hAnsi="宋体" w:cs="宋体"/>
          <w:color w:val="auto"/>
          <w:sz w:val="24"/>
        </w:rPr>
        <w:t xml:space="preserve"> </w:t>
      </w:r>
    </w:p>
    <w:p w14:paraId="6B5D91FF">
      <w:pPr>
        <w:ind w:firstLine="2400" w:firstLineChars="1000"/>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14:paraId="70B32E9E">
      <w:pPr>
        <w:rPr>
          <w:rFonts w:ascii="宋体" w:hAnsi="宋体" w:cs="宋体"/>
          <w:b/>
          <w:color w:val="auto"/>
          <w:sz w:val="32"/>
        </w:rPr>
      </w:pPr>
    </w:p>
    <w:p w14:paraId="6A261DCE">
      <w:pPr>
        <w:pStyle w:val="39"/>
        <w:ind w:firstLine="683"/>
        <w:rPr>
          <w:rFonts w:ascii="宋体" w:hAnsi="宋体" w:cs="宋体"/>
          <w:b/>
          <w:color w:val="auto"/>
          <w:sz w:val="32"/>
        </w:rPr>
      </w:pPr>
    </w:p>
    <w:p w14:paraId="0BF41AD3">
      <w:pPr>
        <w:pStyle w:val="39"/>
        <w:ind w:firstLine="683"/>
        <w:rPr>
          <w:rFonts w:ascii="宋体" w:hAnsi="宋体" w:cs="宋体"/>
          <w:b/>
          <w:color w:val="auto"/>
          <w:sz w:val="32"/>
        </w:rPr>
      </w:pPr>
    </w:p>
    <w:p w14:paraId="12506468">
      <w:pPr>
        <w:pStyle w:val="39"/>
        <w:ind w:firstLine="683"/>
        <w:rPr>
          <w:rFonts w:ascii="宋体" w:hAnsi="宋体" w:cs="宋体"/>
          <w:b/>
          <w:color w:val="auto"/>
          <w:sz w:val="32"/>
        </w:rPr>
      </w:pPr>
    </w:p>
    <w:p w14:paraId="0C93D501">
      <w:pPr>
        <w:pStyle w:val="39"/>
        <w:ind w:firstLine="683"/>
        <w:rPr>
          <w:rFonts w:ascii="宋体" w:hAnsi="宋体" w:cs="宋体"/>
          <w:b/>
          <w:color w:val="auto"/>
          <w:sz w:val="32"/>
        </w:rPr>
      </w:pPr>
    </w:p>
    <w:p w14:paraId="34088282">
      <w:pPr>
        <w:pStyle w:val="39"/>
        <w:ind w:firstLine="683"/>
        <w:rPr>
          <w:rFonts w:ascii="宋体" w:hAnsi="宋体" w:cs="宋体"/>
          <w:b/>
          <w:color w:val="auto"/>
          <w:sz w:val="32"/>
        </w:rPr>
      </w:pPr>
    </w:p>
    <w:p w14:paraId="66C88982">
      <w:pPr>
        <w:pStyle w:val="39"/>
        <w:ind w:firstLineChars="0"/>
        <w:rPr>
          <w:rFonts w:ascii="宋体" w:hAnsi="宋体" w:cs="宋体"/>
          <w:color w:val="auto"/>
        </w:rPr>
      </w:pPr>
    </w:p>
    <w:p w14:paraId="708161F6">
      <w:pPr>
        <w:pStyle w:val="24"/>
        <w:ind w:firstLine="0" w:firstLineChars="0"/>
        <w:jc w:val="center"/>
        <w:rPr>
          <w:rFonts w:ascii="宋体" w:hAnsi="宋体"/>
          <w:b/>
          <w:color w:val="auto"/>
          <w:sz w:val="32"/>
          <w:szCs w:val="32"/>
        </w:rPr>
      </w:pPr>
      <w:r>
        <w:rPr>
          <w:rFonts w:hint="eastAsia" w:ascii="宋体" w:hAnsi="宋体"/>
          <w:b/>
          <w:color w:val="auto"/>
          <w:sz w:val="32"/>
          <w:szCs w:val="32"/>
        </w:rPr>
        <w:t>二、开标一览表</w:t>
      </w:r>
    </w:p>
    <w:p w14:paraId="06CF0996">
      <w:pPr>
        <w:pStyle w:val="24"/>
        <w:ind w:firstLine="210"/>
        <w:rPr>
          <w:rFonts w:ascii="宋体" w:hAnsi="宋体"/>
          <w:color w:val="auto"/>
        </w:rPr>
      </w:pPr>
    </w:p>
    <w:tbl>
      <w:tblPr>
        <w:tblStyle w:val="26"/>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6557"/>
      </w:tblGrid>
      <w:tr w14:paraId="56CC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2" w:type="dxa"/>
            <w:vAlign w:val="center"/>
          </w:tcPr>
          <w:p w14:paraId="11F0834D">
            <w:pPr>
              <w:tabs>
                <w:tab w:val="left" w:pos="2232"/>
              </w:tabs>
              <w:spacing w:line="340" w:lineRule="exact"/>
              <w:ind w:right="-107" w:rightChars="-51"/>
              <w:jc w:val="center"/>
              <w:rPr>
                <w:rFonts w:ascii="宋体" w:hAnsi="宋体" w:cs="宋体"/>
                <w:color w:val="auto"/>
                <w:sz w:val="24"/>
              </w:rPr>
            </w:pPr>
            <w:r>
              <w:rPr>
                <w:rFonts w:hint="eastAsia" w:ascii="宋体" w:hAnsi="宋体" w:cs="宋体"/>
                <w:color w:val="auto"/>
                <w:sz w:val="24"/>
              </w:rPr>
              <w:t>项目名称</w:t>
            </w:r>
          </w:p>
        </w:tc>
        <w:tc>
          <w:tcPr>
            <w:tcW w:w="6557" w:type="dxa"/>
            <w:vAlign w:val="center"/>
          </w:tcPr>
          <w:p w14:paraId="55304948">
            <w:pPr>
              <w:spacing w:line="340" w:lineRule="exact"/>
              <w:ind w:right="460" w:rightChars="219"/>
              <w:jc w:val="center"/>
              <w:rPr>
                <w:rFonts w:ascii="宋体" w:hAnsi="宋体" w:cs="宋体"/>
                <w:color w:val="auto"/>
                <w:sz w:val="24"/>
              </w:rPr>
            </w:pPr>
          </w:p>
        </w:tc>
      </w:tr>
      <w:tr w14:paraId="3D27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2" w:type="dxa"/>
            <w:vAlign w:val="center"/>
          </w:tcPr>
          <w:p w14:paraId="66061CB9">
            <w:pPr>
              <w:tabs>
                <w:tab w:val="left" w:pos="2232"/>
              </w:tabs>
              <w:spacing w:line="340" w:lineRule="exact"/>
              <w:ind w:right="-107" w:rightChars="-51"/>
              <w:jc w:val="center"/>
              <w:rPr>
                <w:rFonts w:ascii="宋体" w:hAnsi="宋体" w:cs="宋体"/>
                <w:color w:val="auto"/>
                <w:sz w:val="24"/>
              </w:rPr>
            </w:pPr>
            <w:r>
              <w:rPr>
                <w:rFonts w:hint="eastAsia" w:ascii="宋体" w:hAnsi="宋体" w:cs="宋体"/>
                <w:color w:val="auto"/>
                <w:sz w:val="24"/>
              </w:rPr>
              <w:t>供应商名称</w:t>
            </w:r>
          </w:p>
        </w:tc>
        <w:tc>
          <w:tcPr>
            <w:tcW w:w="6557" w:type="dxa"/>
            <w:vAlign w:val="center"/>
          </w:tcPr>
          <w:p w14:paraId="5B199AA6">
            <w:pPr>
              <w:spacing w:line="340" w:lineRule="exact"/>
              <w:ind w:right="460" w:rightChars="219"/>
              <w:jc w:val="center"/>
              <w:rPr>
                <w:rFonts w:ascii="宋体" w:hAnsi="宋体" w:cs="宋体"/>
                <w:color w:val="auto"/>
                <w:sz w:val="24"/>
              </w:rPr>
            </w:pPr>
          </w:p>
        </w:tc>
      </w:tr>
      <w:tr w14:paraId="6A9A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2" w:type="dxa"/>
            <w:vAlign w:val="center"/>
          </w:tcPr>
          <w:p w14:paraId="54A9DDE2">
            <w:pPr>
              <w:spacing w:line="340" w:lineRule="exact"/>
              <w:ind w:right="-107" w:rightChars="-51"/>
              <w:jc w:val="center"/>
              <w:rPr>
                <w:rFonts w:ascii="宋体" w:hAnsi="宋体" w:cs="宋体"/>
                <w:color w:val="auto"/>
                <w:sz w:val="24"/>
              </w:rPr>
            </w:pPr>
            <w:r>
              <w:rPr>
                <w:rFonts w:hint="eastAsia" w:ascii="宋体" w:hAnsi="宋体" w:cs="宋体"/>
                <w:color w:val="auto"/>
                <w:sz w:val="24"/>
              </w:rPr>
              <w:t>投标内容</w:t>
            </w:r>
          </w:p>
        </w:tc>
        <w:tc>
          <w:tcPr>
            <w:tcW w:w="6557" w:type="dxa"/>
            <w:vAlign w:val="center"/>
          </w:tcPr>
          <w:p w14:paraId="54CCA777">
            <w:pPr>
              <w:spacing w:line="340" w:lineRule="exact"/>
              <w:ind w:right="460" w:rightChars="219"/>
              <w:rPr>
                <w:rFonts w:ascii="宋体" w:hAnsi="宋体" w:cs="宋体"/>
                <w:color w:val="auto"/>
                <w:sz w:val="24"/>
              </w:rPr>
            </w:pPr>
          </w:p>
        </w:tc>
      </w:tr>
      <w:tr w14:paraId="731D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2" w:type="dxa"/>
            <w:vMerge w:val="restart"/>
            <w:vAlign w:val="center"/>
          </w:tcPr>
          <w:p w14:paraId="04B6339F">
            <w:pPr>
              <w:spacing w:line="340" w:lineRule="exact"/>
              <w:ind w:right="-107" w:rightChars="-51"/>
              <w:jc w:val="center"/>
              <w:rPr>
                <w:rFonts w:ascii="宋体" w:hAnsi="宋体" w:cs="宋体"/>
                <w:color w:val="auto"/>
                <w:sz w:val="24"/>
              </w:rPr>
            </w:pPr>
            <w:r>
              <w:rPr>
                <w:rFonts w:hint="eastAsia" w:ascii="宋体" w:hAnsi="宋体" w:cs="宋体"/>
                <w:color w:val="auto"/>
                <w:sz w:val="24"/>
              </w:rPr>
              <w:t>投标总报价</w:t>
            </w:r>
          </w:p>
        </w:tc>
        <w:tc>
          <w:tcPr>
            <w:tcW w:w="6557" w:type="dxa"/>
            <w:vAlign w:val="center"/>
          </w:tcPr>
          <w:p w14:paraId="4D419F85">
            <w:pPr>
              <w:spacing w:line="340" w:lineRule="exact"/>
              <w:ind w:right="460" w:rightChars="219"/>
              <w:rPr>
                <w:rFonts w:ascii="宋体" w:hAnsi="宋体" w:cs="宋体"/>
                <w:color w:val="auto"/>
                <w:sz w:val="24"/>
                <w:u w:val="single"/>
              </w:rPr>
            </w:pPr>
            <w:r>
              <w:rPr>
                <w:rFonts w:hint="eastAsia" w:ascii="宋体" w:hAnsi="宋体" w:cs="宋体"/>
                <w:color w:val="auto"/>
                <w:sz w:val="24"/>
              </w:rPr>
              <w:t>（大写）：</w:t>
            </w:r>
            <w:r>
              <w:rPr>
                <w:rFonts w:hint="eastAsia" w:ascii="宋体" w:hAnsi="宋体" w:cs="宋体"/>
                <w:color w:val="auto"/>
                <w:sz w:val="24"/>
                <w:u w:val="single"/>
              </w:rPr>
              <w:t xml:space="preserve">                   </w:t>
            </w:r>
          </w:p>
        </w:tc>
      </w:tr>
      <w:tr w14:paraId="3193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2" w:type="dxa"/>
            <w:vMerge w:val="continue"/>
            <w:vAlign w:val="center"/>
          </w:tcPr>
          <w:p w14:paraId="63EDEC17">
            <w:pPr>
              <w:spacing w:line="340" w:lineRule="exact"/>
              <w:ind w:right="-107" w:rightChars="-51"/>
              <w:jc w:val="center"/>
              <w:rPr>
                <w:rFonts w:ascii="宋体" w:hAnsi="宋体" w:cs="宋体"/>
                <w:color w:val="auto"/>
                <w:sz w:val="24"/>
              </w:rPr>
            </w:pPr>
          </w:p>
        </w:tc>
        <w:tc>
          <w:tcPr>
            <w:tcW w:w="6557" w:type="dxa"/>
            <w:vAlign w:val="center"/>
          </w:tcPr>
          <w:p w14:paraId="43CFAD62">
            <w:pPr>
              <w:spacing w:line="340" w:lineRule="exact"/>
              <w:ind w:right="460" w:rightChars="219"/>
              <w:rPr>
                <w:rFonts w:ascii="宋体" w:hAnsi="宋体" w:cs="宋体"/>
                <w:color w:val="auto"/>
                <w:sz w:val="24"/>
                <w:u w:val="single"/>
              </w:rPr>
            </w:pP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cs="宋体"/>
                <w:color w:val="auto"/>
                <w:sz w:val="24"/>
              </w:rPr>
              <w:t>元</w:t>
            </w:r>
          </w:p>
        </w:tc>
      </w:tr>
      <w:tr w14:paraId="36F3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702" w:type="dxa"/>
            <w:vAlign w:val="center"/>
          </w:tcPr>
          <w:p w14:paraId="31FAEA8B">
            <w:pPr>
              <w:spacing w:line="340" w:lineRule="exact"/>
              <w:ind w:right="-107" w:rightChars="-51"/>
              <w:jc w:val="center"/>
              <w:rPr>
                <w:rFonts w:ascii="宋体" w:hAnsi="宋体" w:cs="宋体"/>
                <w:color w:val="auto"/>
                <w:sz w:val="24"/>
              </w:rPr>
            </w:pPr>
            <w:r>
              <w:rPr>
                <w:rFonts w:hint="eastAsia" w:ascii="宋体" w:hAnsi="宋体" w:cs="宋体"/>
                <w:color w:val="auto"/>
                <w:sz w:val="24"/>
              </w:rPr>
              <w:t>交货期</w:t>
            </w:r>
          </w:p>
        </w:tc>
        <w:tc>
          <w:tcPr>
            <w:tcW w:w="6557" w:type="dxa"/>
            <w:vAlign w:val="center"/>
          </w:tcPr>
          <w:p w14:paraId="1E28EC94">
            <w:pPr>
              <w:spacing w:line="340" w:lineRule="exact"/>
              <w:ind w:right="460" w:rightChars="219"/>
              <w:jc w:val="center"/>
              <w:rPr>
                <w:rFonts w:ascii="宋体" w:hAnsi="宋体" w:cs="宋体"/>
                <w:color w:val="auto"/>
                <w:sz w:val="24"/>
              </w:rPr>
            </w:pPr>
          </w:p>
        </w:tc>
      </w:tr>
      <w:tr w14:paraId="719A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702" w:type="dxa"/>
            <w:vAlign w:val="center"/>
          </w:tcPr>
          <w:p w14:paraId="0B34E8E3">
            <w:pPr>
              <w:spacing w:line="340" w:lineRule="exact"/>
              <w:ind w:right="-107" w:rightChars="-51"/>
              <w:jc w:val="center"/>
              <w:rPr>
                <w:rFonts w:ascii="宋体" w:hAnsi="宋体" w:cs="宋体"/>
                <w:color w:val="auto"/>
                <w:sz w:val="24"/>
              </w:rPr>
            </w:pPr>
            <w:r>
              <w:rPr>
                <w:rFonts w:hint="eastAsia" w:ascii="宋体" w:hAnsi="宋体" w:cs="宋体"/>
                <w:color w:val="auto"/>
                <w:sz w:val="24"/>
              </w:rPr>
              <w:t>质量要求</w:t>
            </w:r>
          </w:p>
        </w:tc>
        <w:tc>
          <w:tcPr>
            <w:tcW w:w="6557" w:type="dxa"/>
            <w:vAlign w:val="center"/>
          </w:tcPr>
          <w:p w14:paraId="749C6CD3">
            <w:pPr>
              <w:spacing w:line="340" w:lineRule="exact"/>
              <w:ind w:right="460" w:rightChars="219"/>
              <w:jc w:val="center"/>
              <w:rPr>
                <w:rFonts w:ascii="宋体" w:hAnsi="宋体" w:cs="宋体"/>
                <w:color w:val="auto"/>
                <w:sz w:val="24"/>
              </w:rPr>
            </w:pPr>
          </w:p>
        </w:tc>
      </w:tr>
      <w:tr w14:paraId="179C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702" w:type="dxa"/>
            <w:vAlign w:val="center"/>
          </w:tcPr>
          <w:p w14:paraId="637367D4">
            <w:pPr>
              <w:spacing w:line="340" w:lineRule="exact"/>
              <w:ind w:right="-107" w:rightChars="-51"/>
              <w:jc w:val="center"/>
              <w:rPr>
                <w:rFonts w:ascii="宋体" w:hAnsi="宋体" w:cs="宋体"/>
                <w:color w:val="auto"/>
                <w:sz w:val="24"/>
              </w:rPr>
            </w:pPr>
            <w:r>
              <w:rPr>
                <w:rFonts w:hint="eastAsia" w:ascii="宋体" w:hAnsi="宋体" w:cs="宋体"/>
                <w:color w:val="auto"/>
                <w:sz w:val="24"/>
              </w:rPr>
              <w:t>质保期</w:t>
            </w:r>
          </w:p>
        </w:tc>
        <w:tc>
          <w:tcPr>
            <w:tcW w:w="6557" w:type="dxa"/>
            <w:vAlign w:val="center"/>
          </w:tcPr>
          <w:p w14:paraId="4C9388F6">
            <w:pPr>
              <w:spacing w:line="340" w:lineRule="exact"/>
              <w:ind w:right="460" w:rightChars="219"/>
              <w:jc w:val="center"/>
              <w:rPr>
                <w:rFonts w:ascii="宋体" w:hAnsi="宋体" w:cs="宋体"/>
                <w:color w:val="auto"/>
                <w:sz w:val="24"/>
              </w:rPr>
            </w:pPr>
          </w:p>
        </w:tc>
      </w:tr>
      <w:tr w14:paraId="3234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702" w:type="dxa"/>
            <w:vAlign w:val="center"/>
          </w:tcPr>
          <w:p w14:paraId="6118F44E">
            <w:pPr>
              <w:spacing w:line="340" w:lineRule="exact"/>
              <w:ind w:right="-107" w:rightChars="-51"/>
              <w:jc w:val="center"/>
              <w:rPr>
                <w:rFonts w:ascii="宋体" w:hAnsi="宋体" w:cs="宋体"/>
                <w:color w:val="auto"/>
                <w:sz w:val="24"/>
              </w:rPr>
            </w:pPr>
            <w:r>
              <w:rPr>
                <w:rFonts w:hint="eastAsia" w:ascii="宋体" w:hAnsi="宋体" w:cs="宋体"/>
                <w:color w:val="auto"/>
                <w:sz w:val="24"/>
              </w:rPr>
              <w:t>交货地点</w:t>
            </w:r>
          </w:p>
        </w:tc>
        <w:tc>
          <w:tcPr>
            <w:tcW w:w="6557" w:type="dxa"/>
            <w:vAlign w:val="center"/>
          </w:tcPr>
          <w:p w14:paraId="204DF4E7">
            <w:pPr>
              <w:spacing w:line="340" w:lineRule="exact"/>
              <w:ind w:right="460" w:rightChars="219"/>
              <w:jc w:val="center"/>
              <w:rPr>
                <w:rFonts w:ascii="宋体" w:hAnsi="宋体" w:cs="宋体"/>
                <w:color w:val="auto"/>
                <w:sz w:val="24"/>
              </w:rPr>
            </w:pPr>
          </w:p>
        </w:tc>
      </w:tr>
      <w:tr w14:paraId="03CB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702" w:type="dxa"/>
            <w:vAlign w:val="center"/>
          </w:tcPr>
          <w:p w14:paraId="2CC4045E">
            <w:pPr>
              <w:spacing w:line="340" w:lineRule="exact"/>
              <w:ind w:right="-107" w:rightChars="-51"/>
              <w:jc w:val="center"/>
              <w:rPr>
                <w:rFonts w:ascii="宋体" w:hAnsi="宋体" w:cs="宋体"/>
                <w:color w:val="auto"/>
                <w:sz w:val="24"/>
              </w:rPr>
            </w:pPr>
            <w:r>
              <w:rPr>
                <w:rFonts w:hint="eastAsia" w:ascii="宋体" w:hAnsi="宋体" w:cs="宋体"/>
                <w:color w:val="auto"/>
                <w:sz w:val="24"/>
              </w:rPr>
              <w:t>投标有效期</w:t>
            </w:r>
          </w:p>
        </w:tc>
        <w:tc>
          <w:tcPr>
            <w:tcW w:w="6557" w:type="dxa"/>
            <w:vAlign w:val="center"/>
          </w:tcPr>
          <w:p w14:paraId="7EF45679">
            <w:pPr>
              <w:spacing w:line="340" w:lineRule="exact"/>
              <w:ind w:right="460" w:rightChars="219"/>
              <w:jc w:val="center"/>
              <w:rPr>
                <w:rFonts w:ascii="宋体" w:hAnsi="宋体" w:cs="宋体"/>
                <w:color w:val="auto"/>
                <w:sz w:val="24"/>
              </w:rPr>
            </w:pPr>
          </w:p>
        </w:tc>
      </w:tr>
      <w:tr w14:paraId="398A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702" w:type="dxa"/>
            <w:vAlign w:val="center"/>
          </w:tcPr>
          <w:p w14:paraId="63FB482B">
            <w:pPr>
              <w:spacing w:line="340" w:lineRule="exact"/>
              <w:ind w:right="-107" w:rightChars="-51"/>
              <w:jc w:val="center"/>
              <w:rPr>
                <w:rFonts w:ascii="宋体" w:hAnsi="宋体" w:cs="宋体"/>
                <w:color w:val="auto"/>
                <w:sz w:val="24"/>
              </w:rPr>
            </w:pPr>
            <w:r>
              <w:rPr>
                <w:rFonts w:hint="eastAsia" w:ascii="宋体" w:hAnsi="宋体" w:cs="宋体"/>
                <w:color w:val="auto"/>
                <w:sz w:val="24"/>
              </w:rPr>
              <w:t>其它</w:t>
            </w:r>
          </w:p>
        </w:tc>
        <w:tc>
          <w:tcPr>
            <w:tcW w:w="6557" w:type="dxa"/>
            <w:vAlign w:val="center"/>
          </w:tcPr>
          <w:p w14:paraId="4226A4AC">
            <w:pPr>
              <w:spacing w:line="340" w:lineRule="exact"/>
              <w:ind w:right="460" w:rightChars="219"/>
              <w:jc w:val="center"/>
              <w:rPr>
                <w:rFonts w:ascii="宋体" w:hAnsi="宋体" w:cs="宋体"/>
                <w:color w:val="auto"/>
                <w:sz w:val="24"/>
              </w:rPr>
            </w:pPr>
          </w:p>
        </w:tc>
      </w:tr>
    </w:tbl>
    <w:p w14:paraId="36498E96">
      <w:pPr>
        <w:spacing w:line="360" w:lineRule="auto"/>
        <w:rPr>
          <w:rFonts w:ascii="宋体" w:hAnsi="宋体" w:cs="宋体"/>
          <w:color w:val="auto"/>
          <w:sz w:val="24"/>
        </w:rPr>
      </w:pPr>
      <w:r>
        <w:rPr>
          <w:rFonts w:hint="eastAsia" w:ascii="宋体" w:hAnsi="宋体" w:cs="宋体"/>
          <w:color w:val="auto"/>
          <w:sz w:val="24"/>
        </w:rPr>
        <w:t>注：1、</w:t>
      </w:r>
      <w:bookmarkStart w:id="36" w:name="OLE_LINK3"/>
      <w:r>
        <w:rPr>
          <w:rFonts w:hint="eastAsia" w:ascii="宋体" w:hAnsi="宋体" w:cs="宋体"/>
          <w:color w:val="auto"/>
          <w:sz w:val="24"/>
        </w:rPr>
        <w:t>投标总报价必须是货物到位并交付使用前所有费用的总和；</w:t>
      </w:r>
      <w:bookmarkEnd w:id="36"/>
    </w:p>
    <w:p w14:paraId="301AC369">
      <w:pPr>
        <w:spacing w:line="360" w:lineRule="auto"/>
        <w:rPr>
          <w:rFonts w:ascii="宋体" w:hAnsi="宋体" w:cs="宋体"/>
          <w:b/>
          <w:color w:val="auto"/>
          <w:sz w:val="32"/>
        </w:rPr>
      </w:pPr>
      <w:r>
        <w:rPr>
          <w:rFonts w:hint="eastAsia" w:ascii="宋体" w:hAnsi="宋体" w:cs="宋体"/>
          <w:color w:val="auto"/>
          <w:sz w:val="24"/>
        </w:rPr>
        <w:t xml:space="preserve">    2、本表只填报总价，各有关分项报价在投标分项报价中进行详细填写；</w:t>
      </w:r>
    </w:p>
    <w:p w14:paraId="7BF21B49">
      <w:pPr>
        <w:ind w:firstLine="480" w:firstLineChars="200"/>
        <w:rPr>
          <w:rFonts w:ascii="宋体" w:hAnsi="宋体" w:cs="宋体"/>
          <w:color w:val="auto"/>
          <w:sz w:val="24"/>
        </w:rPr>
      </w:pPr>
      <w:r>
        <w:rPr>
          <w:rFonts w:hint="eastAsia" w:ascii="宋体" w:hAnsi="宋体" w:cs="宋体"/>
          <w:color w:val="auto"/>
          <w:sz w:val="24"/>
        </w:rPr>
        <w:t>3.“投标总报价”须与投标函中的投标总报价一致；</w:t>
      </w:r>
    </w:p>
    <w:p w14:paraId="2EADC1AD">
      <w:pPr>
        <w:pStyle w:val="25"/>
        <w:ind w:firstLine="440"/>
        <w:rPr>
          <w:color w:val="auto"/>
          <w:lang w:val="en-US"/>
        </w:rPr>
      </w:pPr>
    </w:p>
    <w:p w14:paraId="58FD1748">
      <w:pPr>
        <w:rPr>
          <w:rFonts w:ascii="宋体" w:hAnsi="宋体" w:cs="宋体"/>
          <w:color w:val="auto"/>
        </w:rPr>
      </w:pPr>
    </w:p>
    <w:p w14:paraId="45B34351">
      <w:pPr>
        <w:jc w:val="center"/>
        <w:rPr>
          <w:rFonts w:ascii="宋体" w:hAnsi="宋体" w:cs="宋体"/>
          <w:color w:val="auto"/>
          <w:sz w:val="24"/>
        </w:rPr>
      </w:pPr>
    </w:p>
    <w:p w14:paraId="330C5ECB">
      <w:pPr>
        <w:jc w:val="center"/>
        <w:rPr>
          <w:rFonts w:ascii="宋体" w:hAnsi="宋体" w:cs="宋体"/>
          <w:color w:val="auto"/>
          <w:sz w:val="24"/>
        </w:rPr>
      </w:pPr>
    </w:p>
    <w:p w14:paraId="6A23F06B">
      <w:pPr>
        <w:jc w:val="center"/>
        <w:rPr>
          <w:rFonts w:ascii="宋体" w:hAnsi="宋体" w:cs="宋体"/>
          <w:color w:val="auto"/>
          <w:sz w:val="24"/>
        </w:rPr>
      </w:pPr>
      <w:r>
        <w:rPr>
          <w:rFonts w:hint="eastAsia" w:ascii="宋体" w:hAnsi="宋体" w:cs="宋体"/>
          <w:color w:val="auto"/>
          <w:sz w:val="24"/>
        </w:rPr>
        <w:t xml:space="preserve">                 供应商名称：</w:t>
      </w:r>
      <w:r>
        <w:rPr>
          <w:rFonts w:hint="eastAsia" w:ascii="宋体" w:hAnsi="宋体" w:cs="宋体"/>
          <w:color w:val="auto"/>
          <w:sz w:val="24"/>
          <w:u w:val="single"/>
        </w:rPr>
        <w:t xml:space="preserve">                       </w:t>
      </w:r>
      <w:r>
        <w:rPr>
          <w:rFonts w:hint="eastAsia" w:ascii="宋体" w:hAnsi="宋体" w:cs="宋体"/>
          <w:color w:val="auto"/>
          <w:sz w:val="24"/>
        </w:rPr>
        <w:t xml:space="preserve">（电子签章） </w:t>
      </w:r>
    </w:p>
    <w:p w14:paraId="60832027">
      <w:pPr>
        <w:jc w:val="center"/>
        <w:rPr>
          <w:rFonts w:ascii="宋体" w:hAnsi="宋体" w:cs="宋体"/>
          <w:color w:val="auto"/>
          <w:sz w:val="24"/>
        </w:rPr>
      </w:pPr>
    </w:p>
    <w:p w14:paraId="01DB092C">
      <w:pPr>
        <w:jc w:val="center"/>
        <w:rPr>
          <w:rFonts w:ascii="宋体" w:hAnsi="宋体" w:cs="宋体"/>
          <w:color w:val="auto"/>
          <w:sz w:val="24"/>
        </w:rPr>
      </w:pPr>
      <w:r>
        <w:rPr>
          <w:rFonts w:hint="eastAsia" w:ascii="宋体" w:hAnsi="宋体" w:cs="宋体"/>
          <w:color w:val="auto"/>
          <w:sz w:val="24"/>
        </w:rPr>
        <w:t xml:space="preserve">            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（电子签章）</w:t>
      </w:r>
    </w:p>
    <w:p w14:paraId="492CC052">
      <w:pPr>
        <w:jc w:val="center"/>
        <w:rPr>
          <w:rFonts w:ascii="宋体" w:hAnsi="宋体" w:cs="宋体"/>
          <w:color w:val="auto"/>
          <w:sz w:val="24"/>
          <w:u w:val="single"/>
        </w:rPr>
      </w:pPr>
    </w:p>
    <w:p w14:paraId="5ACA795D">
      <w:pPr>
        <w:jc w:val="center"/>
        <w:rPr>
          <w:rFonts w:ascii="宋体" w:hAnsi="宋体" w:cs="宋体"/>
          <w:color w:val="auto"/>
          <w:sz w:val="24"/>
        </w:rPr>
      </w:pPr>
      <w:r>
        <w:rPr>
          <w:rFonts w:hint="eastAsia" w:ascii="宋体" w:hAnsi="宋体" w:cs="宋体"/>
          <w:color w:val="auto"/>
          <w:sz w:val="24"/>
        </w:rPr>
        <w:t xml:space="preserve">  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14:paraId="5CC5EF11">
      <w:pPr>
        <w:pStyle w:val="3"/>
        <w:spacing w:line="525" w:lineRule="exact"/>
        <w:ind w:left="0"/>
        <w:jc w:val="center"/>
        <w:rPr>
          <w:rFonts w:ascii="宋体" w:hAnsi="宋体" w:eastAsia="宋体" w:cs="宋体"/>
          <w:color w:val="auto"/>
        </w:rPr>
      </w:pPr>
    </w:p>
    <w:p w14:paraId="48811001">
      <w:pPr>
        <w:pStyle w:val="3"/>
        <w:spacing w:line="525" w:lineRule="exact"/>
        <w:ind w:left="0"/>
        <w:jc w:val="both"/>
        <w:rPr>
          <w:rFonts w:ascii="宋体" w:hAnsi="宋体" w:eastAsia="宋体" w:cs="宋体"/>
          <w:color w:val="auto"/>
        </w:rPr>
      </w:pPr>
    </w:p>
    <w:p w14:paraId="3A32FD92">
      <w:pPr>
        <w:pStyle w:val="3"/>
        <w:spacing w:line="525" w:lineRule="exact"/>
        <w:ind w:left="0"/>
        <w:jc w:val="both"/>
        <w:rPr>
          <w:rFonts w:ascii="宋体" w:hAnsi="宋体" w:eastAsia="宋体" w:cs="宋体"/>
          <w:b/>
          <w:bCs/>
          <w:color w:val="auto"/>
        </w:rPr>
      </w:pPr>
    </w:p>
    <w:p w14:paraId="281D03C0">
      <w:pPr>
        <w:pStyle w:val="3"/>
        <w:spacing w:line="525" w:lineRule="exact"/>
        <w:ind w:left="0"/>
        <w:jc w:val="center"/>
        <w:rPr>
          <w:rFonts w:ascii="宋体" w:hAnsi="宋体" w:eastAsia="宋体" w:cs="宋体"/>
          <w:color w:val="auto"/>
        </w:rPr>
      </w:pPr>
      <w:r>
        <w:rPr>
          <w:rFonts w:hint="eastAsia" w:ascii="宋体" w:hAnsi="宋体" w:eastAsia="宋体" w:cs="宋体"/>
          <w:b/>
          <w:bCs/>
          <w:color w:val="auto"/>
        </w:rPr>
        <w:t>三、法</w:t>
      </w:r>
      <w:r>
        <w:rPr>
          <w:rFonts w:hint="eastAsia" w:ascii="宋体" w:hAnsi="宋体" w:eastAsia="宋体" w:cs="宋体"/>
          <w:b/>
          <w:color w:val="auto"/>
        </w:rPr>
        <w:t>定代表人身份证明及授权委托书</w:t>
      </w:r>
    </w:p>
    <w:p w14:paraId="0A5F84D1">
      <w:pPr>
        <w:pStyle w:val="9"/>
        <w:rPr>
          <w:b/>
          <w:color w:val="auto"/>
          <w:sz w:val="32"/>
        </w:rPr>
      </w:pPr>
    </w:p>
    <w:p w14:paraId="6C1A674B">
      <w:pPr>
        <w:pStyle w:val="41"/>
        <w:jc w:val="center"/>
        <w:rPr>
          <w:color w:val="auto"/>
        </w:rPr>
      </w:pPr>
      <w:r>
        <w:rPr>
          <w:rFonts w:hint="eastAsia" w:hAnsi="宋体"/>
          <w:b/>
          <w:bCs/>
          <w:color w:val="auto"/>
        </w:rPr>
        <w:t>法</w:t>
      </w:r>
      <w:r>
        <w:rPr>
          <w:rFonts w:hint="eastAsia" w:hAnsi="宋体"/>
          <w:b/>
          <w:color w:val="auto"/>
        </w:rPr>
        <w:t>定代表人身份证明</w:t>
      </w:r>
    </w:p>
    <w:p w14:paraId="72B381E0">
      <w:pPr>
        <w:pStyle w:val="9"/>
        <w:spacing w:before="3"/>
        <w:rPr>
          <w:b/>
          <w:color w:val="auto"/>
          <w:sz w:val="18"/>
        </w:rPr>
      </w:pPr>
    </w:p>
    <w:p w14:paraId="36F2F734">
      <w:pPr>
        <w:pStyle w:val="9"/>
        <w:tabs>
          <w:tab w:val="left" w:pos="4228"/>
        </w:tabs>
        <w:ind w:left="400"/>
        <w:rPr>
          <w:color w:val="auto"/>
        </w:rPr>
      </w:pPr>
      <w:r>
        <w:rPr>
          <w:rFonts w:hint="eastAsia"/>
          <w:color w:val="auto"/>
          <w:spacing w:val="-1"/>
        </w:rPr>
        <w:t>投</w:t>
      </w:r>
      <w:r>
        <w:rPr>
          <w:rFonts w:hint="eastAsia"/>
          <w:color w:val="auto"/>
        </w:rPr>
        <w:t>标</w:t>
      </w:r>
      <w:r>
        <w:rPr>
          <w:rFonts w:hint="eastAsia"/>
          <w:color w:val="auto"/>
          <w:spacing w:val="-3"/>
        </w:rPr>
        <w:t>人</w:t>
      </w:r>
      <w:r>
        <w:rPr>
          <w:rFonts w:hint="eastAsia"/>
          <w:color w:val="auto"/>
        </w:rPr>
        <w:t>名</w:t>
      </w:r>
      <w:r>
        <w:rPr>
          <w:rFonts w:hint="eastAsia"/>
          <w:color w:val="auto"/>
          <w:spacing w:val="-3"/>
        </w:rPr>
        <w:t>称</w:t>
      </w:r>
      <w:r>
        <w:rPr>
          <w:rFonts w:hint="eastAsia"/>
          <w:color w:val="auto"/>
        </w:rPr>
        <w:t>：</w:t>
      </w:r>
      <w:r>
        <w:rPr>
          <w:rFonts w:hint="eastAsia"/>
          <w:color w:val="auto"/>
          <w:u w:val="single"/>
        </w:rPr>
        <w:t xml:space="preserve"> </w:t>
      </w:r>
      <w:r>
        <w:rPr>
          <w:rFonts w:hint="eastAsia"/>
          <w:color w:val="auto"/>
          <w:u w:val="single"/>
        </w:rPr>
        <w:tab/>
      </w:r>
    </w:p>
    <w:p w14:paraId="51269B01">
      <w:pPr>
        <w:pStyle w:val="9"/>
        <w:tabs>
          <w:tab w:val="left" w:pos="2712"/>
          <w:tab w:val="left" w:pos="4183"/>
          <w:tab w:val="left" w:pos="5652"/>
          <w:tab w:val="left" w:pos="7169"/>
        </w:tabs>
        <w:spacing w:before="170"/>
        <w:ind w:left="400"/>
        <w:rPr>
          <w:color w:val="auto"/>
        </w:rPr>
      </w:pPr>
      <w:r>
        <w:rPr>
          <w:rFonts w:hint="eastAsia"/>
          <w:color w:val="auto"/>
        </w:rPr>
        <w:t>姓名</w:t>
      </w:r>
      <w:r>
        <w:rPr>
          <w:rFonts w:hint="eastAsia"/>
          <w:color w:val="auto"/>
          <w:spacing w:val="-3"/>
        </w:rPr>
        <w:t>：</w:t>
      </w:r>
      <w:r>
        <w:rPr>
          <w:rFonts w:hint="eastAsia"/>
          <w:color w:val="auto"/>
          <w:spacing w:val="-3"/>
          <w:u w:val="single"/>
        </w:rPr>
        <w:t xml:space="preserve"> </w:t>
      </w:r>
      <w:r>
        <w:rPr>
          <w:rFonts w:hint="eastAsia"/>
          <w:color w:val="auto"/>
          <w:spacing w:val="-3"/>
          <w:u w:val="single"/>
        </w:rPr>
        <w:tab/>
      </w:r>
      <w:r>
        <w:rPr>
          <w:rFonts w:hint="eastAsia"/>
          <w:color w:val="auto"/>
        </w:rPr>
        <w:t>性别</w:t>
      </w:r>
      <w:r>
        <w:rPr>
          <w:rFonts w:hint="eastAsia"/>
          <w:color w:val="auto"/>
          <w:spacing w:val="-3"/>
        </w:rPr>
        <w:t>：</w:t>
      </w:r>
      <w:r>
        <w:rPr>
          <w:rFonts w:hint="eastAsia"/>
          <w:color w:val="auto"/>
          <w:spacing w:val="-3"/>
          <w:u w:val="single"/>
        </w:rPr>
        <w:t xml:space="preserve"> </w:t>
      </w:r>
      <w:r>
        <w:rPr>
          <w:rFonts w:hint="eastAsia"/>
          <w:color w:val="auto"/>
          <w:spacing w:val="-3"/>
          <w:u w:val="single"/>
        </w:rPr>
        <w:tab/>
      </w:r>
      <w:r>
        <w:rPr>
          <w:rFonts w:hint="eastAsia"/>
          <w:color w:val="auto"/>
        </w:rPr>
        <w:t>年</w:t>
      </w:r>
      <w:r>
        <w:rPr>
          <w:rFonts w:hint="eastAsia"/>
          <w:color w:val="auto"/>
          <w:spacing w:val="-3"/>
        </w:rPr>
        <w:t>龄</w:t>
      </w:r>
      <w:r>
        <w:rPr>
          <w:rFonts w:hint="eastAsia"/>
          <w:color w:val="auto"/>
        </w:rPr>
        <w:t>：</w:t>
      </w:r>
      <w:r>
        <w:rPr>
          <w:rFonts w:hint="eastAsia"/>
          <w:color w:val="auto"/>
          <w:u w:val="single"/>
        </w:rPr>
        <w:t xml:space="preserve"> </w:t>
      </w:r>
      <w:r>
        <w:rPr>
          <w:rFonts w:hint="eastAsia"/>
          <w:color w:val="auto"/>
          <w:u w:val="single"/>
        </w:rPr>
        <w:tab/>
      </w:r>
      <w:r>
        <w:rPr>
          <w:rFonts w:hint="eastAsia"/>
          <w:color w:val="auto"/>
          <w:spacing w:val="-1"/>
        </w:rPr>
        <w:t>职</w:t>
      </w:r>
      <w:r>
        <w:rPr>
          <w:rFonts w:hint="eastAsia"/>
          <w:color w:val="auto"/>
          <w:spacing w:val="-3"/>
        </w:rPr>
        <w:t>务</w:t>
      </w:r>
      <w:r>
        <w:rPr>
          <w:rFonts w:hint="eastAsia"/>
          <w:color w:val="auto"/>
        </w:rPr>
        <w:t>：</w:t>
      </w:r>
      <w:r>
        <w:rPr>
          <w:rFonts w:hint="eastAsia"/>
          <w:color w:val="auto"/>
          <w:u w:val="single"/>
        </w:rPr>
        <w:t xml:space="preserve"> </w:t>
      </w:r>
      <w:r>
        <w:rPr>
          <w:rFonts w:hint="eastAsia"/>
          <w:color w:val="auto"/>
          <w:u w:val="single"/>
        </w:rPr>
        <w:tab/>
      </w:r>
    </w:p>
    <w:p w14:paraId="75094AFA">
      <w:pPr>
        <w:pStyle w:val="9"/>
        <w:tabs>
          <w:tab w:val="left" w:pos="3132"/>
        </w:tabs>
        <w:spacing w:before="173"/>
        <w:ind w:left="400"/>
        <w:rPr>
          <w:color w:val="auto"/>
        </w:rPr>
      </w:pPr>
      <w:r>
        <w:rPr>
          <w:rFonts w:hint="eastAsia"/>
          <w:color w:val="auto"/>
        </w:rPr>
        <w:t>系</w:t>
      </w:r>
      <w:r>
        <w:rPr>
          <w:rFonts w:hint="eastAsia"/>
          <w:color w:val="auto"/>
          <w:u w:val="single"/>
        </w:rPr>
        <w:t xml:space="preserve"> </w:t>
      </w:r>
      <w:r>
        <w:rPr>
          <w:rFonts w:hint="eastAsia"/>
          <w:color w:val="auto"/>
          <w:u w:val="single"/>
        </w:rPr>
        <w:tab/>
      </w:r>
      <w:r>
        <w:rPr>
          <w:rFonts w:hint="eastAsia"/>
          <w:color w:val="auto"/>
          <w:spacing w:val="-3"/>
        </w:rPr>
        <w:t>（</w:t>
      </w:r>
      <w:r>
        <w:rPr>
          <w:rFonts w:hint="eastAsia"/>
          <w:color w:val="auto"/>
        </w:rPr>
        <w:t>投</w:t>
      </w:r>
      <w:r>
        <w:rPr>
          <w:rFonts w:hint="eastAsia"/>
          <w:color w:val="auto"/>
          <w:spacing w:val="-3"/>
        </w:rPr>
        <w:t>标</w:t>
      </w:r>
      <w:r>
        <w:rPr>
          <w:rFonts w:hint="eastAsia"/>
          <w:color w:val="auto"/>
        </w:rPr>
        <w:t>人</w:t>
      </w:r>
      <w:r>
        <w:rPr>
          <w:rFonts w:hint="eastAsia"/>
          <w:color w:val="auto"/>
          <w:spacing w:val="-3"/>
        </w:rPr>
        <w:t>名</w:t>
      </w:r>
      <w:r>
        <w:rPr>
          <w:rFonts w:hint="eastAsia"/>
          <w:color w:val="auto"/>
        </w:rPr>
        <w:t>称</w:t>
      </w:r>
      <w:r>
        <w:rPr>
          <w:rFonts w:hint="eastAsia"/>
          <w:color w:val="auto"/>
          <w:spacing w:val="-3"/>
        </w:rPr>
        <w:t>）</w:t>
      </w:r>
      <w:r>
        <w:rPr>
          <w:rFonts w:hint="eastAsia"/>
          <w:color w:val="auto"/>
        </w:rPr>
        <w:t>的</w:t>
      </w:r>
      <w:r>
        <w:rPr>
          <w:rFonts w:hint="eastAsia"/>
          <w:color w:val="auto"/>
          <w:spacing w:val="-3"/>
        </w:rPr>
        <w:t>法定</w:t>
      </w:r>
      <w:r>
        <w:rPr>
          <w:rFonts w:hint="eastAsia"/>
          <w:color w:val="auto"/>
        </w:rPr>
        <w:t>代表</w:t>
      </w:r>
      <w:r>
        <w:rPr>
          <w:rFonts w:hint="eastAsia"/>
          <w:color w:val="auto"/>
          <w:spacing w:val="-3"/>
        </w:rPr>
        <w:t>人</w:t>
      </w:r>
      <w:r>
        <w:rPr>
          <w:rFonts w:hint="eastAsia"/>
          <w:color w:val="auto"/>
        </w:rPr>
        <w:t>（或</w:t>
      </w:r>
      <w:r>
        <w:rPr>
          <w:rFonts w:hint="eastAsia"/>
          <w:color w:val="auto"/>
          <w:spacing w:val="-3"/>
        </w:rPr>
        <w:t>负</w:t>
      </w:r>
      <w:r>
        <w:rPr>
          <w:rFonts w:hint="eastAsia"/>
          <w:color w:val="auto"/>
        </w:rPr>
        <w:t>责</w:t>
      </w:r>
      <w:r>
        <w:rPr>
          <w:rFonts w:hint="eastAsia"/>
          <w:color w:val="auto"/>
          <w:spacing w:val="-3"/>
        </w:rPr>
        <w:t>人</w:t>
      </w:r>
      <w:r>
        <w:rPr>
          <w:rFonts w:hint="eastAsia"/>
          <w:color w:val="auto"/>
          <w:spacing w:val="-106"/>
        </w:rPr>
        <w:t>）</w:t>
      </w:r>
      <w:r>
        <w:rPr>
          <w:rFonts w:hint="eastAsia"/>
          <w:color w:val="auto"/>
        </w:rPr>
        <w:t>。</w:t>
      </w:r>
    </w:p>
    <w:p w14:paraId="24FB5149">
      <w:pPr>
        <w:rPr>
          <w:rFonts w:ascii="宋体" w:hAnsi="宋体" w:cs="宋体"/>
          <w:color w:val="auto"/>
        </w:rPr>
      </w:pPr>
      <w:r>
        <w:rPr>
          <w:rFonts w:hint="eastAsia" w:ascii="宋体" w:hAnsi="宋体" w:cs="宋体"/>
          <w:color w:val="auto"/>
        </w:rPr>
        <w:t xml:space="preserve">          </w:t>
      </w:r>
    </w:p>
    <w:p w14:paraId="355932A5">
      <w:pPr>
        <w:ind w:firstLine="420" w:firstLineChars="200"/>
        <w:rPr>
          <w:rFonts w:ascii="宋体" w:hAnsi="宋体" w:cs="宋体"/>
          <w:color w:val="auto"/>
        </w:rPr>
      </w:pPr>
      <w:r>
        <w:rPr>
          <w:rFonts w:hint="eastAsia" w:ascii="宋体" w:hAnsi="宋体" w:cs="宋体"/>
          <w:color w:val="auto"/>
        </w:rPr>
        <w:t xml:space="preserve">特此证明。  </w:t>
      </w:r>
    </w:p>
    <w:p w14:paraId="22DBAB6F">
      <w:pPr>
        <w:pStyle w:val="9"/>
        <w:tabs>
          <w:tab w:val="left" w:pos="4228"/>
        </w:tabs>
        <w:ind w:left="400"/>
        <w:rPr>
          <w:color w:val="auto"/>
          <w:spacing w:val="-1"/>
          <w:lang w:val="en-US"/>
        </w:rPr>
      </w:pPr>
    </w:p>
    <w:p w14:paraId="412D5B43">
      <w:pPr>
        <w:pStyle w:val="9"/>
        <w:tabs>
          <w:tab w:val="left" w:pos="4228"/>
        </w:tabs>
        <w:ind w:left="400"/>
        <w:rPr>
          <w:color w:val="auto"/>
          <w:spacing w:val="-1"/>
        </w:rPr>
      </w:pPr>
      <w:r>
        <w:rPr>
          <w:rFonts w:hint="eastAsia"/>
          <w:color w:val="auto"/>
          <w:spacing w:val="-1"/>
          <w:lang w:val="en-US"/>
        </w:rPr>
        <w:t>联系电话：</w:t>
      </w:r>
      <w:r>
        <w:rPr>
          <w:rFonts w:hint="eastAsia"/>
          <w:color w:val="auto"/>
          <w:spacing w:val="-1"/>
          <w:u w:val="single"/>
          <w:lang w:val="en-US"/>
        </w:rPr>
        <w:t xml:space="preserve">                   </w:t>
      </w:r>
      <w:r>
        <w:rPr>
          <w:rFonts w:hint="eastAsia"/>
          <w:color w:val="auto"/>
          <w:spacing w:val="-1"/>
          <w:lang w:val="en-US"/>
        </w:rPr>
        <w:t xml:space="preserve">  公司邮箱： </w:t>
      </w:r>
      <w:r>
        <w:rPr>
          <w:rFonts w:hint="eastAsia"/>
          <w:color w:val="auto"/>
          <w:spacing w:val="-1"/>
          <w:u w:val="single"/>
          <w:lang w:val="en-US"/>
        </w:rPr>
        <w:t xml:space="preserve">                  </w:t>
      </w:r>
      <w:r>
        <w:rPr>
          <w:rFonts w:hint="eastAsia"/>
          <w:color w:val="auto"/>
          <w:spacing w:val="-1"/>
          <w:lang w:val="en-US"/>
        </w:rPr>
        <w:t xml:space="preserve">                </w:t>
      </w:r>
    </w:p>
    <w:p w14:paraId="009704DC">
      <w:pPr>
        <w:pStyle w:val="9"/>
        <w:spacing w:before="10"/>
        <w:rPr>
          <w:color w:val="auto"/>
          <w:sz w:val="27"/>
        </w:rPr>
      </w:pPr>
    </w:p>
    <w:p w14:paraId="742D5064">
      <w:pPr>
        <w:pStyle w:val="9"/>
        <w:ind w:left="400"/>
        <w:rPr>
          <w:b/>
          <w:bCs/>
          <w:color w:val="auto"/>
        </w:rPr>
      </w:pPr>
    </w:p>
    <w:p w14:paraId="3715151D">
      <w:pPr>
        <w:pStyle w:val="9"/>
        <w:ind w:left="400"/>
        <w:rPr>
          <w:b/>
          <w:bCs/>
          <w:color w:val="auto"/>
        </w:rPr>
      </w:pPr>
    </w:p>
    <w:p w14:paraId="646935EB">
      <w:pPr>
        <w:pStyle w:val="9"/>
        <w:ind w:left="400"/>
        <w:rPr>
          <w:b/>
          <w:bCs/>
          <w:color w:val="auto"/>
        </w:rPr>
      </w:pPr>
    </w:p>
    <w:tbl>
      <w:tblPr>
        <w:tblStyle w:val="26"/>
        <w:tblW w:w="6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60"/>
      </w:tblGrid>
      <w:tr w14:paraId="5FE51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6360" w:type="dxa"/>
            <w:vAlign w:val="center"/>
          </w:tcPr>
          <w:p w14:paraId="232542C3">
            <w:pPr>
              <w:spacing w:line="440" w:lineRule="exact"/>
              <w:jc w:val="center"/>
              <w:rPr>
                <w:rFonts w:ascii="宋体" w:hAnsi="宋体" w:cs="宋体"/>
                <w:color w:val="auto"/>
                <w:szCs w:val="21"/>
              </w:rPr>
            </w:pPr>
            <w:r>
              <w:rPr>
                <w:rFonts w:hint="eastAsia" w:ascii="宋体" w:hAnsi="宋体" w:cs="宋体"/>
                <w:color w:val="auto"/>
                <w:szCs w:val="21"/>
              </w:rPr>
              <w:t>附：法定代表人身份证（正、反）</w:t>
            </w:r>
          </w:p>
        </w:tc>
      </w:tr>
    </w:tbl>
    <w:p w14:paraId="75471084">
      <w:pPr>
        <w:pStyle w:val="9"/>
        <w:rPr>
          <w:color w:val="auto"/>
          <w:sz w:val="20"/>
        </w:rPr>
      </w:pPr>
    </w:p>
    <w:p w14:paraId="4EA8F42F">
      <w:pPr>
        <w:pStyle w:val="9"/>
        <w:spacing w:before="7"/>
        <w:rPr>
          <w:color w:val="auto"/>
          <w:sz w:val="27"/>
        </w:rPr>
      </w:pPr>
    </w:p>
    <w:p w14:paraId="4E621715">
      <w:pPr>
        <w:pStyle w:val="9"/>
        <w:rPr>
          <w:color w:val="auto"/>
          <w:sz w:val="20"/>
        </w:rPr>
      </w:pPr>
    </w:p>
    <w:p w14:paraId="7415B02D">
      <w:pPr>
        <w:pStyle w:val="9"/>
        <w:rPr>
          <w:color w:val="auto"/>
          <w:sz w:val="20"/>
        </w:rPr>
      </w:pPr>
    </w:p>
    <w:p w14:paraId="4BE73CDA">
      <w:pPr>
        <w:rPr>
          <w:rFonts w:ascii="宋体" w:hAnsi="宋体" w:cs="宋体"/>
          <w:color w:val="auto"/>
          <w:sz w:val="20"/>
        </w:rPr>
      </w:pPr>
    </w:p>
    <w:p w14:paraId="511F2484">
      <w:pPr>
        <w:pStyle w:val="24"/>
        <w:ind w:firstLine="200"/>
        <w:rPr>
          <w:rFonts w:ascii="宋体" w:hAnsi="宋体"/>
          <w:color w:val="auto"/>
          <w:sz w:val="20"/>
        </w:rPr>
      </w:pPr>
    </w:p>
    <w:p w14:paraId="36F0F1D8">
      <w:pPr>
        <w:pStyle w:val="24"/>
        <w:ind w:firstLine="0" w:firstLineChars="0"/>
        <w:rPr>
          <w:rFonts w:ascii="宋体" w:hAnsi="宋体"/>
          <w:color w:val="auto"/>
          <w:sz w:val="20"/>
        </w:rPr>
      </w:pPr>
    </w:p>
    <w:p w14:paraId="0698E26E">
      <w:pPr>
        <w:pStyle w:val="9"/>
        <w:spacing w:before="1"/>
        <w:rPr>
          <w:color w:val="auto"/>
          <w:sz w:val="22"/>
        </w:rPr>
      </w:pPr>
    </w:p>
    <w:p w14:paraId="0EE48E01">
      <w:pPr>
        <w:jc w:val="center"/>
        <w:rPr>
          <w:rFonts w:ascii="宋体" w:hAnsi="宋体" w:cs="宋体"/>
          <w:color w:val="auto"/>
          <w:sz w:val="24"/>
        </w:rPr>
      </w:pPr>
      <w:r>
        <w:rPr>
          <w:rFonts w:hint="eastAsia" w:ascii="宋体" w:hAnsi="宋体" w:cs="宋体"/>
          <w:color w:val="auto"/>
          <w:sz w:val="24"/>
        </w:rPr>
        <w:t xml:space="preserve">                供应商名称：</w:t>
      </w:r>
      <w:r>
        <w:rPr>
          <w:rFonts w:hint="eastAsia" w:ascii="宋体" w:hAnsi="宋体" w:cs="宋体"/>
          <w:color w:val="auto"/>
          <w:sz w:val="24"/>
          <w:u w:val="single"/>
        </w:rPr>
        <w:t xml:space="preserve">                       </w:t>
      </w:r>
      <w:r>
        <w:rPr>
          <w:rFonts w:hint="eastAsia" w:ascii="宋体" w:hAnsi="宋体" w:cs="宋体"/>
          <w:color w:val="auto"/>
          <w:sz w:val="24"/>
        </w:rPr>
        <w:t xml:space="preserve">（电子签章） </w:t>
      </w:r>
    </w:p>
    <w:p w14:paraId="72596ADC">
      <w:pPr>
        <w:jc w:val="center"/>
        <w:rPr>
          <w:rFonts w:ascii="宋体" w:hAnsi="宋体" w:cs="宋体"/>
          <w:color w:val="auto"/>
          <w:sz w:val="24"/>
        </w:rPr>
      </w:pPr>
    </w:p>
    <w:p w14:paraId="16D87AA6">
      <w:pPr>
        <w:jc w:val="center"/>
        <w:rPr>
          <w:rFonts w:ascii="宋体" w:hAnsi="宋体" w:cs="宋体"/>
          <w:color w:val="auto"/>
          <w:sz w:val="24"/>
        </w:rPr>
      </w:pPr>
      <w:r>
        <w:rPr>
          <w:rFonts w:hint="eastAsia" w:ascii="宋体" w:hAnsi="宋体" w:cs="宋体"/>
          <w:color w:val="auto"/>
          <w:sz w:val="24"/>
        </w:rPr>
        <w:t xml:space="preserve">                 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（电子签章）</w:t>
      </w:r>
    </w:p>
    <w:p w14:paraId="49B1765B">
      <w:pPr>
        <w:pStyle w:val="39"/>
        <w:ind w:firstLine="520"/>
        <w:rPr>
          <w:rFonts w:ascii="宋体" w:hAnsi="宋体" w:cs="宋体"/>
          <w:color w:val="auto"/>
        </w:rPr>
      </w:pPr>
    </w:p>
    <w:p w14:paraId="71FE039A">
      <w:pPr>
        <w:jc w:val="center"/>
        <w:rPr>
          <w:rFonts w:ascii="宋体" w:hAnsi="宋体" w:cs="宋体"/>
          <w:color w:val="auto"/>
          <w:sz w:val="24"/>
        </w:rPr>
      </w:pPr>
      <w:r>
        <w:rPr>
          <w:rFonts w:hint="eastAsia" w:ascii="宋体" w:hAnsi="宋体" w:cs="宋体"/>
          <w:color w:val="auto"/>
          <w:sz w:val="24"/>
        </w:rPr>
        <w:t xml:space="preserve">           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14:paraId="44C0FB92">
      <w:pPr>
        <w:jc w:val="center"/>
        <w:rPr>
          <w:rFonts w:ascii="宋体" w:hAnsi="宋体" w:cs="宋体"/>
          <w:color w:val="auto"/>
          <w:sz w:val="24"/>
        </w:rPr>
      </w:pPr>
    </w:p>
    <w:p w14:paraId="280D7747">
      <w:pPr>
        <w:rPr>
          <w:rFonts w:ascii="宋体" w:hAnsi="宋体" w:cs="宋体"/>
          <w:color w:val="auto"/>
        </w:rPr>
        <w:sectPr>
          <w:headerReference r:id="rId8" w:type="default"/>
          <w:pgSz w:w="11850" w:h="16783"/>
          <w:pgMar w:top="1440" w:right="1800" w:bottom="1440" w:left="1800" w:header="680" w:footer="841" w:gutter="0"/>
          <w:pgNumType w:fmt="numberInDash"/>
          <w:cols w:space="720" w:num="1"/>
        </w:sectPr>
      </w:pPr>
    </w:p>
    <w:p w14:paraId="0DDB7B99">
      <w:pPr>
        <w:pStyle w:val="9"/>
        <w:tabs>
          <w:tab w:val="left" w:pos="2721"/>
          <w:tab w:val="left" w:pos="5885"/>
        </w:tabs>
        <w:jc w:val="center"/>
        <w:rPr>
          <w:b/>
          <w:color w:val="auto"/>
          <w:sz w:val="32"/>
          <w:szCs w:val="32"/>
        </w:rPr>
      </w:pPr>
      <w:r>
        <w:rPr>
          <w:rFonts w:hint="eastAsia"/>
          <w:b/>
          <w:color w:val="auto"/>
          <w:sz w:val="32"/>
          <w:szCs w:val="32"/>
        </w:rPr>
        <w:t>授权委托书</w:t>
      </w:r>
    </w:p>
    <w:p w14:paraId="1B9A1D7E">
      <w:pPr>
        <w:rPr>
          <w:rFonts w:ascii="宋体" w:hAnsi="宋体" w:cs="宋体"/>
          <w:color w:val="auto"/>
          <w:sz w:val="32"/>
          <w:szCs w:val="32"/>
        </w:rPr>
      </w:pPr>
    </w:p>
    <w:p w14:paraId="6FD12D67">
      <w:pPr>
        <w:pStyle w:val="24"/>
        <w:ind w:firstLine="210"/>
        <w:rPr>
          <w:rFonts w:ascii="宋体" w:hAnsi="宋体"/>
          <w:color w:val="auto"/>
        </w:rPr>
      </w:pPr>
    </w:p>
    <w:p w14:paraId="5DE15A38">
      <w:pPr>
        <w:spacing w:line="480" w:lineRule="auto"/>
        <w:ind w:firstLine="480" w:firstLineChars="200"/>
        <w:rPr>
          <w:rFonts w:ascii="宋体" w:hAnsi="宋体" w:cs="宋体"/>
          <w:color w:val="auto"/>
          <w:sz w:val="24"/>
        </w:rPr>
      </w:pPr>
      <w:r>
        <w:rPr>
          <w:rFonts w:hint="eastAsia" w:ascii="宋体" w:hAnsi="宋体" w:cs="宋体"/>
          <w:color w:val="auto"/>
          <w:sz w:val="24"/>
        </w:rPr>
        <w:t xml:space="preserve"> 本授权委托声明：本人 </w:t>
      </w:r>
      <w:r>
        <w:rPr>
          <w:rFonts w:hint="eastAsia" w:ascii="宋体" w:hAnsi="宋体" w:cs="宋体"/>
          <w:color w:val="auto"/>
          <w:sz w:val="24"/>
          <w:u w:val="single"/>
        </w:rPr>
        <w:t xml:space="preserve">  （姓名）   </w:t>
      </w:r>
      <w:r>
        <w:rPr>
          <w:rFonts w:hint="eastAsia" w:ascii="宋体" w:hAnsi="宋体" w:cs="宋体"/>
          <w:color w:val="auto"/>
          <w:sz w:val="24"/>
        </w:rPr>
        <w:t>系</w:t>
      </w:r>
      <w:r>
        <w:rPr>
          <w:rFonts w:hint="eastAsia" w:ascii="宋体" w:hAnsi="宋体" w:cs="宋体"/>
          <w:color w:val="auto"/>
          <w:sz w:val="24"/>
          <w:u w:val="single"/>
        </w:rPr>
        <w:t xml:space="preserve">      （供应商全称）  </w:t>
      </w:r>
      <w:r>
        <w:rPr>
          <w:rFonts w:hint="eastAsia" w:ascii="宋体" w:hAnsi="宋体" w:cs="宋体"/>
          <w:color w:val="auto"/>
          <w:sz w:val="24"/>
        </w:rPr>
        <w:t>的法定代表人或负责人，现授权委托</w:t>
      </w:r>
      <w:r>
        <w:rPr>
          <w:rFonts w:hint="eastAsia" w:ascii="宋体" w:hAnsi="宋体" w:cs="宋体"/>
          <w:color w:val="auto"/>
          <w:sz w:val="24"/>
          <w:u w:val="single"/>
        </w:rPr>
        <w:t xml:space="preserve">    （姓名）   </w:t>
      </w:r>
      <w:r>
        <w:rPr>
          <w:rFonts w:hint="eastAsia" w:ascii="宋体" w:hAnsi="宋体" w:cs="宋体"/>
          <w:color w:val="auto"/>
          <w:sz w:val="24"/>
        </w:rPr>
        <w:t>为我单位代理人，参加</w:t>
      </w:r>
      <w:r>
        <w:rPr>
          <w:rFonts w:hint="eastAsia" w:ascii="宋体" w:hAnsi="宋体" w:cs="宋体"/>
          <w:color w:val="auto"/>
          <w:sz w:val="24"/>
          <w:u w:val="single"/>
        </w:rPr>
        <w:t xml:space="preserve">     （项目名称）     </w:t>
      </w:r>
      <w:r>
        <w:rPr>
          <w:rFonts w:hint="eastAsia" w:ascii="宋体" w:hAnsi="宋体" w:cs="宋体"/>
          <w:color w:val="auto"/>
          <w:sz w:val="24"/>
        </w:rPr>
        <w:t>的投标活动。代理人在开标、评标、合同谈判过程中所签署的一切文件和处理与之有关的一切事宜，我均予以承认。</w:t>
      </w:r>
    </w:p>
    <w:p w14:paraId="6DBECD86">
      <w:pPr>
        <w:spacing w:line="360" w:lineRule="auto"/>
        <w:ind w:firstLine="480" w:firstLineChars="200"/>
        <w:rPr>
          <w:rFonts w:ascii="宋体" w:hAnsi="宋体" w:cs="宋体"/>
          <w:color w:val="auto"/>
          <w:sz w:val="24"/>
        </w:rPr>
      </w:pPr>
      <w:r>
        <w:rPr>
          <w:rFonts w:hint="eastAsia" w:ascii="宋体" w:hAnsi="宋体" w:cs="宋体"/>
          <w:color w:val="auto"/>
          <w:sz w:val="24"/>
        </w:rPr>
        <w:t>委托期限：</w:t>
      </w:r>
      <w:r>
        <w:rPr>
          <w:rFonts w:hint="eastAsia" w:ascii="宋体" w:hAnsi="宋体" w:cs="宋体"/>
          <w:color w:val="auto"/>
          <w:sz w:val="24"/>
          <w:u w:val="single"/>
        </w:rPr>
        <w:t xml:space="preserve">自本授权委托书签署之日起至投标有效期结束为止 </w:t>
      </w:r>
      <w:r>
        <w:rPr>
          <w:rFonts w:hint="eastAsia" w:ascii="宋体" w:hAnsi="宋体" w:cs="宋体"/>
          <w:color w:val="auto"/>
          <w:sz w:val="24"/>
        </w:rPr>
        <w:t>。</w:t>
      </w:r>
    </w:p>
    <w:p w14:paraId="77DBEBEE">
      <w:pPr>
        <w:pStyle w:val="39"/>
        <w:ind w:firstLine="520"/>
        <w:rPr>
          <w:rFonts w:ascii="宋体" w:hAnsi="宋体" w:cs="宋体"/>
          <w:color w:val="auto"/>
        </w:rPr>
      </w:pPr>
    </w:p>
    <w:p w14:paraId="21427AEA">
      <w:pPr>
        <w:ind w:firstLine="480" w:firstLineChars="200"/>
        <w:rPr>
          <w:rFonts w:ascii="宋体" w:hAnsi="宋体" w:cs="宋体"/>
          <w:color w:val="auto"/>
          <w:sz w:val="20"/>
          <w:u w:val="single"/>
        </w:rPr>
      </w:pPr>
      <w:r>
        <w:rPr>
          <w:rFonts w:hint="eastAsia" w:ascii="宋体" w:hAnsi="宋体" w:cs="宋体"/>
          <w:color w:val="auto"/>
          <w:sz w:val="24"/>
        </w:rPr>
        <w:t>委托代理人联系电话</w:t>
      </w:r>
      <w:r>
        <w:rPr>
          <w:rFonts w:hint="eastAsia" w:ascii="宋体" w:hAnsi="宋体" w:cs="宋体"/>
          <w:color w:val="auto"/>
        </w:rPr>
        <w:t>：</w:t>
      </w:r>
      <w:r>
        <w:rPr>
          <w:rFonts w:hint="eastAsia" w:ascii="宋体" w:hAnsi="宋体" w:cs="宋体"/>
          <w:color w:val="auto"/>
          <w:u w:val="single"/>
        </w:rPr>
        <w:t xml:space="preserve">                </w:t>
      </w:r>
      <w:r>
        <w:rPr>
          <w:rFonts w:hint="eastAsia" w:ascii="宋体" w:hAnsi="宋体" w:cs="宋体"/>
          <w:color w:val="auto"/>
          <w:sz w:val="20"/>
        </w:rPr>
        <w:t xml:space="preserve">    </w:t>
      </w:r>
      <w:r>
        <w:rPr>
          <w:rFonts w:hint="eastAsia" w:ascii="宋体" w:hAnsi="宋体" w:cs="宋体"/>
          <w:color w:val="auto"/>
          <w:sz w:val="24"/>
        </w:rPr>
        <w:t xml:space="preserve"> 公司邮箱： </w:t>
      </w:r>
      <w:r>
        <w:rPr>
          <w:rFonts w:hint="eastAsia" w:ascii="宋体" w:hAnsi="宋体" w:cs="宋体"/>
          <w:color w:val="auto"/>
          <w:sz w:val="20"/>
          <w:u w:val="single"/>
        </w:rPr>
        <w:t xml:space="preserve">                    </w:t>
      </w:r>
    </w:p>
    <w:p w14:paraId="5FAE92F7">
      <w:pPr>
        <w:pStyle w:val="9"/>
        <w:spacing w:before="9"/>
        <w:rPr>
          <w:color w:val="auto"/>
          <w:sz w:val="27"/>
        </w:rPr>
      </w:pPr>
    </w:p>
    <w:p w14:paraId="382FFBBA">
      <w:pPr>
        <w:pStyle w:val="9"/>
        <w:ind w:left="400"/>
        <w:rPr>
          <w:b/>
          <w:bCs/>
          <w:color w:val="auto"/>
          <w:sz w:val="24"/>
          <w:szCs w:val="24"/>
        </w:rPr>
      </w:pPr>
    </w:p>
    <w:p w14:paraId="66E7402C">
      <w:pPr>
        <w:pStyle w:val="9"/>
        <w:spacing w:before="1" w:line="391" w:lineRule="auto"/>
        <w:ind w:left="400" w:right="-110"/>
        <w:rPr>
          <w:color w:val="auto"/>
          <w:sz w:val="24"/>
        </w:rPr>
      </w:pPr>
      <w:r>
        <w:rPr>
          <w:rFonts w:hint="eastAsia"/>
          <w:color w:val="auto"/>
        </w:rPr>
        <w:t>注：</w:t>
      </w:r>
      <w:r>
        <w:rPr>
          <w:rFonts w:hint="eastAsia"/>
          <w:color w:val="auto"/>
          <w:sz w:val="24"/>
        </w:rPr>
        <w:t xml:space="preserve"> </w:t>
      </w:r>
      <w:r>
        <w:rPr>
          <w:rFonts w:hint="eastAsia"/>
          <w:color w:val="auto"/>
        </w:rPr>
        <w:t>投标人“法定代表人”直接参加投标及签署相关文件的无须提供该授权委托书</w:t>
      </w:r>
    </w:p>
    <w:p w14:paraId="3C0C0BE4">
      <w:pPr>
        <w:rPr>
          <w:rFonts w:ascii="宋体" w:hAnsi="宋体" w:cs="宋体"/>
          <w:b/>
          <w:bCs/>
          <w:color w:val="auto"/>
          <w:sz w:val="24"/>
        </w:rPr>
      </w:pPr>
    </w:p>
    <w:p w14:paraId="61C7A69C">
      <w:pPr>
        <w:pStyle w:val="39"/>
        <w:ind w:firstLine="520"/>
        <w:rPr>
          <w:rFonts w:ascii="宋体" w:hAnsi="宋体" w:cs="宋体"/>
          <w:color w:val="auto"/>
        </w:rPr>
      </w:pPr>
    </w:p>
    <w:tbl>
      <w:tblPr>
        <w:tblStyle w:val="26"/>
        <w:tblW w:w="89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50"/>
        <w:gridCol w:w="4450"/>
      </w:tblGrid>
      <w:tr w14:paraId="5847A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4450" w:type="dxa"/>
            <w:vAlign w:val="center"/>
          </w:tcPr>
          <w:p w14:paraId="3673E55E">
            <w:pPr>
              <w:spacing w:line="440" w:lineRule="exact"/>
              <w:jc w:val="center"/>
              <w:rPr>
                <w:rFonts w:ascii="宋体" w:hAnsi="宋体" w:cs="宋体"/>
                <w:color w:val="auto"/>
                <w:szCs w:val="21"/>
              </w:rPr>
            </w:pPr>
            <w:r>
              <w:rPr>
                <w:rFonts w:hint="eastAsia" w:ascii="宋体" w:hAnsi="宋体" w:cs="宋体"/>
                <w:color w:val="auto"/>
                <w:szCs w:val="21"/>
              </w:rPr>
              <w:t>附：法定代表人身份证（正、反）</w:t>
            </w:r>
          </w:p>
        </w:tc>
        <w:tc>
          <w:tcPr>
            <w:tcW w:w="4450" w:type="dxa"/>
            <w:vAlign w:val="center"/>
          </w:tcPr>
          <w:p w14:paraId="55193126">
            <w:pPr>
              <w:spacing w:line="440" w:lineRule="exact"/>
              <w:jc w:val="center"/>
              <w:rPr>
                <w:rFonts w:ascii="宋体" w:hAnsi="宋体" w:cs="宋体"/>
                <w:color w:val="auto"/>
                <w:szCs w:val="21"/>
              </w:rPr>
            </w:pPr>
            <w:r>
              <w:rPr>
                <w:rFonts w:hint="eastAsia" w:ascii="宋体" w:hAnsi="宋体" w:cs="宋体"/>
                <w:color w:val="auto"/>
                <w:szCs w:val="21"/>
              </w:rPr>
              <w:t>附：委托代理人身份证（正、反）</w:t>
            </w:r>
          </w:p>
        </w:tc>
      </w:tr>
    </w:tbl>
    <w:p w14:paraId="058F91F3">
      <w:pPr>
        <w:pStyle w:val="9"/>
        <w:ind w:left="400"/>
        <w:rPr>
          <w:b/>
          <w:bCs/>
          <w:color w:val="auto"/>
          <w:sz w:val="24"/>
          <w:szCs w:val="24"/>
        </w:rPr>
      </w:pPr>
    </w:p>
    <w:p w14:paraId="5D9D6C13">
      <w:pPr>
        <w:pStyle w:val="9"/>
        <w:ind w:left="400"/>
        <w:rPr>
          <w:b/>
          <w:bCs/>
          <w:color w:val="auto"/>
          <w:sz w:val="24"/>
          <w:szCs w:val="24"/>
        </w:rPr>
      </w:pPr>
    </w:p>
    <w:p w14:paraId="6DC6EA7B">
      <w:pPr>
        <w:pStyle w:val="9"/>
        <w:rPr>
          <w:color w:val="auto"/>
          <w:sz w:val="20"/>
        </w:rPr>
      </w:pPr>
    </w:p>
    <w:p w14:paraId="090C1E7C">
      <w:pPr>
        <w:pStyle w:val="45"/>
        <w:rPr>
          <w:rFonts w:ascii="宋体" w:hAnsi="宋体" w:cs="宋体"/>
          <w:color w:val="auto"/>
        </w:rPr>
      </w:pPr>
    </w:p>
    <w:p w14:paraId="2B3087BE">
      <w:pPr>
        <w:pStyle w:val="9"/>
        <w:spacing w:before="7"/>
        <w:rPr>
          <w:color w:val="auto"/>
          <w:sz w:val="14"/>
        </w:rPr>
      </w:pPr>
    </w:p>
    <w:p w14:paraId="152343BE">
      <w:pPr>
        <w:jc w:val="center"/>
        <w:rPr>
          <w:rFonts w:ascii="宋体" w:hAnsi="宋体" w:cs="宋体"/>
          <w:color w:val="auto"/>
          <w:sz w:val="24"/>
        </w:rPr>
      </w:pPr>
      <w:r>
        <w:rPr>
          <w:rFonts w:hint="eastAsia" w:ascii="宋体" w:hAnsi="宋体" w:cs="宋体"/>
          <w:color w:val="auto"/>
          <w:sz w:val="24"/>
        </w:rPr>
        <w:t xml:space="preserve">              供应商名称：</w:t>
      </w:r>
      <w:r>
        <w:rPr>
          <w:rFonts w:hint="eastAsia" w:ascii="宋体" w:hAnsi="宋体" w:cs="宋体"/>
          <w:color w:val="auto"/>
          <w:sz w:val="24"/>
          <w:u w:val="single"/>
        </w:rPr>
        <w:t xml:space="preserve">                       </w:t>
      </w:r>
      <w:r>
        <w:rPr>
          <w:rFonts w:hint="eastAsia" w:ascii="宋体" w:hAnsi="宋体" w:cs="宋体"/>
          <w:color w:val="auto"/>
          <w:sz w:val="24"/>
        </w:rPr>
        <w:t xml:space="preserve">（电子签章） </w:t>
      </w:r>
    </w:p>
    <w:p w14:paraId="5798F722">
      <w:pPr>
        <w:jc w:val="center"/>
        <w:rPr>
          <w:rFonts w:ascii="宋体" w:hAnsi="宋体" w:cs="宋体"/>
          <w:color w:val="auto"/>
          <w:sz w:val="24"/>
        </w:rPr>
      </w:pPr>
    </w:p>
    <w:p w14:paraId="6E2FD93F">
      <w:pPr>
        <w:jc w:val="center"/>
        <w:rPr>
          <w:rFonts w:ascii="宋体" w:hAnsi="宋体" w:cs="宋体"/>
          <w:color w:val="auto"/>
          <w:sz w:val="24"/>
        </w:rPr>
      </w:pPr>
      <w:r>
        <w:rPr>
          <w:rFonts w:hint="eastAsia" w:ascii="宋体" w:hAnsi="宋体" w:cs="宋体"/>
          <w:color w:val="auto"/>
          <w:sz w:val="24"/>
        </w:rPr>
        <w:t xml:space="preserve">                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（电子签章）</w:t>
      </w:r>
    </w:p>
    <w:p w14:paraId="5C0CA43B">
      <w:pPr>
        <w:pStyle w:val="39"/>
        <w:ind w:firstLine="520"/>
        <w:rPr>
          <w:rFonts w:ascii="宋体" w:hAnsi="宋体" w:cs="宋体"/>
          <w:color w:val="auto"/>
        </w:rPr>
      </w:pPr>
    </w:p>
    <w:p w14:paraId="36B2B002">
      <w:pPr>
        <w:jc w:val="center"/>
        <w:rPr>
          <w:rFonts w:ascii="宋体" w:hAnsi="宋体" w:cs="宋体"/>
          <w:color w:val="auto"/>
          <w:sz w:val="24"/>
        </w:rPr>
      </w:pPr>
      <w:r>
        <w:rPr>
          <w:rFonts w:hint="eastAsia" w:ascii="宋体" w:hAnsi="宋体" w:cs="宋体"/>
          <w:color w:val="auto"/>
          <w:sz w:val="24"/>
        </w:rPr>
        <w:t xml:space="preserve">           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14:paraId="01D6503E">
      <w:pPr>
        <w:jc w:val="center"/>
        <w:rPr>
          <w:rFonts w:ascii="宋体" w:hAnsi="宋体" w:cs="宋体"/>
          <w:color w:val="auto"/>
          <w:sz w:val="24"/>
        </w:rPr>
      </w:pPr>
    </w:p>
    <w:p w14:paraId="245329D6">
      <w:pPr>
        <w:pStyle w:val="14"/>
        <w:ind w:left="860" w:hanging="440"/>
        <w:rPr>
          <w:color w:val="auto"/>
          <w:lang w:val="en-US"/>
        </w:rPr>
      </w:pPr>
    </w:p>
    <w:p w14:paraId="510690DE">
      <w:pPr>
        <w:jc w:val="center"/>
        <w:rPr>
          <w:rFonts w:ascii="宋体" w:hAnsi="宋体" w:cs="宋体"/>
          <w:color w:val="auto"/>
          <w:sz w:val="24"/>
          <w:u w:val="single"/>
        </w:rPr>
      </w:pPr>
      <w:r>
        <w:rPr>
          <w:rFonts w:hint="eastAsia" w:ascii="宋体" w:hAnsi="宋体" w:cs="宋体"/>
          <w:color w:val="auto"/>
          <w:sz w:val="24"/>
        </w:rPr>
        <w:t xml:space="preserve">  </w:t>
      </w:r>
    </w:p>
    <w:p w14:paraId="634F6238">
      <w:pPr>
        <w:jc w:val="center"/>
        <w:rPr>
          <w:rFonts w:ascii="宋体" w:hAnsi="宋体" w:cs="宋体"/>
          <w:color w:val="auto"/>
          <w:sz w:val="24"/>
        </w:rPr>
        <w:sectPr>
          <w:pgSz w:w="11850" w:h="16783"/>
          <w:pgMar w:top="1440" w:right="1800" w:bottom="1440" w:left="1800" w:header="680" w:footer="841" w:gutter="0"/>
          <w:pgNumType w:fmt="numberInDash"/>
          <w:cols w:space="720" w:num="1"/>
        </w:sectPr>
      </w:pPr>
    </w:p>
    <w:p w14:paraId="54E25DE8">
      <w:pPr>
        <w:jc w:val="center"/>
        <w:rPr>
          <w:rFonts w:ascii="宋体" w:hAnsi="宋体" w:cs="宋体"/>
          <w:b/>
          <w:color w:val="auto"/>
          <w:sz w:val="32"/>
        </w:rPr>
      </w:pPr>
      <w:r>
        <w:rPr>
          <w:rFonts w:hint="eastAsia" w:ascii="宋体" w:hAnsi="宋体" w:cs="宋体"/>
          <w:b/>
          <w:color w:val="auto"/>
          <w:sz w:val="32"/>
        </w:rPr>
        <w:t>四、投标分项报价表</w:t>
      </w:r>
    </w:p>
    <w:tbl>
      <w:tblPr>
        <w:tblStyle w:val="26"/>
        <w:tblpPr w:leftFromText="180" w:rightFromText="180" w:vertAnchor="text" w:horzAnchor="page" w:tblpX="1650" w:tblpY="302"/>
        <w:tblOverlap w:val="never"/>
        <w:tblW w:w="937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581"/>
        <w:gridCol w:w="1123"/>
        <w:gridCol w:w="905"/>
        <w:gridCol w:w="1169"/>
        <w:gridCol w:w="1065"/>
        <w:gridCol w:w="767"/>
        <w:gridCol w:w="767"/>
        <w:gridCol w:w="742"/>
        <w:gridCol w:w="767"/>
        <w:gridCol w:w="789"/>
        <w:gridCol w:w="698"/>
      </w:tblGrid>
      <w:tr w14:paraId="5EE1E477">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604" w:hRule="atLeast"/>
        </w:trPr>
        <w:tc>
          <w:tcPr>
            <w:tcW w:w="581" w:type="dxa"/>
            <w:tcBorders>
              <w:top w:val="single" w:color="auto" w:sz="12" w:space="0"/>
            </w:tcBorders>
            <w:vAlign w:val="center"/>
          </w:tcPr>
          <w:p w14:paraId="7400600E">
            <w:pPr>
              <w:spacing w:line="300" w:lineRule="exact"/>
              <w:jc w:val="center"/>
              <w:rPr>
                <w:rFonts w:ascii="宋体" w:hAnsi="宋体" w:cs="宋体"/>
                <w:color w:val="auto"/>
                <w:kern w:val="0"/>
                <w:szCs w:val="21"/>
              </w:rPr>
            </w:pPr>
            <w:r>
              <w:rPr>
                <w:rFonts w:hint="eastAsia" w:ascii="宋体" w:hAnsi="宋体" w:cs="宋体"/>
                <w:color w:val="auto"/>
                <w:kern w:val="0"/>
                <w:szCs w:val="21"/>
              </w:rPr>
              <w:t>序号</w:t>
            </w:r>
          </w:p>
        </w:tc>
        <w:tc>
          <w:tcPr>
            <w:tcW w:w="1123" w:type="dxa"/>
            <w:tcBorders>
              <w:top w:val="single" w:color="auto" w:sz="12" w:space="0"/>
            </w:tcBorders>
            <w:vAlign w:val="center"/>
          </w:tcPr>
          <w:p w14:paraId="1815C27A">
            <w:pPr>
              <w:snapToGrid w:val="0"/>
              <w:spacing w:line="400" w:lineRule="exact"/>
              <w:jc w:val="center"/>
              <w:rPr>
                <w:rFonts w:ascii="宋体" w:hAnsi="宋体" w:cs="宋体"/>
                <w:color w:val="auto"/>
                <w:szCs w:val="21"/>
              </w:rPr>
            </w:pPr>
            <w:r>
              <w:rPr>
                <w:rFonts w:hint="eastAsia" w:ascii="宋体" w:hAnsi="宋体" w:cs="宋体"/>
                <w:color w:val="auto"/>
                <w:szCs w:val="21"/>
                <w:lang w:eastAsia="zh-CN"/>
              </w:rPr>
              <w:t>货物</w:t>
            </w:r>
            <w:r>
              <w:rPr>
                <w:rFonts w:hint="eastAsia" w:ascii="宋体" w:hAnsi="宋体" w:cs="宋体"/>
                <w:color w:val="auto"/>
                <w:szCs w:val="21"/>
              </w:rPr>
              <w:t>名称</w:t>
            </w:r>
          </w:p>
        </w:tc>
        <w:tc>
          <w:tcPr>
            <w:tcW w:w="905" w:type="dxa"/>
            <w:tcBorders>
              <w:top w:val="single" w:color="auto" w:sz="12" w:space="0"/>
            </w:tcBorders>
            <w:vAlign w:val="center"/>
          </w:tcPr>
          <w:p w14:paraId="781A6432">
            <w:pPr>
              <w:snapToGrid w:val="0"/>
              <w:spacing w:line="400" w:lineRule="exact"/>
              <w:jc w:val="center"/>
              <w:rPr>
                <w:rFonts w:ascii="宋体" w:hAnsi="宋体" w:cs="宋体"/>
                <w:color w:val="auto"/>
                <w:szCs w:val="21"/>
              </w:rPr>
            </w:pPr>
            <w:r>
              <w:rPr>
                <w:rFonts w:hint="eastAsia" w:ascii="宋体" w:hAnsi="宋体" w:cs="宋体"/>
                <w:color w:val="auto"/>
                <w:szCs w:val="21"/>
              </w:rPr>
              <w:t>品牌</w:t>
            </w:r>
          </w:p>
        </w:tc>
        <w:tc>
          <w:tcPr>
            <w:tcW w:w="1169" w:type="dxa"/>
            <w:tcBorders>
              <w:top w:val="single" w:color="auto" w:sz="12" w:space="0"/>
            </w:tcBorders>
            <w:vAlign w:val="center"/>
          </w:tcPr>
          <w:p w14:paraId="55A7CAEA">
            <w:pPr>
              <w:snapToGrid w:val="0"/>
              <w:spacing w:line="400" w:lineRule="exact"/>
              <w:jc w:val="center"/>
              <w:rPr>
                <w:rFonts w:ascii="宋体" w:hAnsi="宋体" w:cs="宋体"/>
                <w:color w:val="auto"/>
                <w:szCs w:val="21"/>
              </w:rPr>
            </w:pPr>
            <w:r>
              <w:rPr>
                <w:rFonts w:hint="eastAsia" w:ascii="宋体" w:hAnsi="宋体" w:cs="宋体"/>
                <w:color w:val="auto"/>
                <w:szCs w:val="21"/>
              </w:rPr>
              <w:t>规格型号</w:t>
            </w:r>
          </w:p>
        </w:tc>
        <w:tc>
          <w:tcPr>
            <w:tcW w:w="1065" w:type="dxa"/>
            <w:tcBorders>
              <w:top w:val="single" w:color="auto" w:sz="12" w:space="0"/>
            </w:tcBorders>
            <w:vAlign w:val="center"/>
          </w:tcPr>
          <w:p w14:paraId="18796533">
            <w:pPr>
              <w:snapToGrid w:val="0"/>
              <w:spacing w:line="400" w:lineRule="exact"/>
              <w:jc w:val="center"/>
              <w:rPr>
                <w:rFonts w:ascii="宋体" w:hAnsi="宋体" w:cs="宋体"/>
                <w:color w:val="auto"/>
                <w:szCs w:val="21"/>
              </w:rPr>
            </w:pPr>
            <w:r>
              <w:rPr>
                <w:rFonts w:hint="eastAsia" w:ascii="宋体" w:hAnsi="宋体" w:cs="宋体"/>
                <w:color w:val="auto"/>
                <w:szCs w:val="21"/>
              </w:rPr>
              <w:t>生产厂家</w:t>
            </w:r>
          </w:p>
        </w:tc>
        <w:tc>
          <w:tcPr>
            <w:tcW w:w="767" w:type="dxa"/>
            <w:tcBorders>
              <w:top w:val="single" w:color="auto" w:sz="12" w:space="0"/>
            </w:tcBorders>
            <w:vAlign w:val="center"/>
          </w:tcPr>
          <w:p w14:paraId="55D4ACC8">
            <w:pPr>
              <w:snapToGrid w:val="0"/>
              <w:spacing w:line="400" w:lineRule="exact"/>
              <w:jc w:val="center"/>
              <w:rPr>
                <w:rFonts w:ascii="宋体" w:hAnsi="宋体" w:cs="宋体"/>
                <w:color w:val="auto"/>
                <w:szCs w:val="21"/>
              </w:rPr>
            </w:pPr>
            <w:r>
              <w:rPr>
                <w:rFonts w:hint="eastAsia" w:ascii="宋体" w:hAnsi="宋体" w:cs="宋体"/>
                <w:color w:val="auto"/>
                <w:szCs w:val="21"/>
              </w:rPr>
              <w:t>产地</w:t>
            </w:r>
          </w:p>
        </w:tc>
        <w:tc>
          <w:tcPr>
            <w:tcW w:w="767" w:type="dxa"/>
            <w:tcBorders>
              <w:top w:val="single" w:color="auto" w:sz="12" w:space="0"/>
            </w:tcBorders>
            <w:vAlign w:val="center"/>
          </w:tcPr>
          <w:p w14:paraId="6FE20398">
            <w:pPr>
              <w:snapToGrid w:val="0"/>
              <w:spacing w:line="400" w:lineRule="exact"/>
              <w:jc w:val="center"/>
              <w:rPr>
                <w:rFonts w:ascii="宋体" w:hAnsi="宋体" w:cs="宋体"/>
                <w:color w:val="auto"/>
                <w:szCs w:val="21"/>
              </w:rPr>
            </w:pPr>
            <w:r>
              <w:rPr>
                <w:rFonts w:hint="eastAsia" w:ascii="宋体" w:hAnsi="宋体" w:cs="宋体"/>
                <w:color w:val="auto"/>
                <w:kern w:val="0"/>
                <w:szCs w:val="21"/>
              </w:rPr>
              <w:t>数量</w:t>
            </w:r>
          </w:p>
        </w:tc>
        <w:tc>
          <w:tcPr>
            <w:tcW w:w="742" w:type="dxa"/>
            <w:tcBorders>
              <w:top w:val="single" w:color="auto" w:sz="12" w:space="0"/>
            </w:tcBorders>
            <w:vAlign w:val="center"/>
          </w:tcPr>
          <w:p w14:paraId="72303B69">
            <w:pPr>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单位</w:t>
            </w:r>
          </w:p>
        </w:tc>
        <w:tc>
          <w:tcPr>
            <w:tcW w:w="767" w:type="dxa"/>
            <w:tcBorders>
              <w:top w:val="single" w:color="auto" w:sz="12" w:space="0"/>
            </w:tcBorders>
            <w:vAlign w:val="center"/>
          </w:tcPr>
          <w:p w14:paraId="164F5AA5">
            <w:pPr>
              <w:widowControl/>
              <w:spacing w:line="300" w:lineRule="exact"/>
              <w:jc w:val="center"/>
              <w:rPr>
                <w:rFonts w:ascii="宋体" w:hAnsi="宋体" w:cs="宋体"/>
                <w:color w:val="auto"/>
                <w:kern w:val="0"/>
                <w:szCs w:val="21"/>
              </w:rPr>
            </w:pPr>
            <w:r>
              <w:rPr>
                <w:rFonts w:hint="eastAsia" w:ascii="宋体" w:hAnsi="宋体" w:cs="宋体"/>
                <w:color w:val="auto"/>
                <w:kern w:val="0"/>
                <w:szCs w:val="21"/>
              </w:rPr>
              <w:t>单价</w:t>
            </w:r>
          </w:p>
          <w:p w14:paraId="4246C5C9">
            <w:pPr>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（元）</w:t>
            </w:r>
          </w:p>
        </w:tc>
        <w:tc>
          <w:tcPr>
            <w:tcW w:w="789" w:type="dxa"/>
            <w:tcBorders>
              <w:top w:val="single" w:color="auto" w:sz="12" w:space="0"/>
            </w:tcBorders>
            <w:vAlign w:val="center"/>
          </w:tcPr>
          <w:p w14:paraId="34786E2B">
            <w:pPr>
              <w:widowControl/>
              <w:spacing w:line="300" w:lineRule="exact"/>
              <w:jc w:val="center"/>
              <w:rPr>
                <w:rFonts w:ascii="宋体" w:hAnsi="宋体" w:cs="宋体"/>
                <w:color w:val="auto"/>
                <w:kern w:val="0"/>
                <w:szCs w:val="21"/>
              </w:rPr>
            </w:pPr>
            <w:r>
              <w:rPr>
                <w:rFonts w:hint="eastAsia" w:ascii="宋体" w:hAnsi="宋体" w:cs="宋体"/>
                <w:color w:val="auto"/>
                <w:kern w:val="0"/>
                <w:szCs w:val="21"/>
              </w:rPr>
              <w:t>合价</w:t>
            </w:r>
          </w:p>
          <w:p w14:paraId="0298A336">
            <w:pPr>
              <w:widowControl/>
              <w:spacing w:line="300" w:lineRule="exact"/>
              <w:jc w:val="center"/>
              <w:rPr>
                <w:rFonts w:ascii="宋体" w:hAnsi="宋体" w:cs="宋体"/>
                <w:color w:val="auto"/>
                <w:kern w:val="0"/>
                <w:szCs w:val="21"/>
              </w:rPr>
            </w:pPr>
            <w:r>
              <w:rPr>
                <w:rFonts w:hint="eastAsia" w:ascii="宋体" w:hAnsi="宋体" w:cs="宋体"/>
                <w:color w:val="auto"/>
                <w:kern w:val="0"/>
                <w:szCs w:val="21"/>
              </w:rPr>
              <w:t>（元）</w:t>
            </w:r>
          </w:p>
        </w:tc>
        <w:tc>
          <w:tcPr>
            <w:tcW w:w="698" w:type="dxa"/>
            <w:tcBorders>
              <w:top w:val="single" w:color="auto" w:sz="12" w:space="0"/>
            </w:tcBorders>
            <w:vAlign w:val="center"/>
          </w:tcPr>
          <w:p w14:paraId="32F1E5CA">
            <w:pPr>
              <w:widowControl/>
              <w:spacing w:line="300" w:lineRule="exact"/>
              <w:jc w:val="center"/>
              <w:rPr>
                <w:rFonts w:ascii="宋体" w:hAnsi="宋体" w:cs="宋体"/>
                <w:color w:val="auto"/>
                <w:kern w:val="0"/>
                <w:szCs w:val="21"/>
              </w:rPr>
            </w:pPr>
            <w:r>
              <w:rPr>
                <w:rFonts w:hint="eastAsia" w:ascii="宋体" w:hAnsi="宋体" w:cs="宋体"/>
                <w:color w:val="auto"/>
                <w:kern w:val="0"/>
                <w:szCs w:val="21"/>
              </w:rPr>
              <w:t>备注</w:t>
            </w:r>
          </w:p>
        </w:tc>
      </w:tr>
      <w:tr w14:paraId="7F848535">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672" w:hRule="atLeast"/>
        </w:trPr>
        <w:tc>
          <w:tcPr>
            <w:tcW w:w="581" w:type="dxa"/>
            <w:vAlign w:val="center"/>
          </w:tcPr>
          <w:p w14:paraId="7F3A5D43">
            <w:pPr>
              <w:spacing w:line="300" w:lineRule="exact"/>
              <w:jc w:val="center"/>
              <w:rPr>
                <w:rFonts w:ascii="宋体" w:hAnsi="宋体" w:cs="宋体"/>
                <w:color w:val="auto"/>
                <w:kern w:val="0"/>
                <w:szCs w:val="21"/>
              </w:rPr>
            </w:pPr>
            <w:r>
              <w:rPr>
                <w:rFonts w:hint="eastAsia" w:ascii="宋体" w:hAnsi="宋体" w:cs="宋体"/>
                <w:color w:val="auto"/>
                <w:kern w:val="0"/>
                <w:szCs w:val="21"/>
              </w:rPr>
              <w:t>1</w:t>
            </w:r>
          </w:p>
        </w:tc>
        <w:tc>
          <w:tcPr>
            <w:tcW w:w="1123" w:type="dxa"/>
            <w:vAlign w:val="center"/>
          </w:tcPr>
          <w:p w14:paraId="4DC1AE9F">
            <w:pPr>
              <w:spacing w:line="300" w:lineRule="exact"/>
              <w:jc w:val="center"/>
              <w:rPr>
                <w:rFonts w:ascii="宋体" w:hAnsi="宋体" w:cs="宋体"/>
                <w:color w:val="auto"/>
                <w:kern w:val="0"/>
                <w:szCs w:val="21"/>
              </w:rPr>
            </w:pPr>
          </w:p>
        </w:tc>
        <w:tc>
          <w:tcPr>
            <w:tcW w:w="905" w:type="dxa"/>
            <w:vAlign w:val="center"/>
          </w:tcPr>
          <w:p w14:paraId="16935B16">
            <w:pPr>
              <w:spacing w:line="300" w:lineRule="exact"/>
              <w:jc w:val="center"/>
              <w:rPr>
                <w:rFonts w:ascii="宋体" w:hAnsi="宋体" w:cs="宋体"/>
                <w:color w:val="auto"/>
                <w:kern w:val="0"/>
                <w:szCs w:val="21"/>
              </w:rPr>
            </w:pPr>
          </w:p>
        </w:tc>
        <w:tc>
          <w:tcPr>
            <w:tcW w:w="1169" w:type="dxa"/>
            <w:vAlign w:val="center"/>
          </w:tcPr>
          <w:p w14:paraId="4E1B40A4">
            <w:pPr>
              <w:spacing w:line="300" w:lineRule="exact"/>
              <w:jc w:val="center"/>
              <w:rPr>
                <w:rFonts w:ascii="宋体" w:hAnsi="宋体" w:cs="宋体"/>
                <w:color w:val="auto"/>
                <w:kern w:val="0"/>
                <w:szCs w:val="21"/>
              </w:rPr>
            </w:pPr>
          </w:p>
        </w:tc>
        <w:tc>
          <w:tcPr>
            <w:tcW w:w="1065" w:type="dxa"/>
            <w:vAlign w:val="center"/>
          </w:tcPr>
          <w:p w14:paraId="43644895">
            <w:pPr>
              <w:spacing w:line="300" w:lineRule="exact"/>
              <w:jc w:val="center"/>
              <w:rPr>
                <w:rFonts w:ascii="宋体" w:hAnsi="宋体" w:cs="宋体"/>
                <w:color w:val="auto"/>
                <w:kern w:val="0"/>
                <w:szCs w:val="21"/>
              </w:rPr>
            </w:pPr>
          </w:p>
        </w:tc>
        <w:tc>
          <w:tcPr>
            <w:tcW w:w="767" w:type="dxa"/>
            <w:vAlign w:val="center"/>
          </w:tcPr>
          <w:p w14:paraId="21878156">
            <w:pPr>
              <w:spacing w:line="300" w:lineRule="exact"/>
              <w:jc w:val="center"/>
              <w:rPr>
                <w:rFonts w:ascii="宋体" w:hAnsi="宋体" w:cs="宋体"/>
                <w:color w:val="auto"/>
                <w:kern w:val="0"/>
                <w:szCs w:val="21"/>
              </w:rPr>
            </w:pPr>
          </w:p>
        </w:tc>
        <w:tc>
          <w:tcPr>
            <w:tcW w:w="767" w:type="dxa"/>
            <w:vAlign w:val="center"/>
          </w:tcPr>
          <w:p w14:paraId="2FB8B46B">
            <w:pPr>
              <w:snapToGrid w:val="0"/>
              <w:spacing w:line="400" w:lineRule="exact"/>
              <w:jc w:val="center"/>
              <w:rPr>
                <w:rFonts w:ascii="宋体" w:hAnsi="宋体" w:cs="宋体"/>
                <w:color w:val="auto"/>
                <w:szCs w:val="21"/>
              </w:rPr>
            </w:pPr>
          </w:p>
        </w:tc>
        <w:tc>
          <w:tcPr>
            <w:tcW w:w="742" w:type="dxa"/>
            <w:vAlign w:val="center"/>
          </w:tcPr>
          <w:p w14:paraId="199D9CD5">
            <w:pPr>
              <w:snapToGrid w:val="0"/>
              <w:spacing w:line="400" w:lineRule="exact"/>
              <w:jc w:val="center"/>
              <w:rPr>
                <w:rFonts w:ascii="宋体" w:hAnsi="宋体" w:cs="宋体"/>
                <w:color w:val="auto"/>
                <w:szCs w:val="21"/>
              </w:rPr>
            </w:pPr>
          </w:p>
        </w:tc>
        <w:tc>
          <w:tcPr>
            <w:tcW w:w="767" w:type="dxa"/>
            <w:vAlign w:val="center"/>
          </w:tcPr>
          <w:p w14:paraId="77702E78">
            <w:pPr>
              <w:snapToGrid w:val="0"/>
              <w:spacing w:line="400" w:lineRule="exact"/>
              <w:jc w:val="center"/>
              <w:rPr>
                <w:rFonts w:ascii="宋体" w:hAnsi="宋体" w:cs="宋体"/>
                <w:color w:val="auto"/>
                <w:szCs w:val="21"/>
              </w:rPr>
            </w:pPr>
          </w:p>
        </w:tc>
        <w:tc>
          <w:tcPr>
            <w:tcW w:w="789" w:type="dxa"/>
            <w:vAlign w:val="center"/>
          </w:tcPr>
          <w:p w14:paraId="54196355">
            <w:pPr>
              <w:snapToGrid w:val="0"/>
              <w:spacing w:line="400" w:lineRule="exact"/>
              <w:jc w:val="center"/>
              <w:rPr>
                <w:rFonts w:ascii="宋体" w:hAnsi="宋体" w:cs="宋体"/>
                <w:color w:val="auto"/>
                <w:szCs w:val="21"/>
              </w:rPr>
            </w:pPr>
          </w:p>
        </w:tc>
        <w:tc>
          <w:tcPr>
            <w:tcW w:w="698" w:type="dxa"/>
            <w:vAlign w:val="center"/>
          </w:tcPr>
          <w:p w14:paraId="7901354E">
            <w:pPr>
              <w:snapToGrid w:val="0"/>
              <w:spacing w:line="400" w:lineRule="exact"/>
              <w:jc w:val="center"/>
              <w:rPr>
                <w:rFonts w:ascii="宋体" w:hAnsi="宋体" w:cs="宋体"/>
                <w:color w:val="auto"/>
                <w:szCs w:val="21"/>
              </w:rPr>
            </w:pPr>
          </w:p>
        </w:tc>
      </w:tr>
      <w:tr w14:paraId="0C211C54">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672" w:hRule="atLeast"/>
        </w:trPr>
        <w:tc>
          <w:tcPr>
            <w:tcW w:w="581" w:type="dxa"/>
            <w:vAlign w:val="center"/>
          </w:tcPr>
          <w:p w14:paraId="3CDB8306">
            <w:pPr>
              <w:spacing w:line="300" w:lineRule="exact"/>
              <w:jc w:val="center"/>
              <w:rPr>
                <w:rFonts w:ascii="宋体" w:hAnsi="宋体" w:cs="宋体"/>
                <w:color w:val="auto"/>
                <w:kern w:val="0"/>
                <w:szCs w:val="21"/>
              </w:rPr>
            </w:pPr>
            <w:r>
              <w:rPr>
                <w:rFonts w:hint="eastAsia" w:ascii="宋体" w:hAnsi="宋体" w:cs="宋体"/>
                <w:color w:val="auto"/>
                <w:kern w:val="0"/>
                <w:szCs w:val="21"/>
              </w:rPr>
              <w:t>2</w:t>
            </w:r>
          </w:p>
        </w:tc>
        <w:tc>
          <w:tcPr>
            <w:tcW w:w="1123" w:type="dxa"/>
            <w:vAlign w:val="center"/>
          </w:tcPr>
          <w:p w14:paraId="2779E351">
            <w:pPr>
              <w:spacing w:line="300" w:lineRule="exact"/>
              <w:jc w:val="center"/>
              <w:rPr>
                <w:rFonts w:ascii="宋体" w:hAnsi="宋体" w:cs="宋体"/>
                <w:color w:val="auto"/>
                <w:kern w:val="0"/>
                <w:szCs w:val="21"/>
              </w:rPr>
            </w:pPr>
          </w:p>
        </w:tc>
        <w:tc>
          <w:tcPr>
            <w:tcW w:w="905" w:type="dxa"/>
            <w:vAlign w:val="center"/>
          </w:tcPr>
          <w:p w14:paraId="6ABA8B96">
            <w:pPr>
              <w:spacing w:line="300" w:lineRule="exact"/>
              <w:jc w:val="center"/>
              <w:rPr>
                <w:rFonts w:ascii="宋体" w:hAnsi="宋体" w:cs="宋体"/>
                <w:color w:val="auto"/>
                <w:kern w:val="0"/>
                <w:szCs w:val="21"/>
              </w:rPr>
            </w:pPr>
          </w:p>
        </w:tc>
        <w:tc>
          <w:tcPr>
            <w:tcW w:w="1169" w:type="dxa"/>
            <w:vAlign w:val="center"/>
          </w:tcPr>
          <w:p w14:paraId="42EEC924">
            <w:pPr>
              <w:spacing w:line="300" w:lineRule="exact"/>
              <w:jc w:val="center"/>
              <w:rPr>
                <w:rFonts w:ascii="宋体" w:hAnsi="宋体" w:cs="宋体"/>
                <w:color w:val="auto"/>
                <w:kern w:val="0"/>
                <w:szCs w:val="21"/>
              </w:rPr>
            </w:pPr>
          </w:p>
        </w:tc>
        <w:tc>
          <w:tcPr>
            <w:tcW w:w="1065" w:type="dxa"/>
            <w:vAlign w:val="center"/>
          </w:tcPr>
          <w:p w14:paraId="12B28ED6">
            <w:pPr>
              <w:spacing w:line="300" w:lineRule="exact"/>
              <w:jc w:val="center"/>
              <w:rPr>
                <w:rFonts w:ascii="宋体" w:hAnsi="宋体" w:cs="宋体"/>
                <w:color w:val="auto"/>
                <w:kern w:val="0"/>
                <w:szCs w:val="21"/>
              </w:rPr>
            </w:pPr>
          </w:p>
        </w:tc>
        <w:tc>
          <w:tcPr>
            <w:tcW w:w="767" w:type="dxa"/>
            <w:vAlign w:val="center"/>
          </w:tcPr>
          <w:p w14:paraId="3FD87C1B">
            <w:pPr>
              <w:spacing w:line="300" w:lineRule="exact"/>
              <w:jc w:val="center"/>
              <w:rPr>
                <w:rFonts w:ascii="宋体" w:hAnsi="宋体" w:cs="宋体"/>
                <w:color w:val="auto"/>
                <w:kern w:val="0"/>
                <w:szCs w:val="21"/>
              </w:rPr>
            </w:pPr>
          </w:p>
        </w:tc>
        <w:tc>
          <w:tcPr>
            <w:tcW w:w="767" w:type="dxa"/>
            <w:vAlign w:val="center"/>
          </w:tcPr>
          <w:p w14:paraId="5214C135">
            <w:pPr>
              <w:snapToGrid w:val="0"/>
              <w:spacing w:line="400" w:lineRule="exact"/>
              <w:jc w:val="center"/>
              <w:rPr>
                <w:rFonts w:ascii="宋体" w:hAnsi="宋体" w:cs="宋体"/>
                <w:color w:val="auto"/>
                <w:szCs w:val="21"/>
              </w:rPr>
            </w:pPr>
          </w:p>
        </w:tc>
        <w:tc>
          <w:tcPr>
            <w:tcW w:w="742" w:type="dxa"/>
            <w:vAlign w:val="center"/>
          </w:tcPr>
          <w:p w14:paraId="2FA06645">
            <w:pPr>
              <w:snapToGrid w:val="0"/>
              <w:spacing w:line="400" w:lineRule="exact"/>
              <w:jc w:val="center"/>
              <w:rPr>
                <w:rFonts w:ascii="宋体" w:hAnsi="宋体" w:cs="宋体"/>
                <w:color w:val="auto"/>
                <w:szCs w:val="21"/>
              </w:rPr>
            </w:pPr>
          </w:p>
        </w:tc>
        <w:tc>
          <w:tcPr>
            <w:tcW w:w="767" w:type="dxa"/>
            <w:vAlign w:val="center"/>
          </w:tcPr>
          <w:p w14:paraId="4DFFD9E2">
            <w:pPr>
              <w:snapToGrid w:val="0"/>
              <w:spacing w:line="400" w:lineRule="exact"/>
              <w:jc w:val="center"/>
              <w:rPr>
                <w:rFonts w:ascii="宋体" w:hAnsi="宋体" w:cs="宋体"/>
                <w:color w:val="auto"/>
                <w:szCs w:val="21"/>
              </w:rPr>
            </w:pPr>
          </w:p>
        </w:tc>
        <w:tc>
          <w:tcPr>
            <w:tcW w:w="789" w:type="dxa"/>
            <w:vAlign w:val="center"/>
          </w:tcPr>
          <w:p w14:paraId="222102F0">
            <w:pPr>
              <w:snapToGrid w:val="0"/>
              <w:spacing w:line="400" w:lineRule="exact"/>
              <w:jc w:val="center"/>
              <w:rPr>
                <w:rFonts w:ascii="宋体" w:hAnsi="宋体" w:cs="宋体"/>
                <w:color w:val="auto"/>
                <w:szCs w:val="21"/>
              </w:rPr>
            </w:pPr>
          </w:p>
        </w:tc>
        <w:tc>
          <w:tcPr>
            <w:tcW w:w="698" w:type="dxa"/>
            <w:vAlign w:val="center"/>
          </w:tcPr>
          <w:p w14:paraId="2B411F75">
            <w:pPr>
              <w:snapToGrid w:val="0"/>
              <w:spacing w:line="400" w:lineRule="exact"/>
              <w:jc w:val="center"/>
              <w:rPr>
                <w:rFonts w:ascii="宋体" w:hAnsi="宋体" w:cs="宋体"/>
                <w:color w:val="auto"/>
                <w:szCs w:val="21"/>
              </w:rPr>
            </w:pPr>
          </w:p>
        </w:tc>
      </w:tr>
      <w:tr w14:paraId="319A17EA">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672" w:hRule="atLeast"/>
        </w:trPr>
        <w:tc>
          <w:tcPr>
            <w:tcW w:w="581" w:type="dxa"/>
            <w:vAlign w:val="center"/>
          </w:tcPr>
          <w:p w14:paraId="2707850A">
            <w:pPr>
              <w:spacing w:line="300" w:lineRule="exact"/>
              <w:jc w:val="center"/>
              <w:rPr>
                <w:rFonts w:ascii="宋体" w:hAnsi="宋体" w:cs="宋体"/>
                <w:color w:val="auto"/>
                <w:kern w:val="0"/>
                <w:szCs w:val="21"/>
              </w:rPr>
            </w:pPr>
            <w:r>
              <w:rPr>
                <w:rFonts w:hint="eastAsia" w:ascii="宋体" w:hAnsi="宋体" w:cs="宋体"/>
                <w:color w:val="auto"/>
                <w:kern w:val="0"/>
                <w:szCs w:val="21"/>
              </w:rPr>
              <w:t>3</w:t>
            </w:r>
          </w:p>
        </w:tc>
        <w:tc>
          <w:tcPr>
            <w:tcW w:w="1123" w:type="dxa"/>
            <w:vAlign w:val="center"/>
          </w:tcPr>
          <w:p w14:paraId="6D57658B">
            <w:pPr>
              <w:spacing w:line="300" w:lineRule="exact"/>
              <w:jc w:val="center"/>
              <w:rPr>
                <w:rFonts w:ascii="宋体" w:hAnsi="宋体" w:cs="宋体"/>
                <w:color w:val="auto"/>
                <w:kern w:val="0"/>
                <w:szCs w:val="21"/>
              </w:rPr>
            </w:pPr>
          </w:p>
        </w:tc>
        <w:tc>
          <w:tcPr>
            <w:tcW w:w="905" w:type="dxa"/>
            <w:vAlign w:val="center"/>
          </w:tcPr>
          <w:p w14:paraId="385FB9CD">
            <w:pPr>
              <w:spacing w:line="300" w:lineRule="exact"/>
              <w:jc w:val="center"/>
              <w:rPr>
                <w:rFonts w:ascii="宋体" w:hAnsi="宋体" w:cs="宋体"/>
                <w:color w:val="auto"/>
                <w:kern w:val="0"/>
                <w:szCs w:val="21"/>
              </w:rPr>
            </w:pPr>
          </w:p>
        </w:tc>
        <w:tc>
          <w:tcPr>
            <w:tcW w:w="1169" w:type="dxa"/>
            <w:vAlign w:val="center"/>
          </w:tcPr>
          <w:p w14:paraId="20C7FEF5">
            <w:pPr>
              <w:spacing w:line="300" w:lineRule="exact"/>
              <w:jc w:val="center"/>
              <w:rPr>
                <w:rFonts w:ascii="宋体" w:hAnsi="宋体" w:cs="宋体"/>
                <w:color w:val="auto"/>
                <w:kern w:val="0"/>
                <w:szCs w:val="21"/>
              </w:rPr>
            </w:pPr>
          </w:p>
        </w:tc>
        <w:tc>
          <w:tcPr>
            <w:tcW w:w="1065" w:type="dxa"/>
            <w:vAlign w:val="center"/>
          </w:tcPr>
          <w:p w14:paraId="07427842">
            <w:pPr>
              <w:spacing w:line="300" w:lineRule="exact"/>
              <w:jc w:val="center"/>
              <w:rPr>
                <w:rFonts w:ascii="宋体" w:hAnsi="宋体" w:cs="宋体"/>
                <w:color w:val="auto"/>
                <w:kern w:val="0"/>
                <w:szCs w:val="21"/>
              </w:rPr>
            </w:pPr>
          </w:p>
        </w:tc>
        <w:tc>
          <w:tcPr>
            <w:tcW w:w="767" w:type="dxa"/>
            <w:vAlign w:val="center"/>
          </w:tcPr>
          <w:p w14:paraId="4A2410BB">
            <w:pPr>
              <w:spacing w:line="300" w:lineRule="exact"/>
              <w:jc w:val="center"/>
              <w:rPr>
                <w:rFonts w:ascii="宋体" w:hAnsi="宋体" w:cs="宋体"/>
                <w:color w:val="auto"/>
                <w:kern w:val="0"/>
                <w:szCs w:val="21"/>
              </w:rPr>
            </w:pPr>
          </w:p>
        </w:tc>
        <w:tc>
          <w:tcPr>
            <w:tcW w:w="767" w:type="dxa"/>
            <w:vAlign w:val="center"/>
          </w:tcPr>
          <w:p w14:paraId="72C4EFBD">
            <w:pPr>
              <w:snapToGrid w:val="0"/>
              <w:spacing w:line="400" w:lineRule="exact"/>
              <w:jc w:val="center"/>
              <w:rPr>
                <w:rFonts w:ascii="宋体" w:hAnsi="宋体" w:cs="宋体"/>
                <w:color w:val="auto"/>
                <w:szCs w:val="21"/>
              </w:rPr>
            </w:pPr>
          </w:p>
        </w:tc>
        <w:tc>
          <w:tcPr>
            <w:tcW w:w="742" w:type="dxa"/>
            <w:vAlign w:val="center"/>
          </w:tcPr>
          <w:p w14:paraId="442CDE7F">
            <w:pPr>
              <w:snapToGrid w:val="0"/>
              <w:spacing w:line="400" w:lineRule="exact"/>
              <w:jc w:val="center"/>
              <w:rPr>
                <w:rFonts w:ascii="宋体" w:hAnsi="宋体" w:cs="宋体"/>
                <w:color w:val="auto"/>
                <w:szCs w:val="21"/>
              </w:rPr>
            </w:pPr>
          </w:p>
        </w:tc>
        <w:tc>
          <w:tcPr>
            <w:tcW w:w="767" w:type="dxa"/>
            <w:vAlign w:val="center"/>
          </w:tcPr>
          <w:p w14:paraId="0D171D46">
            <w:pPr>
              <w:snapToGrid w:val="0"/>
              <w:spacing w:line="400" w:lineRule="exact"/>
              <w:jc w:val="center"/>
              <w:rPr>
                <w:rFonts w:ascii="宋体" w:hAnsi="宋体" w:cs="宋体"/>
                <w:color w:val="auto"/>
                <w:szCs w:val="21"/>
              </w:rPr>
            </w:pPr>
          </w:p>
        </w:tc>
        <w:tc>
          <w:tcPr>
            <w:tcW w:w="789" w:type="dxa"/>
            <w:vAlign w:val="center"/>
          </w:tcPr>
          <w:p w14:paraId="3F672449">
            <w:pPr>
              <w:snapToGrid w:val="0"/>
              <w:spacing w:line="400" w:lineRule="exact"/>
              <w:jc w:val="center"/>
              <w:rPr>
                <w:rFonts w:ascii="宋体" w:hAnsi="宋体" w:cs="宋体"/>
                <w:color w:val="auto"/>
                <w:szCs w:val="21"/>
              </w:rPr>
            </w:pPr>
          </w:p>
        </w:tc>
        <w:tc>
          <w:tcPr>
            <w:tcW w:w="698" w:type="dxa"/>
            <w:vAlign w:val="center"/>
          </w:tcPr>
          <w:p w14:paraId="0DE33E74">
            <w:pPr>
              <w:snapToGrid w:val="0"/>
              <w:spacing w:line="400" w:lineRule="exact"/>
              <w:jc w:val="center"/>
              <w:rPr>
                <w:rFonts w:ascii="宋体" w:hAnsi="宋体" w:cs="宋体"/>
                <w:color w:val="auto"/>
                <w:szCs w:val="21"/>
              </w:rPr>
            </w:pPr>
          </w:p>
        </w:tc>
      </w:tr>
      <w:tr w14:paraId="309325F3">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672" w:hRule="atLeast"/>
        </w:trPr>
        <w:tc>
          <w:tcPr>
            <w:tcW w:w="581" w:type="dxa"/>
            <w:vAlign w:val="center"/>
          </w:tcPr>
          <w:p w14:paraId="4005A2F6">
            <w:pPr>
              <w:spacing w:line="300" w:lineRule="exact"/>
              <w:jc w:val="center"/>
              <w:rPr>
                <w:rFonts w:ascii="宋体" w:hAnsi="宋体" w:cs="宋体"/>
                <w:color w:val="auto"/>
                <w:kern w:val="0"/>
                <w:szCs w:val="21"/>
              </w:rPr>
            </w:pPr>
            <w:r>
              <w:rPr>
                <w:rFonts w:hint="eastAsia" w:ascii="宋体" w:hAnsi="宋体" w:cs="宋体"/>
                <w:color w:val="auto"/>
                <w:kern w:val="0"/>
                <w:szCs w:val="21"/>
              </w:rPr>
              <w:t>4</w:t>
            </w:r>
          </w:p>
        </w:tc>
        <w:tc>
          <w:tcPr>
            <w:tcW w:w="1123" w:type="dxa"/>
            <w:vAlign w:val="center"/>
          </w:tcPr>
          <w:p w14:paraId="02DBCF59">
            <w:pPr>
              <w:spacing w:line="300" w:lineRule="exact"/>
              <w:jc w:val="center"/>
              <w:rPr>
                <w:rFonts w:ascii="宋体" w:hAnsi="宋体" w:cs="宋体"/>
                <w:color w:val="auto"/>
                <w:kern w:val="0"/>
                <w:szCs w:val="21"/>
              </w:rPr>
            </w:pPr>
          </w:p>
        </w:tc>
        <w:tc>
          <w:tcPr>
            <w:tcW w:w="905" w:type="dxa"/>
            <w:vAlign w:val="center"/>
          </w:tcPr>
          <w:p w14:paraId="7E062274">
            <w:pPr>
              <w:spacing w:line="300" w:lineRule="exact"/>
              <w:jc w:val="center"/>
              <w:rPr>
                <w:rFonts w:ascii="宋体" w:hAnsi="宋体" w:cs="宋体"/>
                <w:color w:val="auto"/>
                <w:kern w:val="0"/>
                <w:szCs w:val="21"/>
              </w:rPr>
            </w:pPr>
          </w:p>
        </w:tc>
        <w:tc>
          <w:tcPr>
            <w:tcW w:w="1169" w:type="dxa"/>
            <w:vAlign w:val="center"/>
          </w:tcPr>
          <w:p w14:paraId="26F209B3">
            <w:pPr>
              <w:spacing w:line="300" w:lineRule="exact"/>
              <w:jc w:val="center"/>
              <w:rPr>
                <w:rFonts w:ascii="宋体" w:hAnsi="宋体" w:cs="宋体"/>
                <w:color w:val="auto"/>
                <w:kern w:val="0"/>
                <w:szCs w:val="21"/>
              </w:rPr>
            </w:pPr>
          </w:p>
        </w:tc>
        <w:tc>
          <w:tcPr>
            <w:tcW w:w="1065" w:type="dxa"/>
            <w:vAlign w:val="center"/>
          </w:tcPr>
          <w:p w14:paraId="7427BC2C">
            <w:pPr>
              <w:spacing w:line="300" w:lineRule="exact"/>
              <w:jc w:val="center"/>
              <w:rPr>
                <w:rFonts w:ascii="宋体" w:hAnsi="宋体" w:cs="宋体"/>
                <w:color w:val="auto"/>
                <w:kern w:val="0"/>
                <w:szCs w:val="21"/>
              </w:rPr>
            </w:pPr>
          </w:p>
        </w:tc>
        <w:tc>
          <w:tcPr>
            <w:tcW w:w="767" w:type="dxa"/>
            <w:vAlign w:val="center"/>
          </w:tcPr>
          <w:p w14:paraId="2466689C">
            <w:pPr>
              <w:spacing w:line="300" w:lineRule="exact"/>
              <w:jc w:val="center"/>
              <w:rPr>
                <w:rFonts w:ascii="宋体" w:hAnsi="宋体" w:cs="宋体"/>
                <w:color w:val="auto"/>
                <w:kern w:val="0"/>
                <w:szCs w:val="21"/>
              </w:rPr>
            </w:pPr>
          </w:p>
        </w:tc>
        <w:tc>
          <w:tcPr>
            <w:tcW w:w="767" w:type="dxa"/>
            <w:vAlign w:val="center"/>
          </w:tcPr>
          <w:p w14:paraId="68376D38">
            <w:pPr>
              <w:snapToGrid w:val="0"/>
              <w:spacing w:line="400" w:lineRule="exact"/>
              <w:jc w:val="center"/>
              <w:rPr>
                <w:rFonts w:ascii="宋体" w:hAnsi="宋体" w:cs="宋体"/>
                <w:color w:val="auto"/>
                <w:szCs w:val="21"/>
              </w:rPr>
            </w:pPr>
          </w:p>
        </w:tc>
        <w:tc>
          <w:tcPr>
            <w:tcW w:w="742" w:type="dxa"/>
            <w:vAlign w:val="center"/>
          </w:tcPr>
          <w:p w14:paraId="650725ED">
            <w:pPr>
              <w:snapToGrid w:val="0"/>
              <w:spacing w:line="400" w:lineRule="exact"/>
              <w:jc w:val="center"/>
              <w:rPr>
                <w:rFonts w:ascii="宋体" w:hAnsi="宋体" w:cs="宋体"/>
                <w:color w:val="auto"/>
                <w:szCs w:val="21"/>
              </w:rPr>
            </w:pPr>
          </w:p>
        </w:tc>
        <w:tc>
          <w:tcPr>
            <w:tcW w:w="767" w:type="dxa"/>
            <w:vAlign w:val="center"/>
          </w:tcPr>
          <w:p w14:paraId="5199FFE5">
            <w:pPr>
              <w:snapToGrid w:val="0"/>
              <w:spacing w:line="400" w:lineRule="exact"/>
              <w:jc w:val="center"/>
              <w:rPr>
                <w:rFonts w:ascii="宋体" w:hAnsi="宋体" w:cs="宋体"/>
                <w:color w:val="auto"/>
                <w:szCs w:val="21"/>
              </w:rPr>
            </w:pPr>
          </w:p>
        </w:tc>
        <w:tc>
          <w:tcPr>
            <w:tcW w:w="789" w:type="dxa"/>
            <w:vAlign w:val="center"/>
          </w:tcPr>
          <w:p w14:paraId="02E808E9">
            <w:pPr>
              <w:snapToGrid w:val="0"/>
              <w:spacing w:line="400" w:lineRule="exact"/>
              <w:jc w:val="center"/>
              <w:rPr>
                <w:rFonts w:ascii="宋体" w:hAnsi="宋体" w:cs="宋体"/>
                <w:color w:val="auto"/>
                <w:szCs w:val="21"/>
              </w:rPr>
            </w:pPr>
          </w:p>
        </w:tc>
        <w:tc>
          <w:tcPr>
            <w:tcW w:w="698" w:type="dxa"/>
            <w:vAlign w:val="center"/>
          </w:tcPr>
          <w:p w14:paraId="3E94BA78">
            <w:pPr>
              <w:snapToGrid w:val="0"/>
              <w:spacing w:line="400" w:lineRule="exact"/>
              <w:jc w:val="center"/>
              <w:rPr>
                <w:rFonts w:ascii="宋体" w:hAnsi="宋体" w:cs="宋体"/>
                <w:color w:val="auto"/>
                <w:szCs w:val="21"/>
              </w:rPr>
            </w:pPr>
          </w:p>
        </w:tc>
      </w:tr>
      <w:tr w14:paraId="55F5D124">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672" w:hRule="atLeast"/>
        </w:trPr>
        <w:tc>
          <w:tcPr>
            <w:tcW w:w="581" w:type="dxa"/>
            <w:vAlign w:val="center"/>
          </w:tcPr>
          <w:p w14:paraId="37A52190">
            <w:pPr>
              <w:spacing w:line="300" w:lineRule="exact"/>
              <w:jc w:val="center"/>
              <w:rPr>
                <w:rFonts w:ascii="宋体" w:hAnsi="宋体" w:cs="宋体"/>
                <w:color w:val="auto"/>
                <w:kern w:val="0"/>
                <w:szCs w:val="21"/>
              </w:rPr>
            </w:pPr>
            <w:r>
              <w:rPr>
                <w:rFonts w:hint="eastAsia" w:ascii="宋体" w:hAnsi="宋体" w:cs="宋体"/>
                <w:color w:val="auto"/>
                <w:kern w:val="0"/>
                <w:szCs w:val="21"/>
              </w:rPr>
              <w:t>5</w:t>
            </w:r>
          </w:p>
        </w:tc>
        <w:tc>
          <w:tcPr>
            <w:tcW w:w="1123" w:type="dxa"/>
            <w:vAlign w:val="center"/>
          </w:tcPr>
          <w:p w14:paraId="4DDB5B66">
            <w:pPr>
              <w:spacing w:line="300" w:lineRule="exact"/>
              <w:jc w:val="center"/>
              <w:rPr>
                <w:rFonts w:ascii="宋体" w:hAnsi="宋体" w:cs="宋体"/>
                <w:color w:val="auto"/>
                <w:kern w:val="0"/>
                <w:szCs w:val="21"/>
              </w:rPr>
            </w:pPr>
          </w:p>
        </w:tc>
        <w:tc>
          <w:tcPr>
            <w:tcW w:w="905" w:type="dxa"/>
            <w:vAlign w:val="center"/>
          </w:tcPr>
          <w:p w14:paraId="7B2ED4DE">
            <w:pPr>
              <w:spacing w:line="300" w:lineRule="exact"/>
              <w:jc w:val="center"/>
              <w:rPr>
                <w:rFonts w:ascii="宋体" w:hAnsi="宋体" w:cs="宋体"/>
                <w:color w:val="auto"/>
                <w:kern w:val="0"/>
                <w:szCs w:val="21"/>
              </w:rPr>
            </w:pPr>
          </w:p>
        </w:tc>
        <w:tc>
          <w:tcPr>
            <w:tcW w:w="1169" w:type="dxa"/>
            <w:vAlign w:val="center"/>
          </w:tcPr>
          <w:p w14:paraId="6D6073E0">
            <w:pPr>
              <w:spacing w:line="300" w:lineRule="exact"/>
              <w:jc w:val="center"/>
              <w:rPr>
                <w:rFonts w:ascii="宋体" w:hAnsi="宋体" w:cs="宋体"/>
                <w:color w:val="auto"/>
                <w:kern w:val="0"/>
                <w:szCs w:val="21"/>
              </w:rPr>
            </w:pPr>
          </w:p>
        </w:tc>
        <w:tc>
          <w:tcPr>
            <w:tcW w:w="1065" w:type="dxa"/>
            <w:vAlign w:val="center"/>
          </w:tcPr>
          <w:p w14:paraId="5F745317">
            <w:pPr>
              <w:spacing w:line="300" w:lineRule="exact"/>
              <w:jc w:val="center"/>
              <w:rPr>
                <w:rFonts w:ascii="宋体" w:hAnsi="宋体" w:cs="宋体"/>
                <w:color w:val="auto"/>
                <w:kern w:val="0"/>
                <w:szCs w:val="21"/>
              </w:rPr>
            </w:pPr>
          </w:p>
        </w:tc>
        <w:tc>
          <w:tcPr>
            <w:tcW w:w="767" w:type="dxa"/>
            <w:vAlign w:val="center"/>
          </w:tcPr>
          <w:p w14:paraId="68C419A4">
            <w:pPr>
              <w:spacing w:line="300" w:lineRule="exact"/>
              <w:jc w:val="center"/>
              <w:rPr>
                <w:rFonts w:ascii="宋体" w:hAnsi="宋体" w:cs="宋体"/>
                <w:color w:val="auto"/>
                <w:kern w:val="0"/>
                <w:szCs w:val="21"/>
              </w:rPr>
            </w:pPr>
          </w:p>
        </w:tc>
        <w:tc>
          <w:tcPr>
            <w:tcW w:w="767" w:type="dxa"/>
            <w:vAlign w:val="center"/>
          </w:tcPr>
          <w:p w14:paraId="49939BBF">
            <w:pPr>
              <w:snapToGrid w:val="0"/>
              <w:spacing w:line="400" w:lineRule="exact"/>
              <w:jc w:val="center"/>
              <w:rPr>
                <w:rFonts w:ascii="宋体" w:hAnsi="宋体" w:cs="宋体"/>
                <w:color w:val="auto"/>
                <w:szCs w:val="21"/>
              </w:rPr>
            </w:pPr>
          </w:p>
        </w:tc>
        <w:tc>
          <w:tcPr>
            <w:tcW w:w="742" w:type="dxa"/>
            <w:vAlign w:val="center"/>
          </w:tcPr>
          <w:p w14:paraId="22F6B32E">
            <w:pPr>
              <w:snapToGrid w:val="0"/>
              <w:spacing w:line="400" w:lineRule="exact"/>
              <w:jc w:val="center"/>
              <w:rPr>
                <w:rFonts w:ascii="宋体" w:hAnsi="宋体" w:cs="宋体"/>
                <w:color w:val="auto"/>
                <w:szCs w:val="21"/>
              </w:rPr>
            </w:pPr>
          </w:p>
        </w:tc>
        <w:tc>
          <w:tcPr>
            <w:tcW w:w="767" w:type="dxa"/>
            <w:vAlign w:val="center"/>
          </w:tcPr>
          <w:p w14:paraId="6FF3457D">
            <w:pPr>
              <w:snapToGrid w:val="0"/>
              <w:spacing w:line="400" w:lineRule="exact"/>
              <w:jc w:val="center"/>
              <w:rPr>
                <w:rFonts w:ascii="宋体" w:hAnsi="宋体" w:cs="宋体"/>
                <w:color w:val="auto"/>
                <w:szCs w:val="21"/>
              </w:rPr>
            </w:pPr>
          </w:p>
        </w:tc>
        <w:tc>
          <w:tcPr>
            <w:tcW w:w="789" w:type="dxa"/>
            <w:vAlign w:val="center"/>
          </w:tcPr>
          <w:p w14:paraId="047E8C0C">
            <w:pPr>
              <w:snapToGrid w:val="0"/>
              <w:spacing w:line="400" w:lineRule="exact"/>
              <w:jc w:val="center"/>
              <w:rPr>
                <w:rFonts w:ascii="宋体" w:hAnsi="宋体" w:cs="宋体"/>
                <w:color w:val="auto"/>
                <w:szCs w:val="21"/>
              </w:rPr>
            </w:pPr>
          </w:p>
        </w:tc>
        <w:tc>
          <w:tcPr>
            <w:tcW w:w="698" w:type="dxa"/>
            <w:vAlign w:val="center"/>
          </w:tcPr>
          <w:p w14:paraId="3F5BC90B">
            <w:pPr>
              <w:snapToGrid w:val="0"/>
              <w:spacing w:line="400" w:lineRule="exact"/>
              <w:jc w:val="center"/>
              <w:rPr>
                <w:rFonts w:ascii="宋体" w:hAnsi="宋体" w:cs="宋体"/>
                <w:color w:val="auto"/>
                <w:szCs w:val="21"/>
              </w:rPr>
            </w:pPr>
          </w:p>
        </w:tc>
      </w:tr>
      <w:tr w14:paraId="1E146F34">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672" w:hRule="atLeast"/>
        </w:trPr>
        <w:tc>
          <w:tcPr>
            <w:tcW w:w="581" w:type="dxa"/>
            <w:vAlign w:val="center"/>
          </w:tcPr>
          <w:p w14:paraId="4165E35F">
            <w:pPr>
              <w:spacing w:line="300" w:lineRule="exact"/>
              <w:jc w:val="center"/>
              <w:rPr>
                <w:rFonts w:ascii="宋体" w:hAnsi="宋体" w:cs="宋体"/>
                <w:color w:val="auto"/>
                <w:kern w:val="0"/>
                <w:szCs w:val="21"/>
              </w:rPr>
            </w:pPr>
            <w:r>
              <w:rPr>
                <w:rFonts w:hint="eastAsia" w:ascii="宋体" w:hAnsi="宋体" w:cs="宋体"/>
                <w:color w:val="auto"/>
                <w:kern w:val="0"/>
                <w:szCs w:val="21"/>
              </w:rPr>
              <w:t>...</w:t>
            </w:r>
          </w:p>
        </w:tc>
        <w:tc>
          <w:tcPr>
            <w:tcW w:w="1123" w:type="dxa"/>
            <w:vAlign w:val="center"/>
          </w:tcPr>
          <w:p w14:paraId="4F847FEE">
            <w:pPr>
              <w:spacing w:line="300" w:lineRule="exact"/>
              <w:jc w:val="center"/>
              <w:rPr>
                <w:rFonts w:ascii="宋体" w:hAnsi="宋体" w:cs="宋体"/>
                <w:color w:val="auto"/>
                <w:kern w:val="0"/>
                <w:szCs w:val="21"/>
              </w:rPr>
            </w:pPr>
          </w:p>
        </w:tc>
        <w:tc>
          <w:tcPr>
            <w:tcW w:w="905" w:type="dxa"/>
            <w:vAlign w:val="center"/>
          </w:tcPr>
          <w:p w14:paraId="4B0C32F2">
            <w:pPr>
              <w:spacing w:line="300" w:lineRule="exact"/>
              <w:jc w:val="center"/>
              <w:rPr>
                <w:rFonts w:ascii="宋体" w:hAnsi="宋体" w:cs="宋体"/>
                <w:color w:val="auto"/>
                <w:kern w:val="0"/>
                <w:szCs w:val="21"/>
              </w:rPr>
            </w:pPr>
          </w:p>
        </w:tc>
        <w:tc>
          <w:tcPr>
            <w:tcW w:w="1169" w:type="dxa"/>
            <w:vAlign w:val="center"/>
          </w:tcPr>
          <w:p w14:paraId="62D9AC82">
            <w:pPr>
              <w:spacing w:line="300" w:lineRule="exact"/>
              <w:jc w:val="center"/>
              <w:rPr>
                <w:rFonts w:ascii="宋体" w:hAnsi="宋体" w:cs="宋体"/>
                <w:color w:val="auto"/>
                <w:kern w:val="0"/>
                <w:szCs w:val="21"/>
              </w:rPr>
            </w:pPr>
          </w:p>
        </w:tc>
        <w:tc>
          <w:tcPr>
            <w:tcW w:w="1065" w:type="dxa"/>
            <w:vAlign w:val="center"/>
          </w:tcPr>
          <w:p w14:paraId="1A29266C">
            <w:pPr>
              <w:spacing w:line="300" w:lineRule="exact"/>
              <w:jc w:val="center"/>
              <w:rPr>
                <w:rFonts w:ascii="宋体" w:hAnsi="宋体" w:cs="宋体"/>
                <w:color w:val="auto"/>
                <w:kern w:val="0"/>
                <w:szCs w:val="21"/>
              </w:rPr>
            </w:pPr>
          </w:p>
        </w:tc>
        <w:tc>
          <w:tcPr>
            <w:tcW w:w="767" w:type="dxa"/>
            <w:vAlign w:val="center"/>
          </w:tcPr>
          <w:p w14:paraId="25EF710F">
            <w:pPr>
              <w:spacing w:line="300" w:lineRule="exact"/>
              <w:jc w:val="center"/>
              <w:rPr>
                <w:rFonts w:ascii="宋体" w:hAnsi="宋体" w:cs="宋体"/>
                <w:color w:val="auto"/>
                <w:kern w:val="0"/>
                <w:szCs w:val="21"/>
              </w:rPr>
            </w:pPr>
          </w:p>
        </w:tc>
        <w:tc>
          <w:tcPr>
            <w:tcW w:w="767" w:type="dxa"/>
            <w:vAlign w:val="center"/>
          </w:tcPr>
          <w:p w14:paraId="3326D41C">
            <w:pPr>
              <w:snapToGrid w:val="0"/>
              <w:spacing w:line="400" w:lineRule="exact"/>
              <w:jc w:val="center"/>
              <w:rPr>
                <w:rFonts w:ascii="宋体" w:hAnsi="宋体" w:cs="宋体"/>
                <w:color w:val="auto"/>
                <w:szCs w:val="21"/>
              </w:rPr>
            </w:pPr>
          </w:p>
        </w:tc>
        <w:tc>
          <w:tcPr>
            <w:tcW w:w="742" w:type="dxa"/>
            <w:vAlign w:val="center"/>
          </w:tcPr>
          <w:p w14:paraId="6BB20C30">
            <w:pPr>
              <w:snapToGrid w:val="0"/>
              <w:spacing w:line="400" w:lineRule="exact"/>
              <w:jc w:val="center"/>
              <w:rPr>
                <w:rFonts w:ascii="宋体" w:hAnsi="宋体" w:cs="宋体"/>
                <w:color w:val="auto"/>
                <w:szCs w:val="21"/>
              </w:rPr>
            </w:pPr>
          </w:p>
        </w:tc>
        <w:tc>
          <w:tcPr>
            <w:tcW w:w="767" w:type="dxa"/>
            <w:vAlign w:val="center"/>
          </w:tcPr>
          <w:p w14:paraId="38C0BE9F">
            <w:pPr>
              <w:snapToGrid w:val="0"/>
              <w:spacing w:line="400" w:lineRule="exact"/>
              <w:jc w:val="center"/>
              <w:rPr>
                <w:rFonts w:ascii="宋体" w:hAnsi="宋体" w:cs="宋体"/>
                <w:color w:val="auto"/>
                <w:szCs w:val="21"/>
              </w:rPr>
            </w:pPr>
          </w:p>
        </w:tc>
        <w:tc>
          <w:tcPr>
            <w:tcW w:w="789" w:type="dxa"/>
            <w:vAlign w:val="center"/>
          </w:tcPr>
          <w:p w14:paraId="06E760BA">
            <w:pPr>
              <w:snapToGrid w:val="0"/>
              <w:spacing w:line="400" w:lineRule="exact"/>
              <w:jc w:val="center"/>
              <w:rPr>
                <w:rFonts w:ascii="宋体" w:hAnsi="宋体" w:cs="宋体"/>
                <w:color w:val="auto"/>
                <w:szCs w:val="21"/>
              </w:rPr>
            </w:pPr>
          </w:p>
        </w:tc>
        <w:tc>
          <w:tcPr>
            <w:tcW w:w="698" w:type="dxa"/>
            <w:vAlign w:val="center"/>
          </w:tcPr>
          <w:p w14:paraId="2673B453">
            <w:pPr>
              <w:snapToGrid w:val="0"/>
              <w:spacing w:line="400" w:lineRule="exact"/>
              <w:jc w:val="center"/>
              <w:rPr>
                <w:rFonts w:ascii="宋体" w:hAnsi="宋体" w:cs="宋体"/>
                <w:color w:val="auto"/>
                <w:szCs w:val="21"/>
              </w:rPr>
            </w:pPr>
          </w:p>
        </w:tc>
      </w:tr>
      <w:tr w14:paraId="01B13E56">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607" w:hRule="atLeast"/>
        </w:trPr>
        <w:tc>
          <w:tcPr>
            <w:tcW w:w="1704" w:type="dxa"/>
            <w:gridSpan w:val="2"/>
            <w:vMerge w:val="restart"/>
            <w:vAlign w:val="center"/>
          </w:tcPr>
          <w:p w14:paraId="1DFBB3A7">
            <w:pPr>
              <w:snapToGrid w:val="0"/>
              <w:spacing w:line="400" w:lineRule="exact"/>
              <w:rPr>
                <w:rFonts w:ascii="宋体" w:hAnsi="宋体" w:cs="宋体"/>
                <w:color w:val="auto"/>
                <w:kern w:val="0"/>
                <w:szCs w:val="21"/>
              </w:rPr>
            </w:pPr>
          </w:p>
          <w:p w14:paraId="755A4D90">
            <w:pPr>
              <w:snapToGrid w:val="0"/>
              <w:spacing w:line="400" w:lineRule="exact"/>
              <w:jc w:val="center"/>
              <w:rPr>
                <w:rFonts w:ascii="宋体" w:hAnsi="宋体" w:cs="宋体"/>
                <w:color w:val="auto"/>
                <w:szCs w:val="21"/>
              </w:rPr>
            </w:pPr>
            <w:r>
              <w:rPr>
                <w:rFonts w:hint="eastAsia" w:ascii="宋体" w:hAnsi="宋体" w:cs="宋体"/>
                <w:b/>
                <w:bCs/>
                <w:color w:val="auto"/>
                <w:szCs w:val="21"/>
              </w:rPr>
              <w:t>本表报价合计</w:t>
            </w:r>
          </w:p>
          <w:p w14:paraId="3BF62537">
            <w:pPr>
              <w:snapToGrid w:val="0"/>
              <w:spacing w:line="400" w:lineRule="exact"/>
              <w:jc w:val="center"/>
              <w:rPr>
                <w:rFonts w:ascii="宋体" w:hAnsi="宋体" w:cs="宋体"/>
                <w:color w:val="auto"/>
                <w:szCs w:val="21"/>
              </w:rPr>
            </w:pPr>
          </w:p>
        </w:tc>
        <w:tc>
          <w:tcPr>
            <w:tcW w:w="7669" w:type="dxa"/>
            <w:gridSpan w:val="9"/>
            <w:vAlign w:val="center"/>
          </w:tcPr>
          <w:p w14:paraId="0057427D">
            <w:pPr>
              <w:snapToGrid w:val="0"/>
              <w:spacing w:line="400" w:lineRule="exact"/>
              <w:jc w:val="left"/>
              <w:rPr>
                <w:rFonts w:ascii="宋体" w:hAnsi="宋体" w:cs="宋体"/>
                <w:color w:val="auto"/>
                <w:kern w:val="0"/>
                <w:szCs w:val="21"/>
                <w:u w:val="single"/>
              </w:rPr>
            </w:pPr>
            <w:r>
              <w:rPr>
                <w:rFonts w:hint="eastAsia" w:ascii="宋体" w:hAnsi="宋体" w:cs="宋体"/>
                <w:b/>
                <w:bCs/>
                <w:color w:val="auto"/>
                <w:kern w:val="0"/>
                <w:szCs w:val="21"/>
              </w:rPr>
              <w:t xml:space="preserve">大写: </w:t>
            </w:r>
            <w:r>
              <w:rPr>
                <w:rFonts w:hint="eastAsia" w:ascii="宋体" w:hAnsi="宋体" w:cs="宋体"/>
                <w:b/>
                <w:bCs/>
                <w:color w:val="auto"/>
                <w:kern w:val="0"/>
                <w:szCs w:val="21"/>
                <w:u w:val="single"/>
              </w:rPr>
              <w:t xml:space="preserve">                     </w:t>
            </w:r>
          </w:p>
        </w:tc>
      </w:tr>
      <w:tr w14:paraId="285DECA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471" w:hRule="atLeast"/>
        </w:trPr>
        <w:tc>
          <w:tcPr>
            <w:tcW w:w="1704" w:type="dxa"/>
            <w:gridSpan w:val="2"/>
            <w:vMerge w:val="continue"/>
            <w:tcBorders>
              <w:bottom w:val="single" w:color="auto" w:sz="12" w:space="0"/>
            </w:tcBorders>
            <w:vAlign w:val="center"/>
          </w:tcPr>
          <w:p w14:paraId="4086EEE7">
            <w:pPr>
              <w:snapToGrid w:val="0"/>
              <w:spacing w:line="400" w:lineRule="exact"/>
              <w:jc w:val="center"/>
              <w:rPr>
                <w:rFonts w:ascii="宋体" w:hAnsi="宋体" w:cs="宋体"/>
                <w:color w:val="auto"/>
                <w:kern w:val="0"/>
                <w:szCs w:val="21"/>
              </w:rPr>
            </w:pPr>
          </w:p>
        </w:tc>
        <w:tc>
          <w:tcPr>
            <w:tcW w:w="7669" w:type="dxa"/>
            <w:gridSpan w:val="9"/>
            <w:tcBorders>
              <w:bottom w:val="single" w:color="auto" w:sz="12" w:space="0"/>
            </w:tcBorders>
            <w:vAlign w:val="center"/>
          </w:tcPr>
          <w:p w14:paraId="5E71A7E2">
            <w:pPr>
              <w:snapToGrid w:val="0"/>
              <w:spacing w:line="400" w:lineRule="exact"/>
              <w:jc w:val="left"/>
              <w:rPr>
                <w:rFonts w:ascii="宋体" w:hAnsi="宋体" w:cs="宋体"/>
                <w:color w:val="auto"/>
                <w:kern w:val="0"/>
                <w:szCs w:val="21"/>
              </w:rPr>
            </w:pPr>
            <w:r>
              <w:rPr>
                <w:rFonts w:hint="eastAsia" w:ascii="宋体" w:hAnsi="宋体" w:cs="宋体"/>
                <w:b/>
                <w:bCs/>
                <w:color w:val="auto"/>
                <w:kern w:val="0"/>
                <w:szCs w:val="21"/>
              </w:rPr>
              <w:t>小写：</w:t>
            </w:r>
            <w:r>
              <w:rPr>
                <w:rFonts w:hint="eastAsia" w:ascii="宋体" w:hAnsi="宋体" w:cs="宋体"/>
                <w:color w:val="auto"/>
                <w:kern w:val="0"/>
                <w:szCs w:val="21"/>
                <w:u w:val="single"/>
              </w:rPr>
              <w:t xml:space="preserve">                     </w:t>
            </w:r>
            <w:r>
              <w:rPr>
                <w:rFonts w:hint="eastAsia" w:ascii="宋体" w:cs="宋体"/>
                <w:color w:val="auto"/>
                <w:sz w:val="24"/>
              </w:rPr>
              <w:t>元</w:t>
            </w:r>
          </w:p>
        </w:tc>
      </w:tr>
    </w:tbl>
    <w:p w14:paraId="5F8FE8AA">
      <w:pPr>
        <w:spacing w:line="360" w:lineRule="auto"/>
        <w:jc w:val="left"/>
        <w:rPr>
          <w:rFonts w:ascii="宋体" w:hAnsi="宋体" w:cs="宋体"/>
          <w:color w:val="auto"/>
          <w:sz w:val="24"/>
        </w:rPr>
      </w:pPr>
    </w:p>
    <w:p w14:paraId="2F4E5CA5">
      <w:pPr>
        <w:jc w:val="center"/>
        <w:rPr>
          <w:rFonts w:ascii="宋体" w:hAnsi="宋体" w:cs="宋体"/>
          <w:color w:val="auto"/>
          <w:sz w:val="24"/>
        </w:rPr>
      </w:pPr>
    </w:p>
    <w:p w14:paraId="3E4B45C6">
      <w:pPr>
        <w:jc w:val="center"/>
        <w:rPr>
          <w:rFonts w:ascii="宋体" w:hAnsi="宋体" w:cs="宋体"/>
          <w:color w:val="auto"/>
          <w:sz w:val="24"/>
        </w:rPr>
      </w:pPr>
    </w:p>
    <w:p w14:paraId="2DC607C9">
      <w:pPr>
        <w:pStyle w:val="9"/>
        <w:spacing w:before="7"/>
        <w:rPr>
          <w:color w:val="auto"/>
          <w:sz w:val="14"/>
        </w:rPr>
      </w:pPr>
      <w:bookmarkStart w:id="37" w:name="_Toc21523"/>
      <w:bookmarkStart w:id="38" w:name="_Toc19587"/>
    </w:p>
    <w:p w14:paraId="489137E1">
      <w:pPr>
        <w:pStyle w:val="9"/>
        <w:spacing w:before="7"/>
        <w:rPr>
          <w:color w:val="auto"/>
          <w:sz w:val="14"/>
        </w:rPr>
      </w:pPr>
    </w:p>
    <w:p w14:paraId="5B9D0134">
      <w:pPr>
        <w:jc w:val="center"/>
        <w:rPr>
          <w:rFonts w:ascii="宋体" w:hAnsi="宋体" w:cs="宋体"/>
          <w:color w:val="auto"/>
          <w:sz w:val="24"/>
        </w:rPr>
      </w:pPr>
      <w:r>
        <w:rPr>
          <w:rFonts w:hint="eastAsia" w:ascii="宋体" w:hAnsi="宋体" w:cs="宋体"/>
          <w:color w:val="auto"/>
          <w:sz w:val="24"/>
        </w:rPr>
        <w:t xml:space="preserve">               供应商名称：</w:t>
      </w:r>
      <w:r>
        <w:rPr>
          <w:rFonts w:hint="eastAsia" w:ascii="宋体" w:hAnsi="宋体" w:cs="宋体"/>
          <w:color w:val="auto"/>
          <w:sz w:val="24"/>
          <w:u w:val="single"/>
        </w:rPr>
        <w:t xml:space="preserve">                       </w:t>
      </w:r>
      <w:r>
        <w:rPr>
          <w:rFonts w:hint="eastAsia" w:ascii="宋体" w:hAnsi="宋体" w:cs="宋体"/>
          <w:color w:val="auto"/>
          <w:sz w:val="24"/>
        </w:rPr>
        <w:t xml:space="preserve">（电子签章） </w:t>
      </w:r>
    </w:p>
    <w:p w14:paraId="2B4D8749">
      <w:pPr>
        <w:jc w:val="center"/>
        <w:rPr>
          <w:rFonts w:ascii="宋体" w:hAnsi="宋体" w:cs="宋体"/>
          <w:color w:val="auto"/>
          <w:sz w:val="24"/>
        </w:rPr>
      </w:pPr>
    </w:p>
    <w:p w14:paraId="0DEEE53E">
      <w:pPr>
        <w:jc w:val="center"/>
        <w:rPr>
          <w:rFonts w:ascii="宋体" w:hAnsi="宋体" w:cs="宋体"/>
          <w:color w:val="auto"/>
          <w:sz w:val="24"/>
        </w:rPr>
      </w:pPr>
      <w:r>
        <w:rPr>
          <w:rFonts w:hint="eastAsia" w:ascii="宋体" w:hAnsi="宋体" w:cs="宋体"/>
          <w:color w:val="auto"/>
          <w:sz w:val="24"/>
        </w:rPr>
        <w:t xml:space="preserve">              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（电子签章）</w:t>
      </w:r>
    </w:p>
    <w:p w14:paraId="3FE17A0F">
      <w:pPr>
        <w:pStyle w:val="39"/>
        <w:ind w:firstLine="520"/>
        <w:rPr>
          <w:rFonts w:ascii="宋体" w:hAnsi="宋体" w:cs="宋体"/>
          <w:color w:val="auto"/>
        </w:rPr>
      </w:pPr>
    </w:p>
    <w:p w14:paraId="07201566">
      <w:pPr>
        <w:jc w:val="center"/>
        <w:rPr>
          <w:rFonts w:ascii="宋体" w:hAnsi="宋体" w:cs="宋体"/>
          <w:color w:val="auto"/>
          <w:sz w:val="24"/>
        </w:rPr>
      </w:pPr>
      <w:r>
        <w:rPr>
          <w:rFonts w:hint="eastAsia" w:ascii="宋体" w:hAnsi="宋体" w:cs="宋体"/>
          <w:color w:val="auto"/>
          <w:sz w:val="24"/>
        </w:rPr>
        <w:t xml:space="preserve">           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14:paraId="11E1145E">
      <w:pPr>
        <w:jc w:val="center"/>
        <w:rPr>
          <w:rFonts w:ascii="宋体" w:hAnsi="宋体" w:cs="宋体"/>
          <w:color w:val="auto"/>
          <w:sz w:val="24"/>
        </w:rPr>
      </w:pPr>
    </w:p>
    <w:p w14:paraId="355531C7">
      <w:pPr>
        <w:keepNext/>
        <w:keepLines/>
        <w:spacing w:before="140" w:after="140" w:line="360" w:lineRule="auto"/>
        <w:jc w:val="center"/>
        <w:outlineLvl w:val="1"/>
        <w:rPr>
          <w:rFonts w:ascii="宋体" w:hAnsi="宋体" w:cs="宋体"/>
          <w:b/>
          <w:color w:val="auto"/>
          <w:sz w:val="32"/>
        </w:rPr>
      </w:pPr>
    </w:p>
    <w:p w14:paraId="19295B60">
      <w:pPr>
        <w:rPr>
          <w:color w:val="auto"/>
        </w:rPr>
      </w:pPr>
    </w:p>
    <w:p w14:paraId="39C8FF2A">
      <w:pPr>
        <w:keepNext/>
        <w:keepLines/>
        <w:spacing w:before="140" w:after="140" w:line="360" w:lineRule="auto"/>
        <w:ind w:left="420"/>
        <w:jc w:val="center"/>
        <w:outlineLvl w:val="1"/>
        <w:rPr>
          <w:rFonts w:ascii="宋体" w:hAnsi="宋体" w:cs="宋体"/>
          <w:color w:val="auto"/>
          <w:sz w:val="28"/>
        </w:rPr>
      </w:pPr>
      <w:r>
        <w:rPr>
          <w:rFonts w:hint="eastAsia" w:ascii="宋体" w:hAnsi="宋体" w:cs="宋体"/>
          <w:b/>
          <w:color w:val="auto"/>
          <w:sz w:val="32"/>
        </w:rPr>
        <w:t>五、技术参数偏离表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58"/>
        <w:gridCol w:w="1887"/>
        <w:gridCol w:w="2951"/>
        <w:gridCol w:w="1285"/>
      </w:tblGrid>
      <w:tr w14:paraId="48F9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96" w:type="dxa"/>
            <w:vAlign w:val="center"/>
          </w:tcPr>
          <w:p w14:paraId="162DE022">
            <w:pPr>
              <w:jc w:val="center"/>
              <w:rPr>
                <w:rFonts w:ascii="宋体" w:hAnsi="宋体" w:cs="宋体"/>
                <w:b/>
                <w:color w:val="auto"/>
                <w:sz w:val="24"/>
              </w:rPr>
            </w:pPr>
            <w:r>
              <w:rPr>
                <w:rFonts w:hint="eastAsia" w:ascii="宋体" w:hAnsi="宋体" w:cs="宋体"/>
                <w:color w:val="auto"/>
                <w:sz w:val="24"/>
              </w:rPr>
              <w:t>序号</w:t>
            </w:r>
          </w:p>
        </w:tc>
        <w:tc>
          <w:tcPr>
            <w:tcW w:w="1958" w:type="dxa"/>
            <w:vAlign w:val="center"/>
          </w:tcPr>
          <w:p w14:paraId="71F6B30C">
            <w:pPr>
              <w:jc w:val="center"/>
              <w:rPr>
                <w:rFonts w:ascii="宋体" w:hAnsi="宋体" w:cs="宋体"/>
                <w:b/>
                <w:color w:val="auto"/>
                <w:sz w:val="24"/>
              </w:rPr>
            </w:pPr>
            <w:r>
              <w:rPr>
                <w:rFonts w:hint="eastAsia" w:ascii="宋体" w:hAnsi="宋体" w:cs="宋体"/>
                <w:color w:val="auto"/>
                <w:sz w:val="24"/>
              </w:rPr>
              <w:t>招标文件技术</w:t>
            </w:r>
            <w:r>
              <w:rPr>
                <w:rFonts w:hint="eastAsia" w:ascii="宋体" w:hAnsi="宋体" w:cs="宋体"/>
                <w:color w:val="auto"/>
                <w:sz w:val="24"/>
                <w:lang w:val="en-US" w:eastAsia="zh-CN"/>
              </w:rPr>
              <w:t>参数及要求</w:t>
            </w:r>
            <w:r>
              <w:rPr>
                <w:rFonts w:hint="eastAsia" w:ascii="宋体" w:hAnsi="宋体" w:cs="宋体"/>
                <w:color w:val="auto"/>
                <w:sz w:val="24"/>
              </w:rPr>
              <w:t>配置性能</w:t>
            </w:r>
          </w:p>
        </w:tc>
        <w:tc>
          <w:tcPr>
            <w:tcW w:w="1887" w:type="dxa"/>
            <w:vAlign w:val="center"/>
          </w:tcPr>
          <w:p w14:paraId="4B3D094F">
            <w:pPr>
              <w:jc w:val="center"/>
              <w:rPr>
                <w:rFonts w:ascii="宋体" w:hAnsi="宋体" w:cs="宋体"/>
                <w:b/>
                <w:color w:val="auto"/>
                <w:sz w:val="24"/>
              </w:rPr>
            </w:pPr>
            <w:r>
              <w:rPr>
                <w:rFonts w:hint="eastAsia" w:ascii="宋体" w:hAnsi="宋体" w:cs="宋体"/>
                <w:color w:val="auto"/>
                <w:sz w:val="24"/>
              </w:rPr>
              <w:t>投标技术参数</w:t>
            </w:r>
            <w:r>
              <w:rPr>
                <w:rFonts w:hint="eastAsia" w:ascii="宋体" w:hAnsi="宋体" w:cs="宋体"/>
                <w:color w:val="auto"/>
                <w:sz w:val="24"/>
                <w:lang w:eastAsia="zh-CN"/>
              </w:rPr>
              <w:t>及</w:t>
            </w:r>
            <w:r>
              <w:rPr>
                <w:rFonts w:hint="eastAsia" w:ascii="宋体" w:hAnsi="宋体" w:cs="宋体"/>
                <w:color w:val="auto"/>
                <w:sz w:val="24"/>
                <w:lang w:val="en-US" w:eastAsia="zh-CN"/>
              </w:rPr>
              <w:t>要求</w:t>
            </w:r>
            <w:r>
              <w:rPr>
                <w:rFonts w:hint="eastAsia" w:ascii="宋体" w:hAnsi="宋体" w:cs="宋体"/>
                <w:color w:val="auto"/>
                <w:sz w:val="24"/>
              </w:rPr>
              <w:t>配置性能</w:t>
            </w:r>
          </w:p>
        </w:tc>
        <w:tc>
          <w:tcPr>
            <w:tcW w:w="2951" w:type="dxa"/>
            <w:vAlign w:val="center"/>
          </w:tcPr>
          <w:p w14:paraId="0D202A6D">
            <w:pPr>
              <w:jc w:val="center"/>
              <w:rPr>
                <w:rFonts w:ascii="宋体" w:hAnsi="宋体" w:cs="宋体"/>
                <w:b/>
                <w:color w:val="auto"/>
                <w:sz w:val="24"/>
              </w:rPr>
            </w:pPr>
            <w:r>
              <w:rPr>
                <w:rFonts w:hint="eastAsia" w:ascii="宋体" w:hAnsi="宋体" w:cs="宋体"/>
                <w:color w:val="auto"/>
                <w:sz w:val="24"/>
              </w:rPr>
              <w:t>偏离说明</w:t>
            </w:r>
          </w:p>
        </w:tc>
        <w:tc>
          <w:tcPr>
            <w:tcW w:w="1285" w:type="dxa"/>
            <w:vAlign w:val="center"/>
          </w:tcPr>
          <w:p w14:paraId="016505F1">
            <w:pPr>
              <w:jc w:val="center"/>
              <w:rPr>
                <w:rFonts w:hint="eastAsia" w:ascii="宋体" w:hAnsi="宋体" w:eastAsia="宋体" w:cs="宋体"/>
                <w:color w:val="auto"/>
                <w:sz w:val="24"/>
                <w:lang w:eastAsia="zh-CN"/>
              </w:rPr>
            </w:pPr>
            <w:r>
              <w:rPr>
                <w:rFonts w:hint="eastAsia" w:ascii="宋体" w:hAnsi="宋体" w:cs="宋体"/>
                <w:color w:val="auto"/>
                <w:sz w:val="24"/>
                <w:lang w:eastAsia="zh-CN"/>
              </w:rPr>
              <w:t>备注</w:t>
            </w:r>
          </w:p>
        </w:tc>
      </w:tr>
      <w:tr w14:paraId="5BDE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696" w:type="dxa"/>
          </w:tcPr>
          <w:p w14:paraId="2930CF4D">
            <w:pPr>
              <w:rPr>
                <w:rFonts w:ascii="宋体" w:hAnsi="宋体" w:cs="宋体"/>
                <w:b/>
                <w:color w:val="auto"/>
                <w:sz w:val="24"/>
              </w:rPr>
            </w:pPr>
          </w:p>
        </w:tc>
        <w:tc>
          <w:tcPr>
            <w:tcW w:w="1958" w:type="dxa"/>
          </w:tcPr>
          <w:p w14:paraId="64BE7707">
            <w:pPr>
              <w:rPr>
                <w:rFonts w:ascii="宋体" w:hAnsi="宋体" w:cs="宋体"/>
                <w:b/>
                <w:color w:val="auto"/>
                <w:sz w:val="24"/>
              </w:rPr>
            </w:pPr>
          </w:p>
        </w:tc>
        <w:tc>
          <w:tcPr>
            <w:tcW w:w="1887" w:type="dxa"/>
          </w:tcPr>
          <w:p w14:paraId="5D12DB2F">
            <w:pPr>
              <w:rPr>
                <w:rFonts w:ascii="宋体" w:hAnsi="宋体" w:cs="宋体"/>
                <w:b/>
                <w:color w:val="auto"/>
                <w:sz w:val="24"/>
              </w:rPr>
            </w:pPr>
          </w:p>
        </w:tc>
        <w:tc>
          <w:tcPr>
            <w:tcW w:w="2951" w:type="dxa"/>
          </w:tcPr>
          <w:p w14:paraId="129F0D85">
            <w:pPr>
              <w:rPr>
                <w:rFonts w:ascii="宋体" w:hAnsi="宋体" w:cs="宋体"/>
                <w:b/>
                <w:color w:val="auto"/>
                <w:sz w:val="24"/>
              </w:rPr>
            </w:pPr>
            <w:r>
              <w:rPr>
                <w:rFonts w:hint="eastAsia" w:ascii="宋体" w:hAnsi="宋体" w:cs="宋体"/>
                <w:color w:val="auto"/>
                <w:sz w:val="24"/>
              </w:rPr>
              <w:t>投标设备符合招标文件要求此项目填写“符合”，优于招标文件要求此项填写“正偏离”，不能满足招标文件要求此项填写“负偏离”</w:t>
            </w:r>
          </w:p>
        </w:tc>
        <w:tc>
          <w:tcPr>
            <w:tcW w:w="1285" w:type="dxa"/>
          </w:tcPr>
          <w:p w14:paraId="31EDE507">
            <w:pPr>
              <w:rPr>
                <w:rFonts w:ascii="宋体" w:hAnsi="宋体" w:cs="宋体"/>
                <w:color w:val="auto"/>
                <w:sz w:val="24"/>
              </w:rPr>
            </w:pPr>
          </w:p>
        </w:tc>
      </w:tr>
      <w:tr w14:paraId="7B38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6" w:type="dxa"/>
          </w:tcPr>
          <w:p w14:paraId="46A0FAA6">
            <w:pPr>
              <w:rPr>
                <w:rFonts w:ascii="宋体" w:hAnsi="宋体" w:cs="宋体"/>
                <w:b/>
                <w:color w:val="auto"/>
                <w:sz w:val="24"/>
              </w:rPr>
            </w:pPr>
          </w:p>
        </w:tc>
        <w:tc>
          <w:tcPr>
            <w:tcW w:w="1958" w:type="dxa"/>
          </w:tcPr>
          <w:p w14:paraId="1D9A74FA">
            <w:pPr>
              <w:rPr>
                <w:rFonts w:ascii="宋体" w:hAnsi="宋体" w:cs="宋体"/>
                <w:b/>
                <w:color w:val="auto"/>
                <w:sz w:val="24"/>
              </w:rPr>
            </w:pPr>
          </w:p>
        </w:tc>
        <w:tc>
          <w:tcPr>
            <w:tcW w:w="1887" w:type="dxa"/>
          </w:tcPr>
          <w:p w14:paraId="628E16BB">
            <w:pPr>
              <w:rPr>
                <w:rFonts w:ascii="宋体" w:hAnsi="宋体" w:cs="宋体"/>
                <w:b/>
                <w:color w:val="auto"/>
                <w:sz w:val="24"/>
              </w:rPr>
            </w:pPr>
          </w:p>
        </w:tc>
        <w:tc>
          <w:tcPr>
            <w:tcW w:w="2951" w:type="dxa"/>
          </w:tcPr>
          <w:p w14:paraId="34FB19C9">
            <w:pPr>
              <w:rPr>
                <w:rFonts w:ascii="宋体" w:hAnsi="宋体" w:cs="宋体"/>
                <w:b/>
                <w:color w:val="auto"/>
                <w:sz w:val="24"/>
              </w:rPr>
            </w:pPr>
          </w:p>
        </w:tc>
        <w:tc>
          <w:tcPr>
            <w:tcW w:w="1285" w:type="dxa"/>
          </w:tcPr>
          <w:p w14:paraId="58EEE5BB">
            <w:pPr>
              <w:rPr>
                <w:rFonts w:ascii="宋体" w:hAnsi="宋体" w:cs="宋体"/>
                <w:b/>
                <w:color w:val="auto"/>
                <w:sz w:val="24"/>
              </w:rPr>
            </w:pPr>
          </w:p>
        </w:tc>
      </w:tr>
      <w:tr w14:paraId="15C5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6" w:type="dxa"/>
          </w:tcPr>
          <w:p w14:paraId="71575019">
            <w:pPr>
              <w:rPr>
                <w:rFonts w:ascii="宋体" w:hAnsi="宋体" w:cs="宋体"/>
                <w:b/>
                <w:color w:val="auto"/>
                <w:sz w:val="24"/>
              </w:rPr>
            </w:pPr>
          </w:p>
        </w:tc>
        <w:tc>
          <w:tcPr>
            <w:tcW w:w="1958" w:type="dxa"/>
          </w:tcPr>
          <w:p w14:paraId="2A9DD451">
            <w:pPr>
              <w:rPr>
                <w:rFonts w:ascii="宋体" w:hAnsi="宋体" w:cs="宋体"/>
                <w:b/>
                <w:color w:val="auto"/>
                <w:sz w:val="24"/>
              </w:rPr>
            </w:pPr>
          </w:p>
        </w:tc>
        <w:tc>
          <w:tcPr>
            <w:tcW w:w="1887" w:type="dxa"/>
          </w:tcPr>
          <w:p w14:paraId="0B21F449">
            <w:pPr>
              <w:rPr>
                <w:rFonts w:ascii="宋体" w:hAnsi="宋体" w:cs="宋体"/>
                <w:b/>
                <w:color w:val="auto"/>
                <w:sz w:val="24"/>
              </w:rPr>
            </w:pPr>
          </w:p>
        </w:tc>
        <w:tc>
          <w:tcPr>
            <w:tcW w:w="2951" w:type="dxa"/>
          </w:tcPr>
          <w:p w14:paraId="20E34948">
            <w:pPr>
              <w:rPr>
                <w:rFonts w:ascii="宋体" w:hAnsi="宋体" w:cs="宋体"/>
                <w:b/>
                <w:color w:val="auto"/>
                <w:sz w:val="24"/>
              </w:rPr>
            </w:pPr>
          </w:p>
        </w:tc>
        <w:tc>
          <w:tcPr>
            <w:tcW w:w="1285" w:type="dxa"/>
          </w:tcPr>
          <w:p w14:paraId="32C94D5B">
            <w:pPr>
              <w:rPr>
                <w:rFonts w:ascii="宋体" w:hAnsi="宋体" w:cs="宋体"/>
                <w:b/>
                <w:color w:val="auto"/>
                <w:sz w:val="24"/>
              </w:rPr>
            </w:pPr>
          </w:p>
        </w:tc>
      </w:tr>
      <w:tr w14:paraId="0EE6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6" w:type="dxa"/>
          </w:tcPr>
          <w:p w14:paraId="5D8BC9C4">
            <w:pPr>
              <w:rPr>
                <w:rFonts w:ascii="宋体" w:hAnsi="宋体" w:cs="宋体"/>
                <w:b/>
                <w:color w:val="auto"/>
                <w:sz w:val="24"/>
              </w:rPr>
            </w:pPr>
          </w:p>
        </w:tc>
        <w:tc>
          <w:tcPr>
            <w:tcW w:w="1958" w:type="dxa"/>
          </w:tcPr>
          <w:p w14:paraId="6FE85E9C">
            <w:pPr>
              <w:rPr>
                <w:rFonts w:ascii="宋体" w:hAnsi="宋体" w:cs="宋体"/>
                <w:b/>
                <w:color w:val="auto"/>
                <w:sz w:val="24"/>
              </w:rPr>
            </w:pPr>
          </w:p>
        </w:tc>
        <w:tc>
          <w:tcPr>
            <w:tcW w:w="1887" w:type="dxa"/>
          </w:tcPr>
          <w:p w14:paraId="5C6876A9">
            <w:pPr>
              <w:rPr>
                <w:rFonts w:ascii="宋体" w:hAnsi="宋体" w:cs="宋体"/>
                <w:b/>
                <w:color w:val="auto"/>
                <w:sz w:val="24"/>
              </w:rPr>
            </w:pPr>
          </w:p>
        </w:tc>
        <w:tc>
          <w:tcPr>
            <w:tcW w:w="2951" w:type="dxa"/>
          </w:tcPr>
          <w:p w14:paraId="744B9824">
            <w:pPr>
              <w:rPr>
                <w:rFonts w:ascii="宋体" w:hAnsi="宋体" w:cs="宋体"/>
                <w:b/>
                <w:color w:val="auto"/>
                <w:sz w:val="24"/>
              </w:rPr>
            </w:pPr>
          </w:p>
        </w:tc>
        <w:tc>
          <w:tcPr>
            <w:tcW w:w="1285" w:type="dxa"/>
          </w:tcPr>
          <w:p w14:paraId="1179BA19">
            <w:pPr>
              <w:rPr>
                <w:rFonts w:ascii="宋体" w:hAnsi="宋体" w:cs="宋体"/>
                <w:b/>
                <w:color w:val="auto"/>
                <w:sz w:val="24"/>
              </w:rPr>
            </w:pPr>
          </w:p>
        </w:tc>
      </w:tr>
      <w:tr w14:paraId="6811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6" w:type="dxa"/>
          </w:tcPr>
          <w:p w14:paraId="5D354079">
            <w:pPr>
              <w:rPr>
                <w:rFonts w:ascii="宋体" w:hAnsi="宋体" w:cs="宋体"/>
                <w:b/>
                <w:color w:val="auto"/>
                <w:sz w:val="24"/>
              </w:rPr>
            </w:pPr>
          </w:p>
        </w:tc>
        <w:tc>
          <w:tcPr>
            <w:tcW w:w="1958" w:type="dxa"/>
          </w:tcPr>
          <w:p w14:paraId="01198FF1">
            <w:pPr>
              <w:rPr>
                <w:rFonts w:ascii="宋体" w:hAnsi="宋体" w:cs="宋体"/>
                <w:b/>
                <w:color w:val="auto"/>
                <w:sz w:val="24"/>
              </w:rPr>
            </w:pPr>
          </w:p>
        </w:tc>
        <w:tc>
          <w:tcPr>
            <w:tcW w:w="1887" w:type="dxa"/>
          </w:tcPr>
          <w:p w14:paraId="4AF9618D">
            <w:pPr>
              <w:rPr>
                <w:rFonts w:ascii="宋体" w:hAnsi="宋体" w:cs="宋体"/>
                <w:b/>
                <w:color w:val="auto"/>
                <w:sz w:val="24"/>
              </w:rPr>
            </w:pPr>
          </w:p>
        </w:tc>
        <w:tc>
          <w:tcPr>
            <w:tcW w:w="2951" w:type="dxa"/>
          </w:tcPr>
          <w:p w14:paraId="2C06C829">
            <w:pPr>
              <w:rPr>
                <w:rFonts w:ascii="宋体" w:hAnsi="宋体" w:cs="宋体"/>
                <w:b/>
                <w:color w:val="auto"/>
                <w:sz w:val="24"/>
              </w:rPr>
            </w:pPr>
          </w:p>
        </w:tc>
        <w:tc>
          <w:tcPr>
            <w:tcW w:w="1285" w:type="dxa"/>
          </w:tcPr>
          <w:p w14:paraId="6C20E3E2">
            <w:pPr>
              <w:rPr>
                <w:rFonts w:ascii="宋体" w:hAnsi="宋体" w:cs="宋体"/>
                <w:b/>
                <w:color w:val="auto"/>
                <w:sz w:val="24"/>
              </w:rPr>
            </w:pPr>
          </w:p>
        </w:tc>
      </w:tr>
      <w:tr w14:paraId="2943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6" w:type="dxa"/>
          </w:tcPr>
          <w:p w14:paraId="506005AE">
            <w:pPr>
              <w:rPr>
                <w:rFonts w:ascii="宋体" w:hAnsi="宋体" w:cs="宋体"/>
                <w:b/>
                <w:color w:val="auto"/>
                <w:sz w:val="24"/>
              </w:rPr>
            </w:pPr>
          </w:p>
        </w:tc>
        <w:tc>
          <w:tcPr>
            <w:tcW w:w="1958" w:type="dxa"/>
          </w:tcPr>
          <w:p w14:paraId="47C623D3">
            <w:pPr>
              <w:rPr>
                <w:rFonts w:ascii="宋体" w:hAnsi="宋体" w:cs="宋体"/>
                <w:b/>
                <w:color w:val="auto"/>
                <w:sz w:val="24"/>
              </w:rPr>
            </w:pPr>
          </w:p>
        </w:tc>
        <w:tc>
          <w:tcPr>
            <w:tcW w:w="1887" w:type="dxa"/>
          </w:tcPr>
          <w:p w14:paraId="6A177B33">
            <w:pPr>
              <w:rPr>
                <w:rFonts w:ascii="宋体" w:hAnsi="宋体" w:cs="宋体"/>
                <w:b/>
                <w:color w:val="auto"/>
                <w:sz w:val="24"/>
              </w:rPr>
            </w:pPr>
          </w:p>
        </w:tc>
        <w:tc>
          <w:tcPr>
            <w:tcW w:w="2951" w:type="dxa"/>
          </w:tcPr>
          <w:p w14:paraId="276D601A">
            <w:pPr>
              <w:rPr>
                <w:rFonts w:ascii="宋体" w:hAnsi="宋体" w:cs="宋体"/>
                <w:b/>
                <w:color w:val="auto"/>
                <w:sz w:val="24"/>
              </w:rPr>
            </w:pPr>
          </w:p>
        </w:tc>
        <w:tc>
          <w:tcPr>
            <w:tcW w:w="1285" w:type="dxa"/>
          </w:tcPr>
          <w:p w14:paraId="2E449A1A">
            <w:pPr>
              <w:rPr>
                <w:rFonts w:ascii="宋体" w:hAnsi="宋体" w:cs="宋体"/>
                <w:b/>
                <w:color w:val="auto"/>
                <w:sz w:val="24"/>
              </w:rPr>
            </w:pPr>
          </w:p>
        </w:tc>
      </w:tr>
      <w:tr w14:paraId="5804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tcPr>
          <w:p w14:paraId="3EA9CC52">
            <w:pPr>
              <w:rPr>
                <w:rFonts w:ascii="宋体" w:hAnsi="宋体" w:cs="宋体"/>
                <w:b/>
                <w:color w:val="auto"/>
                <w:sz w:val="24"/>
              </w:rPr>
            </w:pPr>
          </w:p>
        </w:tc>
        <w:tc>
          <w:tcPr>
            <w:tcW w:w="1958" w:type="dxa"/>
          </w:tcPr>
          <w:p w14:paraId="3C266F4C">
            <w:pPr>
              <w:rPr>
                <w:rFonts w:ascii="宋体" w:hAnsi="宋体" w:cs="宋体"/>
                <w:b/>
                <w:color w:val="auto"/>
                <w:sz w:val="24"/>
              </w:rPr>
            </w:pPr>
          </w:p>
        </w:tc>
        <w:tc>
          <w:tcPr>
            <w:tcW w:w="1887" w:type="dxa"/>
          </w:tcPr>
          <w:p w14:paraId="0B95160D">
            <w:pPr>
              <w:rPr>
                <w:rFonts w:ascii="宋体" w:hAnsi="宋体" w:cs="宋体"/>
                <w:b/>
                <w:color w:val="auto"/>
                <w:sz w:val="24"/>
              </w:rPr>
            </w:pPr>
          </w:p>
        </w:tc>
        <w:tc>
          <w:tcPr>
            <w:tcW w:w="2951" w:type="dxa"/>
          </w:tcPr>
          <w:p w14:paraId="1B9523F4">
            <w:pPr>
              <w:rPr>
                <w:rFonts w:ascii="宋体" w:hAnsi="宋体" w:cs="宋体"/>
                <w:b/>
                <w:color w:val="auto"/>
                <w:sz w:val="24"/>
              </w:rPr>
            </w:pPr>
          </w:p>
        </w:tc>
        <w:tc>
          <w:tcPr>
            <w:tcW w:w="1285" w:type="dxa"/>
          </w:tcPr>
          <w:p w14:paraId="72249D90">
            <w:pPr>
              <w:rPr>
                <w:rFonts w:ascii="宋体" w:hAnsi="宋体" w:cs="宋体"/>
                <w:b/>
                <w:color w:val="auto"/>
                <w:sz w:val="24"/>
              </w:rPr>
            </w:pPr>
          </w:p>
        </w:tc>
      </w:tr>
      <w:tr w14:paraId="420F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96" w:type="dxa"/>
          </w:tcPr>
          <w:p w14:paraId="79489A59">
            <w:pPr>
              <w:rPr>
                <w:rFonts w:ascii="宋体" w:hAnsi="宋体" w:cs="宋体"/>
                <w:b/>
                <w:color w:val="auto"/>
                <w:sz w:val="24"/>
              </w:rPr>
            </w:pPr>
            <w:r>
              <w:rPr>
                <w:rFonts w:hint="eastAsia" w:ascii="宋体" w:hAnsi="宋体" w:cs="宋体"/>
                <w:b/>
                <w:color w:val="auto"/>
                <w:sz w:val="24"/>
              </w:rPr>
              <w:t>......</w:t>
            </w:r>
          </w:p>
        </w:tc>
        <w:tc>
          <w:tcPr>
            <w:tcW w:w="1958" w:type="dxa"/>
          </w:tcPr>
          <w:p w14:paraId="3A4C5242">
            <w:pPr>
              <w:rPr>
                <w:rFonts w:ascii="宋体" w:hAnsi="宋体" w:cs="宋体"/>
                <w:b/>
                <w:color w:val="auto"/>
                <w:sz w:val="24"/>
              </w:rPr>
            </w:pPr>
          </w:p>
        </w:tc>
        <w:tc>
          <w:tcPr>
            <w:tcW w:w="1887" w:type="dxa"/>
          </w:tcPr>
          <w:p w14:paraId="3CFC7A3F">
            <w:pPr>
              <w:rPr>
                <w:rFonts w:ascii="宋体" w:hAnsi="宋体" w:cs="宋体"/>
                <w:b/>
                <w:color w:val="auto"/>
                <w:sz w:val="24"/>
              </w:rPr>
            </w:pPr>
          </w:p>
        </w:tc>
        <w:tc>
          <w:tcPr>
            <w:tcW w:w="2951" w:type="dxa"/>
          </w:tcPr>
          <w:p w14:paraId="5555EB14">
            <w:pPr>
              <w:rPr>
                <w:rFonts w:ascii="宋体" w:hAnsi="宋体" w:cs="宋体"/>
                <w:b/>
                <w:color w:val="auto"/>
                <w:sz w:val="24"/>
              </w:rPr>
            </w:pPr>
          </w:p>
        </w:tc>
        <w:tc>
          <w:tcPr>
            <w:tcW w:w="1285" w:type="dxa"/>
          </w:tcPr>
          <w:p w14:paraId="6F498887">
            <w:pPr>
              <w:rPr>
                <w:rFonts w:ascii="宋体" w:hAnsi="宋体" w:cs="宋体"/>
                <w:b/>
                <w:color w:val="auto"/>
                <w:sz w:val="24"/>
              </w:rPr>
            </w:pPr>
          </w:p>
        </w:tc>
      </w:tr>
    </w:tbl>
    <w:p w14:paraId="090F928F">
      <w:pPr>
        <w:rPr>
          <w:rFonts w:ascii="宋体" w:hAnsi="宋体" w:cs="宋体"/>
          <w:b/>
          <w:color w:val="auto"/>
          <w:sz w:val="24"/>
        </w:rPr>
      </w:pPr>
    </w:p>
    <w:p w14:paraId="5FEFC2F7">
      <w:pPr>
        <w:rPr>
          <w:rFonts w:ascii="宋体" w:hAnsi="宋体" w:cs="宋体"/>
          <w:b/>
          <w:color w:val="auto"/>
          <w:sz w:val="24"/>
        </w:rPr>
      </w:pPr>
    </w:p>
    <w:p w14:paraId="436D6D14">
      <w:pPr>
        <w:rPr>
          <w:color w:val="auto"/>
        </w:rPr>
      </w:pPr>
      <w:r>
        <w:rPr>
          <w:rFonts w:hint="eastAsia" w:ascii="宋体" w:hAnsi="宋体" w:cs="宋体"/>
          <w:b/>
          <w:color w:val="auto"/>
          <w:sz w:val="24"/>
        </w:rPr>
        <w:t>注：表中“招标技术参数</w:t>
      </w:r>
      <w:r>
        <w:rPr>
          <w:rFonts w:hint="eastAsia" w:ascii="宋体" w:hAnsi="宋体" w:cs="宋体"/>
          <w:b/>
          <w:color w:val="auto"/>
          <w:sz w:val="24"/>
          <w:lang w:val="en-US" w:eastAsia="zh-CN"/>
        </w:rPr>
        <w:t>（技术要求）</w:t>
      </w:r>
      <w:r>
        <w:rPr>
          <w:rFonts w:hint="eastAsia" w:ascii="宋体" w:hAnsi="宋体" w:cs="宋体"/>
          <w:b/>
          <w:color w:val="auto"/>
          <w:sz w:val="24"/>
        </w:rPr>
        <w:t>配置性能”一栏需严格按</w:t>
      </w:r>
      <w:r>
        <w:rPr>
          <w:rFonts w:hint="eastAsia" w:ascii="宋体" w:hAnsi="宋体" w:cs="宋体"/>
          <w:b/>
          <w:color w:val="auto"/>
          <w:sz w:val="24"/>
          <w:lang w:val="en-US" w:eastAsia="zh-CN"/>
        </w:rPr>
        <w:t>采购内容及技术要求</w:t>
      </w:r>
      <w:r>
        <w:rPr>
          <w:rFonts w:hint="eastAsia" w:ascii="宋体" w:hAnsi="宋体" w:cs="宋体"/>
          <w:b/>
          <w:color w:val="auto"/>
          <w:sz w:val="24"/>
        </w:rPr>
        <w:t>中的顺序及内容逐项填写，漏项的视为不符合招标技术参数要求，扣除相应分值。</w:t>
      </w:r>
    </w:p>
    <w:p w14:paraId="2D8CF4AE">
      <w:pPr>
        <w:pStyle w:val="39"/>
        <w:ind w:firstLine="683"/>
        <w:jc w:val="center"/>
        <w:rPr>
          <w:b/>
          <w:color w:val="auto"/>
          <w:sz w:val="32"/>
          <w:szCs w:val="32"/>
        </w:rPr>
      </w:pPr>
    </w:p>
    <w:p w14:paraId="6E6168A5">
      <w:pPr>
        <w:pStyle w:val="39"/>
        <w:ind w:firstLine="683"/>
        <w:jc w:val="center"/>
        <w:rPr>
          <w:b/>
          <w:color w:val="auto"/>
          <w:sz w:val="32"/>
          <w:szCs w:val="32"/>
        </w:rPr>
      </w:pPr>
    </w:p>
    <w:p w14:paraId="174CCF7A">
      <w:pPr>
        <w:pStyle w:val="39"/>
        <w:ind w:firstLine="683"/>
        <w:jc w:val="center"/>
        <w:rPr>
          <w:b/>
          <w:color w:val="auto"/>
          <w:sz w:val="32"/>
          <w:szCs w:val="32"/>
        </w:rPr>
      </w:pPr>
    </w:p>
    <w:p w14:paraId="17A54AFB">
      <w:pPr>
        <w:pStyle w:val="39"/>
        <w:ind w:firstLine="683"/>
        <w:jc w:val="center"/>
        <w:rPr>
          <w:b/>
          <w:color w:val="auto"/>
          <w:sz w:val="32"/>
          <w:szCs w:val="32"/>
        </w:rPr>
      </w:pPr>
    </w:p>
    <w:p w14:paraId="20C3E53A">
      <w:pPr>
        <w:pStyle w:val="39"/>
        <w:ind w:firstLine="683"/>
        <w:jc w:val="center"/>
        <w:rPr>
          <w:b/>
          <w:color w:val="auto"/>
          <w:sz w:val="32"/>
          <w:szCs w:val="32"/>
        </w:rPr>
      </w:pPr>
    </w:p>
    <w:p w14:paraId="2184B3D1">
      <w:pPr>
        <w:pStyle w:val="39"/>
        <w:ind w:firstLine="683"/>
        <w:jc w:val="both"/>
        <w:rPr>
          <w:b/>
          <w:color w:val="auto"/>
          <w:sz w:val="32"/>
          <w:szCs w:val="32"/>
        </w:rPr>
      </w:pPr>
    </w:p>
    <w:p w14:paraId="01867D27">
      <w:pPr>
        <w:pStyle w:val="39"/>
        <w:ind w:firstLine="683"/>
        <w:jc w:val="center"/>
        <w:rPr>
          <w:b/>
          <w:color w:val="auto"/>
          <w:sz w:val="32"/>
          <w:szCs w:val="32"/>
        </w:rPr>
      </w:pPr>
    </w:p>
    <w:p w14:paraId="3E004CA8">
      <w:pPr>
        <w:jc w:val="center"/>
        <w:rPr>
          <w:rFonts w:ascii="宋体" w:hAnsi="宋体" w:cs="宋体"/>
          <w:color w:val="auto"/>
          <w:sz w:val="24"/>
        </w:rPr>
      </w:pPr>
      <w:r>
        <w:rPr>
          <w:rFonts w:hint="eastAsia" w:ascii="宋体" w:hAnsi="宋体" w:cs="宋体"/>
          <w:color w:val="auto"/>
          <w:sz w:val="24"/>
        </w:rPr>
        <w:t xml:space="preserve">             供应商名称：</w:t>
      </w:r>
      <w:r>
        <w:rPr>
          <w:rFonts w:hint="eastAsia" w:ascii="宋体" w:hAnsi="宋体" w:cs="宋体"/>
          <w:color w:val="auto"/>
          <w:sz w:val="24"/>
          <w:u w:val="single"/>
        </w:rPr>
        <w:t xml:space="preserve">                       </w:t>
      </w:r>
      <w:r>
        <w:rPr>
          <w:rFonts w:hint="eastAsia" w:ascii="宋体" w:hAnsi="宋体" w:cs="宋体"/>
          <w:color w:val="auto"/>
          <w:sz w:val="24"/>
        </w:rPr>
        <w:t xml:space="preserve">（电子签章） </w:t>
      </w:r>
    </w:p>
    <w:p w14:paraId="6F482AE2">
      <w:pPr>
        <w:jc w:val="center"/>
        <w:rPr>
          <w:rFonts w:ascii="宋体" w:hAnsi="宋体" w:cs="宋体"/>
          <w:color w:val="auto"/>
          <w:sz w:val="24"/>
        </w:rPr>
      </w:pPr>
    </w:p>
    <w:p w14:paraId="1EB57079">
      <w:pPr>
        <w:jc w:val="center"/>
        <w:rPr>
          <w:rFonts w:ascii="宋体" w:hAnsi="宋体" w:cs="宋体"/>
          <w:color w:val="auto"/>
          <w:sz w:val="24"/>
        </w:rPr>
      </w:pPr>
      <w:r>
        <w:rPr>
          <w:rFonts w:hint="eastAsia" w:ascii="宋体" w:hAnsi="宋体" w:cs="宋体"/>
          <w:color w:val="auto"/>
          <w:sz w:val="24"/>
        </w:rPr>
        <w:t xml:space="preserve">                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（电子签章）</w:t>
      </w:r>
    </w:p>
    <w:p w14:paraId="5847E4B7">
      <w:pPr>
        <w:pStyle w:val="39"/>
        <w:ind w:firstLine="520"/>
        <w:rPr>
          <w:rFonts w:ascii="宋体" w:hAnsi="宋体" w:cs="宋体"/>
          <w:color w:val="auto"/>
        </w:rPr>
      </w:pPr>
    </w:p>
    <w:p w14:paraId="121541C1">
      <w:pPr>
        <w:jc w:val="center"/>
        <w:rPr>
          <w:rFonts w:ascii="宋体" w:hAnsi="宋体" w:cs="宋体"/>
          <w:color w:val="auto"/>
          <w:sz w:val="24"/>
        </w:rPr>
      </w:pPr>
      <w:r>
        <w:rPr>
          <w:rFonts w:hint="eastAsia" w:ascii="宋体" w:hAnsi="宋体" w:cs="宋体"/>
          <w:color w:val="auto"/>
          <w:sz w:val="24"/>
        </w:rPr>
        <w:t xml:space="preserve">           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14:paraId="3FF5D022">
      <w:pPr>
        <w:pStyle w:val="39"/>
        <w:ind w:firstLine="683"/>
        <w:jc w:val="center"/>
        <w:rPr>
          <w:b/>
          <w:color w:val="auto"/>
          <w:sz w:val="32"/>
          <w:szCs w:val="32"/>
        </w:rPr>
      </w:pPr>
    </w:p>
    <w:p w14:paraId="1E77073C">
      <w:pPr>
        <w:pStyle w:val="39"/>
        <w:ind w:firstLine="683"/>
        <w:jc w:val="center"/>
        <w:rPr>
          <w:rFonts w:ascii="宋体" w:hAnsi="宋体" w:cs="宋体"/>
          <w:b/>
          <w:color w:val="auto"/>
          <w:sz w:val="32"/>
        </w:rPr>
      </w:pPr>
      <w:r>
        <w:rPr>
          <w:rFonts w:hint="eastAsia"/>
          <w:b/>
          <w:color w:val="auto"/>
          <w:sz w:val="32"/>
          <w:szCs w:val="32"/>
        </w:rPr>
        <w:t>六、</w:t>
      </w:r>
      <w:r>
        <w:rPr>
          <w:rFonts w:hint="eastAsia" w:ascii="宋体" w:hAnsi="宋体" w:cs="宋体"/>
          <w:b/>
          <w:color w:val="auto"/>
          <w:sz w:val="32"/>
        </w:rPr>
        <w:t>类似业绩一览表</w:t>
      </w:r>
    </w:p>
    <w:p w14:paraId="0773319A">
      <w:pPr>
        <w:pStyle w:val="39"/>
        <w:ind w:firstLine="683"/>
        <w:rPr>
          <w:rFonts w:ascii="宋体" w:hAnsi="宋体" w:cs="宋体"/>
          <w:b/>
          <w:color w:val="auto"/>
          <w:sz w:val="32"/>
        </w:rPr>
      </w:pPr>
    </w:p>
    <w:tbl>
      <w:tblPr>
        <w:tblStyle w:val="26"/>
        <w:tblpPr w:leftFromText="180" w:rightFromText="180" w:vertAnchor="text" w:horzAnchor="page" w:tblpX="1788" w:tblpY="443"/>
        <w:tblOverlap w:val="never"/>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6239"/>
      </w:tblGrid>
      <w:tr w14:paraId="281B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60" w:type="dxa"/>
            <w:vAlign w:val="center"/>
          </w:tcPr>
          <w:p w14:paraId="1783C208">
            <w:pPr>
              <w:topLinePunct/>
              <w:spacing w:line="440" w:lineRule="exact"/>
              <w:jc w:val="center"/>
              <w:rPr>
                <w:rFonts w:ascii="宋体" w:hAnsi="宋体" w:cs="宋体"/>
                <w:color w:val="auto"/>
                <w:sz w:val="24"/>
              </w:rPr>
            </w:pPr>
            <w:r>
              <w:rPr>
                <w:rFonts w:hint="eastAsia" w:ascii="宋体" w:hAnsi="宋体" w:cs="宋体"/>
                <w:color w:val="auto"/>
                <w:sz w:val="24"/>
              </w:rPr>
              <w:t>类似业绩项目名称</w:t>
            </w:r>
          </w:p>
        </w:tc>
        <w:tc>
          <w:tcPr>
            <w:tcW w:w="6239" w:type="dxa"/>
          </w:tcPr>
          <w:p w14:paraId="60F9720B">
            <w:pPr>
              <w:topLinePunct/>
              <w:spacing w:line="440" w:lineRule="exact"/>
              <w:rPr>
                <w:rFonts w:ascii="宋体" w:hAnsi="宋体" w:cs="宋体"/>
                <w:color w:val="auto"/>
                <w:sz w:val="24"/>
                <w:highlight w:val="black"/>
              </w:rPr>
            </w:pPr>
          </w:p>
        </w:tc>
      </w:tr>
      <w:tr w14:paraId="2B2F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60" w:type="dxa"/>
            <w:vAlign w:val="center"/>
          </w:tcPr>
          <w:p w14:paraId="54C44256">
            <w:pPr>
              <w:topLinePunct/>
              <w:spacing w:line="440" w:lineRule="exact"/>
              <w:jc w:val="center"/>
              <w:rPr>
                <w:rFonts w:hint="eastAsia" w:ascii="宋体" w:hAnsi="宋体" w:cs="宋体"/>
                <w:color w:val="auto"/>
                <w:sz w:val="24"/>
              </w:rPr>
            </w:pPr>
            <w:r>
              <w:rPr>
                <w:rFonts w:hint="eastAsia" w:ascii="宋体" w:hAnsi="宋体" w:cs="宋体"/>
                <w:color w:val="auto"/>
                <w:sz w:val="24"/>
                <w:lang w:val="en-US" w:eastAsia="zh-CN"/>
              </w:rPr>
              <w:t>项目简介</w:t>
            </w:r>
          </w:p>
        </w:tc>
        <w:tc>
          <w:tcPr>
            <w:tcW w:w="6239" w:type="dxa"/>
          </w:tcPr>
          <w:p w14:paraId="7EDC607C">
            <w:pPr>
              <w:topLinePunct/>
              <w:spacing w:line="440" w:lineRule="exact"/>
              <w:rPr>
                <w:rFonts w:ascii="宋体" w:hAnsi="宋体" w:cs="宋体"/>
                <w:color w:val="auto"/>
                <w:sz w:val="24"/>
                <w:highlight w:val="black"/>
              </w:rPr>
            </w:pPr>
          </w:p>
        </w:tc>
      </w:tr>
      <w:tr w14:paraId="0FD2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0" w:type="dxa"/>
            <w:vAlign w:val="center"/>
          </w:tcPr>
          <w:p w14:paraId="0AF782FF">
            <w:pPr>
              <w:topLinePunct/>
              <w:spacing w:line="440" w:lineRule="exact"/>
              <w:jc w:val="center"/>
              <w:rPr>
                <w:rFonts w:ascii="宋体" w:hAnsi="宋体" w:cs="宋体"/>
                <w:color w:val="auto"/>
                <w:sz w:val="24"/>
              </w:rPr>
            </w:pPr>
            <w:r>
              <w:rPr>
                <w:rFonts w:hint="eastAsia" w:ascii="宋体" w:hAnsi="宋体" w:cs="宋体"/>
                <w:color w:val="auto"/>
                <w:sz w:val="24"/>
              </w:rPr>
              <w:t>项目所在地</w:t>
            </w:r>
          </w:p>
        </w:tc>
        <w:tc>
          <w:tcPr>
            <w:tcW w:w="6239" w:type="dxa"/>
          </w:tcPr>
          <w:p w14:paraId="5E676092">
            <w:pPr>
              <w:topLinePunct/>
              <w:spacing w:line="440" w:lineRule="exact"/>
              <w:rPr>
                <w:rFonts w:ascii="宋体" w:hAnsi="宋体" w:cs="宋体"/>
                <w:color w:val="auto"/>
                <w:sz w:val="24"/>
              </w:rPr>
            </w:pPr>
          </w:p>
        </w:tc>
      </w:tr>
      <w:tr w14:paraId="245A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0" w:type="dxa"/>
            <w:vAlign w:val="center"/>
          </w:tcPr>
          <w:p w14:paraId="6148CD58">
            <w:pPr>
              <w:topLinePunct/>
              <w:spacing w:line="440" w:lineRule="exact"/>
              <w:jc w:val="center"/>
              <w:rPr>
                <w:rFonts w:ascii="宋体" w:hAnsi="宋体" w:cs="宋体"/>
                <w:color w:val="auto"/>
                <w:sz w:val="24"/>
              </w:rPr>
            </w:pPr>
            <w:r>
              <w:rPr>
                <w:rFonts w:hint="eastAsia" w:ascii="宋体" w:hAnsi="宋体" w:cs="宋体"/>
                <w:color w:val="auto"/>
                <w:sz w:val="24"/>
              </w:rPr>
              <w:t>发包人名称</w:t>
            </w:r>
          </w:p>
        </w:tc>
        <w:tc>
          <w:tcPr>
            <w:tcW w:w="6239" w:type="dxa"/>
          </w:tcPr>
          <w:p w14:paraId="6CF74D08">
            <w:pPr>
              <w:topLinePunct/>
              <w:spacing w:line="440" w:lineRule="exact"/>
              <w:rPr>
                <w:rFonts w:ascii="宋体" w:hAnsi="宋体" w:cs="宋体"/>
                <w:color w:val="auto"/>
                <w:sz w:val="24"/>
              </w:rPr>
            </w:pPr>
          </w:p>
        </w:tc>
      </w:tr>
      <w:tr w14:paraId="704F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0" w:type="dxa"/>
            <w:vAlign w:val="center"/>
          </w:tcPr>
          <w:p w14:paraId="2DD57C6E">
            <w:pPr>
              <w:topLinePunct/>
              <w:spacing w:line="440" w:lineRule="exact"/>
              <w:jc w:val="center"/>
              <w:rPr>
                <w:rFonts w:hint="eastAsia" w:ascii="宋体" w:hAnsi="宋体" w:cs="宋体"/>
                <w:color w:val="auto"/>
                <w:sz w:val="24"/>
              </w:rPr>
            </w:pPr>
            <w:r>
              <w:rPr>
                <w:rFonts w:hint="eastAsia" w:ascii="宋体" w:hAnsi="宋体" w:cs="宋体"/>
                <w:color w:val="auto"/>
                <w:sz w:val="24"/>
              </w:rPr>
              <w:t>发包人地址</w:t>
            </w:r>
          </w:p>
        </w:tc>
        <w:tc>
          <w:tcPr>
            <w:tcW w:w="6239" w:type="dxa"/>
          </w:tcPr>
          <w:p w14:paraId="1232A9F2">
            <w:pPr>
              <w:topLinePunct/>
              <w:spacing w:line="440" w:lineRule="exact"/>
              <w:rPr>
                <w:rFonts w:ascii="宋体" w:hAnsi="宋体" w:cs="宋体"/>
                <w:color w:val="auto"/>
                <w:sz w:val="24"/>
              </w:rPr>
            </w:pPr>
          </w:p>
        </w:tc>
      </w:tr>
      <w:tr w14:paraId="712F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0" w:type="dxa"/>
            <w:vAlign w:val="center"/>
          </w:tcPr>
          <w:p w14:paraId="4D1E79AA">
            <w:pPr>
              <w:topLinePunct/>
              <w:spacing w:line="440" w:lineRule="exact"/>
              <w:jc w:val="center"/>
              <w:rPr>
                <w:rFonts w:hint="eastAsia" w:ascii="宋体" w:hAnsi="宋体" w:cs="宋体"/>
                <w:color w:val="auto"/>
                <w:sz w:val="24"/>
              </w:rPr>
            </w:pPr>
            <w:r>
              <w:rPr>
                <w:rFonts w:hint="eastAsia" w:ascii="宋体" w:hAnsi="宋体" w:cs="宋体"/>
                <w:color w:val="auto"/>
                <w:sz w:val="24"/>
                <w:lang w:val="en-US" w:eastAsia="zh-CN"/>
              </w:rPr>
              <w:t>用户联系人</w:t>
            </w:r>
          </w:p>
        </w:tc>
        <w:tc>
          <w:tcPr>
            <w:tcW w:w="6239" w:type="dxa"/>
          </w:tcPr>
          <w:p w14:paraId="1D4E7B36">
            <w:pPr>
              <w:topLinePunct/>
              <w:spacing w:line="440" w:lineRule="exact"/>
              <w:rPr>
                <w:rFonts w:ascii="宋体" w:hAnsi="宋体" w:cs="宋体"/>
                <w:color w:val="auto"/>
                <w:sz w:val="24"/>
              </w:rPr>
            </w:pPr>
          </w:p>
        </w:tc>
      </w:tr>
      <w:tr w14:paraId="71AB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0" w:type="dxa"/>
            <w:vAlign w:val="center"/>
          </w:tcPr>
          <w:p w14:paraId="2219BFDF">
            <w:pPr>
              <w:topLinePunct/>
              <w:spacing w:line="440" w:lineRule="exact"/>
              <w:jc w:val="center"/>
              <w:rPr>
                <w:rFonts w:hint="eastAsia" w:ascii="宋体" w:hAnsi="宋体" w:cs="宋体"/>
                <w:color w:val="auto"/>
                <w:sz w:val="24"/>
                <w:lang w:eastAsia="zh-CN"/>
              </w:rPr>
            </w:pPr>
            <w:r>
              <w:rPr>
                <w:rFonts w:hint="eastAsia" w:ascii="宋体" w:hAnsi="宋体" w:cs="宋体"/>
                <w:color w:val="auto"/>
                <w:sz w:val="24"/>
                <w:lang w:val="en-US" w:eastAsia="zh-CN"/>
              </w:rPr>
              <w:t>用户联系</w:t>
            </w:r>
            <w:r>
              <w:rPr>
                <w:rFonts w:hint="eastAsia" w:ascii="宋体" w:hAnsi="宋体" w:cs="宋体"/>
                <w:color w:val="auto"/>
                <w:sz w:val="24"/>
              </w:rPr>
              <w:t>电话</w:t>
            </w:r>
          </w:p>
        </w:tc>
        <w:tc>
          <w:tcPr>
            <w:tcW w:w="6239" w:type="dxa"/>
          </w:tcPr>
          <w:p w14:paraId="49C746F0">
            <w:pPr>
              <w:topLinePunct/>
              <w:spacing w:line="440" w:lineRule="exact"/>
              <w:rPr>
                <w:rFonts w:ascii="宋体" w:hAnsi="宋体" w:cs="宋体"/>
                <w:color w:val="auto"/>
                <w:sz w:val="24"/>
              </w:rPr>
            </w:pPr>
          </w:p>
        </w:tc>
      </w:tr>
      <w:tr w14:paraId="21B7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0" w:type="dxa"/>
            <w:vAlign w:val="center"/>
          </w:tcPr>
          <w:p w14:paraId="508F0820">
            <w:pPr>
              <w:topLinePunct/>
              <w:spacing w:line="440" w:lineRule="exact"/>
              <w:jc w:val="center"/>
              <w:rPr>
                <w:rFonts w:ascii="宋体" w:hAnsi="宋体" w:cs="宋体"/>
                <w:color w:val="auto"/>
                <w:sz w:val="24"/>
              </w:rPr>
            </w:pPr>
            <w:r>
              <w:rPr>
                <w:rFonts w:hint="eastAsia" w:ascii="宋体" w:hAnsi="宋体" w:cs="宋体"/>
                <w:color w:val="auto"/>
                <w:sz w:val="24"/>
              </w:rPr>
              <w:t>合同价格</w:t>
            </w:r>
          </w:p>
        </w:tc>
        <w:tc>
          <w:tcPr>
            <w:tcW w:w="6239" w:type="dxa"/>
          </w:tcPr>
          <w:p w14:paraId="256AA813">
            <w:pPr>
              <w:topLinePunct/>
              <w:spacing w:line="440" w:lineRule="exact"/>
              <w:rPr>
                <w:rFonts w:ascii="宋体" w:hAnsi="宋体" w:cs="宋体"/>
                <w:color w:val="auto"/>
                <w:sz w:val="24"/>
              </w:rPr>
            </w:pPr>
          </w:p>
        </w:tc>
      </w:tr>
      <w:tr w14:paraId="6121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0" w:type="dxa"/>
            <w:vAlign w:val="center"/>
          </w:tcPr>
          <w:p w14:paraId="35C1A109">
            <w:pPr>
              <w:topLinePunct/>
              <w:spacing w:line="440" w:lineRule="exact"/>
              <w:jc w:val="center"/>
              <w:rPr>
                <w:rFonts w:ascii="宋体" w:hAnsi="宋体" w:cs="宋体"/>
                <w:color w:val="auto"/>
                <w:sz w:val="24"/>
              </w:rPr>
            </w:pPr>
            <w:r>
              <w:rPr>
                <w:rFonts w:hint="eastAsia" w:ascii="宋体" w:hAnsi="宋体" w:cs="宋体"/>
                <w:color w:val="auto"/>
                <w:sz w:val="24"/>
              </w:rPr>
              <w:t>合同签订日期</w:t>
            </w:r>
          </w:p>
        </w:tc>
        <w:tc>
          <w:tcPr>
            <w:tcW w:w="6239" w:type="dxa"/>
          </w:tcPr>
          <w:p w14:paraId="6D68BED4">
            <w:pPr>
              <w:topLinePunct/>
              <w:spacing w:line="440" w:lineRule="exact"/>
              <w:rPr>
                <w:rFonts w:ascii="宋体" w:hAnsi="宋体" w:cs="宋体"/>
                <w:color w:val="auto"/>
                <w:sz w:val="24"/>
              </w:rPr>
            </w:pPr>
          </w:p>
        </w:tc>
      </w:tr>
      <w:tr w14:paraId="18B9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0" w:type="dxa"/>
            <w:vAlign w:val="center"/>
          </w:tcPr>
          <w:p w14:paraId="6AE5F82C">
            <w:pPr>
              <w:topLinePunct/>
              <w:spacing w:line="440" w:lineRule="exact"/>
              <w:jc w:val="center"/>
              <w:rPr>
                <w:rFonts w:ascii="宋体" w:hAnsi="宋体" w:cs="宋体"/>
                <w:color w:val="auto"/>
                <w:sz w:val="24"/>
              </w:rPr>
            </w:pPr>
            <w:r>
              <w:rPr>
                <w:rFonts w:hint="eastAsia" w:ascii="宋体" w:hAnsi="宋体" w:cs="宋体"/>
                <w:color w:val="auto"/>
                <w:sz w:val="24"/>
              </w:rPr>
              <w:t>验收日期</w:t>
            </w:r>
          </w:p>
        </w:tc>
        <w:tc>
          <w:tcPr>
            <w:tcW w:w="6239" w:type="dxa"/>
          </w:tcPr>
          <w:p w14:paraId="5A29816F">
            <w:pPr>
              <w:topLinePunct/>
              <w:spacing w:line="440" w:lineRule="exact"/>
              <w:rPr>
                <w:rFonts w:ascii="宋体" w:hAnsi="宋体" w:cs="宋体"/>
                <w:color w:val="auto"/>
                <w:sz w:val="24"/>
              </w:rPr>
            </w:pPr>
          </w:p>
        </w:tc>
      </w:tr>
      <w:tr w14:paraId="01E8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260" w:type="dxa"/>
            <w:vAlign w:val="center"/>
          </w:tcPr>
          <w:p w14:paraId="52955EE6">
            <w:pPr>
              <w:topLinePunct/>
              <w:spacing w:line="440" w:lineRule="exact"/>
              <w:jc w:val="center"/>
              <w:rPr>
                <w:rFonts w:ascii="宋体" w:hAnsi="宋体" w:cs="宋体"/>
                <w:color w:val="auto"/>
                <w:sz w:val="24"/>
              </w:rPr>
            </w:pPr>
            <w:r>
              <w:rPr>
                <w:rFonts w:hint="eastAsia" w:ascii="宋体" w:hAnsi="宋体" w:cs="宋体"/>
                <w:color w:val="auto"/>
                <w:sz w:val="24"/>
              </w:rPr>
              <w:t>类似业绩的中标公示官方查询媒体</w:t>
            </w:r>
          </w:p>
        </w:tc>
        <w:tc>
          <w:tcPr>
            <w:tcW w:w="6239" w:type="dxa"/>
          </w:tcPr>
          <w:p w14:paraId="15DF26D0">
            <w:pPr>
              <w:topLinePunct/>
              <w:spacing w:line="440" w:lineRule="exact"/>
              <w:rPr>
                <w:rFonts w:ascii="宋体" w:hAnsi="宋体" w:cs="宋体"/>
                <w:color w:val="auto"/>
                <w:sz w:val="24"/>
              </w:rPr>
            </w:pPr>
          </w:p>
        </w:tc>
      </w:tr>
      <w:tr w14:paraId="67C2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60" w:type="dxa"/>
            <w:vAlign w:val="center"/>
          </w:tcPr>
          <w:p w14:paraId="6D12EAFA">
            <w:pPr>
              <w:topLinePunct/>
              <w:spacing w:line="440" w:lineRule="exact"/>
              <w:jc w:val="center"/>
              <w:rPr>
                <w:rFonts w:hint="eastAsia" w:ascii="宋体" w:hAnsi="宋体" w:cs="宋体"/>
                <w:color w:val="auto"/>
                <w:sz w:val="24"/>
              </w:rPr>
            </w:pPr>
            <w:r>
              <w:rPr>
                <w:rFonts w:hint="eastAsia" w:ascii="宋体" w:hAnsi="宋体" w:cs="宋体"/>
                <w:color w:val="auto"/>
                <w:sz w:val="24"/>
              </w:rPr>
              <w:t>备注</w:t>
            </w:r>
          </w:p>
        </w:tc>
        <w:tc>
          <w:tcPr>
            <w:tcW w:w="6239" w:type="dxa"/>
          </w:tcPr>
          <w:p w14:paraId="3203FFC7">
            <w:pPr>
              <w:topLinePunct/>
              <w:spacing w:line="440" w:lineRule="exact"/>
              <w:rPr>
                <w:rFonts w:ascii="宋体" w:hAnsi="宋体" w:cs="宋体"/>
                <w:color w:val="auto"/>
                <w:sz w:val="24"/>
              </w:rPr>
            </w:pPr>
          </w:p>
        </w:tc>
      </w:tr>
    </w:tbl>
    <w:p w14:paraId="7B9B39D7">
      <w:pPr>
        <w:spacing w:line="360" w:lineRule="auto"/>
        <w:rPr>
          <w:rFonts w:hint="eastAsia" w:ascii="宋体" w:hAnsi="宋体" w:cs="宋体"/>
          <w:b/>
          <w:bCs/>
          <w:color w:val="auto"/>
          <w:sz w:val="24"/>
        </w:rPr>
      </w:pPr>
      <w:r>
        <w:rPr>
          <w:rFonts w:hint="eastAsia" w:ascii="宋体" w:hAnsi="宋体" w:cs="宋体"/>
          <w:b/>
          <w:bCs/>
          <w:color w:val="auto"/>
          <w:sz w:val="24"/>
        </w:rPr>
        <w:t>注：每个类似项目业绩需单独填表、完整填写，并后附类似项目业绩其它证明材料。</w:t>
      </w:r>
    </w:p>
    <w:p w14:paraId="363CA771">
      <w:pPr>
        <w:jc w:val="center"/>
        <w:rPr>
          <w:rFonts w:hint="eastAsia" w:ascii="宋体" w:hAnsi="宋体" w:cs="宋体"/>
          <w:color w:val="auto"/>
          <w:sz w:val="24"/>
        </w:rPr>
      </w:pPr>
    </w:p>
    <w:p w14:paraId="61B72BB9">
      <w:pPr>
        <w:jc w:val="center"/>
        <w:rPr>
          <w:rFonts w:ascii="宋体" w:hAnsi="宋体" w:cs="宋体"/>
          <w:color w:val="auto"/>
          <w:sz w:val="24"/>
        </w:rPr>
      </w:pPr>
      <w:r>
        <w:rPr>
          <w:rFonts w:hint="eastAsia" w:ascii="宋体" w:hAnsi="宋体" w:cs="宋体"/>
          <w:color w:val="auto"/>
          <w:sz w:val="24"/>
        </w:rPr>
        <w:t xml:space="preserve">        供应商名称：</w:t>
      </w:r>
      <w:r>
        <w:rPr>
          <w:rFonts w:hint="eastAsia" w:ascii="宋体" w:hAnsi="宋体" w:cs="宋体"/>
          <w:color w:val="auto"/>
          <w:sz w:val="24"/>
          <w:u w:val="single"/>
        </w:rPr>
        <w:t xml:space="preserve">                       </w:t>
      </w:r>
      <w:r>
        <w:rPr>
          <w:rFonts w:hint="eastAsia" w:ascii="宋体" w:hAnsi="宋体" w:cs="宋体"/>
          <w:color w:val="auto"/>
          <w:sz w:val="24"/>
        </w:rPr>
        <w:t xml:space="preserve">（电子签章） </w:t>
      </w:r>
    </w:p>
    <w:p w14:paraId="542D5EE1">
      <w:pPr>
        <w:jc w:val="center"/>
        <w:rPr>
          <w:rFonts w:ascii="宋体" w:hAnsi="宋体" w:cs="宋体"/>
          <w:color w:val="auto"/>
          <w:sz w:val="24"/>
        </w:rPr>
      </w:pPr>
    </w:p>
    <w:p w14:paraId="259FD83F">
      <w:pPr>
        <w:jc w:val="center"/>
        <w:rPr>
          <w:rFonts w:ascii="宋体" w:hAnsi="宋体" w:cs="宋体"/>
          <w:color w:val="auto"/>
          <w:sz w:val="24"/>
        </w:rPr>
      </w:pPr>
      <w:r>
        <w:rPr>
          <w:rFonts w:hint="eastAsia" w:ascii="宋体" w:hAnsi="宋体" w:cs="宋体"/>
          <w:color w:val="auto"/>
          <w:sz w:val="24"/>
        </w:rPr>
        <w:t xml:space="preserve">                 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（电子签章）</w:t>
      </w:r>
    </w:p>
    <w:p w14:paraId="6964C2C1">
      <w:pPr>
        <w:pStyle w:val="39"/>
        <w:ind w:firstLine="520"/>
        <w:rPr>
          <w:rFonts w:ascii="宋体" w:hAnsi="宋体" w:cs="宋体"/>
          <w:color w:val="auto"/>
        </w:rPr>
      </w:pPr>
    </w:p>
    <w:p w14:paraId="54BA08BE">
      <w:pPr>
        <w:jc w:val="center"/>
        <w:rPr>
          <w:rFonts w:ascii="宋体" w:hAnsi="宋体" w:cs="宋体"/>
          <w:color w:val="auto"/>
          <w:sz w:val="24"/>
        </w:rPr>
      </w:pPr>
      <w:r>
        <w:rPr>
          <w:rFonts w:hint="eastAsia" w:ascii="宋体" w:hAnsi="宋体" w:cs="宋体"/>
          <w:color w:val="auto"/>
          <w:sz w:val="24"/>
        </w:rPr>
        <w:t xml:space="preserve">           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14:paraId="3FA945E1">
      <w:pPr>
        <w:jc w:val="center"/>
        <w:rPr>
          <w:rFonts w:ascii="宋体" w:hAnsi="宋体" w:cs="宋体"/>
          <w:color w:val="auto"/>
          <w:sz w:val="24"/>
        </w:rPr>
        <w:sectPr>
          <w:footerReference r:id="rId9" w:type="first"/>
          <w:pgSz w:w="11850" w:h="16783"/>
          <w:pgMar w:top="1800" w:right="1440" w:bottom="1800" w:left="1440" w:header="851" w:footer="698" w:gutter="0"/>
          <w:pgNumType w:fmt="numberInDash"/>
          <w:cols w:space="720" w:num="1"/>
          <w:titlePg/>
          <w:docGrid w:type="lines" w:linePitch="312" w:charSpace="0"/>
        </w:sectPr>
      </w:pPr>
    </w:p>
    <w:p w14:paraId="628CAAAF">
      <w:pPr>
        <w:keepNext/>
        <w:keepLines/>
        <w:spacing w:before="140" w:after="140" w:line="360" w:lineRule="auto"/>
        <w:jc w:val="center"/>
        <w:outlineLvl w:val="1"/>
        <w:rPr>
          <w:rFonts w:ascii="宋体" w:hAnsi="宋体" w:cs="宋体"/>
          <w:b/>
          <w:color w:val="auto"/>
          <w:sz w:val="32"/>
        </w:rPr>
      </w:pPr>
      <w:r>
        <w:rPr>
          <w:rFonts w:hint="eastAsia" w:ascii="宋体" w:hAnsi="宋体" w:cs="宋体"/>
          <w:b/>
          <w:color w:val="auto"/>
          <w:sz w:val="32"/>
        </w:rPr>
        <w:t>七、技术方案</w:t>
      </w:r>
    </w:p>
    <w:p w14:paraId="4B000316">
      <w:pPr>
        <w:pStyle w:val="14"/>
        <w:ind w:left="1063" w:hanging="643"/>
        <w:jc w:val="center"/>
        <w:rPr>
          <w:b/>
          <w:color w:val="auto"/>
          <w:sz w:val="32"/>
        </w:rPr>
      </w:pPr>
    </w:p>
    <w:p w14:paraId="3D53FE18">
      <w:pPr>
        <w:keepNext/>
        <w:keepLines/>
        <w:spacing w:before="140" w:after="140" w:line="360" w:lineRule="auto"/>
        <w:ind w:left="420"/>
        <w:jc w:val="center"/>
        <w:rPr>
          <w:rFonts w:ascii="宋体" w:hAnsi="宋体" w:cs="宋体"/>
          <w:b/>
          <w:color w:val="auto"/>
          <w:sz w:val="32"/>
        </w:rPr>
      </w:pPr>
    </w:p>
    <w:p w14:paraId="65CB3921">
      <w:pPr>
        <w:keepNext/>
        <w:keepLines/>
        <w:spacing w:before="140" w:after="140" w:line="360" w:lineRule="auto"/>
        <w:ind w:left="420"/>
        <w:jc w:val="center"/>
        <w:rPr>
          <w:rFonts w:ascii="宋体" w:hAnsi="宋体" w:cs="宋体"/>
          <w:b/>
          <w:color w:val="auto"/>
          <w:sz w:val="32"/>
        </w:rPr>
      </w:pPr>
      <w:r>
        <w:rPr>
          <w:rFonts w:hint="eastAsia" w:ascii="宋体" w:hAnsi="宋体" w:cs="宋体"/>
          <w:b/>
          <w:color w:val="auto"/>
          <w:sz w:val="32"/>
        </w:rPr>
        <w:t>格式自拟</w:t>
      </w:r>
    </w:p>
    <w:p w14:paraId="7FE539D6">
      <w:pPr>
        <w:keepNext/>
        <w:keepLines/>
        <w:spacing w:before="140" w:after="140" w:line="360" w:lineRule="auto"/>
        <w:ind w:left="420"/>
        <w:jc w:val="center"/>
        <w:rPr>
          <w:rFonts w:ascii="宋体" w:hAnsi="宋体" w:cs="宋体"/>
          <w:b/>
          <w:color w:val="auto"/>
          <w:sz w:val="32"/>
        </w:rPr>
      </w:pPr>
    </w:p>
    <w:p w14:paraId="4319D468">
      <w:pPr>
        <w:keepNext/>
        <w:keepLines/>
        <w:spacing w:before="140" w:after="140" w:line="360" w:lineRule="auto"/>
        <w:ind w:left="420"/>
        <w:jc w:val="center"/>
        <w:rPr>
          <w:rFonts w:ascii="宋体" w:hAnsi="宋体" w:cs="宋体"/>
          <w:b/>
          <w:color w:val="auto"/>
          <w:sz w:val="32"/>
        </w:rPr>
      </w:pPr>
    </w:p>
    <w:p w14:paraId="0F19070E">
      <w:pPr>
        <w:keepNext/>
        <w:keepLines/>
        <w:spacing w:before="140" w:after="140" w:line="360" w:lineRule="auto"/>
        <w:ind w:left="420"/>
        <w:jc w:val="center"/>
        <w:rPr>
          <w:rFonts w:ascii="宋体" w:hAnsi="宋体" w:cs="宋体"/>
          <w:b/>
          <w:color w:val="auto"/>
          <w:sz w:val="32"/>
        </w:rPr>
      </w:pPr>
    </w:p>
    <w:p w14:paraId="1E34EBC4">
      <w:pPr>
        <w:keepNext/>
        <w:keepLines/>
        <w:spacing w:before="140" w:after="140" w:line="360" w:lineRule="auto"/>
        <w:ind w:left="420"/>
        <w:jc w:val="center"/>
        <w:rPr>
          <w:rFonts w:ascii="宋体" w:hAnsi="宋体" w:cs="宋体"/>
          <w:b/>
          <w:color w:val="auto"/>
          <w:sz w:val="32"/>
        </w:rPr>
      </w:pPr>
    </w:p>
    <w:p w14:paraId="32058B40">
      <w:pPr>
        <w:pStyle w:val="39"/>
        <w:ind w:firstLine="683"/>
        <w:rPr>
          <w:rFonts w:ascii="宋体" w:hAnsi="宋体" w:cs="宋体"/>
          <w:b/>
          <w:color w:val="auto"/>
          <w:sz w:val="32"/>
        </w:rPr>
      </w:pPr>
    </w:p>
    <w:p w14:paraId="7B456097">
      <w:pPr>
        <w:pStyle w:val="39"/>
        <w:ind w:firstLine="683"/>
        <w:rPr>
          <w:rFonts w:ascii="宋体" w:hAnsi="宋体" w:cs="宋体"/>
          <w:b/>
          <w:color w:val="auto"/>
          <w:sz w:val="32"/>
        </w:rPr>
      </w:pPr>
    </w:p>
    <w:p w14:paraId="2F545E5D">
      <w:pPr>
        <w:pStyle w:val="39"/>
        <w:ind w:firstLine="683"/>
        <w:rPr>
          <w:rFonts w:ascii="宋体" w:hAnsi="宋体" w:cs="宋体"/>
          <w:b/>
          <w:color w:val="auto"/>
          <w:sz w:val="32"/>
        </w:rPr>
      </w:pPr>
    </w:p>
    <w:p w14:paraId="40725DA0">
      <w:pPr>
        <w:pStyle w:val="39"/>
        <w:ind w:firstLine="683"/>
        <w:rPr>
          <w:rFonts w:ascii="宋体" w:hAnsi="宋体" w:cs="宋体"/>
          <w:b/>
          <w:color w:val="auto"/>
          <w:sz w:val="32"/>
        </w:rPr>
      </w:pPr>
    </w:p>
    <w:p w14:paraId="67665D67">
      <w:pPr>
        <w:pStyle w:val="39"/>
        <w:ind w:firstLine="683"/>
        <w:rPr>
          <w:rFonts w:ascii="宋体" w:hAnsi="宋体" w:cs="宋体"/>
          <w:b/>
          <w:color w:val="auto"/>
          <w:sz w:val="32"/>
        </w:rPr>
      </w:pPr>
    </w:p>
    <w:p w14:paraId="2673B3D3">
      <w:pPr>
        <w:pStyle w:val="39"/>
        <w:ind w:firstLine="683"/>
        <w:rPr>
          <w:rFonts w:ascii="宋体" w:hAnsi="宋体" w:cs="宋体"/>
          <w:b/>
          <w:color w:val="auto"/>
          <w:sz w:val="32"/>
        </w:rPr>
      </w:pPr>
    </w:p>
    <w:p w14:paraId="19E37E01">
      <w:pPr>
        <w:pStyle w:val="39"/>
        <w:ind w:firstLine="683"/>
        <w:rPr>
          <w:rFonts w:ascii="宋体" w:hAnsi="宋体" w:cs="宋体"/>
          <w:b/>
          <w:color w:val="auto"/>
          <w:sz w:val="32"/>
        </w:rPr>
      </w:pPr>
    </w:p>
    <w:p w14:paraId="030164E0">
      <w:pPr>
        <w:pStyle w:val="39"/>
        <w:ind w:firstLine="683"/>
        <w:rPr>
          <w:rFonts w:ascii="宋体" w:hAnsi="宋体" w:cs="宋体"/>
          <w:b/>
          <w:color w:val="auto"/>
          <w:sz w:val="32"/>
        </w:rPr>
      </w:pPr>
    </w:p>
    <w:p w14:paraId="4D07E306">
      <w:pPr>
        <w:pStyle w:val="39"/>
        <w:ind w:firstLine="683"/>
        <w:rPr>
          <w:rFonts w:ascii="宋体" w:hAnsi="宋体" w:cs="宋体"/>
          <w:b/>
          <w:color w:val="auto"/>
          <w:sz w:val="32"/>
        </w:rPr>
      </w:pPr>
    </w:p>
    <w:p w14:paraId="609C61F6">
      <w:pPr>
        <w:pStyle w:val="39"/>
        <w:ind w:firstLine="683"/>
        <w:rPr>
          <w:rFonts w:ascii="宋体" w:hAnsi="宋体" w:cs="宋体"/>
          <w:b/>
          <w:color w:val="auto"/>
          <w:sz w:val="32"/>
        </w:rPr>
      </w:pPr>
    </w:p>
    <w:p w14:paraId="64BD65ED">
      <w:pPr>
        <w:pStyle w:val="39"/>
        <w:ind w:firstLine="683"/>
        <w:rPr>
          <w:rFonts w:ascii="宋体" w:hAnsi="宋体" w:cs="宋体"/>
          <w:b/>
          <w:color w:val="auto"/>
          <w:sz w:val="32"/>
        </w:rPr>
      </w:pPr>
    </w:p>
    <w:p w14:paraId="6D533F7A">
      <w:pPr>
        <w:pStyle w:val="39"/>
        <w:ind w:firstLine="683"/>
        <w:rPr>
          <w:rFonts w:ascii="宋体" w:hAnsi="宋体" w:cs="宋体"/>
          <w:b/>
          <w:color w:val="auto"/>
          <w:sz w:val="32"/>
        </w:rPr>
      </w:pPr>
    </w:p>
    <w:p w14:paraId="45C62A50">
      <w:pPr>
        <w:pStyle w:val="39"/>
        <w:ind w:firstLine="683"/>
        <w:rPr>
          <w:rFonts w:ascii="宋体" w:hAnsi="宋体" w:cs="宋体"/>
          <w:b/>
          <w:color w:val="auto"/>
          <w:sz w:val="32"/>
        </w:rPr>
      </w:pPr>
    </w:p>
    <w:bookmarkEnd w:id="37"/>
    <w:bookmarkEnd w:id="38"/>
    <w:p w14:paraId="0344455A">
      <w:pPr>
        <w:jc w:val="center"/>
        <w:rPr>
          <w:color w:val="auto"/>
        </w:rPr>
        <w:sectPr>
          <w:headerReference r:id="rId11" w:type="first"/>
          <w:headerReference r:id="rId10" w:type="default"/>
          <w:footerReference r:id="rId12" w:type="default"/>
          <w:pgSz w:w="11850" w:h="16783"/>
          <w:pgMar w:top="1800" w:right="1440" w:bottom="1800" w:left="1440" w:header="851" w:footer="698" w:gutter="0"/>
          <w:pgNumType w:fmt="numberInDash"/>
          <w:cols w:space="720" w:num="1"/>
          <w:titlePg/>
          <w:docGrid w:type="lines" w:linePitch="312" w:charSpace="0"/>
        </w:sectPr>
      </w:pPr>
      <w:r>
        <w:rPr>
          <w:rFonts w:hint="eastAsia" w:ascii="宋体" w:hAnsi="宋体" w:cs="宋体"/>
          <w:color w:val="auto"/>
          <w:sz w:val="24"/>
        </w:rPr>
        <w:t xml:space="preserve"> </w:t>
      </w:r>
    </w:p>
    <w:bookmarkEnd w:id="34"/>
    <w:bookmarkEnd w:id="35"/>
    <w:p w14:paraId="79C6A836">
      <w:pPr>
        <w:keepNext/>
        <w:keepLines/>
        <w:spacing w:before="140" w:after="140" w:line="360" w:lineRule="auto"/>
        <w:jc w:val="center"/>
        <w:outlineLvl w:val="1"/>
        <w:rPr>
          <w:rFonts w:ascii="宋体" w:hAnsi="宋体" w:cs="宋体"/>
          <w:b/>
          <w:color w:val="auto"/>
          <w:sz w:val="32"/>
        </w:rPr>
      </w:pPr>
      <w:r>
        <w:rPr>
          <w:rFonts w:hint="eastAsia" w:ascii="宋体" w:hAnsi="宋体" w:cs="宋体"/>
          <w:b/>
          <w:color w:val="auto"/>
          <w:sz w:val="32"/>
        </w:rPr>
        <w:t>八、资格审查资料</w:t>
      </w:r>
    </w:p>
    <w:p w14:paraId="0150B670">
      <w:pPr>
        <w:ind w:left="420" w:leftChars="200"/>
        <w:jc w:val="center"/>
        <w:outlineLvl w:val="1"/>
        <w:rPr>
          <w:rFonts w:ascii="宋体" w:hAnsi="宋体" w:cs="宋体"/>
          <w:b/>
          <w:bCs/>
          <w:color w:val="auto"/>
          <w:sz w:val="30"/>
        </w:rPr>
      </w:pPr>
      <w:r>
        <w:rPr>
          <w:rFonts w:hint="eastAsia" w:ascii="宋体" w:hAnsi="宋体" w:cs="宋体"/>
          <w:b/>
          <w:bCs/>
          <w:color w:val="auto"/>
          <w:sz w:val="30"/>
        </w:rPr>
        <w:t>（一）投标人基本情况表</w:t>
      </w:r>
    </w:p>
    <w:tbl>
      <w:tblPr>
        <w:tblStyle w:val="26"/>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73"/>
        <w:gridCol w:w="2847"/>
        <w:gridCol w:w="138"/>
        <w:gridCol w:w="1220"/>
        <w:gridCol w:w="194"/>
        <w:gridCol w:w="3186"/>
      </w:tblGrid>
      <w:tr w14:paraId="3DCA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673" w:type="dxa"/>
            <w:vAlign w:val="center"/>
          </w:tcPr>
          <w:p w14:paraId="0039C53C">
            <w:pPr>
              <w:spacing w:line="360" w:lineRule="auto"/>
              <w:jc w:val="center"/>
              <w:rPr>
                <w:rFonts w:ascii="宋体" w:hAnsi="宋体" w:cs="宋体"/>
                <w:color w:val="auto"/>
                <w:sz w:val="24"/>
              </w:rPr>
            </w:pPr>
            <w:r>
              <w:rPr>
                <w:rFonts w:hint="eastAsia" w:ascii="宋体" w:hAnsi="宋体" w:cs="宋体"/>
                <w:color w:val="auto"/>
                <w:sz w:val="24"/>
              </w:rPr>
              <w:t>供应商名称</w:t>
            </w:r>
          </w:p>
        </w:tc>
        <w:tc>
          <w:tcPr>
            <w:tcW w:w="2985" w:type="dxa"/>
            <w:gridSpan w:val="2"/>
            <w:vAlign w:val="center"/>
          </w:tcPr>
          <w:p w14:paraId="2EC45D52">
            <w:pPr>
              <w:spacing w:line="360" w:lineRule="auto"/>
              <w:jc w:val="center"/>
              <w:rPr>
                <w:rFonts w:ascii="宋体" w:hAnsi="宋体" w:cs="宋体"/>
                <w:color w:val="auto"/>
                <w:sz w:val="24"/>
              </w:rPr>
            </w:pPr>
          </w:p>
        </w:tc>
        <w:tc>
          <w:tcPr>
            <w:tcW w:w="1414" w:type="dxa"/>
            <w:gridSpan w:val="2"/>
            <w:vAlign w:val="center"/>
          </w:tcPr>
          <w:p w14:paraId="6107F266">
            <w:pPr>
              <w:spacing w:line="360" w:lineRule="auto"/>
              <w:jc w:val="center"/>
              <w:rPr>
                <w:rFonts w:ascii="宋体" w:hAnsi="宋体" w:cs="宋体"/>
                <w:color w:val="auto"/>
                <w:sz w:val="24"/>
              </w:rPr>
            </w:pPr>
            <w:r>
              <w:rPr>
                <w:rFonts w:hint="eastAsia" w:ascii="宋体" w:hAnsi="宋体" w:cs="宋体"/>
                <w:color w:val="auto"/>
                <w:sz w:val="24"/>
              </w:rPr>
              <w:t>成立日期</w:t>
            </w:r>
          </w:p>
        </w:tc>
        <w:tc>
          <w:tcPr>
            <w:tcW w:w="3186" w:type="dxa"/>
            <w:vAlign w:val="center"/>
          </w:tcPr>
          <w:p w14:paraId="07F80803">
            <w:pPr>
              <w:spacing w:line="360" w:lineRule="auto"/>
              <w:jc w:val="center"/>
              <w:rPr>
                <w:rFonts w:ascii="宋体" w:hAnsi="宋体" w:cs="宋体"/>
                <w:color w:val="auto"/>
                <w:sz w:val="24"/>
              </w:rPr>
            </w:pPr>
          </w:p>
        </w:tc>
      </w:tr>
      <w:tr w14:paraId="5753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4658" w:type="dxa"/>
            <w:gridSpan w:val="3"/>
            <w:vAlign w:val="center"/>
          </w:tcPr>
          <w:p w14:paraId="4EECCDBB">
            <w:pPr>
              <w:spacing w:line="360" w:lineRule="auto"/>
              <w:jc w:val="center"/>
              <w:rPr>
                <w:rFonts w:ascii="宋体" w:hAnsi="宋体" w:cs="宋体"/>
                <w:color w:val="auto"/>
                <w:sz w:val="24"/>
              </w:rPr>
            </w:pPr>
            <w:r>
              <w:rPr>
                <w:rFonts w:hint="eastAsia" w:ascii="宋体" w:hAnsi="宋体" w:cs="宋体"/>
                <w:color w:val="auto"/>
                <w:sz w:val="24"/>
              </w:rPr>
              <w:t>企业法人统一社会信用代码</w:t>
            </w:r>
          </w:p>
        </w:tc>
        <w:tc>
          <w:tcPr>
            <w:tcW w:w="4600" w:type="dxa"/>
            <w:gridSpan w:val="3"/>
            <w:vAlign w:val="center"/>
          </w:tcPr>
          <w:p w14:paraId="52E41EE1">
            <w:pPr>
              <w:spacing w:line="360" w:lineRule="auto"/>
              <w:jc w:val="center"/>
              <w:rPr>
                <w:rFonts w:ascii="宋体" w:hAnsi="宋体" w:cs="宋体"/>
                <w:color w:val="auto"/>
                <w:sz w:val="24"/>
              </w:rPr>
            </w:pPr>
          </w:p>
        </w:tc>
      </w:tr>
      <w:tr w14:paraId="5F9B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4658" w:type="dxa"/>
            <w:gridSpan w:val="3"/>
            <w:vAlign w:val="center"/>
          </w:tcPr>
          <w:p w14:paraId="4F6AA8F7">
            <w:pPr>
              <w:spacing w:line="360" w:lineRule="auto"/>
              <w:jc w:val="center"/>
              <w:rPr>
                <w:rFonts w:ascii="宋体" w:hAnsi="宋体" w:cs="宋体"/>
                <w:color w:val="auto"/>
                <w:sz w:val="24"/>
              </w:rPr>
            </w:pPr>
            <w:r>
              <w:rPr>
                <w:rFonts w:hint="eastAsia" w:ascii="宋体" w:hAnsi="宋体" w:cs="宋体"/>
                <w:color w:val="auto"/>
                <w:sz w:val="24"/>
              </w:rPr>
              <w:t>批准登记机关</w:t>
            </w:r>
          </w:p>
        </w:tc>
        <w:tc>
          <w:tcPr>
            <w:tcW w:w="4600" w:type="dxa"/>
            <w:gridSpan w:val="3"/>
            <w:vAlign w:val="center"/>
          </w:tcPr>
          <w:p w14:paraId="70EF3D4E">
            <w:pPr>
              <w:spacing w:line="360" w:lineRule="auto"/>
              <w:jc w:val="center"/>
              <w:rPr>
                <w:rFonts w:ascii="宋体" w:hAnsi="宋体" w:cs="宋体"/>
                <w:color w:val="auto"/>
                <w:sz w:val="24"/>
              </w:rPr>
            </w:pPr>
          </w:p>
        </w:tc>
      </w:tr>
      <w:tr w14:paraId="62B7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673" w:type="dxa"/>
            <w:vAlign w:val="center"/>
          </w:tcPr>
          <w:p w14:paraId="207478A8">
            <w:pPr>
              <w:spacing w:line="360" w:lineRule="auto"/>
              <w:jc w:val="center"/>
              <w:rPr>
                <w:rFonts w:ascii="宋体" w:hAnsi="宋体" w:cs="宋体"/>
                <w:color w:val="auto"/>
                <w:sz w:val="24"/>
              </w:rPr>
            </w:pPr>
            <w:r>
              <w:rPr>
                <w:rFonts w:hint="eastAsia" w:ascii="宋体" w:hAnsi="宋体" w:cs="宋体"/>
                <w:color w:val="auto"/>
                <w:sz w:val="24"/>
              </w:rPr>
              <w:t>注册资本</w:t>
            </w:r>
          </w:p>
        </w:tc>
        <w:tc>
          <w:tcPr>
            <w:tcW w:w="7585" w:type="dxa"/>
            <w:gridSpan w:val="5"/>
            <w:vAlign w:val="center"/>
          </w:tcPr>
          <w:p w14:paraId="79BC596C">
            <w:pPr>
              <w:spacing w:line="360" w:lineRule="auto"/>
              <w:jc w:val="center"/>
              <w:rPr>
                <w:rFonts w:ascii="宋体" w:hAnsi="宋体" w:cs="宋体"/>
                <w:color w:val="auto"/>
                <w:sz w:val="24"/>
              </w:rPr>
            </w:pPr>
          </w:p>
        </w:tc>
      </w:tr>
      <w:tr w14:paraId="2D29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673" w:type="dxa"/>
            <w:vAlign w:val="center"/>
          </w:tcPr>
          <w:p w14:paraId="3D577EDA">
            <w:pPr>
              <w:spacing w:line="360" w:lineRule="auto"/>
              <w:jc w:val="center"/>
              <w:rPr>
                <w:rFonts w:ascii="宋体" w:hAnsi="宋体" w:cs="宋体"/>
                <w:color w:val="auto"/>
                <w:sz w:val="24"/>
              </w:rPr>
            </w:pPr>
            <w:r>
              <w:rPr>
                <w:rFonts w:hint="eastAsia" w:ascii="宋体" w:hAnsi="宋体" w:cs="宋体"/>
                <w:color w:val="auto"/>
                <w:sz w:val="24"/>
              </w:rPr>
              <w:t>法定代表人</w:t>
            </w:r>
          </w:p>
        </w:tc>
        <w:tc>
          <w:tcPr>
            <w:tcW w:w="2985" w:type="dxa"/>
            <w:gridSpan w:val="2"/>
            <w:vAlign w:val="center"/>
          </w:tcPr>
          <w:p w14:paraId="2BFC863A">
            <w:pPr>
              <w:spacing w:line="360" w:lineRule="auto"/>
              <w:jc w:val="center"/>
              <w:rPr>
                <w:rFonts w:ascii="宋体" w:hAnsi="宋体" w:cs="宋体"/>
                <w:color w:val="auto"/>
                <w:sz w:val="24"/>
              </w:rPr>
            </w:pPr>
          </w:p>
        </w:tc>
        <w:tc>
          <w:tcPr>
            <w:tcW w:w="1414" w:type="dxa"/>
            <w:gridSpan w:val="2"/>
            <w:vAlign w:val="center"/>
          </w:tcPr>
          <w:p w14:paraId="5726158A">
            <w:pPr>
              <w:spacing w:line="360" w:lineRule="auto"/>
              <w:jc w:val="center"/>
              <w:rPr>
                <w:rFonts w:ascii="宋体" w:hAnsi="宋体" w:cs="宋体"/>
                <w:color w:val="auto"/>
                <w:sz w:val="24"/>
              </w:rPr>
            </w:pPr>
            <w:r>
              <w:rPr>
                <w:rFonts w:hint="eastAsia" w:ascii="宋体" w:hAnsi="宋体" w:cs="宋体"/>
                <w:color w:val="auto"/>
                <w:sz w:val="24"/>
              </w:rPr>
              <w:t>营业期限</w:t>
            </w:r>
          </w:p>
        </w:tc>
        <w:tc>
          <w:tcPr>
            <w:tcW w:w="3186" w:type="dxa"/>
            <w:vAlign w:val="center"/>
          </w:tcPr>
          <w:p w14:paraId="572D4FD0">
            <w:pPr>
              <w:spacing w:line="360" w:lineRule="auto"/>
              <w:jc w:val="center"/>
              <w:rPr>
                <w:rFonts w:ascii="宋体" w:hAnsi="宋体" w:cs="宋体"/>
                <w:color w:val="auto"/>
                <w:sz w:val="24"/>
              </w:rPr>
            </w:pPr>
          </w:p>
        </w:tc>
      </w:tr>
      <w:tr w14:paraId="721B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673" w:type="dxa"/>
            <w:vAlign w:val="center"/>
          </w:tcPr>
          <w:p w14:paraId="53AE09DA">
            <w:pPr>
              <w:spacing w:line="360" w:lineRule="auto"/>
              <w:jc w:val="center"/>
              <w:rPr>
                <w:rFonts w:ascii="宋体" w:hAnsi="宋体" w:cs="宋体"/>
                <w:color w:val="auto"/>
                <w:sz w:val="24"/>
              </w:rPr>
            </w:pPr>
            <w:r>
              <w:rPr>
                <w:rFonts w:hint="eastAsia" w:ascii="宋体" w:hAnsi="宋体" w:cs="宋体"/>
                <w:color w:val="auto"/>
                <w:sz w:val="24"/>
              </w:rPr>
              <w:t>主营业务</w:t>
            </w:r>
          </w:p>
        </w:tc>
        <w:tc>
          <w:tcPr>
            <w:tcW w:w="7585" w:type="dxa"/>
            <w:gridSpan w:val="5"/>
            <w:vAlign w:val="center"/>
          </w:tcPr>
          <w:p w14:paraId="529FF9CA">
            <w:pPr>
              <w:spacing w:line="360" w:lineRule="auto"/>
              <w:jc w:val="center"/>
              <w:rPr>
                <w:rFonts w:ascii="宋体" w:hAnsi="宋体" w:cs="宋体"/>
                <w:color w:val="auto"/>
                <w:sz w:val="24"/>
              </w:rPr>
            </w:pPr>
          </w:p>
        </w:tc>
      </w:tr>
      <w:tr w14:paraId="4057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673" w:type="dxa"/>
            <w:vAlign w:val="center"/>
          </w:tcPr>
          <w:p w14:paraId="3E49E12E">
            <w:pPr>
              <w:spacing w:line="360" w:lineRule="auto"/>
              <w:jc w:val="center"/>
              <w:rPr>
                <w:rFonts w:ascii="宋体" w:hAnsi="宋体" w:cs="宋体"/>
                <w:color w:val="auto"/>
                <w:sz w:val="24"/>
              </w:rPr>
            </w:pPr>
            <w:r>
              <w:rPr>
                <w:rFonts w:hint="eastAsia" w:ascii="宋体" w:hAnsi="宋体" w:cs="宋体"/>
                <w:color w:val="auto"/>
                <w:sz w:val="24"/>
              </w:rPr>
              <w:t>地  址</w:t>
            </w:r>
          </w:p>
        </w:tc>
        <w:tc>
          <w:tcPr>
            <w:tcW w:w="7585" w:type="dxa"/>
            <w:gridSpan w:val="5"/>
            <w:vAlign w:val="center"/>
          </w:tcPr>
          <w:p w14:paraId="317BB6A5">
            <w:pPr>
              <w:spacing w:line="360" w:lineRule="auto"/>
              <w:jc w:val="center"/>
              <w:rPr>
                <w:rFonts w:ascii="宋体" w:hAnsi="宋体" w:cs="宋体"/>
                <w:color w:val="auto"/>
                <w:sz w:val="24"/>
              </w:rPr>
            </w:pPr>
          </w:p>
        </w:tc>
      </w:tr>
      <w:tr w14:paraId="1886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673" w:type="dxa"/>
            <w:vAlign w:val="center"/>
          </w:tcPr>
          <w:p w14:paraId="56705B02">
            <w:pPr>
              <w:spacing w:line="360" w:lineRule="auto"/>
              <w:jc w:val="center"/>
              <w:rPr>
                <w:rFonts w:ascii="宋体" w:hAnsi="宋体" w:cs="宋体"/>
                <w:color w:val="auto"/>
                <w:sz w:val="24"/>
              </w:rPr>
            </w:pPr>
            <w:r>
              <w:rPr>
                <w:rFonts w:hint="eastAsia" w:ascii="宋体" w:hAnsi="宋体" w:cs="宋体"/>
                <w:color w:val="auto"/>
                <w:sz w:val="24"/>
              </w:rPr>
              <w:t>开户银行</w:t>
            </w:r>
          </w:p>
        </w:tc>
        <w:tc>
          <w:tcPr>
            <w:tcW w:w="7585" w:type="dxa"/>
            <w:gridSpan w:val="5"/>
            <w:vAlign w:val="center"/>
          </w:tcPr>
          <w:p w14:paraId="75415C81">
            <w:pPr>
              <w:spacing w:line="360" w:lineRule="auto"/>
              <w:jc w:val="center"/>
              <w:rPr>
                <w:rFonts w:ascii="宋体" w:hAnsi="宋体" w:cs="宋体"/>
                <w:color w:val="auto"/>
                <w:sz w:val="24"/>
              </w:rPr>
            </w:pPr>
          </w:p>
        </w:tc>
      </w:tr>
      <w:tr w14:paraId="5828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1673" w:type="dxa"/>
            <w:vAlign w:val="center"/>
          </w:tcPr>
          <w:p w14:paraId="588447FD">
            <w:pPr>
              <w:spacing w:line="360" w:lineRule="auto"/>
              <w:jc w:val="center"/>
              <w:rPr>
                <w:rFonts w:ascii="宋体" w:hAnsi="宋体" w:cs="宋体"/>
                <w:color w:val="auto"/>
                <w:sz w:val="24"/>
              </w:rPr>
            </w:pPr>
            <w:r>
              <w:rPr>
                <w:rFonts w:hint="eastAsia" w:ascii="宋体" w:hAnsi="宋体" w:cs="宋体"/>
                <w:color w:val="auto"/>
                <w:sz w:val="24"/>
              </w:rPr>
              <w:t>开户行号</w:t>
            </w:r>
          </w:p>
          <w:p w14:paraId="332000CD">
            <w:pPr>
              <w:spacing w:line="360" w:lineRule="auto"/>
              <w:jc w:val="center"/>
              <w:rPr>
                <w:rFonts w:ascii="宋体" w:hAnsi="宋体" w:cs="宋体"/>
                <w:color w:val="auto"/>
                <w:sz w:val="24"/>
              </w:rPr>
            </w:pPr>
            <w:r>
              <w:rPr>
                <w:rFonts w:hint="eastAsia" w:ascii="宋体" w:hAnsi="宋体" w:cs="宋体"/>
                <w:color w:val="auto"/>
                <w:sz w:val="24"/>
              </w:rPr>
              <w:t>（如有）</w:t>
            </w:r>
          </w:p>
        </w:tc>
        <w:tc>
          <w:tcPr>
            <w:tcW w:w="7585" w:type="dxa"/>
            <w:gridSpan w:val="5"/>
            <w:vAlign w:val="center"/>
          </w:tcPr>
          <w:p w14:paraId="2816AA5D">
            <w:pPr>
              <w:spacing w:line="360" w:lineRule="auto"/>
              <w:jc w:val="center"/>
              <w:rPr>
                <w:rFonts w:ascii="宋体" w:hAnsi="宋体" w:cs="宋体"/>
                <w:color w:val="auto"/>
                <w:sz w:val="24"/>
              </w:rPr>
            </w:pPr>
          </w:p>
        </w:tc>
      </w:tr>
      <w:tr w14:paraId="1D56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673" w:type="dxa"/>
            <w:vAlign w:val="center"/>
          </w:tcPr>
          <w:p w14:paraId="2879C1BC">
            <w:pPr>
              <w:spacing w:line="360" w:lineRule="auto"/>
              <w:jc w:val="center"/>
              <w:rPr>
                <w:rFonts w:ascii="宋体" w:hAnsi="宋体" w:cs="宋体"/>
                <w:color w:val="auto"/>
                <w:sz w:val="24"/>
              </w:rPr>
            </w:pPr>
            <w:r>
              <w:rPr>
                <w:rFonts w:hint="eastAsia" w:ascii="宋体" w:hAnsi="宋体" w:cs="宋体"/>
                <w:color w:val="auto"/>
                <w:sz w:val="24"/>
              </w:rPr>
              <w:t>银行账号</w:t>
            </w:r>
          </w:p>
        </w:tc>
        <w:tc>
          <w:tcPr>
            <w:tcW w:w="7585" w:type="dxa"/>
            <w:gridSpan w:val="5"/>
            <w:vAlign w:val="center"/>
          </w:tcPr>
          <w:p w14:paraId="2BF8F25F">
            <w:pPr>
              <w:spacing w:line="360" w:lineRule="auto"/>
              <w:jc w:val="center"/>
              <w:rPr>
                <w:rFonts w:ascii="宋体" w:hAnsi="宋体" w:cs="宋体"/>
                <w:color w:val="auto"/>
                <w:sz w:val="24"/>
              </w:rPr>
            </w:pPr>
          </w:p>
        </w:tc>
      </w:tr>
      <w:tr w14:paraId="4663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673" w:type="dxa"/>
            <w:vAlign w:val="center"/>
          </w:tcPr>
          <w:p w14:paraId="7187B5AC">
            <w:pPr>
              <w:spacing w:line="360" w:lineRule="auto"/>
              <w:jc w:val="center"/>
              <w:rPr>
                <w:rFonts w:ascii="宋体" w:hAnsi="宋体" w:cs="宋体"/>
                <w:color w:val="auto"/>
                <w:sz w:val="24"/>
              </w:rPr>
            </w:pPr>
            <w:r>
              <w:rPr>
                <w:rFonts w:hint="eastAsia" w:ascii="宋体" w:hAnsi="宋体" w:cs="宋体"/>
                <w:color w:val="auto"/>
                <w:sz w:val="24"/>
              </w:rPr>
              <w:t>电  话</w:t>
            </w:r>
          </w:p>
        </w:tc>
        <w:tc>
          <w:tcPr>
            <w:tcW w:w="2847" w:type="dxa"/>
            <w:vAlign w:val="center"/>
          </w:tcPr>
          <w:p w14:paraId="5BE9EC29">
            <w:pPr>
              <w:spacing w:line="360" w:lineRule="auto"/>
              <w:jc w:val="center"/>
              <w:rPr>
                <w:rFonts w:ascii="宋体" w:hAnsi="宋体" w:cs="宋体"/>
                <w:color w:val="auto"/>
                <w:sz w:val="24"/>
              </w:rPr>
            </w:pPr>
          </w:p>
        </w:tc>
        <w:tc>
          <w:tcPr>
            <w:tcW w:w="1358" w:type="dxa"/>
            <w:gridSpan w:val="2"/>
            <w:vAlign w:val="center"/>
          </w:tcPr>
          <w:p w14:paraId="6E7CBD01">
            <w:pPr>
              <w:spacing w:line="360" w:lineRule="auto"/>
              <w:jc w:val="center"/>
              <w:rPr>
                <w:rFonts w:ascii="宋体" w:hAnsi="宋体" w:cs="宋体"/>
                <w:color w:val="auto"/>
                <w:sz w:val="24"/>
              </w:rPr>
            </w:pPr>
            <w:r>
              <w:rPr>
                <w:rFonts w:hint="eastAsia" w:ascii="宋体" w:hAnsi="宋体" w:cs="宋体"/>
                <w:color w:val="auto"/>
                <w:sz w:val="24"/>
              </w:rPr>
              <w:t>传  真</w:t>
            </w:r>
          </w:p>
        </w:tc>
        <w:tc>
          <w:tcPr>
            <w:tcW w:w="3380" w:type="dxa"/>
            <w:gridSpan w:val="2"/>
            <w:vAlign w:val="center"/>
          </w:tcPr>
          <w:p w14:paraId="4E84BE08">
            <w:pPr>
              <w:spacing w:line="360" w:lineRule="auto"/>
              <w:jc w:val="center"/>
              <w:rPr>
                <w:rFonts w:ascii="宋体" w:hAnsi="宋体" w:cs="宋体"/>
                <w:color w:val="auto"/>
                <w:sz w:val="24"/>
              </w:rPr>
            </w:pPr>
          </w:p>
        </w:tc>
      </w:tr>
      <w:tr w14:paraId="307A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673" w:type="dxa"/>
            <w:vAlign w:val="center"/>
          </w:tcPr>
          <w:p w14:paraId="4BFB069D">
            <w:pPr>
              <w:spacing w:line="360" w:lineRule="auto"/>
              <w:jc w:val="center"/>
              <w:rPr>
                <w:rFonts w:ascii="宋体" w:hAnsi="宋体" w:cs="宋体"/>
                <w:color w:val="auto"/>
                <w:sz w:val="24"/>
              </w:rPr>
            </w:pPr>
            <w:r>
              <w:rPr>
                <w:rFonts w:hint="eastAsia" w:ascii="宋体" w:hAnsi="宋体" w:cs="宋体"/>
                <w:color w:val="auto"/>
                <w:sz w:val="24"/>
              </w:rPr>
              <w:t>邮  箱</w:t>
            </w:r>
          </w:p>
        </w:tc>
        <w:tc>
          <w:tcPr>
            <w:tcW w:w="2847" w:type="dxa"/>
            <w:vAlign w:val="center"/>
          </w:tcPr>
          <w:p w14:paraId="4681BFDE">
            <w:pPr>
              <w:spacing w:line="360" w:lineRule="auto"/>
              <w:jc w:val="center"/>
              <w:rPr>
                <w:rFonts w:ascii="宋体" w:hAnsi="宋体" w:cs="宋体"/>
                <w:color w:val="auto"/>
                <w:sz w:val="24"/>
              </w:rPr>
            </w:pPr>
          </w:p>
        </w:tc>
        <w:tc>
          <w:tcPr>
            <w:tcW w:w="1358" w:type="dxa"/>
            <w:gridSpan w:val="2"/>
            <w:vAlign w:val="center"/>
          </w:tcPr>
          <w:p w14:paraId="7D31931D">
            <w:pPr>
              <w:spacing w:line="360" w:lineRule="auto"/>
              <w:jc w:val="center"/>
              <w:rPr>
                <w:rFonts w:ascii="宋体" w:hAnsi="宋体" w:cs="宋体"/>
                <w:color w:val="auto"/>
                <w:sz w:val="24"/>
              </w:rPr>
            </w:pPr>
            <w:r>
              <w:rPr>
                <w:rFonts w:hint="eastAsia" w:ascii="宋体" w:hAnsi="宋体" w:cs="宋体"/>
                <w:color w:val="auto"/>
                <w:sz w:val="24"/>
              </w:rPr>
              <w:t>邮  编</w:t>
            </w:r>
          </w:p>
        </w:tc>
        <w:tc>
          <w:tcPr>
            <w:tcW w:w="3380" w:type="dxa"/>
            <w:gridSpan w:val="2"/>
            <w:vAlign w:val="center"/>
          </w:tcPr>
          <w:p w14:paraId="00CF5CCB">
            <w:pPr>
              <w:spacing w:line="360" w:lineRule="auto"/>
              <w:jc w:val="center"/>
              <w:rPr>
                <w:rFonts w:ascii="宋体" w:hAnsi="宋体" w:cs="宋体"/>
                <w:color w:val="auto"/>
                <w:sz w:val="24"/>
              </w:rPr>
            </w:pPr>
          </w:p>
        </w:tc>
      </w:tr>
      <w:tr w14:paraId="0028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673" w:type="dxa"/>
            <w:vAlign w:val="center"/>
          </w:tcPr>
          <w:p w14:paraId="391D3181">
            <w:pPr>
              <w:spacing w:line="360" w:lineRule="auto"/>
              <w:jc w:val="center"/>
              <w:rPr>
                <w:rFonts w:ascii="宋体" w:hAnsi="宋体" w:cs="宋体"/>
                <w:color w:val="auto"/>
                <w:sz w:val="24"/>
              </w:rPr>
            </w:pPr>
            <w:r>
              <w:rPr>
                <w:rFonts w:hint="eastAsia" w:ascii="宋体" w:hAnsi="宋体" w:cs="宋体"/>
                <w:color w:val="auto"/>
                <w:sz w:val="24"/>
              </w:rPr>
              <w:t>联系人</w:t>
            </w:r>
          </w:p>
        </w:tc>
        <w:tc>
          <w:tcPr>
            <w:tcW w:w="2847" w:type="dxa"/>
            <w:vAlign w:val="center"/>
          </w:tcPr>
          <w:p w14:paraId="6EEC834A">
            <w:pPr>
              <w:spacing w:line="360" w:lineRule="auto"/>
              <w:jc w:val="center"/>
              <w:rPr>
                <w:rFonts w:ascii="宋体" w:hAnsi="宋体" w:cs="宋体"/>
                <w:color w:val="auto"/>
                <w:sz w:val="24"/>
              </w:rPr>
            </w:pPr>
          </w:p>
        </w:tc>
        <w:tc>
          <w:tcPr>
            <w:tcW w:w="1358" w:type="dxa"/>
            <w:gridSpan w:val="2"/>
            <w:vAlign w:val="center"/>
          </w:tcPr>
          <w:p w14:paraId="540775C3">
            <w:pPr>
              <w:spacing w:line="360" w:lineRule="auto"/>
              <w:jc w:val="center"/>
              <w:rPr>
                <w:rFonts w:ascii="宋体" w:hAnsi="宋体" w:cs="宋体"/>
                <w:color w:val="auto"/>
                <w:sz w:val="24"/>
              </w:rPr>
            </w:pPr>
            <w:r>
              <w:rPr>
                <w:rFonts w:hint="eastAsia" w:ascii="宋体" w:hAnsi="宋体" w:cs="宋体"/>
                <w:color w:val="auto"/>
                <w:sz w:val="24"/>
              </w:rPr>
              <w:t>联系方式</w:t>
            </w:r>
          </w:p>
        </w:tc>
        <w:tc>
          <w:tcPr>
            <w:tcW w:w="3380" w:type="dxa"/>
            <w:gridSpan w:val="2"/>
            <w:vAlign w:val="center"/>
          </w:tcPr>
          <w:p w14:paraId="7A1B7E4F">
            <w:pPr>
              <w:spacing w:line="360" w:lineRule="auto"/>
              <w:jc w:val="center"/>
              <w:rPr>
                <w:rFonts w:ascii="宋体" w:hAnsi="宋体" w:cs="宋体"/>
                <w:color w:val="auto"/>
                <w:sz w:val="24"/>
              </w:rPr>
            </w:pPr>
          </w:p>
        </w:tc>
      </w:tr>
    </w:tbl>
    <w:p w14:paraId="4F6420D6">
      <w:pPr>
        <w:pStyle w:val="7"/>
        <w:jc w:val="both"/>
        <w:rPr>
          <w:b/>
          <w:color w:val="auto"/>
          <w:sz w:val="32"/>
        </w:rPr>
      </w:pPr>
    </w:p>
    <w:p w14:paraId="2D6F790B">
      <w:pPr>
        <w:jc w:val="center"/>
        <w:rPr>
          <w:rFonts w:ascii="宋体" w:hAnsi="宋体" w:cs="宋体"/>
          <w:color w:val="auto"/>
          <w:sz w:val="24"/>
        </w:rPr>
      </w:pPr>
      <w:r>
        <w:rPr>
          <w:rFonts w:hint="eastAsia" w:ascii="宋体" w:hAnsi="宋体" w:cs="宋体"/>
          <w:color w:val="auto"/>
          <w:sz w:val="24"/>
        </w:rPr>
        <w:t xml:space="preserve">                         供应商名称：</w:t>
      </w:r>
      <w:r>
        <w:rPr>
          <w:rFonts w:hint="eastAsia" w:ascii="宋体" w:hAnsi="宋体" w:cs="宋体"/>
          <w:color w:val="auto"/>
          <w:sz w:val="24"/>
          <w:u w:val="single"/>
        </w:rPr>
        <w:t xml:space="preserve">                   </w:t>
      </w:r>
      <w:r>
        <w:rPr>
          <w:rFonts w:hint="eastAsia" w:ascii="宋体" w:hAnsi="宋体" w:cs="宋体"/>
          <w:color w:val="auto"/>
          <w:sz w:val="24"/>
        </w:rPr>
        <w:t xml:space="preserve">（电子签章） </w:t>
      </w:r>
    </w:p>
    <w:p w14:paraId="431F6286">
      <w:pPr>
        <w:jc w:val="center"/>
        <w:rPr>
          <w:rFonts w:ascii="宋体" w:hAnsi="宋体" w:cs="宋体"/>
          <w:color w:val="auto"/>
          <w:sz w:val="24"/>
        </w:rPr>
      </w:pPr>
    </w:p>
    <w:p w14:paraId="63C99011">
      <w:pPr>
        <w:jc w:val="center"/>
        <w:rPr>
          <w:rFonts w:ascii="宋体" w:hAnsi="宋体" w:cs="宋体"/>
          <w:color w:val="auto"/>
          <w:sz w:val="24"/>
        </w:rPr>
      </w:pPr>
      <w:r>
        <w:rPr>
          <w:rFonts w:hint="eastAsia" w:ascii="宋体" w:hAnsi="宋体" w:cs="宋体"/>
          <w:color w:val="auto"/>
          <w:sz w:val="24"/>
        </w:rPr>
        <w:t xml:space="preserve">                  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（电子签章）</w:t>
      </w:r>
    </w:p>
    <w:p w14:paraId="6AEE3516">
      <w:pPr>
        <w:jc w:val="center"/>
        <w:rPr>
          <w:rFonts w:ascii="宋体" w:hAnsi="宋体" w:cs="宋体"/>
          <w:color w:val="auto"/>
          <w:sz w:val="24"/>
          <w:u w:val="single"/>
        </w:rPr>
      </w:pPr>
    </w:p>
    <w:p w14:paraId="68BDA3BA">
      <w:pPr>
        <w:jc w:val="center"/>
        <w:rPr>
          <w:rFonts w:ascii="宋体" w:hAnsi="宋体" w:cs="宋体"/>
          <w:color w:val="auto"/>
          <w:sz w:val="24"/>
        </w:rPr>
      </w:pPr>
      <w:r>
        <w:rPr>
          <w:rFonts w:hint="eastAsia" w:ascii="宋体" w:hAnsi="宋体" w:cs="宋体"/>
          <w:color w:val="auto"/>
          <w:sz w:val="24"/>
        </w:rPr>
        <w:t xml:space="preserve">                      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14:paraId="0BF4BFF3">
      <w:pPr>
        <w:pStyle w:val="7"/>
        <w:jc w:val="both"/>
        <w:rPr>
          <w:b/>
          <w:color w:val="auto"/>
          <w:sz w:val="32"/>
        </w:rPr>
      </w:pPr>
    </w:p>
    <w:p w14:paraId="0CEF2B29">
      <w:pPr>
        <w:pStyle w:val="8"/>
        <w:rPr>
          <w:b/>
          <w:color w:val="auto"/>
          <w:sz w:val="32"/>
        </w:rPr>
      </w:pPr>
    </w:p>
    <w:p w14:paraId="7E43712B">
      <w:pPr>
        <w:pStyle w:val="9"/>
        <w:rPr>
          <w:color w:val="auto"/>
        </w:rPr>
      </w:pPr>
    </w:p>
    <w:p w14:paraId="4742C5E2">
      <w:pPr>
        <w:pStyle w:val="7"/>
        <w:jc w:val="center"/>
        <w:rPr>
          <w:color w:val="auto"/>
        </w:rPr>
      </w:pPr>
      <w:r>
        <w:rPr>
          <w:rFonts w:hint="eastAsia"/>
          <w:b/>
          <w:color w:val="auto"/>
          <w:sz w:val="32"/>
        </w:rPr>
        <w:t>（二）资格审查资料</w:t>
      </w:r>
    </w:p>
    <w:p w14:paraId="69DA768C">
      <w:pPr>
        <w:rPr>
          <w:rFonts w:ascii="宋体" w:hAnsi="宋体" w:cs="宋体"/>
          <w:color w:val="auto"/>
        </w:rPr>
      </w:pPr>
    </w:p>
    <w:p w14:paraId="564F71AA">
      <w:pPr>
        <w:pStyle w:val="14"/>
        <w:spacing w:line="360" w:lineRule="auto"/>
        <w:ind w:left="0" w:leftChars="0" w:firstLine="0" w:firstLineChars="0"/>
        <w:jc w:val="both"/>
        <w:rPr>
          <w:color w:val="auto"/>
          <w:sz w:val="24"/>
        </w:rPr>
      </w:pPr>
      <w:r>
        <w:rPr>
          <w:rFonts w:hint="eastAsia"/>
          <w:color w:val="auto"/>
          <w:sz w:val="24"/>
        </w:rPr>
        <w:t>注：供应商须随此表后附“投标人须知前附表</w:t>
      </w:r>
      <w:r>
        <w:rPr>
          <w:rFonts w:hint="eastAsia"/>
          <w:color w:val="auto"/>
          <w:sz w:val="24"/>
          <w:lang w:val="en-US"/>
        </w:rPr>
        <w:t xml:space="preserve"> </w:t>
      </w:r>
      <w:r>
        <w:rPr>
          <w:rFonts w:hint="eastAsia"/>
          <w:color w:val="auto"/>
          <w:sz w:val="24"/>
        </w:rPr>
        <w:t>投标人资质要求”中的全部资格审查资料，并保证资料的真实性。</w:t>
      </w:r>
    </w:p>
    <w:p w14:paraId="349E4EF2">
      <w:pPr>
        <w:pStyle w:val="14"/>
        <w:ind w:left="0" w:leftChars="0" w:firstLine="0" w:firstLineChars="0"/>
        <w:jc w:val="both"/>
        <w:rPr>
          <w:color w:val="auto"/>
          <w:sz w:val="24"/>
        </w:rPr>
      </w:pPr>
    </w:p>
    <w:p w14:paraId="5DA5D186">
      <w:pPr>
        <w:pStyle w:val="14"/>
        <w:ind w:left="0" w:leftChars="0" w:firstLine="0" w:firstLineChars="0"/>
        <w:jc w:val="both"/>
        <w:rPr>
          <w:color w:val="auto"/>
          <w:sz w:val="24"/>
        </w:rPr>
      </w:pPr>
    </w:p>
    <w:p w14:paraId="73887FC5">
      <w:pPr>
        <w:pStyle w:val="14"/>
        <w:ind w:left="0" w:leftChars="0" w:firstLine="0" w:firstLineChars="0"/>
        <w:jc w:val="both"/>
        <w:rPr>
          <w:color w:val="auto"/>
          <w:sz w:val="24"/>
        </w:rPr>
      </w:pPr>
    </w:p>
    <w:p w14:paraId="3934D52B">
      <w:pPr>
        <w:pStyle w:val="14"/>
        <w:ind w:left="0" w:leftChars="0" w:firstLine="0" w:firstLineChars="0"/>
        <w:jc w:val="both"/>
        <w:rPr>
          <w:color w:val="auto"/>
          <w:sz w:val="24"/>
        </w:rPr>
      </w:pPr>
    </w:p>
    <w:p w14:paraId="66B2A67F">
      <w:pPr>
        <w:pStyle w:val="14"/>
        <w:ind w:left="0" w:leftChars="0" w:firstLine="0" w:firstLineChars="0"/>
        <w:jc w:val="both"/>
        <w:rPr>
          <w:color w:val="auto"/>
          <w:sz w:val="24"/>
        </w:rPr>
      </w:pPr>
    </w:p>
    <w:p w14:paraId="01807C4A">
      <w:pPr>
        <w:pStyle w:val="14"/>
        <w:ind w:left="0" w:leftChars="0" w:firstLine="0" w:firstLineChars="0"/>
        <w:jc w:val="both"/>
        <w:rPr>
          <w:color w:val="auto"/>
          <w:sz w:val="24"/>
        </w:rPr>
      </w:pPr>
    </w:p>
    <w:p w14:paraId="3A5F179B">
      <w:pPr>
        <w:pStyle w:val="14"/>
        <w:ind w:left="0" w:leftChars="0" w:firstLine="0" w:firstLineChars="0"/>
        <w:jc w:val="both"/>
        <w:rPr>
          <w:color w:val="auto"/>
          <w:sz w:val="24"/>
        </w:rPr>
      </w:pPr>
    </w:p>
    <w:p w14:paraId="194FAAEC">
      <w:pPr>
        <w:pStyle w:val="14"/>
        <w:ind w:left="0" w:leftChars="0" w:firstLine="0" w:firstLineChars="0"/>
        <w:jc w:val="both"/>
        <w:rPr>
          <w:color w:val="auto"/>
          <w:sz w:val="24"/>
        </w:rPr>
      </w:pPr>
    </w:p>
    <w:p w14:paraId="52016AB2">
      <w:pPr>
        <w:pStyle w:val="14"/>
        <w:ind w:left="0" w:leftChars="0" w:firstLine="0" w:firstLineChars="0"/>
        <w:jc w:val="both"/>
        <w:rPr>
          <w:color w:val="auto"/>
          <w:sz w:val="24"/>
        </w:rPr>
      </w:pPr>
    </w:p>
    <w:p w14:paraId="4C2ACAF4">
      <w:pPr>
        <w:pStyle w:val="14"/>
        <w:ind w:left="0" w:leftChars="0" w:firstLine="0" w:firstLineChars="0"/>
        <w:jc w:val="both"/>
        <w:rPr>
          <w:color w:val="auto"/>
          <w:sz w:val="24"/>
        </w:rPr>
      </w:pPr>
    </w:p>
    <w:p w14:paraId="008ECA5F">
      <w:pPr>
        <w:pStyle w:val="14"/>
        <w:ind w:left="0" w:leftChars="0" w:firstLine="0" w:firstLineChars="0"/>
        <w:jc w:val="both"/>
        <w:rPr>
          <w:color w:val="auto"/>
          <w:sz w:val="24"/>
        </w:rPr>
      </w:pPr>
    </w:p>
    <w:p w14:paraId="465696AD">
      <w:pPr>
        <w:pStyle w:val="14"/>
        <w:ind w:left="0" w:leftChars="0" w:firstLine="0" w:firstLineChars="0"/>
        <w:jc w:val="both"/>
        <w:rPr>
          <w:color w:val="auto"/>
          <w:sz w:val="24"/>
        </w:rPr>
      </w:pPr>
    </w:p>
    <w:p w14:paraId="1544F6C7">
      <w:pPr>
        <w:pStyle w:val="14"/>
        <w:ind w:left="0" w:leftChars="0" w:firstLine="0" w:firstLineChars="0"/>
        <w:jc w:val="both"/>
        <w:rPr>
          <w:color w:val="auto"/>
          <w:sz w:val="24"/>
        </w:rPr>
      </w:pPr>
    </w:p>
    <w:p w14:paraId="11308F05">
      <w:pPr>
        <w:pStyle w:val="14"/>
        <w:ind w:left="0" w:leftChars="0" w:firstLine="0" w:firstLineChars="0"/>
        <w:jc w:val="both"/>
        <w:rPr>
          <w:color w:val="auto"/>
          <w:sz w:val="24"/>
        </w:rPr>
      </w:pPr>
    </w:p>
    <w:p w14:paraId="70C279BF">
      <w:pPr>
        <w:pStyle w:val="14"/>
        <w:ind w:left="0" w:leftChars="0" w:firstLine="0" w:firstLineChars="0"/>
        <w:jc w:val="both"/>
        <w:rPr>
          <w:color w:val="auto"/>
          <w:sz w:val="24"/>
        </w:rPr>
      </w:pPr>
    </w:p>
    <w:p w14:paraId="11049454">
      <w:pPr>
        <w:pStyle w:val="14"/>
        <w:ind w:left="0" w:leftChars="0" w:firstLine="0" w:firstLineChars="0"/>
        <w:jc w:val="both"/>
        <w:rPr>
          <w:color w:val="auto"/>
          <w:sz w:val="24"/>
        </w:rPr>
      </w:pPr>
    </w:p>
    <w:p w14:paraId="707BAAB6">
      <w:pPr>
        <w:pStyle w:val="14"/>
        <w:ind w:left="0" w:leftChars="0" w:firstLine="0" w:firstLineChars="0"/>
        <w:jc w:val="both"/>
        <w:rPr>
          <w:color w:val="auto"/>
          <w:sz w:val="24"/>
        </w:rPr>
      </w:pPr>
    </w:p>
    <w:p w14:paraId="14042A6D">
      <w:pPr>
        <w:pStyle w:val="14"/>
        <w:ind w:left="0" w:leftChars="0" w:firstLine="0" w:firstLineChars="0"/>
        <w:jc w:val="both"/>
        <w:rPr>
          <w:color w:val="auto"/>
          <w:sz w:val="24"/>
        </w:rPr>
      </w:pPr>
    </w:p>
    <w:p w14:paraId="1FCD65E6">
      <w:pPr>
        <w:pStyle w:val="14"/>
        <w:ind w:left="0" w:leftChars="0" w:firstLine="0" w:firstLineChars="0"/>
        <w:jc w:val="both"/>
        <w:rPr>
          <w:color w:val="auto"/>
          <w:sz w:val="24"/>
        </w:rPr>
      </w:pPr>
    </w:p>
    <w:p w14:paraId="24B83EFC">
      <w:pPr>
        <w:pStyle w:val="14"/>
        <w:ind w:left="0" w:leftChars="0" w:firstLine="0" w:firstLineChars="0"/>
        <w:jc w:val="both"/>
        <w:rPr>
          <w:color w:val="auto"/>
          <w:sz w:val="24"/>
        </w:rPr>
      </w:pPr>
    </w:p>
    <w:p w14:paraId="5D4FEBFE">
      <w:pPr>
        <w:pStyle w:val="14"/>
        <w:ind w:left="0" w:leftChars="0" w:firstLine="0" w:firstLineChars="0"/>
        <w:jc w:val="both"/>
        <w:rPr>
          <w:color w:val="auto"/>
          <w:sz w:val="24"/>
        </w:rPr>
      </w:pPr>
    </w:p>
    <w:p w14:paraId="1B048DFB">
      <w:pPr>
        <w:pStyle w:val="14"/>
        <w:ind w:left="0" w:leftChars="0" w:firstLine="0" w:firstLineChars="0"/>
        <w:jc w:val="both"/>
        <w:rPr>
          <w:color w:val="auto"/>
          <w:sz w:val="24"/>
        </w:rPr>
      </w:pPr>
    </w:p>
    <w:p w14:paraId="0D82BC6C">
      <w:pPr>
        <w:pStyle w:val="14"/>
        <w:ind w:left="0" w:leftChars="0" w:firstLine="0" w:firstLineChars="0"/>
        <w:jc w:val="both"/>
        <w:rPr>
          <w:color w:val="auto"/>
          <w:sz w:val="24"/>
        </w:rPr>
      </w:pPr>
    </w:p>
    <w:p w14:paraId="2A89F79F">
      <w:pPr>
        <w:pStyle w:val="14"/>
        <w:ind w:left="0" w:leftChars="0" w:firstLine="0" w:firstLineChars="0"/>
        <w:jc w:val="both"/>
        <w:rPr>
          <w:color w:val="auto"/>
          <w:sz w:val="24"/>
        </w:rPr>
      </w:pPr>
    </w:p>
    <w:p w14:paraId="51F65D90">
      <w:pPr>
        <w:pStyle w:val="14"/>
        <w:ind w:left="0" w:leftChars="0" w:firstLine="0" w:firstLineChars="0"/>
        <w:jc w:val="both"/>
        <w:rPr>
          <w:color w:val="auto"/>
          <w:sz w:val="24"/>
        </w:rPr>
      </w:pPr>
    </w:p>
    <w:p w14:paraId="0F48DCDA">
      <w:pPr>
        <w:pStyle w:val="14"/>
        <w:ind w:left="0" w:leftChars="0" w:firstLine="0" w:firstLineChars="0"/>
        <w:jc w:val="both"/>
        <w:rPr>
          <w:color w:val="auto"/>
          <w:sz w:val="24"/>
        </w:rPr>
      </w:pPr>
    </w:p>
    <w:p w14:paraId="38D2C6B2">
      <w:pPr>
        <w:pStyle w:val="14"/>
        <w:ind w:left="0" w:leftChars="0" w:firstLine="0" w:firstLineChars="0"/>
        <w:jc w:val="both"/>
        <w:rPr>
          <w:color w:val="auto"/>
          <w:sz w:val="24"/>
        </w:rPr>
      </w:pPr>
    </w:p>
    <w:p w14:paraId="6D3E272B">
      <w:pPr>
        <w:pStyle w:val="14"/>
        <w:ind w:left="0" w:leftChars="0" w:firstLine="0" w:firstLineChars="0"/>
        <w:jc w:val="both"/>
        <w:rPr>
          <w:color w:val="auto"/>
          <w:sz w:val="24"/>
        </w:rPr>
      </w:pPr>
    </w:p>
    <w:p w14:paraId="46CF6FA9">
      <w:pPr>
        <w:pStyle w:val="14"/>
        <w:ind w:left="0" w:leftChars="0" w:firstLine="0" w:firstLineChars="0"/>
        <w:jc w:val="both"/>
        <w:rPr>
          <w:color w:val="auto"/>
          <w:sz w:val="24"/>
        </w:rPr>
      </w:pPr>
    </w:p>
    <w:p w14:paraId="59D437FD">
      <w:pPr>
        <w:pStyle w:val="14"/>
        <w:ind w:left="0" w:leftChars="0" w:firstLine="0" w:firstLineChars="0"/>
        <w:jc w:val="both"/>
        <w:rPr>
          <w:color w:val="auto"/>
          <w:sz w:val="24"/>
        </w:rPr>
      </w:pPr>
    </w:p>
    <w:p w14:paraId="58B95EE5">
      <w:pPr>
        <w:pStyle w:val="14"/>
        <w:ind w:left="0" w:leftChars="0" w:firstLine="0" w:firstLineChars="0"/>
        <w:jc w:val="both"/>
        <w:rPr>
          <w:color w:val="auto"/>
          <w:sz w:val="24"/>
        </w:rPr>
      </w:pPr>
    </w:p>
    <w:p w14:paraId="6A4B402F">
      <w:pPr>
        <w:keepNext/>
        <w:keepLines/>
        <w:spacing w:before="140" w:after="140" w:line="360" w:lineRule="auto"/>
        <w:jc w:val="center"/>
        <w:outlineLvl w:val="1"/>
        <w:rPr>
          <w:rFonts w:ascii="宋体" w:hAnsi="宋体" w:cs="宋体"/>
          <w:b/>
          <w:color w:val="auto"/>
          <w:sz w:val="32"/>
        </w:rPr>
      </w:pPr>
      <w:r>
        <w:rPr>
          <w:rFonts w:hint="eastAsia" w:ascii="宋体" w:hAnsi="宋体" w:cs="宋体"/>
          <w:b/>
          <w:color w:val="auto"/>
          <w:sz w:val="32"/>
        </w:rPr>
        <w:t>九、其它资料</w:t>
      </w:r>
    </w:p>
    <w:p w14:paraId="006E2016">
      <w:pPr>
        <w:pStyle w:val="14"/>
        <w:ind w:left="860" w:hanging="440"/>
        <w:rPr>
          <w:color w:val="auto"/>
        </w:rPr>
      </w:pPr>
    </w:p>
    <w:p w14:paraId="507CD934">
      <w:pPr>
        <w:pStyle w:val="14"/>
        <w:ind w:left="860" w:hanging="440"/>
        <w:rPr>
          <w:color w:val="auto"/>
        </w:rPr>
      </w:pPr>
    </w:p>
    <w:p w14:paraId="29D84DCE">
      <w:pPr>
        <w:pStyle w:val="14"/>
        <w:ind w:left="860" w:hanging="440"/>
        <w:rPr>
          <w:color w:val="auto"/>
        </w:rPr>
      </w:pPr>
    </w:p>
    <w:p w14:paraId="2BC7D810">
      <w:pPr>
        <w:pStyle w:val="14"/>
        <w:ind w:left="860" w:hanging="440"/>
        <w:rPr>
          <w:color w:val="auto"/>
        </w:rPr>
      </w:pPr>
    </w:p>
    <w:p w14:paraId="6DEA46CD">
      <w:pPr>
        <w:pStyle w:val="14"/>
        <w:ind w:left="860" w:hanging="440"/>
        <w:rPr>
          <w:color w:val="auto"/>
        </w:rPr>
      </w:pPr>
    </w:p>
    <w:p w14:paraId="1A9883F0">
      <w:pPr>
        <w:pStyle w:val="14"/>
        <w:ind w:left="860" w:hanging="440"/>
        <w:rPr>
          <w:color w:val="auto"/>
        </w:rPr>
      </w:pPr>
    </w:p>
    <w:p w14:paraId="7AED7B47">
      <w:pPr>
        <w:pStyle w:val="14"/>
        <w:ind w:left="860" w:hanging="440"/>
        <w:rPr>
          <w:color w:val="auto"/>
        </w:rPr>
      </w:pPr>
    </w:p>
    <w:p w14:paraId="236D919F">
      <w:pPr>
        <w:pStyle w:val="14"/>
        <w:ind w:left="860" w:hanging="440"/>
        <w:rPr>
          <w:color w:val="auto"/>
        </w:rPr>
      </w:pPr>
    </w:p>
    <w:p w14:paraId="02B36A3E">
      <w:pPr>
        <w:pStyle w:val="14"/>
        <w:ind w:left="860" w:hanging="440"/>
        <w:rPr>
          <w:color w:val="auto"/>
        </w:rPr>
      </w:pPr>
    </w:p>
    <w:p w14:paraId="5205B97E">
      <w:pPr>
        <w:pStyle w:val="14"/>
        <w:ind w:left="860" w:hanging="440"/>
        <w:rPr>
          <w:color w:val="auto"/>
        </w:rPr>
      </w:pPr>
    </w:p>
    <w:p w14:paraId="5B44684F">
      <w:pPr>
        <w:pStyle w:val="14"/>
        <w:ind w:left="860" w:hanging="440"/>
        <w:rPr>
          <w:color w:val="auto"/>
        </w:rPr>
      </w:pPr>
    </w:p>
    <w:p w14:paraId="7E1ECD20">
      <w:pPr>
        <w:pStyle w:val="14"/>
        <w:ind w:left="860" w:hanging="440"/>
        <w:rPr>
          <w:color w:val="auto"/>
        </w:rPr>
      </w:pPr>
    </w:p>
    <w:p w14:paraId="4E3C0384">
      <w:pPr>
        <w:pStyle w:val="14"/>
        <w:ind w:left="860" w:hanging="440"/>
        <w:rPr>
          <w:color w:val="auto"/>
        </w:rPr>
      </w:pPr>
    </w:p>
    <w:p w14:paraId="68C26DB2">
      <w:pPr>
        <w:pStyle w:val="14"/>
        <w:ind w:left="860" w:hanging="440"/>
        <w:rPr>
          <w:color w:val="auto"/>
        </w:rPr>
      </w:pPr>
    </w:p>
    <w:p w14:paraId="34E983CB">
      <w:pPr>
        <w:pStyle w:val="14"/>
        <w:ind w:left="860" w:hanging="440"/>
        <w:rPr>
          <w:color w:val="auto"/>
        </w:rPr>
      </w:pPr>
    </w:p>
    <w:p w14:paraId="5DE75C13">
      <w:pPr>
        <w:pStyle w:val="14"/>
        <w:ind w:left="860" w:hanging="440"/>
        <w:rPr>
          <w:color w:val="auto"/>
        </w:rPr>
      </w:pPr>
    </w:p>
    <w:p w14:paraId="7B8AB855">
      <w:pPr>
        <w:pStyle w:val="14"/>
        <w:ind w:left="860" w:hanging="440"/>
        <w:rPr>
          <w:color w:val="auto"/>
        </w:rPr>
      </w:pPr>
    </w:p>
    <w:p w14:paraId="1042FC73">
      <w:pPr>
        <w:pStyle w:val="14"/>
        <w:ind w:left="860" w:hanging="440"/>
        <w:rPr>
          <w:color w:val="auto"/>
        </w:rPr>
      </w:pPr>
    </w:p>
    <w:p w14:paraId="6E8DE3F9">
      <w:pPr>
        <w:pStyle w:val="14"/>
        <w:ind w:left="860" w:hanging="440"/>
        <w:rPr>
          <w:color w:val="auto"/>
        </w:rPr>
      </w:pPr>
    </w:p>
    <w:p w14:paraId="15D1AAFA">
      <w:pPr>
        <w:pStyle w:val="14"/>
        <w:ind w:left="860" w:hanging="440"/>
        <w:rPr>
          <w:color w:val="auto"/>
        </w:rPr>
      </w:pPr>
    </w:p>
    <w:p w14:paraId="7F804E1A">
      <w:pPr>
        <w:pStyle w:val="14"/>
        <w:ind w:left="860" w:hanging="440"/>
        <w:rPr>
          <w:color w:val="auto"/>
        </w:rPr>
      </w:pPr>
    </w:p>
    <w:p w14:paraId="70461FA2">
      <w:pPr>
        <w:pStyle w:val="14"/>
        <w:ind w:left="860" w:hanging="440"/>
        <w:rPr>
          <w:color w:val="auto"/>
        </w:rPr>
      </w:pPr>
    </w:p>
    <w:p w14:paraId="1C311E77">
      <w:pPr>
        <w:pStyle w:val="14"/>
        <w:ind w:left="860" w:hanging="440"/>
        <w:rPr>
          <w:color w:val="auto"/>
        </w:rPr>
      </w:pPr>
    </w:p>
    <w:p w14:paraId="287DD003">
      <w:pPr>
        <w:pStyle w:val="14"/>
        <w:ind w:left="860" w:hanging="440"/>
        <w:rPr>
          <w:color w:val="auto"/>
        </w:rPr>
      </w:pPr>
    </w:p>
    <w:p w14:paraId="2EEE679B">
      <w:pPr>
        <w:pStyle w:val="14"/>
        <w:ind w:left="860" w:hanging="440"/>
        <w:rPr>
          <w:color w:val="auto"/>
        </w:rPr>
      </w:pPr>
    </w:p>
    <w:p w14:paraId="02F15905">
      <w:pPr>
        <w:pStyle w:val="14"/>
        <w:ind w:left="860" w:hanging="440"/>
        <w:rPr>
          <w:color w:val="auto"/>
        </w:rPr>
      </w:pPr>
    </w:p>
    <w:p w14:paraId="440DD7B0">
      <w:pPr>
        <w:pStyle w:val="14"/>
        <w:ind w:left="860" w:hanging="440"/>
        <w:rPr>
          <w:color w:val="auto"/>
        </w:rPr>
      </w:pPr>
    </w:p>
    <w:p w14:paraId="300D956C">
      <w:pPr>
        <w:pStyle w:val="14"/>
        <w:ind w:left="860" w:hanging="440"/>
        <w:rPr>
          <w:color w:val="auto"/>
        </w:rPr>
      </w:pPr>
    </w:p>
    <w:p w14:paraId="6C53C3D5">
      <w:pPr>
        <w:pStyle w:val="14"/>
        <w:ind w:left="860" w:hanging="440"/>
        <w:rPr>
          <w:color w:val="auto"/>
        </w:rPr>
      </w:pPr>
    </w:p>
    <w:p w14:paraId="650AB4BF">
      <w:pPr>
        <w:pStyle w:val="14"/>
        <w:ind w:left="860" w:hanging="440"/>
        <w:rPr>
          <w:color w:val="auto"/>
        </w:rPr>
      </w:pPr>
    </w:p>
    <w:p w14:paraId="27C64351">
      <w:pPr>
        <w:pStyle w:val="14"/>
        <w:ind w:left="860" w:hanging="440"/>
        <w:rPr>
          <w:color w:val="auto"/>
        </w:rPr>
      </w:pPr>
    </w:p>
    <w:p w14:paraId="1B01A982">
      <w:pPr>
        <w:pStyle w:val="14"/>
        <w:ind w:left="860" w:hanging="440"/>
        <w:rPr>
          <w:color w:val="auto"/>
        </w:rPr>
      </w:pPr>
    </w:p>
    <w:p w14:paraId="25A0AA3B">
      <w:pPr>
        <w:pStyle w:val="14"/>
        <w:ind w:left="860" w:hanging="440"/>
        <w:rPr>
          <w:color w:val="auto"/>
        </w:rPr>
      </w:pPr>
    </w:p>
    <w:p w14:paraId="6926B6DB">
      <w:pPr>
        <w:pStyle w:val="14"/>
        <w:ind w:left="860" w:hanging="440"/>
        <w:rPr>
          <w:color w:val="auto"/>
        </w:rPr>
      </w:pPr>
    </w:p>
    <w:p w14:paraId="24607C3C">
      <w:pPr>
        <w:pStyle w:val="14"/>
        <w:ind w:left="860" w:hanging="440"/>
        <w:rPr>
          <w:color w:val="auto"/>
        </w:rPr>
      </w:pPr>
    </w:p>
    <w:p w14:paraId="68ED2DE6">
      <w:pPr>
        <w:pStyle w:val="14"/>
        <w:ind w:left="860" w:hanging="440"/>
        <w:rPr>
          <w:color w:val="auto"/>
        </w:rPr>
      </w:pPr>
    </w:p>
    <w:p w14:paraId="35B4203F">
      <w:pPr>
        <w:pStyle w:val="14"/>
        <w:ind w:left="860" w:hanging="440"/>
        <w:rPr>
          <w:color w:val="auto"/>
        </w:rPr>
      </w:pPr>
    </w:p>
    <w:p w14:paraId="3B661F90">
      <w:pPr>
        <w:pStyle w:val="14"/>
        <w:ind w:left="860" w:hanging="440"/>
        <w:rPr>
          <w:color w:val="auto"/>
        </w:rPr>
      </w:pPr>
    </w:p>
    <w:p w14:paraId="0320182E">
      <w:pPr>
        <w:pStyle w:val="14"/>
        <w:ind w:left="860" w:hanging="440"/>
        <w:rPr>
          <w:color w:val="auto"/>
        </w:rPr>
      </w:pPr>
    </w:p>
    <w:p w14:paraId="5BD081A6">
      <w:pPr>
        <w:pStyle w:val="14"/>
        <w:ind w:left="860" w:hanging="440"/>
        <w:rPr>
          <w:color w:val="auto"/>
        </w:rPr>
      </w:pPr>
    </w:p>
    <w:p w14:paraId="013A8506">
      <w:pPr>
        <w:pStyle w:val="14"/>
        <w:ind w:left="860" w:hanging="440"/>
        <w:rPr>
          <w:color w:val="auto"/>
        </w:rPr>
      </w:pPr>
    </w:p>
    <w:p w14:paraId="3A837B90">
      <w:pPr>
        <w:spacing w:line="276" w:lineRule="auto"/>
        <w:jc w:val="left"/>
        <w:rPr>
          <w:rFonts w:ascii="宋体" w:hAnsi="宋体" w:cs="宋体"/>
          <w:color w:val="auto"/>
        </w:rPr>
      </w:pPr>
      <w:r>
        <w:rPr>
          <w:rFonts w:hint="eastAsia" w:ascii="宋体" w:hAnsi="宋体" w:cs="宋体"/>
          <w:b/>
          <w:bCs/>
          <w:color w:val="auto"/>
          <w:sz w:val="30"/>
          <w:szCs w:val="30"/>
        </w:rPr>
        <w:t>附件</w:t>
      </w:r>
    </w:p>
    <w:p w14:paraId="005773FE">
      <w:pPr>
        <w:pStyle w:val="2"/>
        <w:numPr>
          <w:ilvl w:val="0"/>
          <w:numId w:val="15"/>
        </w:numPr>
        <w:spacing w:before="162"/>
        <w:rPr>
          <w:color w:val="auto"/>
        </w:rPr>
      </w:pPr>
      <w:bookmarkStart w:id="39" w:name="_Toc24571"/>
      <w:bookmarkStart w:id="40" w:name="_Toc28996"/>
      <w:r>
        <w:rPr>
          <w:rFonts w:hint="eastAsia"/>
          <w:color w:val="auto"/>
        </w:rPr>
        <w:t>中小企业声明函（货物）</w:t>
      </w:r>
      <w:bookmarkEnd w:id="39"/>
      <w:bookmarkEnd w:id="40"/>
    </w:p>
    <w:p w14:paraId="2EE29723">
      <w:pPr>
        <w:jc w:val="center"/>
        <w:rPr>
          <w:rFonts w:ascii="宋体" w:hAnsi="宋体" w:cs="宋体"/>
          <w:color w:val="auto"/>
        </w:rPr>
      </w:pPr>
      <w:r>
        <w:rPr>
          <w:rFonts w:hint="eastAsia" w:ascii="宋体" w:hAnsi="宋体" w:cs="宋体"/>
          <w:color w:val="auto"/>
        </w:rPr>
        <w:t>（注：符合中小企业划型标准的企业请提供本函，不符合的不提供本函）</w:t>
      </w:r>
    </w:p>
    <w:p w14:paraId="18A44B4E">
      <w:pPr>
        <w:pStyle w:val="9"/>
        <w:spacing w:before="55" w:line="302" w:lineRule="auto"/>
        <w:ind w:right="415" w:firstLine="640"/>
        <w:rPr>
          <w:color w:val="auto"/>
          <w:spacing w:val="-5"/>
        </w:rPr>
      </w:pPr>
      <w:r>
        <w:rPr>
          <w:rFonts w:hint="eastAsia"/>
          <w:color w:val="auto"/>
          <w:spacing w:val="-5"/>
        </w:rPr>
        <w:t>本公司（联合体）郑重声明，根据《政府采购促进中小企业发展管理办法》（财库﹝2020﹞46 号）的规定，本公司（联合体）参加</w:t>
      </w:r>
      <w:r>
        <w:rPr>
          <w:rFonts w:hint="eastAsia"/>
          <w:color w:val="auto"/>
          <w:spacing w:val="-5"/>
          <w:u w:val="single"/>
        </w:rPr>
        <w:t>（单位名称）</w:t>
      </w:r>
      <w:r>
        <w:rPr>
          <w:rFonts w:hint="eastAsia"/>
          <w:color w:val="auto"/>
          <w:spacing w:val="-5"/>
        </w:rPr>
        <w:t>的</w:t>
      </w:r>
      <w:r>
        <w:rPr>
          <w:rFonts w:hint="eastAsia"/>
          <w:color w:val="auto"/>
          <w:spacing w:val="-5"/>
          <w:u w:val="single"/>
        </w:rPr>
        <w:t>（项目名称</w:t>
      </w:r>
      <w:r>
        <w:rPr>
          <w:rFonts w:hint="eastAsia"/>
          <w:color w:val="auto"/>
          <w:spacing w:val="-5"/>
        </w:rPr>
        <w:t>）采购活动，提供的货物全部由符合政策要求的中小企业制造。相关企业（含联合体中的中小企业、签订分包意向协议的中小企业） 的具体情况如下：</w:t>
      </w:r>
    </w:p>
    <w:p w14:paraId="527289B5">
      <w:pPr>
        <w:pStyle w:val="9"/>
        <w:spacing w:before="55" w:line="302" w:lineRule="auto"/>
        <w:ind w:right="415" w:firstLine="640"/>
        <w:rPr>
          <w:color w:val="auto"/>
          <w:spacing w:val="-5"/>
        </w:rPr>
      </w:pPr>
      <w:r>
        <w:rPr>
          <w:rFonts w:hint="eastAsia"/>
          <w:color w:val="auto"/>
          <w:spacing w:val="-5"/>
          <w:lang w:val="en-US"/>
        </w:rPr>
        <w:t>1.</w:t>
      </w:r>
      <w:r>
        <w:rPr>
          <w:rFonts w:hint="eastAsia"/>
          <w:color w:val="auto"/>
          <w:spacing w:val="-5"/>
          <w:u w:val="single"/>
        </w:rPr>
        <w:t xml:space="preserve">（ 标 的 名 称 ） </w:t>
      </w:r>
      <w:r>
        <w:rPr>
          <w:rFonts w:hint="eastAsia"/>
          <w:color w:val="auto"/>
          <w:spacing w:val="-5"/>
        </w:rPr>
        <w:t xml:space="preserve">， 属 于 </w:t>
      </w:r>
      <w:r>
        <w:rPr>
          <w:rFonts w:hint="eastAsia"/>
          <w:color w:val="auto"/>
          <w:spacing w:val="-5"/>
          <w:u w:val="single"/>
        </w:rPr>
        <w:t>（ 采 购 文 件 中 明 确 的 所 属 行 业 ）</w:t>
      </w:r>
      <w:r>
        <w:rPr>
          <w:rFonts w:hint="eastAsia"/>
          <w:color w:val="auto"/>
          <w:spacing w:val="-5"/>
        </w:rPr>
        <w:t xml:space="preserve"> 行业；制造商为</w:t>
      </w:r>
      <w:r>
        <w:rPr>
          <w:rFonts w:hint="eastAsia"/>
          <w:color w:val="auto"/>
          <w:spacing w:val="-5"/>
          <w:u w:val="single"/>
        </w:rPr>
        <w:t>（企业名称）</w:t>
      </w:r>
      <w:r>
        <w:rPr>
          <w:rFonts w:hint="eastAsia"/>
          <w:color w:val="auto"/>
          <w:spacing w:val="-5"/>
        </w:rPr>
        <w:t>，从业人员</w:t>
      </w:r>
      <w:r>
        <w:rPr>
          <w:rFonts w:hint="eastAsia"/>
          <w:color w:val="auto"/>
          <w:spacing w:val="-5"/>
          <w:u w:val="single"/>
        </w:rPr>
        <w:t xml:space="preserve"> </w:t>
      </w:r>
      <w:r>
        <w:rPr>
          <w:rFonts w:hint="eastAsia"/>
          <w:color w:val="auto"/>
          <w:spacing w:val="-5"/>
          <w:u w:val="single"/>
        </w:rPr>
        <w:tab/>
      </w:r>
      <w:r>
        <w:rPr>
          <w:rFonts w:hint="eastAsia"/>
          <w:color w:val="auto"/>
          <w:spacing w:val="-5"/>
        </w:rPr>
        <w:t>人，营业收入为</w:t>
      </w:r>
      <w:r>
        <w:rPr>
          <w:rFonts w:hint="eastAsia"/>
          <w:color w:val="auto"/>
          <w:spacing w:val="-5"/>
          <w:u w:val="single"/>
        </w:rPr>
        <w:t xml:space="preserve"> </w:t>
      </w:r>
      <w:r>
        <w:rPr>
          <w:rFonts w:hint="eastAsia"/>
          <w:color w:val="auto"/>
          <w:spacing w:val="-5"/>
          <w:u w:val="single"/>
        </w:rPr>
        <w:tab/>
      </w:r>
      <w:r>
        <w:rPr>
          <w:rFonts w:hint="eastAsia"/>
          <w:color w:val="auto"/>
          <w:spacing w:val="-5"/>
          <w:u w:val="single"/>
          <w:lang w:val="en-US"/>
        </w:rPr>
        <w:t xml:space="preserve"> </w:t>
      </w:r>
      <w:r>
        <w:rPr>
          <w:rFonts w:hint="eastAsia"/>
          <w:color w:val="auto"/>
          <w:spacing w:val="-5"/>
        </w:rPr>
        <w:t>万元，资产总额为</w:t>
      </w:r>
      <w:r>
        <w:rPr>
          <w:rFonts w:hint="eastAsia"/>
          <w:color w:val="auto"/>
          <w:spacing w:val="-5"/>
          <w:u w:val="single"/>
        </w:rPr>
        <w:t xml:space="preserve"> </w:t>
      </w:r>
      <w:r>
        <w:rPr>
          <w:rFonts w:hint="eastAsia"/>
          <w:color w:val="auto"/>
          <w:spacing w:val="-5"/>
          <w:u w:val="single"/>
        </w:rPr>
        <w:tab/>
      </w:r>
      <w:r>
        <w:rPr>
          <w:rFonts w:hint="eastAsia"/>
          <w:color w:val="auto"/>
          <w:spacing w:val="-5"/>
        </w:rPr>
        <w:t>万元，属于（中型企业、小型企业、微型企业）；</w:t>
      </w:r>
    </w:p>
    <w:p w14:paraId="4C2D19F0">
      <w:pPr>
        <w:pStyle w:val="9"/>
        <w:spacing w:before="55" w:line="302" w:lineRule="auto"/>
        <w:ind w:right="415" w:firstLine="640"/>
        <w:rPr>
          <w:color w:val="auto"/>
          <w:spacing w:val="-5"/>
        </w:rPr>
      </w:pPr>
      <w:r>
        <w:rPr>
          <w:rFonts w:hint="eastAsia"/>
          <w:color w:val="auto"/>
          <w:spacing w:val="-5"/>
        </w:rPr>
        <w:t xml:space="preserve"> </w:t>
      </w:r>
      <w:r>
        <w:rPr>
          <w:rFonts w:hint="eastAsia"/>
          <w:color w:val="auto"/>
          <w:spacing w:val="-5"/>
          <w:lang w:val="en-US"/>
        </w:rPr>
        <w:t>2.</w:t>
      </w:r>
      <w:r>
        <w:rPr>
          <w:rFonts w:hint="eastAsia"/>
          <w:color w:val="auto"/>
          <w:spacing w:val="-5"/>
          <w:u w:val="single"/>
        </w:rPr>
        <w:t>（ 标 的 名 称 ）</w:t>
      </w:r>
      <w:r>
        <w:rPr>
          <w:rFonts w:hint="eastAsia"/>
          <w:color w:val="auto"/>
          <w:spacing w:val="-5"/>
        </w:rPr>
        <w:t xml:space="preserve"> ， 属 于 </w:t>
      </w:r>
      <w:r>
        <w:rPr>
          <w:rFonts w:hint="eastAsia"/>
          <w:color w:val="auto"/>
          <w:spacing w:val="-5"/>
          <w:u w:val="single"/>
        </w:rPr>
        <w:t>（ 采 购 文 件 中 明 确 的 所 属 行 业 ）</w:t>
      </w:r>
      <w:r>
        <w:rPr>
          <w:rFonts w:hint="eastAsia"/>
          <w:color w:val="auto"/>
          <w:spacing w:val="-5"/>
        </w:rPr>
        <w:t xml:space="preserve"> 行业；制造商为（</w:t>
      </w:r>
      <w:r>
        <w:rPr>
          <w:rFonts w:hint="eastAsia"/>
          <w:color w:val="auto"/>
          <w:spacing w:val="-5"/>
          <w:u w:val="single"/>
        </w:rPr>
        <w:t>企业名称）</w:t>
      </w:r>
      <w:r>
        <w:rPr>
          <w:rFonts w:hint="eastAsia"/>
          <w:color w:val="auto"/>
          <w:spacing w:val="-5"/>
        </w:rPr>
        <w:t>，从业人员</w:t>
      </w:r>
      <w:r>
        <w:rPr>
          <w:rFonts w:hint="eastAsia"/>
          <w:color w:val="auto"/>
          <w:spacing w:val="-5"/>
          <w:u w:val="single"/>
        </w:rPr>
        <w:t xml:space="preserve"> </w:t>
      </w:r>
      <w:r>
        <w:rPr>
          <w:rFonts w:hint="eastAsia"/>
          <w:color w:val="auto"/>
          <w:spacing w:val="-5"/>
          <w:u w:val="single"/>
        </w:rPr>
        <w:tab/>
      </w:r>
      <w:r>
        <w:rPr>
          <w:rFonts w:hint="eastAsia"/>
          <w:color w:val="auto"/>
          <w:spacing w:val="-5"/>
        </w:rPr>
        <w:t>人，营业收入为</w:t>
      </w:r>
      <w:r>
        <w:rPr>
          <w:rFonts w:hint="eastAsia"/>
          <w:color w:val="auto"/>
          <w:spacing w:val="-5"/>
          <w:u w:val="single"/>
        </w:rPr>
        <w:t xml:space="preserve"> </w:t>
      </w:r>
      <w:r>
        <w:rPr>
          <w:rFonts w:hint="eastAsia"/>
          <w:color w:val="auto"/>
          <w:spacing w:val="-5"/>
          <w:u w:val="single"/>
        </w:rPr>
        <w:tab/>
      </w:r>
      <w:r>
        <w:rPr>
          <w:rFonts w:hint="eastAsia"/>
          <w:color w:val="auto"/>
          <w:spacing w:val="-5"/>
        </w:rPr>
        <w:t>万元，资产总额为</w:t>
      </w:r>
      <w:r>
        <w:rPr>
          <w:rFonts w:hint="eastAsia"/>
          <w:color w:val="auto"/>
          <w:spacing w:val="-5"/>
          <w:u w:val="single"/>
        </w:rPr>
        <w:t xml:space="preserve"> </w:t>
      </w:r>
      <w:r>
        <w:rPr>
          <w:rFonts w:hint="eastAsia"/>
          <w:color w:val="auto"/>
          <w:spacing w:val="-5"/>
          <w:u w:val="single"/>
        </w:rPr>
        <w:tab/>
      </w:r>
      <w:r>
        <w:rPr>
          <w:rFonts w:hint="eastAsia"/>
          <w:color w:val="auto"/>
          <w:spacing w:val="-5"/>
        </w:rPr>
        <w:t>万元，属于（中型企业、小型企业、微型企业）；</w:t>
      </w:r>
    </w:p>
    <w:p w14:paraId="44367E6E">
      <w:pPr>
        <w:pStyle w:val="9"/>
        <w:spacing w:before="55" w:line="302" w:lineRule="auto"/>
        <w:ind w:right="415" w:firstLine="640"/>
        <w:rPr>
          <w:color w:val="auto"/>
          <w:spacing w:val="-5"/>
        </w:rPr>
      </w:pPr>
      <w:r>
        <w:rPr>
          <w:rFonts w:hint="eastAsia"/>
          <w:color w:val="auto"/>
          <w:spacing w:val="-5"/>
        </w:rPr>
        <w:t>……</w:t>
      </w:r>
    </w:p>
    <w:p w14:paraId="7C5B8BCA">
      <w:pPr>
        <w:pStyle w:val="9"/>
        <w:spacing w:before="55" w:line="302" w:lineRule="auto"/>
        <w:ind w:right="415" w:firstLine="640"/>
        <w:rPr>
          <w:color w:val="auto"/>
          <w:spacing w:val="-5"/>
        </w:rPr>
      </w:pPr>
      <w:r>
        <w:rPr>
          <w:rFonts w:hint="eastAsia"/>
          <w:color w:val="auto"/>
          <w:spacing w:val="-5"/>
        </w:rPr>
        <w:t>以上企业，不属于大企业的分支机构，不存在控股股东为大企业的情形，也不存在与大企业的负责人为同一人的情形。</w:t>
      </w:r>
    </w:p>
    <w:p w14:paraId="4D9DF0A1">
      <w:pPr>
        <w:pStyle w:val="9"/>
        <w:spacing w:before="55" w:line="302" w:lineRule="auto"/>
        <w:ind w:right="415" w:firstLine="640"/>
        <w:rPr>
          <w:color w:val="auto"/>
        </w:rPr>
      </w:pPr>
      <w:r>
        <w:rPr>
          <w:rFonts w:hint="eastAsia"/>
          <w:color w:val="auto"/>
          <w:spacing w:val="-5"/>
        </w:rPr>
        <w:t>本企业对上述声明内容的真实性负责</w:t>
      </w:r>
      <w:r>
        <w:rPr>
          <w:rFonts w:hint="eastAsia"/>
          <w:color w:val="auto"/>
        </w:rPr>
        <w:t>。如有虚假，将依法承担相应责任。</w:t>
      </w:r>
    </w:p>
    <w:p w14:paraId="198A1690">
      <w:pPr>
        <w:pStyle w:val="9"/>
        <w:spacing w:before="35" w:line="316" w:lineRule="auto"/>
        <w:ind w:left="4060" w:right="2166"/>
        <w:rPr>
          <w:color w:val="auto"/>
          <w:w w:val="99"/>
        </w:rPr>
      </w:pPr>
    </w:p>
    <w:p w14:paraId="6F11AE44">
      <w:pPr>
        <w:pStyle w:val="9"/>
        <w:spacing w:before="35" w:line="316" w:lineRule="auto"/>
        <w:ind w:left="4060" w:right="2166"/>
        <w:rPr>
          <w:color w:val="auto"/>
          <w:spacing w:val="-8"/>
          <w:w w:val="99"/>
        </w:rPr>
      </w:pPr>
      <w:r>
        <w:rPr>
          <w:rFonts w:hint="eastAsia"/>
          <w:color w:val="auto"/>
          <w:w w:val="99"/>
        </w:rPr>
        <w:t>企业名称</w:t>
      </w:r>
      <w:r>
        <w:rPr>
          <w:rFonts w:hint="eastAsia"/>
          <w:color w:val="auto"/>
          <w:spacing w:val="2"/>
          <w:w w:val="99"/>
        </w:rPr>
        <w:t>（</w:t>
      </w:r>
      <w:r>
        <w:rPr>
          <w:rFonts w:hint="eastAsia"/>
          <w:color w:val="auto"/>
          <w:w w:val="99"/>
        </w:rPr>
        <w:t>盖章</w:t>
      </w:r>
      <w:r>
        <w:rPr>
          <w:rFonts w:hint="eastAsia"/>
          <w:color w:val="auto"/>
          <w:spacing w:val="-167"/>
          <w:w w:val="99"/>
        </w:rPr>
        <w:t>）</w:t>
      </w:r>
      <w:r>
        <w:rPr>
          <w:rFonts w:hint="eastAsia"/>
          <w:color w:val="auto"/>
          <w:spacing w:val="-8"/>
          <w:w w:val="99"/>
        </w:rPr>
        <w:t>：</w:t>
      </w:r>
    </w:p>
    <w:p w14:paraId="30DD4D3F">
      <w:pPr>
        <w:pStyle w:val="9"/>
        <w:spacing w:before="35" w:line="316" w:lineRule="auto"/>
        <w:ind w:left="4060" w:right="2166"/>
        <w:rPr>
          <w:color w:val="auto"/>
        </w:rPr>
      </w:pPr>
      <w:r>
        <w:rPr>
          <w:rFonts w:hint="eastAsia"/>
          <w:color w:val="auto"/>
          <w:spacing w:val="24"/>
        </w:rPr>
        <w:t>日期：</w:t>
      </w:r>
    </w:p>
    <w:p w14:paraId="4945B4C4">
      <w:pPr>
        <w:spacing w:line="276" w:lineRule="auto"/>
        <w:jc w:val="center"/>
        <w:rPr>
          <w:rFonts w:ascii="宋体" w:hAnsi="宋体" w:cs="宋体"/>
          <w:b/>
          <w:bCs/>
          <w:color w:val="auto"/>
          <w:sz w:val="30"/>
          <w:szCs w:val="30"/>
        </w:rPr>
      </w:pPr>
    </w:p>
    <w:p w14:paraId="2E24B804">
      <w:pPr>
        <w:pStyle w:val="41"/>
        <w:rPr>
          <w:rFonts w:hAnsi="宋体"/>
          <w:color w:val="auto"/>
        </w:rPr>
      </w:pPr>
    </w:p>
    <w:p w14:paraId="16BC6502">
      <w:pPr>
        <w:pStyle w:val="41"/>
        <w:rPr>
          <w:rFonts w:hAnsi="宋体"/>
          <w:color w:val="auto"/>
        </w:rPr>
      </w:pPr>
    </w:p>
    <w:p w14:paraId="72AA0F79">
      <w:pPr>
        <w:pStyle w:val="41"/>
        <w:rPr>
          <w:rFonts w:hAnsi="宋体"/>
          <w:color w:val="auto"/>
        </w:rPr>
      </w:pPr>
    </w:p>
    <w:p w14:paraId="6077419F">
      <w:pPr>
        <w:pStyle w:val="41"/>
        <w:rPr>
          <w:rFonts w:hAnsi="宋体"/>
          <w:color w:val="auto"/>
        </w:rPr>
      </w:pPr>
    </w:p>
    <w:p w14:paraId="7C027F28">
      <w:pPr>
        <w:pStyle w:val="41"/>
        <w:rPr>
          <w:rFonts w:hAnsi="宋体"/>
          <w:color w:val="auto"/>
        </w:rPr>
      </w:pPr>
    </w:p>
    <w:p w14:paraId="65AEA63E">
      <w:pPr>
        <w:pStyle w:val="41"/>
        <w:rPr>
          <w:rFonts w:hAnsi="宋体"/>
          <w:color w:val="auto"/>
        </w:rPr>
      </w:pPr>
    </w:p>
    <w:p w14:paraId="00EF5E16">
      <w:pPr>
        <w:pStyle w:val="41"/>
        <w:rPr>
          <w:rFonts w:hAnsi="宋体"/>
          <w:color w:val="auto"/>
        </w:rPr>
      </w:pPr>
    </w:p>
    <w:p w14:paraId="4AC54B60">
      <w:pPr>
        <w:pStyle w:val="41"/>
        <w:rPr>
          <w:rFonts w:hAnsi="宋体"/>
          <w:color w:val="auto"/>
        </w:rPr>
      </w:pPr>
    </w:p>
    <w:p w14:paraId="6FDC16F9">
      <w:pPr>
        <w:pStyle w:val="41"/>
        <w:rPr>
          <w:rFonts w:hAnsi="宋体"/>
          <w:color w:val="auto"/>
        </w:rPr>
      </w:pPr>
    </w:p>
    <w:p w14:paraId="788BF5A5">
      <w:pPr>
        <w:pStyle w:val="41"/>
        <w:rPr>
          <w:rFonts w:hAnsi="宋体"/>
          <w:color w:val="auto"/>
        </w:rPr>
      </w:pPr>
    </w:p>
    <w:p w14:paraId="68E73D3C">
      <w:pPr>
        <w:pStyle w:val="41"/>
        <w:rPr>
          <w:rFonts w:hAnsi="宋体"/>
          <w:color w:val="auto"/>
        </w:rPr>
      </w:pPr>
    </w:p>
    <w:p w14:paraId="274128B0">
      <w:pPr>
        <w:pStyle w:val="41"/>
        <w:rPr>
          <w:rFonts w:hAnsi="宋体"/>
          <w:color w:val="auto"/>
        </w:rPr>
      </w:pPr>
    </w:p>
    <w:p w14:paraId="758FB7ED">
      <w:pPr>
        <w:pStyle w:val="41"/>
        <w:rPr>
          <w:rFonts w:hAnsi="宋体"/>
          <w:color w:val="auto"/>
        </w:rPr>
      </w:pPr>
    </w:p>
    <w:p w14:paraId="4A33B9F0">
      <w:pPr>
        <w:autoSpaceDE w:val="0"/>
        <w:autoSpaceDN w:val="0"/>
        <w:adjustRightInd w:val="0"/>
        <w:snapToGrid w:val="0"/>
        <w:jc w:val="center"/>
        <w:rPr>
          <w:rFonts w:ascii="宋体" w:hAnsi="宋体" w:cs="宋体"/>
          <w:b/>
          <w:bCs/>
          <w:color w:val="auto"/>
          <w:kern w:val="0"/>
          <w:sz w:val="32"/>
          <w:szCs w:val="32"/>
          <w:lang w:val="zh-CN"/>
        </w:rPr>
      </w:pPr>
      <w:r>
        <w:rPr>
          <w:rFonts w:hint="eastAsia" w:ascii="宋体" w:hAnsi="宋体" w:cs="宋体"/>
          <w:b/>
          <w:bCs/>
          <w:color w:val="auto"/>
          <w:kern w:val="0"/>
          <w:sz w:val="32"/>
          <w:szCs w:val="32"/>
        </w:rPr>
        <w:t>(二)</w:t>
      </w:r>
      <w:r>
        <w:rPr>
          <w:rFonts w:hint="eastAsia" w:ascii="宋体" w:hAnsi="宋体" w:cs="宋体"/>
          <w:b/>
          <w:bCs/>
          <w:color w:val="auto"/>
          <w:kern w:val="0"/>
          <w:sz w:val="32"/>
          <w:szCs w:val="32"/>
          <w:lang w:val="zh-CN"/>
        </w:rPr>
        <w:t>监狱企业证明</w:t>
      </w:r>
    </w:p>
    <w:p w14:paraId="402F5F38">
      <w:pPr>
        <w:autoSpaceDE w:val="0"/>
        <w:autoSpaceDN w:val="0"/>
        <w:adjustRightInd w:val="0"/>
        <w:snapToGrid w:val="0"/>
        <w:spacing w:line="360" w:lineRule="auto"/>
        <w:jc w:val="center"/>
        <w:rPr>
          <w:rFonts w:ascii="宋体" w:hAnsi="宋体" w:cs="宋体"/>
          <w:color w:val="auto"/>
        </w:rPr>
      </w:pPr>
      <w:r>
        <w:rPr>
          <w:rFonts w:hint="eastAsia" w:ascii="宋体" w:hAnsi="宋体" w:cs="宋体"/>
          <w:color w:val="auto"/>
        </w:rPr>
        <w:t>（ 注：符合条件的监狱企业请提供本函，不符合的不提供本函）</w:t>
      </w:r>
    </w:p>
    <w:p w14:paraId="067BCD7C">
      <w:pPr>
        <w:autoSpaceDE w:val="0"/>
        <w:autoSpaceDN w:val="0"/>
        <w:adjustRightInd w:val="0"/>
        <w:snapToGrid w:val="0"/>
        <w:spacing w:line="360" w:lineRule="auto"/>
        <w:ind w:firstLine="480" w:firstLineChars="200"/>
        <w:jc w:val="left"/>
        <w:rPr>
          <w:rFonts w:ascii="宋体" w:hAnsi="宋体" w:cs="宋体"/>
          <w:color w:val="auto"/>
          <w:kern w:val="0"/>
          <w:sz w:val="24"/>
          <w:lang w:val="zh-CN"/>
        </w:rPr>
      </w:pPr>
    </w:p>
    <w:p w14:paraId="6B7805A6">
      <w:pPr>
        <w:autoSpaceDE w:val="0"/>
        <w:autoSpaceDN w:val="0"/>
        <w:adjustRightInd w:val="0"/>
        <w:snapToGrid w:val="0"/>
        <w:spacing w:line="360" w:lineRule="auto"/>
        <w:ind w:firstLine="480" w:firstLineChars="200"/>
        <w:jc w:val="left"/>
        <w:rPr>
          <w:rFonts w:ascii="宋体" w:hAnsi="宋体" w:cs="宋体"/>
          <w:color w:val="auto"/>
          <w:kern w:val="0"/>
          <w:sz w:val="24"/>
          <w:lang w:val="zh-CN"/>
        </w:rPr>
      </w:pPr>
    </w:p>
    <w:p w14:paraId="1631D67F">
      <w:pPr>
        <w:autoSpaceDE w:val="0"/>
        <w:autoSpaceDN w:val="0"/>
        <w:adjustRightInd w:val="0"/>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提供由省级以上监狱管理局、戒毒管理局（含新疆生产建设兵团）出具的属于监狱企业的证明文件。 </w:t>
      </w:r>
    </w:p>
    <w:p w14:paraId="01DD1D1B">
      <w:pPr>
        <w:autoSpaceDE w:val="0"/>
        <w:autoSpaceDN w:val="0"/>
        <w:adjustRightInd w:val="0"/>
        <w:snapToGrid w:val="0"/>
        <w:jc w:val="left"/>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4DF13A8C">
      <w:pPr>
        <w:pStyle w:val="68"/>
        <w:rPr>
          <w:rFonts w:ascii="宋体" w:hAnsi="宋体" w:cs="宋体"/>
          <w:color w:val="auto"/>
          <w:sz w:val="28"/>
          <w:szCs w:val="28"/>
          <w:lang w:val="zh-CN"/>
        </w:rPr>
      </w:pPr>
    </w:p>
    <w:p w14:paraId="6099EF2C">
      <w:pPr>
        <w:pStyle w:val="68"/>
        <w:rPr>
          <w:rFonts w:ascii="宋体" w:hAnsi="宋体" w:cs="宋体"/>
          <w:color w:val="auto"/>
          <w:sz w:val="28"/>
          <w:szCs w:val="28"/>
          <w:lang w:val="zh-CN"/>
        </w:rPr>
      </w:pPr>
    </w:p>
    <w:p w14:paraId="16DB76E2">
      <w:pPr>
        <w:pStyle w:val="68"/>
        <w:rPr>
          <w:rFonts w:ascii="宋体" w:hAnsi="宋体" w:cs="宋体"/>
          <w:color w:val="auto"/>
          <w:sz w:val="28"/>
          <w:szCs w:val="28"/>
          <w:lang w:val="zh-CN"/>
        </w:rPr>
      </w:pPr>
    </w:p>
    <w:p w14:paraId="640FD016">
      <w:pPr>
        <w:pStyle w:val="68"/>
        <w:rPr>
          <w:rFonts w:ascii="宋体" w:hAnsi="宋体" w:cs="宋体"/>
          <w:color w:val="auto"/>
          <w:sz w:val="28"/>
          <w:szCs w:val="28"/>
          <w:lang w:val="zh-CN"/>
        </w:rPr>
      </w:pPr>
    </w:p>
    <w:p w14:paraId="1BA44E6B">
      <w:pPr>
        <w:pStyle w:val="68"/>
        <w:rPr>
          <w:rFonts w:ascii="宋体" w:hAnsi="宋体" w:cs="宋体"/>
          <w:color w:val="auto"/>
          <w:sz w:val="28"/>
          <w:szCs w:val="28"/>
          <w:lang w:val="zh-CN"/>
        </w:rPr>
      </w:pPr>
    </w:p>
    <w:p w14:paraId="080F75C4">
      <w:pPr>
        <w:pStyle w:val="68"/>
        <w:rPr>
          <w:rFonts w:ascii="宋体" w:hAnsi="宋体" w:cs="宋体"/>
          <w:color w:val="auto"/>
          <w:sz w:val="28"/>
          <w:szCs w:val="28"/>
          <w:lang w:val="zh-CN"/>
        </w:rPr>
      </w:pPr>
    </w:p>
    <w:p w14:paraId="680FEA9A">
      <w:pPr>
        <w:pStyle w:val="68"/>
        <w:rPr>
          <w:rFonts w:ascii="宋体" w:hAnsi="宋体" w:cs="宋体"/>
          <w:color w:val="auto"/>
          <w:sz w:val="28"/>
          <w:szCs w:val="28"/>
          <w:lang w:val="zh-CN"/>
        </w:rPr>
      </w:pPr>
    </w:p>
    <w:p w14:paraId="425A9E52">
      <w:pPr>
        <w:pStyle w:val="68"/>
        <w:rPr>
          <w:rFonts w:ascii="宋体" w:hAnsi="宋体" w:cs="宋体"/>
          <w:color w:val="auto"/>
          <w:sz w:val="28"/>
          <w:szCs w:val="28"/>
          <w:lang w:val="zh-CN"/>
        </w:rPr>
      </w:pPr>
    </w:p>
    <w:p w14:paraId="5FDE016E">
      <w:pPr>
        <w:pStyle w:val="41"/>
        <w:rPr>
          <w:rFonts w:hAnsi="宋体"/>
          <w:color w:val="auto"/>
        </w:rPr>
      </w:pPr>
    </w:p>
    <w:p w14:paraId="6F3D8CC5">
      <w:pPr>
        <w:pStyle w:val="41"/>
        <w:rPr>
          <w:rFonts w:hAnsi="宋体"/>
          <w:color w:val="auto"/>
        </w:rPr>
      </w:pPr>
    </w:p>
    <w:p w14:paraId="32A0F612">
      <w:pPr>
        <w:pStyle w:val="41"/>
        <w:rPr>
          <w:rFonts w:hAnsi="宋体"/>
          <w:color w:val="auto"/>
        </w:rPr>
      </w:pPr>
    </w:p>
    <w:p w14:paraId="0CCD0E29">
      <w:pPr>
        <w:pStyle w:val="41"/>
        <w:rPr>
          <w:rFonts w:hAnsi="宋体"/>
          <w:color w:val="auto"/>
        </w:rPr>
      </w:pPr>
    </w:p>
    <w:p w14:paraId="60ED1F03">
      <w:pPr>
        <w:pStyle w:val="39"/>
        <w:ind w:firstLine="520"/>
        <w:rPr>
          <w:rFonts w:ascii="宋体" w:hAnsi="宋体" w:cs="宋体"/>
          <w:color w:val="auto"/>
        </w:rPr>
      </w:pPr>
    </w:p>
    <w:p w14:paraId="2CE06B70">
      <w:pPr>
        <w:rPr>
          <w:rFonts w:ascii="宋体" w:hAnsi="宋体" w:cs="宋体"/>
          <w:color w:val="auto"/>
        </w:rPr>
      </w:pPr>
    </w:p>
    <w:p w14:paraId="7AA2E645">
      <w:pPr>
        <w:pStyle w:val="7"/>
        <w:rPr>
          <w:color w:val="auto"/>
        </w:rPr>
      </w:pPr>
    </w:p>
    <w:p w14:paraId="7FDC4466">
      <w:pPr>
        <w:pStyle w:val="7"/>
        <w:rPr>
          <w:color w:val="auto"/>
        </w:rPr>
      </w:pPr>
    </w:p>
    <w:p w14:paraId="5D2426D0">
      <w:pPr>
        <w:pStyle w:val="7"/>
        <w:rPr>
          <w:color w:val="auto"/>
        </w:rPr>
      </w:pPr>
    </w:p>
    <w:p w14:paraId="3B5DB242">
      <w:pPr>
        <w:pStyle w:val="7"/>
        <w:rPr>
          <w:color w:val="auto"/>
        </w:rPr>
      </w:pPr>
    </w:p>
    <w:p w14:paraId="0C657284">
      <w:pPr>
        <w:pStyle w:val="7"/>
        <w:rPr>
          <w:color w:val="auto"/>
        </w:rPr>
      </w:pPr>
    </w:p>
    <w:p w14:paraId="2B4488E1">
      <w:pPr>
        <w:pStyle w:val="7"/>
        <w:rPr>
          <w:color w:val="auto"/>
        </w:rPr>
      </w:pPr>
    </w:p>
    <w:p w14:paraId="6A3013F9">
      <w:pPr>
        <w:pStyle w:val="7"/>
        <w:rPr>
          <w:color w:val="auto"/>
        </w:rPr>
      </w:pPr>
    </w:p>
    <w:p w14:paraId="157CED3B">
      <w:pPr>
        <w:pStyle w:val="7"/>
        <w:rPr>
          <w:color w:val="auto"/>
        </w:rPr>
      </w:pPr>
    </w:p>
    <w:p w14:paraId="0A0E6631">
      <w:pPr>
        <w:rPr>
          <w:rFonts w:ascii="宋体" w:hAnsi="宋体" w:cs="宋体"/>
          <w:color w:val="auto"/>
        </w:rPr>
      </w:pPr>
    </w:p>
    <w:p w14:paraId="03C5B05C">
      <w:pPr>
        <w:rPr>
          <w:rFonts w:ascii="宋体" w:hAnsi="宋体" w:cs="宋体"/>
          <w:color w:val="auto"/>
        </w:rPr>
      </w:pPr>
    </w:p>
    <w:p w14:paraId="005A9616">
      <w:pPr>
        <w:autoSpaceDE w:val="0"/>
        <w:autoSpaceDN w:val="0"/>
        <w:adjustRightInd w:val="0"/>
        <w:snapToGrid w:val="0"/>
        <w:jc w:val="center"/>
        <w:rPr>
          <w:rFonts w:ascii="宋体" w:hAnsi="宋体" w:cs="宋体"/>
          <w:b/>
          <w:bCs/>
          <w:color w:val="auto"/>
          <w:kern w:val="0"/>
          <w:sz w:val="32"/>
          <w:szCs w:val="32"/>
          <w:lang w:val="zh-CN"/>
        </w:rPr>
      </w:pPr>
      <w:r>
        <w:rPr>
          <w:rFonts w:hint="eastAsia" w:ascii="宋体" w:hAnsi="宋体" w:cs="宋体"/>
          <w:color w:val="auto"/>
        </w:rPr>
        <w:tab/>
      </w:r>
      <w:r>
        <w:rPr>
          <w:rFonts w:hint="eastAsia" w:ascii="宋体" w:hAnsi="宋体" w:cs="宋体"/>
          <w:b/>
          <w:bCs/>
          <w:color w:val="auto"/>
          <w:kern w:val="0"/>
          <w:sz w:val="32"/>
          <w:szCs w:val="32"/>
        </w:rPr>
        <w:t>(三)</w:t>
      </w:r>
      <w:r>
        <w:rPr>
          <w:rFonts w:hint="eastAsia" w:ascii="宋体" w:hAnsi="宋体" w:cs="宋体"/>
          <w:b/>
          <w:bCs/>
          <w:color w:val="auto"/>
          <w:kern w:val="0"/>
          <w:sz w:val="32"/>
          <w:szCs w:val="32"/>
          <w:lang w:val="zh-CN"/>
        </w:rPr>
        <w:t>残疾人福利性单位声明函</w:t>
      </w:r>
    </w:p>
    <w:p w14:paraId="68BF7DFC">
      <w:pPr>
        <w:spacing w:before="132"/>
        <w:ind w:left="505" w:right="543"/>
        <w:jc w:val="center"/>
        <w:rPr>
          <w:rFonts w:ascii="宋体" w:hAnsi="宋体" w:cs="宋体"/>
          <w:color w:val="auto"/>
        </w:rPr>
      </w:pPr>
      <w:r>
        <w:rPr>
          <w:rFonts w:hint="eastAsia" w:ascii="宋体" w:hAnsi="宋体" w:cs="宋体"/>
          <w:color w:val="auto"/>
        </w:rPr>
        <w:t>（注：符合条件的残疾人福利性企业请提供本函，不符合的不提供本函）</w:t>
      </w:r>
    </w:p>
    <w:p w14:paraId="496AD63C">
      <w:pPr>
        <w:autoSpaceDE w:val="0"/>
        <w:autoSpaceDN w:val="0"/>
        <w:adjustRightInd w:val="0"/>
        <w:snapToGrid w:val="0"/>
        <w:spacing w:line="360" w:lineRule="auto"/>
        <w:jc w:val="left"/>
        <w:rPr>
          <w:rFonts w:ascii="宋体" w:hAnsi="宋体" w:cs="宋体"/>
          <w:color w:val="auto"/>
          <w:kern w:val="0"/>
          <w:sz w:val="24"/>
          <w:lang w:val="zh-CN"/>
        </w:rPr>
      </w:pPr>
    </w:p>
    <w:p w14:paraId="464279DB">
      <w:pPr>
        <w:autoSpaceDE w:val="0"/>
        <w:autoSpaceDN w:val="0"/>
        <w:adjustRightInd w:val="0"/>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本单位郑重声明，根据《财政部民政部中国残疾人联合会关于促进残疾人就业政府采购政策的通知》（财库〔2017〕141 号）的规定，本单位为符合条件的残疾人福利性单位，且本单位参加____________单位的____________项目采购活动提供本单位制造的货物（由本单位承担工程/提供服务），或者提供其他残疾人福利性单位制造的货物（不包括使用非残疾人福利性单位注册商标的货物）。</w:t>
      </w:r>
    </w:p>
    <w:p w14:paraId="7599FBF9">
      <w:pPr>
        <w:autoSpaceDE w:val="0"/>
        <w:autoSpaceDN w:val="0"/>
        <w:adjustRightInd w:val="0"/>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本单位对上述声明的真实性负责。如有虚假，将依法承担相应责任。</w:t>
      </w:r>
    </w:p>
    <w:p w14:paraId="56F65672">
      <w:pPr>
        <w:autoSpaceDE w:val="0"/>
        <w:autoSpaceDN w:val="0"/>
        <w:adjustRightInd w:val="0"/>
        <w:snapToGrid w:val="0"/>
        <w:spacing w:line="360" w:lineRule="auto"/>
        <w:ind w:firstLine="2400" w:firstLineChars="1000"/>
        <w:jc w:val="left"/>
        <w:rPr>
          <w:rFonts w:ascii="宋体" w:hAnsi="宋体" w:cs="宋体"/>
          <w:color w:val="auto"/>
          <w:kern w:val="0"/>
          <w:sz w:val="24"/>
          <w:lang w:val="zh-CN"/>
        </w:rPr>
      </w:pPr>
    </w:p>
    <w:p w14:paraId="530DAE36">
      <w:pPr>
        <w:autoSpaceDE w:val="0"/>
        <w:autoSpaceDN w:val="0"/>
        <w:adjustRightInd w:val="0"/>
        <w:snapToGrid w:val="0"/>
        <w:spacing w:line="360" w:lineRule="auto"/>
        <w:ind w:firstLine="2400" w:firstLineChars="1000"/>
        <w:jc w:val="left"/>
        <w:rPr>
          <w:rFonts w:ascii="宋体" w:hAnsi="宋体" w:cs="宋体"/>
          <w:color w:val="auto"/>
          <w:kern w:val="0"/>
          <w:sz w:val="24"/>
          <w:lang w:val="zh-CN"/>
        </w:rPr>
      </w:pPr>
    </w:p>
    <w:p w14:paraId="477F8C5C">
      <w:pPr>
        <w:pStyle w:val="5"/>
        <w:rPr>
          <w:color w:val="auto"/>
        </w:rPr>
      </w:pPr>
    </w:p>
    <w:p w14:paraId="2EFBF350">
      <w:pPr>
        <w:rPr>
          <w:rFonts w:ascii="宋体" w:hAnsi="宋体" w:cs="宋体"/>
          <w:color w:val="auto"/>
          <w:lang w:val="zh-CN"/>
        </w:rPr>
      </w:pPr>
    </w:p>
    <w:p w14:paraId="075AEC87">
      <w:pPr>
        <w:autoSpaceDE w:val="0"/>
        <w:autoSpaceDN w:val="0"/>
        <w:adjustRightInd w:val="0"/>
        <w:snapToGrid w:val="0"/>
        <w:spacing w:line="360" w:lineRule="auto"/>
        <w:ind w:firstLine="2400" w:firstLineChars="1000"/>
        <w:jc w:val="left"/>
        <w:rPr>
          <w:rFonts w:ascii="宋体" w:hAnsi="宋体" w:cs="宋体"/>
          <w:color w:val="auto"/>
          <w:kern w:val="0"/>
          <w:sz w:val="24"/>
          <w:lang w:val="zh-CN"/>
        </w:rPr>
      </w:pPr>
      <w:r>
        <w:rPr>
          <w:rFonts w:hint="eastAsia" w:ascii="宋体" w:hAnsi="宋体" w:cs="宋体"/>
          <w:color w:val="auto"/>
          <w:kern w:val="0"/>
          <w:sz w:val="24"/>
          <w:lang w:val="zh-CN"/>
        </w:rPr>
        <w:t>投标人名称：          （盖单位公章）</w:t>
      </w:r>
    </w:p>
    <w:p w14:paraId="256D45FC">
      <w:pPr>
        <w:autoSpaceDE w:val="0"/>
        <w:autoSpaceDN w:val="0"/>
        <w:adjustRightInd w:val="0"/>
        <w:snapToGrid w:val="0"/>
        <w:spacing w:line="360" w:lineRule="auto"/>
        <w:ind w:firstLine="3600" w:firstLineChars="1500"/>
        <w:jc w:val="left"/>
        <w:rPr>
          <w:rFonts w:ascii="宋体" w:hAnsi="宋体" w:cs="宋体"/>
          <w:color w:val="auto"/>
          <w:kern w:val="0"/>
          <w:sz w:val="24"/>
          <w:lang w:val="zh-CN"/>
        </w:rPr>
      </w:pPr>
      <w:r>
        <w:rPr>
          <w:rFonts w:hint="eastAsia" w:ascii="宋体" w:hAnsi="宋体" w:cs="宋体"/>
          <w:color w:val="auto"/>
          <w:kern w:val="0"/>
          <w:sz w:val="24"/>
          <w:lang w:val="zh-CN"/>
        </w:rPr>
        <w:t>年    月    日</w:t>
      </w:r>
    </w:p>
    <w:p w14:paraId="421FA234">
      <w:pPr>
        <w:tabs>
          <w:tab w:val="left" w:pos="1192"/>
        </w:tabs>
        <w:jc w:val="left"/>
        <w:rPr>
          <w:rFonts w:ascii="宋体" w:hAnsi="宋体" w:cs="宋体"/>
          <w:color w:val="auto"/>
        </w:rPr>
      </w:pPr>
    </w:p>
    <w:p w14:paraId="09B7B18E">
      <w:pPr>
        <w:rPr>
          <w:rFonts w:ascii="宋体" w:hAnsi="宋体" w:cs="宋体"/>
          <w:color w:val="auto"/>
        </w:rPr>
      </w:pPr>
    </w:p>
    <w:p w14:paraId="0E8E1886">
      <w:pPr>
        <w:rPr>
          <w:rFonts w:ascii="宋体" w:hAnsi="宋体" w:cs="宋体"/>
          <w:color w:val="auto"/>
        </w:rPr>
      </w:pPr>
    </w:p>
    <w:p w14:paraId="12CEA206">
      <w:pPr>
        <w:pStyle w:val="9"/>
        <w:rPr>
          <w:color w:val="auto"/>
          <w:lang w:val="en-US"/>
        </w:rPr>
      </w:pPr>
    </w:p>
    <w:p w14:paraId="3E450B4D">
      <w:pPr>
        <w:pStyle w:val="41"/>
        <w:rPr>
          <w:rFonts w:hAnsi="宋体"/>
          <w:color w:val="auto"/>
        </w:rPr>
      </w:pPr>
    </w:p>
    <w:p w14:paraId="1BEF69A1">
      <w:pPr>
        <w:rPr>
          <w:rFonts w:ascii="宋体" w:hAnsi="宋体" w:cs="宋体"/>
          <w:color w:val="auto"/>
        </w:rPr>
      </w:pPr>
    </w:p>
    <w:p w14:paraId="0421799A">
      <w:pPr>
        <w:pStyle w:val="9"/>
        <w:rPr>
          <w:color w:val="auto"/>
          <w:lang w:val="en-US"/>
        </w:rPr>
      </w:pPr>
    </w:p>
    <w:p w14:paraId="6C2CEB5E">
      <w:pPr>
        <w:pStyle w:val="41"/>
        <w:rPr>
          <w:rFonts w:hAnsi="宋体"/>
          <w:color w:val="auto"/>
        </w:rPr>
      </w:pPr>
    </w:p>
    <w:p w14:paraId="426EBF1B">
      <w:pPr>
        <w:rPr>
          <w:rFonts w:ascii="宋体" w:hAnsi="宋体" w:cs="宋体"/>
          <w:color w:val="auto"/>
        </w:rPr>
      </w:pPr>
    </w:p>
    <w:p w14:paraId="01E5DAED">
      <w:pPr>
        <w:pStyle w:val="9"/>
        <w:rPr>
          <w:color w:val="auto"/>
          <w:lang w:val="en-US"/>
        </w:rPr>
      </w:pPr>
    </w:p>
    <w:p w14:paraId="22035DC1">
      <w:pPr>
        <w:pStyle w:val="41"/>
        <w:rPr>
          <w:rFonts w:hAnsi="宋体"/>
          <w:color w:val="auto"/>
        </w:rPr>
      </w:pPr>
    </w:p>
    <w:p w14:paraId="78323F06">
      <w:pPr>
        <w:rPr>
          <w:rFonts w:ascii="宋体" w:hAnsi="宋体" w:cs="宋体"/>
          <w:color w:val="auto"/>
        </w:rPr>
      </w:pPr>
    </w:p>
    <w:p w14:paraId="4D6D4F2B">
      <w:pPr>
        <w:pStyle w:val="9"/>
        <w:rPr>
          <w:color w:val="auto"/>
          <w:lang w:val="en-US"/>
        </w:rPr>
      </w:pPr>
    </w:p>
    <w:p w14:paraId="7868B1DD">
      <w:pPr>
        <w:pStyle w:val="41"/>
        <w:rPr>
          <w:rFonts w:hAnsi="宋体"/>
          <w:color w:val="auto"/>
        </w:rPr>
      </w:pPr>
    </w:p>
    <w:p w14:paraId="3B662EC1">
      <w:pPr>
        <w:rPr>
          <w:rFonts w:ascii="宋体" w:hAnsi="宋体" w:cs="宋体"/>
          <w:color w:val="auto"/>
        </w:rPr>
      </w:pPr>
    </w:p>
    <w:p w14:paraId="6ABB9952">
      <w:pPr>
        <w:pStyle w:val="9"/>
        <w:rPr>
          <w:color w:val="auto"/>
          <w:lang w:val="en-US"/>
        </w:rPr>
      </w:pPr>
    </w:p>
    <w:p w14:paraId="6CD9D243">
      <w:pPr>
        <w:pStyle w:val="41"/>
        <w:rPr>
          <w:rFonts w:hAnsi="宋体"/>
          <w:color w:val="auto"/>
        </w:rPr>
      </w:pPr>
    </w:p>
    <w:p w14:paraId="2F18BE0C">
      <w:pPr>
        <w:rPr>
          <w:rFonts w:ascii="宋体" w:hAnsi="宋体" w:cs="宋体"/>
          <w:color w:val="auto"/>
        </w:rPr>
      </w:pPr>
    </w:p>
    <w:p w14:paraId="203D6DDF">
      <w:pPr>
        <w:pStyle w:val="9"/>
        <w:rPr>
          <w:color w:val="auto"/>
          <w:lang w:val="en-US"/>
        </w:rPr>
      </w:pPr>
    </w:p>
    <w:p w14:paraId="46E9FAAD">
      <w:pPr>
        <w:pStyle w:val="41"/>
        <w:rPr>
          <w:rFonts w:hAnsi="宋体"/>
          <w:color w:val="auto"/>
        </w:rPr>
      </w:pPr>
    </w:p>
    <w:p w14:paraId="53A8DEDB">
      <w:pPr>
        <w:rPr>
          <w:rFonts w:ascii="宋体" w:hAnsi="宋体" w:cs="宋体"/>
          <w:color w:val="auto"/>
        </w:rPr>
      </w:pPr>
    </w:p>
    <w:p w14:paraId="4DAEF9B5">
      <w:pPr>
        <w:pStyle w:val="9"/>
        <w:rPr>
          <w:color w:val="auto"/>
          <w:lang w:val="en-US"/>
        </w:rPr>
      </w:pPr>
    </w:p>
    <w:p w14:paraId="04F91346">
      <w:pPr>
        <w:pStyle w:val="41"/>
        <w:rPr>
          <w:rFonts w:hAnsi="宋体"/>
          <w:color w:val="auto"/>
        </w:rPr>
      </w:pPr>
    </w:p>
    <w:p w14:paraId="67BC1469">
      <w:pPr>
        <w:pStyle w:val="9"/>
        <w:spacing w:line="360" w:lineRule="auto"/>
        <w:ind w:left="63" w:right="63"/>
        <w:jc w:val="center"/>
        <w:rPr>
          <w:b/>
          <w:bCs/>
          <w:color w:val="auto"/>
          <w:sz w:val="32"/>
          <w:szCs w:val="32"/>
        </w:rPr>
      </w:pPr>
      <w:bookmarkStart w:id="41" w:name="_Toc28346"/>
      <w:r>
        <w:rPr>
          <w:rFonts w:hint="eastAsia"/>
          <w:b/>
          <w:bCs/>
          <w:color w:val="auto"/>
          <w:sz w:val="32"/>
          <w:szCs w:val="32"/>
          <w:lang w:val="en-US"/>
        </w:rPr>
        <w:t>（四）：河南省政府采购合同融资政策告知函</w:t>
      </w:r>
      <w:bookmarkEnd w:id="41"/>
    </w:p>
    <w:p w14:paraId="58EFAB7B">
      <w:pPr>
        <w:spacing w:line="360" w:lineRule="auto"/>
        <w:rPr>
          <w:rFonts w:ascii="宋体" w:hAnsi="宋体" w:cs="宋体"/>
          <w:color w:val="auto"/>
          <w:sz w:val="24"/>
          <w:szCs w:val="20"/>
          <w:lang w:bidi="ar"/>
        </w:rPr>
      </w:pPr>
      <w:r>
        <w:rPr>
          <w:rFonts w:hint="eastAsia" w:ascii="宋体" w:hAnsi="宋体" w:cs="宋体"/>
          <w:color w:val="auto"/>
          <w:sz w:val="24"/>
          <w:szCs w:val="20"/>
          <w:lang w:bidi="ar"/>
        </w:rPr>
        <w:t>各供应商：</w:t>
      </w:r>
    </w:p>
    <w:p w14:paraId="34E4178A">
      <w:pPr>
        <w:spacing w:line="360" w:lineRule="auto"/>
        <w:ind w:firstLine="600" w:firstLineChars="250"/>
        <w:rPr>
          <w:rFonts w:ascii="宋体" w:hAnsi="宋体" w:cs="宋体"/>
          <w:color w:val="auto"/>
          <w:sz w:val="24"/>
          <w:szCs w:val="20"/>
          <w:lang w:bidi="ar"/>
        </w:rPr>
      </w:pPr>
      <w:r>
        <w:rPr>
          <w:rFonts w:hint="eastAsia" w:ascii="宋体" w:hAnsi="宋体" w:cs="宋体"/>
          <w:color w:val="auto"/>
          <w:sz w:val="24"/>
          <w:szCs w:val="20"/>
          <w:lang w:bidi="ar"/>
        </w:rPr>
        <w:t>欢迎贵公司参与河南省政府采购活动！政府采购合同融资是河南省财政厅支持中小微企业发展，针对参与政府采购活动的供应商融资难、融资贵问题推出的一项融资政策。贵 公司若成为本次政府采购项目的中标成交供应商，可持政府采购合同向金融机构申请贷款， 无需抵押、担保，融资机构将根据《河南省政府采购合同融资工作实施方案》（豫财购［2017]10 号），按照双方自愿的原则提供便捷、优惠的贷款服务。</w:t>
      </w:r>
    </w:p>
    <w:p w14:paraId="7862B098">
      <w:pPr>
        <w:spacing w:line="360" w:lineRule="auto"/>
        <w:ind w:firstLine="600" w:firstLineChars="250"/>
        <w:rPr>
          <w:rFonts w:ascii="宋体" w:hAnsi="宋体" w:cs="宋体"/>
          <w:color w:val="auto"/>
          <w:sz w:val="24"/>
          <w:szCs w:val="20"/>
          <w:lang w:bidi="ar"/>
        </w:rPr>
      </w:pPr>
    </w:p>
    <w:p w14:paraId="6E2ACC7F">
      <w:pPr>
        <w:spacing w:line="360" w:lineRule="auto"/>
        <w:ind w:firstLine="600" w:firstLineChars="250"/>
        <w:rPr>
          <w:rFonts w:ascii="宋体" w:hAnsi="宋体" w:cs="宋体"/>
          <w:color w:val="auto"/>
          <w:sz w:val="24"/>
          <w:szCs w:val="20"/>
          <w:lang w:bidi="ar"/>
        </w:rPr>
      </w:pPr>
      <w:r>
        <w:rPr>
          <w:rFonts w:hint="eastAsia" w:ascii="宋体" w:hAnsi="宋体" w:cs="宋体"/>
          <w:color w:val="auto"/>
          <w:sz w:val="24"/>
          <w:szCs w:val="20"/>
          <w:lang w:bidi="ar"/>
        </w:rPr>
        <w:t>贷款渠道和提供贷款的金融机构，可在河南省政府采购网“河南省政府采购合同融资平台”查询联系。</w:t>
      </w:r>
    </w:p>
    <w:p w14:paraId="3C009C1B">
      <w:pPr>
        <w:spacing w:line="360" w:lineRule="auto"/>
        <w:rPr>
          <w:rFonts w:ascii="宋体" w:hAnsi="宋体"/>
          <w:color w:val="auto"/>
        </w:rPr>
      </w:pPr>
    </w:p>
    <w:p w14:paraId="58315A45">
      <w:pPr>
        <w:rPr>
          <w:color w:val="auto"/>
        </w:rPr>
      </w:pPr>
    </w:p>
    <w:p w14:paraId="4C048216">
      <w:pPr>
        <w:rPr>
          <w:color w:val="auto"/>
        </w:rPr>
      </w:pPr>
    </w:p>
    <w:p w14:paraId="6993B327">
      <w:pPr>
        <w:rPr>
          <w:color w:val="auto"/>
        </w:rPr>
      </w:pPr>
    </w:p>
    <w:p w14:paraId="583D78C2">
      <w:pPr>
        <w:rPr>
          <w:color w:val="auto"/>
        </w:rPr>
      </w:pPr>
    </w:p>
    <w:p w14:paraId="75F544DA">
      <w:pPr>
        <w:rPr>
          <w:color w:val="auto"/>
        </w:rPr>
      </w:pPr>
    </w:p>
    <w:p w14:paraId="12C0580B">
      <w:pPr>
        <w:rPr>
          <w:color w:val="auto"/>
        </w:rPr>
      </w:pPr>
    </w:p>
    <w:p w14:paraId="0A254E30">
      <w:pPr>
        <w:rPr>
          <w:color w:val="auto"/>
        </w:rPr>
      </w:pPr>
    </w:p>
    <w:p w14:paraId="49BE3151">
      <w:pPr>
        <w:rPr>
          <w:color w:val="auto"/>
        </w:rPr>
      </w:pPr>
    </w:p>
    <w:p w14:paraId="3B9F2ECB">
      <w:pPr>
        <w:rPr>
          <w:color w:val="auto"/>
        </w:rPr>
      </w:pPr>
    </w:p>
    <w:p w14:paraId="36A6B5C9">
      <w:pPr>
        <w:rPr>
          <w:color w:val="auto"/>
        </w:rPr>
      </w:pPr>
    </w:p>
    <w:p w14:paraId="39B26F3A">
      <w:pPr>
        <w:rPr>
          <w:color w:val="auto"/>
        </w:rPr>
      </w:pPr>
    </w:p>
    <w:p w14:paraId="500325B9">
      <w:pPr>
        <w:rPr>
          <w:color w:val="auto"/>
        </w:rPr>
      </w:pPr>
    </w:p>
    <w:p w14:paraId="2FFE0C0B">
      <w:pPr>
        <w:rPr>
          <w:color w:val="auto"/>
        </w:rPr>
      </w:pPr>
    </w:p>
    <w:p w14:paraId="69E6D1E2">
      <w:pPr>
        <w:rPr>
          <w:color w:val="auto"/>
        </w:rPr>
      </w:pPr>
    </w:p>
    <w:p w14:paraId="3E8C5BAB">
      <w:pPr>
        <w:rPr>
          <w:color w:val="auto"/>
        </w:rPr>
      </w:pPr>
    </w:p>
    <w:p w14:paraId="0B579BE3">
      <w:pPr>
        <w:rPr>
          <w:color w:val="auto"/>
        </w:rPr>
      </w:pPr>
    </w:p>
    <w:p w14:paraId="5A87394B">
      <w:pPr>
        <w:rPr>
          <w:color w:val="auto"/>
        </w:rPr>
      </w:pPr>
    </w:p>
    <w:p w14:paraId="7E9CC22B">
      <w:pPr>
        <w:rPr>
          <w:color w:val="auto"/>
        </w:rPr>
      </w:pPr>
    </w:p>
    <w:p w14:paraId="5EC6A603">
      <w:pPr>
        <w:rPr>
          <w:color w:val="auto"/>
        </w:rPr>
      </w:pPr>
    </w:p>
    <w:p w14:paraId="1356B394">
      <w:pPr>
        <w:rPr>
          <w:color w:val="auto"/>
        </w:rPr>
      </w:pPr>
    </w:p>
    <w:p w14:paraId="107F332D">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center"/>
        <w:textAlignment w:val="baseline"/>
        <w:rPr>
          <w:rFonts w:hint="eastAsia" w:ascii="宋体" w:hAnsi="宋体" w:eastAsia="宋体" w:cs="宋体"/>
          <w:color w:val="auto"/>
          <w:sz w:val="21"/>
          <w:szCs w:val="21"/>
        </w:rPr>
      </w:pPr>
      <w:r>
        <w:rPr>
          <w:rFonts w:hint="eastAsia" w:ascii="宋体" w:hAnsi="宋体" w:cs="宋体"/>
          <w:b/>
          <w:bCs/>
          <w:color w:val="auto"/>
          <w:spacing w:val="6"/>
          <w:sz w:val="31"/>
          <w:szCs w:val="31"/>
          <w:lang w:val="en-US" w:eastAsia="zh-CN"/>
        </w:rPr>
        <w:t>（五）</w:t>
      </w:r>
      <w:r>
        <w:rPr>
          <w:rFonts w:hint="eastAsia" w:ascii="宋体" w:hAnsi="宋体" w:eastAsia="宋体" w:cs="宋体"/>
          <w:b/>
          <w:bCs/>
          <w:color w:val="auto"/>
          <w:spacing w:val="6"/>
          <w:sz w:val="31"/>
          <w:szCs w:val="31"/>
          <w:lang w:val="en-US" w:eastAsia="zh-CN"/>
        </w:rPr>
        <w:t>、关于符合本国产品标准的声明函</w:t>
      </w:r>
    </w:p>
    <w:p w14:paraId="778BA43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2ADF530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color="auto" w:fill="FFFFFF"/>
          <w:vertAlign w:val="baseline"/>
        </w:rPr>
        <w:t>1.</w:t>
      </w:r>
      <w:r>
        <w:rPr>
          <w:rStyle w:val="32"/>
          <w:rFonts w:hint="eastAsia" w:ascii="宋体" w:hAnsi="宋体" w:eastAsia="宋体" w:cs="宋体"/>
          <w:i w:val="0"/>
          <w:iCs w:val="0"/>
          <w:caps w:val="0"/>
          <w:color w:val="auto"/>
          <w:spacing w:val="0"/>
          <w:sz w:val="21"/>
          <w:szCs w:val="21"/>
          <w:u w:val="single"/>
          <w:shd w:val="clear" w:color="auto" w:fill="FFFFFF"/>
          <w:vertAlign w:val="baseline"/>
        </w:rPr>
        <w:t>（产品名称1）</w:t>
      </w:r>
      <w:r>
        <w:rPr>
          <w:rStyle w:val="32"/>
          <w:rFonts w:hint="eastAsia" w:ascii="宋体" w:hAnsi="宋体" w:eastAsia="宋体" w:cs="宋体"/>
          <w:i w:val="0"/>
          <w:iCs w:val="0"/>
          <w:caps w:val="0"/>
          <w:color w:val="auto"/>
          <w:spacing w:val="0"/>
          <w:sz w:val="21"/>
          <w:szCs w:val="21"/>
          <w:u w:val="none"/>
          <w:shd w:val="clear" w:color="auto" w:fill="FFFFFF"/>
          <w:vertAlign w:val="baseline"/>
        </w:rPr>
        <w:t>1</w:t>
      </w:r>
      <w:r>
        <w:rPr>
          <w:rFonts w:hint="eastAsia" w:ascii="宋体" w:hAnsi="宋体" w:eastAsia="宋体" w:cs="宋体"/>
          <w:i w:val="0"/>
          <w:iCs w:val="0"/>
          <w:caps w:val="0"/>
          <w:color w:val="auto"/>
          <w:spacing w:val="0"/>
          <w:sz w:val="21"/>
          <w:szCs w:val="21"/>
          <w:u w:val="none"/>
          <w:shd w:val="clear" w:color="auto" w:fill="FFFFFF"/>
          <w:vertAlign w:val="baseline"/>
        </w:rPr>
        <w:t>，生产厂为</w:t>
      </w:r>
      <w:r>
        <w:rPr>
          <w:rStyle w:val="32"/>
          <w:rFonts w:hint="eastAsia" w:ascii="宋体" w:hAnsi="宋体" w:eastAsia="宋体" w:cs="宋体"/>
          <w:i w:val="0"/>
          <w:iCs w:val="0"/>
          <w:caps w:val="0"/>
          <w:color w:val="auto"/>
          <w:spacing w:val="0"/>
          <w:sz w:val="21"/>
          <w:szCs w:val="21"/>
          <w:u w:val="single"/>
          <w:shd w:val="clear" w:color="auto" w:fill="FFFFFF"/>
          <w:vertAlign w:val="baseline"/>
        </w:rPr>
        <w:t>（厂名）</w:t>
      </w:r>
      <w:r>
        <w:rPr>
          <w:rStyle w:val="32"/>
          <w:rFonts w:hint="eastAsia" w:ascii="宋体" w:hAnsi="宋体" w:eastAsia="宋体" w:cs="宋体"/>
          <w:i w:val="0"/>
          <w:iCs w:val="0"/>
          <w:caps w:val="0"/>
          <w:color w:val="auto"/>
          <w:spacing w:val="0"/>
          <w:sz w:val="21"/>
          <w:szCs w:val="21"/>
          <w:u w:val="none"/>
          <w:shd w:val="clear" w:color="auto" w:fill="FFFFFF"/>
          <w:vertAlign w:val="baseline"/>
        </w:rPr>
        <w:t>2</w:t>
      </w:r>
      <w:r>
        <w:rPr>
          <w:rFonts w:hint="eastAsia" w:ascii="宋体" w:hAnsi="宋体" w:eastAsia="宋体" w:cs="宋体"/>
          <w:i w:val="0"/>
          <w:iCs w:val="0"/>
          <w:caps w:val="0"/>
          <w:color w:val="auto"/>
          <w:spacing w:val="0"/>
          <w:sz w:val="21"/>
          <w:szCs w:val="21"/>
          <w:u w:val="none"/>
          <w:shd w:val="clear" w:color="auto" w:fill="FFFFFF"/>
          <w:vertAlign w:val="baseline"/>
        </w:rPr>
        <w:t>，厂址为</w:t>
      </w:r>
      <w:r>
        <w:rPr>
          <w:rStyle w:val="32"/>
          <w:rFonts w:hint="eastAsia" w:ascii="宋体" w:hAnsi="宋体" w:eastAsia="宋体" w:cs="宋体"/>
          <w:i w:val="0"/>
          <w:iCs w:val="0"/>
          <w:caps w:val="0"/>
          <w:color w:val="auto"/>
          <w:spacing w:val="0"/>
          <w:sz w:val="21"/>
          <w:szCs w:val="21"/>
          <w:u w:val="single"/>
          <w:shd w:val="clear" w:color="auto" w:fill="FFFFFF"/>
          <w:vertAlign w:val="baseline"/>
        </w:rPr>
        <w:t>（生产厂址）</w:t>
      </w:r>
      <w:r>
        <w:rPr>
          <w:rFonts w:hint="eastAsia" w:ascii="宋体" w:hAnsi="宋体" w:eastAsia="宋体" w:cs="宋体"/>
          <w:i w:val="0"/>
          <w:iCs w:val="0"/>
          <w:caps w:val="0"/>
          <w:color w:val="auto"/>
          <w:spacing w:val="0"/>
          <w:sz w:val="21"/>
          <w:szCs w:val="21"/>
          <w:u w:val="none"/>
          <w:shd w:val="clear" w:color="auto" w:fill="FFFFFF"/>
          <w:vertAlign w:val="baseline"/>
        </w:rPr>
        <w:t>。</w:t>
      </w:r>
      <w:r>
        <w:rPr>
          <w:rStyle w:val="32"/>
          <w:rFonts w:hint="eastAsia" w:ascii="宋体" w:hAnsi="宋体" w:eastAsia="宋体" w:cs="宋体"/>
          <w:i w:val="0"/>
          <w:iCs w:val="0"/>
          <w:caps w:val="0"/>
          <w:color w:val="auto"/>
          <w:spacing w:val="0"/>
          <w:sz w:val="21"/>
          <w:szCs w:val="21"/>
          <w:u w:val="single"/>
          <w:shd w:val="clear" w:color="auto" w:fill="FFFFFF"/>
          <w:vertAlign w:val="baseline"/>
        </w:rPr>
        <w:t>（产品名称1）</w:t>
      </w:r>
      <w:r>
        <w:rPr>
          <w:rFonts w:hint="eastAsia" w:ascii="宋体" w:hAnsi="宋体" w:eastAsia="宋体" w:cs="宋体"/>
          <w:i w:val="0"/>
          <w:iCs w:val="0"/>
          <w:caps w:val="0"/>
          <w:color w:val="auto"/>
          <w:spacing w:val="0"/>
          <w:sz w:val="21"/>
          <w:szCs w:val="21"/>
          <w:u w:val="none"/>
          <w:shd w:val="clear" w:color="auto" w:fill="FFFFFF"/>
          <w:vertAlign w:val="baseline"/>
        </w:rPr>
        <w:t>的中国境内生产的组件成本占比≥</w:t>
      </w:r>
      <w:r>
        <w:rPr>
          <w:rStyle w:val="32"/>
          <w:rFonts w:hint="eastAsia" w:ascii="宋体" w:hAnsi="宋体" w:eastAsia="宋体" w:cs="宋体"/>
          <w:i w:val="0"/>
          <w:iCs w:val="0"/>
          <w:caps w:val="0"/>
          <w:color w:val="auto"/>
          <w:spacing w:val="0"/>
          <w:sz w:val="21"/>
          <w:szCs w:val="21"/>
          <w:u w:val="single"/>
          <w:shd w:val="clear" w:color="auto" w:fill="FFFFFF"/>
          <w:vertAlign w:val="baseline"/>
        </w:rPr>
        <w:t>（规定比例）</w:t>
      </w:r>
      <w:r>
        <w:rPr>
          <w:rStyle w:val="32"/>
          <w:rFonts w:hint="eastAsia" w:ascii="宋体" w:hAnsi="宋体" w:eastAsia="宋体" w:cs="宋体"/>
          <w:i w:val="0"/>
          <w:iCs w:val="0"/>
          <w:caps w:val="0"/>
          <w:color w:val="auto"/>
          <w:spacing w:val="0"/>
          <w:sz w:val="21"/>
          <w:szCs w:val="21"/>
          <w:u w:val="none"/>
          <w:shd w:val="clear" w:color="auto" w:fill="FFFFFF"/>
          <w:vertAlign w:val="baseline"/>
        </w:rPr>
        <w:t>3</w:t>
      </w:r>
      <w:r>
        <w:rPr>
          <w:rFonts w:hint="eastAsia" w:ascii="宋体" w:hAnsi="宋体" w:eastAsia="宋体" w:cs="宋体"/>
          <w:i w:val="0"/>
          <w:iCs w:val="0"/>
          <w:caps w:val="0"/>
          <w:color w:val="auto"/>
          <w:spacing w:val="0"/>
          <w:sz w:val="21"/>
          <w:szCs w:val="21"/>
          <w:u w:val="none"/>
          <w:shd w:val="clear" w:color="auto" w:fill="FFFFFF"/>
          <w:vertAlign w:val="baseline"/>
        </w:rPr>
        <w:t>。</w:t>
      </w:r>
      <w:r>
        <w:rPr>
          <w:rStyle w:val="32"/>
          <w:rFonts w:hint="eastAsia" w:ascii="宋体" w:hAnsi="宋体" w:eastAsia="宋体" w:cs="宋体"/>
          <w:i w:val="0"/>
          <w:iCs w:val="0"/>
          <w:caps w:val="0"/>
          <w:color w:val="auto"/>
          <w:spacing w:val="0"/>
          <w:sz w:val="21"/>
          <w:szCs w:val="21"/>
          <w:u w:val="single"/>
          <w:shd w:val="clear" w:color="auto" w:fill="FFFFFF"/>
          <w:vertAlign w:val="baseline"/>
        </w:rPr>
        <w:t>（产品名称1）</w:t>
      </w:r>
      <w:r>
        <w:rPr>
          <w:rFonts w:hint="eastAsia" w:ascii="宋体" w:hAnsi="宋体" w:eastAsia="宋体" w:cs="宋体"/>
          <w:i w:val="0"/>
          <w:iCs w:val="0"/>
          <w:caps w:val="0"/>
          <w:color w:val="auto"/>
          <w:spacing w:val="0"/>
          <w:sz w:val="21"/>
          <w:szCs w:val="21"/>
          <w:u w:val="none"/>
          <w:shd w:val="clear" w:color="auto" w:fill="FFFFFF"/>
          <w:vertAlign w:val="baseline"/>
        </w:rPr>
        <w:t>的</w:t>
      </w:r>
      <w:r>
        <w:rPr>
          <w:rStyle w:val="32"/>
          <w:rFonts w:hint="eastAsia" w:ascii="宋体" w:hAnsi="宋体" w:eastAsia="宋体" w:cs="宋体"/>
          <w:i w:val="0"/>
          <w:iCs w:val="0"/>
          <w:caps w:val="0"/>
          <w:color w:val="auto"/>
          <w:spacing w:val="0"/>
          <w:sz w:val="21"/>
          <w:szCs w:val="21"/>
          <w:u w:val="single"/>
          <w:shd w:val="clear" w:color="auto" w:fill="FFFFFF"/>
          <w:vertAlign w:val="baseline"/>
        </w:rPr>
        <w:t>（关键组件）</w:t>
      </w:r>
      <w:r>
        <w:rPr>
          <w:rStyle w:val="32"/>
          <w:rFonts w:hint="eastAsia" w:ascii="宋体" w:hAnsi="宋体" w:eastAsia="宋体" w:cs="宋体"/>
          <w:i w:val="0"/>
          <w:iCs w:val="0"/>
          <w:caps w:val="0"/>
          <w:color w:val="auto"/>
          <w:spacing w:val="0"/>
          <w:sz w:val="21"/>
          <w:szCs w:val="21"/>
          <w:u w:val="none"/>
          <w:shd w:val="clear" w:color="auto" w:fill="FFFFFF"/>
          <w:vertAlign w:val="baseline"/>
        </w:rPr>
        <w:t>4</w:t>
      </w:r>
      <w:r>
        <w:rPr>
          <w:rFonts w:hint="eastAsia" w:ascii="宋体" w:hAnsi="宋体" w:eastAsia="宋体" w:cs="宋体"/>
          <w:i w:val="0"/>
          <w:iCs w:val="0"/>
          <w:caps w:val="0"/>
          <w:color w:val="auto"/>
          <w:spacing w:val="0"/>
          <w:sz w:val="21"/>
          <w:szCs w:val="21"/>
          <w:u w:val="none"/>
          <w:shd w:val="clear" w:color="auto" w:fill="FFFFFF"/>
          <w:vertAlign w:val="baseline"/>
        </w:rPr>
        <w:t>在中国境内生产。</w:t>
      </w:r>
      <w:r>
        <w:rPr>
          <w:rStyle w:val="32"/>
          <w:rFonts w:hint="eastAsia" w:ascii="宋体" w:hAnsi="宋体" w:eastAsia="宋体" w:cs="宋体"/>
          <w:i w:val="0"/>
          <w:iCs w:val="0"/>
          <w:caps w:val="0"/>
          <w:color w:val="auto"/>
          <w:spacing w:val="0"/>
          <w:sz w:val="21"/>
          <w:szCs w:val="21"/>
          <w:u w:val="single"/>
          <w:shd w:val="clear" w:color="auto" w:fill="FFFFFF"/>
          <w:vertAlign w:val="baseline"/>
        </w:rPr>
        <w:t>（产品名称1）</w:t>
      </w:r>
      <w:r>
        <w:rPr>
          <w:rFonts w:hint="eastAsia" w:ascii="宋体" w:hAnsi="宋体" w:eastAsia="宋体" w:cs="宋体"/>
          <w:i w:val="0"/>
          <w:iCs w:val="0"/>
          <w:caps w:val="0"/>
          <w:color w:val="auto"/>
          <w:spacing w:val="0"/>
          <w:sz w:val="21"/>
          <w:szCs w:val="21"/>
          <w:u w:val="none"/>
          <w:shd w:val="clear" w:color="auto" w:fill="FFFFFF"/>
          <w:vertAlign w:val="baseline"/>
        </w:rPr>
        <w:t>的</w:t>
      </w:r>
      <w:r>
        <w:rPr>
          <w:rStyle w:val="32"/>
          <w:rFonts w:hint="eastAsia" w:ascii="宋体" w:hAnsi="宋体" w:eastAsia="宋体" w:cs="宋体"/>
          <w:i w:val="0"/>
          <w:iCs w:val="0"/>
          <w:caps w:val="0"/>
          <w:color w:val="auto"/>
          <w:spacing w:val="0"/>
          <w:sz w:val="21"/>
          <w:szCs w:val="21"/>
          <w:u w:val="single"/>
          <w:shd w:val="clear" w:color="auto" w:fill="FFFFFF"/>
          <w:vertAlign w:val="baseline"/>
        </w:rPr>
        <w:t>（关键工序）</w:t>
      </w:r>
      <w:r>
        <w:rPr>
          <w:rStyle w:val="32"/>
          <w:rFonts w:hint="eastAsia" w:ascii="宋体" w:hAnsi="宋体" w:eastAsia="宋体" w:cs="宋体"/>
          <w:i w:val="0"/>
          <w:iCs w:val="0"/>
          <w:caps w:val="0"/>
          <w:color w:val="auto"/>
          <w:spacing w:val="0"/>
          <w:sz w:val="21"/>
          <w:szCs w:val="21"/>
          <w:u w:val="none"/>
          <w:shd w:val="clear" w:color="auto" w:fill="FFFFFF"/>
          <w:vertAlign w:val="baseline"/>
        </w:rPr>
        <w:t>5</w:t>
      </w:r>
      <w:r>
        <w:rPr>
          <w:rFonts w:hint="eastAsia" w:ascii="宋体" w:hAnsi="宋体" w:eastAsia="宋体" w:cs="宋体"/>
          <w:i w:val="0"/>
          <w:iCs w:val="0"/>
          <w:caps w:val="0"/>
          <w:color w:val="auto"/>
          <w:spacing w:val="0"/>
          <w:sz w:val="21"/>
          <w:szCs w:val="21"/>
          <w:u w:val="none"/>
          <w:shd w:val="clear" w:color="auto" w:fill="FFFFFF"/>
          <w:vertAlign w:val="baseline"/>
        </w:rPr>
        <w:t>在中国境内完成。</w:t>
      </w:r>
    </w:p>
    <w:p w14:paraId="27C7E0CC">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color="auto" w:fill="FFFFFF"/>
          <w:vertAlign w:val="baseline"/>
        </w:rPr>
        <w:t>2.</w:t>
      </w:r>
      <w:r>
        <w:rPr>
          <w:rStyle w:val="32"/>
          <w:rFonts w:hint="eastAsia" w:ascii="宋体" w:hAnsi="宋体" w:eastAsia="宋体" w:cs="宋体"/>
          <w:i w:val="0"/>
          <w:iCs w:val="0"/>
          <w:caps w:val="0"/>
          <w:color w:val="auto"/>
          <w:spacing w:val="0"/>
          <w:sz w:val="21"/>
          <w:szCs w:val="21"/>
          <w:u w:val="single"/>
          <w:shd w:val="clear" w:color="auto" w:fill="FFFFFF"/>
          <w:vertAlign w:val="baseline"/>
        </w:rPr>
        <w:t>（产品名称2）</w:t>
      </w:r>
      <w:r>
        <w:rPr>
          <w:rFonts w:hint="eastAsia" w:ascii="宋体" w:hAnsi="宋体" w:eastAsia="宋体" w:cs="宋体"/>
          <w:i w:val="0"/>
          <w:iCs w:val="0"/>
          <w:caps w:val="0"/>
          <w:color w:val="auto"/>
          <w:spacing w:val="0"/>
          <w:sz w:val="21"/>
          <w:szCs w:val="21"/>
          <w:u w:val="none"/>
          <w:shd w:val="clear" w:color="auto" w:fill="FFFFFF"/>
          <w:vertAlign w:val="baseline"/>
        </w:rPr>
        <w:t>，生产厂为</w:t>
      </w:r>
      <w:r>
        <w:rPr>
          <w:rStyle w:val="32"/>
          <w:rFonts w:hint="eastAsia" w:ascii="宋体" w:hAnsi="宋体" w:eastAsia="宋体" w:cs="宋体"/>
          <w:i w:val="0"/>
          <w:iCs w:val="0"/>
          <w:caps w:val="0"/>
          <w:color w:val="auto"/>
          <w:spacing w:val="0"/>
          <w:sz w:val="21"/>
          <w:szCs w:val="21"/>
          <w:u w:val="single"/>
          <w:shd w:val="clear" w:color="auto" w:fill="FFFFFF"/>
          <w:vertAlign w:val="baseline"/>
        </w:rPr>
        <w:t>（厂名）</w:t>
      </w:r>
      <w:r>
        <w:rPr>
          <w:rFonts w:hint="eastAsia" w:ascii="宋体" w:hAnsi="宋体" w:eastAsia="宋体" w:cs="宋体"/>
          <w:i w:val="0"/>
          <w:iCs w:val="0"/>
          <w:caps w:val="0"/>
          <w:color w:val="auto"/>
          <w:spacing w:val="0"/>
          <w:sz w:val="21"/>
          <w:szCs w:val="21"/>
          <w:u w:val="none"/>
          <w:shd w:val="clear" w:color="auto" w:fill="FFFFFF"/>
          <w:vertAlign w:val="baseline"/>
        </w:rPr>
        <w:t>，厂址为</w:t>
      </w:r>
      <w:r>
        <w:rPr>
          <w:rStyle w:val="32"/>
          <w:rFonts w:hint="eastAsia" w:ascii="宋体" w:hAnsi="宋体" w:eastAsia="宋体" w:cs="宋体"/>
          <w:i w:val="0"/>
          <w:iCs w:val="0"/>
          <w:caps w:val="0"/>
          <w:color w:val="auto"/>
          <w:spacing w:val="0"/>
          <w:sz w:val="21"/>
          <w:szCs w:val="21"/>
          <w:u w:val="single"/>
          <w:shd w:val="clear" w:color="auto" w:fill="FFFFFF"/>
          <w:vertAlign w:val="baseline"/>
        </w:rPr>
        <w:t>（生产厂址）</w:t>
      </w:r>
      <w:r>
        <w:rPr>
          <w:rFonts w:hint="eastAsia" w:ascii="宋体" w:hAnsi="宋体" w:eastAsia="宋体" w:cs="宋体"/>
          <w:i w:val="0"/>
          <w:iCs w:val="0"/>
          <w:caps w:val="0"/>
          <w:color w:val="auto"/>
          <w:spacing w:val="0"/>
          <w:sz w:val="21"/>
          <w:szCs w:val="21"/>
          <w:u w:val="none"/>
          <w:shd w:val="clear" w:color="auto" w:fill="FFFFFF"/>
          <w:vertAlign w:val="baseline"/>
        </w:rPr>
        <w:t>。</w:t>
      </w:r>
      <w:r>
        <w:rPr>
          <w:rStyle w:val="32"/>
          <w:rFonts w:hint="eastAsia" w:ascii="宋体" w:hAnsi="宋体" w:eastAsia="宋体" w:cs="宋体"/>
          <w:i w:val="0"/>
          <w:iCs w:val="0"/>
          <w:caps w:val="0"/>
          <w:color w:val="auto"/>
          <w:spacing w:val="0"/>
          <w:sz w:val="21"/>
          <w:szCs w:val="21"/>
          <w:u w:val="single"/>
          <w:shd w:val="clear" w:color="auto" w:fill="FFFFFF"/>
          <w:vertAlign w:val="baseline"/>
        </w:rPr>
        <w:t>（产品名称2）</w:t>
      </w:r>
      <w:r>
        <w:rPr>
          <w:rFonts w:hint="eastAsia" w:ascii="宋体" w:hAnsi="宋体" w:eastAsia="宋体" w:cs="宋体"/>
          <w:i w:val="0"/>
          <w:iCs w:val="0"/>
          <w:caps w:val="0"/>
          <w:color w:val="auto"/>
          <w:spacing w:val="0"/>
          <w:sz w:val="21"/>
          <w:szCs w:val="21"/>
          <w:u w:val="none"/>
          <w:shd w:val="clear" w:color="auto" w:fill="FFFFFF"/>
          <w:vertAlign w:val="baseline"/>
        </w:rPr>
        <w:t>的中国境内生产的组件成本占比≥</w:t>
      </w:r>
      <w:r>
        <w:rPr>
          <w:rStyle w:val="32"/>
          <w:rFonts w:hint="eastAsia" w:ascii="宋体" w:hAnsi="宋体" w:eastAsia="宋体" w:cs="宋体"/>
          <w:i w:val="0"/>
          <w:iCs w:val="0"/>
          <w:caps w:val="0"/>
          <w:color w:val="auto"/>
          <w:spacing w:val="0"/>
          <w:sz w:val="21"/>
          <w:szCs w:val="21"/>
          <w:u w:val="single"/>
          <w:shd w:val="clear" w:color="auto" w:fill="FFFFFF"/>
          <w:vertAlign w:val="baseline"/>
        </w:rPr>
        <w:t>（规定比例）</w:t>
      </w:r>
      <w:r>
        <w:rPr>
          <w:rFonts w:hint="eastAsia" w:ascii="宋体" w:hAnsi="宋体" w:eastAsia="宋体" w:cs="宋体"/>
          <w:i w:val="0"/>
          <w:iCs w:val="0"/>
          <w:caps w:val="0"/>
          <w:color w:val="auto"/>
          <w:spacing w:val="0"/>
          <w:sz w:val="21"/>
          <w:szCs w:val="21"/>
          <w:u w:val="none"/>
          <w:shd w:val="clear" w:color="auto" w:fill="FFFFFF"/>
          <w:vertAlign w:val="baseline"/>
        </w:rPr>
        <w:t>。</w:t>
      </w:r>
      <w:r>
        <w:rPr>
          <w:rStyle w:val="32"/>
          <w:rFonts w:hint="eastAsia" w:ascii="宋体" w:hAnsi="宋体" w:eastAsia="宋体" w:cs="宋体"/>
          <w:i w:val="0"/>
          <w:iCs w:val="0"/>
          <w:caps w:val="0"/>
          <w:color w:val="auto"/>
          <w:spacing w:val="0"/>
          <w:sz w:val="21"/>
          <w:szCs w:val="21"/>
          <w:u w:val="single"/>
          <w:shd w:val="clear" w:color="auto" w:fill="FFFFFF"/>
          <w:vertAlign w:val="baseline"/>
        </w:rPr>
        <w:t>（产品名称2）</w:t>
      </w:r>
      <w:r>
        <w:rPr>
          <w:rFonts w:hint="eastAsia" w:ascii="宋体" w:hAnsi="宋体" w:eastAsia="宋体" w:cs="宋体"/>
          <w:i w:val="0"/>
          <w:iCs w:val="0"/>
          <w:caps w:val="0"/>
          <w:color w:val="auto"/>
          <w:spacing w:val="0"/>
          <w:sz w:val="21"/>
          <w:szCs w:val="21"/>
          <w:u w:val="none"/>
          <w:shd w:val="clear" w:color="auto" w:fill="FFFFFF"/>
          <w:vertAlign w:val="baseline"/>
        </w:rPr>
        <w:t>的</w:t>
      </w:r>
      <w:r>
        <w:rPr>
          <w:rStyle w:val="32"/>
          <w:rFonts w:hint="eastAsia" w:ascii="宋体" w:hAnsi="宋体" w:eastAsia="宋体" w:cs="宋体"/>
          <w:i w:val="0"/>
          <w:iCs w:val="0"/>
          <w:caps w:val="0"/>
          <w:color w:val="auto"/>
          <w:spacing w:val="0"/>
          <w:sz w:val="21"/>
          <w:szCs w:val="21"/>
          <w:u w:val="single"/>
          <w:shd w:val="clear" w:color="auto" w:fill="FFFFFF"/>
          <w:vertAlign w:val="baseline"/>
        </w:rPr>
        <w:t>（关键组件）</w:t>
      </w:r>
      <w:r>
        <w:rPr>
          <w:rFonts w:hint="eastAsia" w:ascii="宋体" w:hAnsi="宋体" w:eastAsia="宋体" w:cs="宋体"/>
          <w:i w:val="0"/>
          <w:iCs w:val="0"/>
          <w:caps w:val="0"/>
          <w:color w:val="auto"/>
          <w:spacing w:val="0"/>
          <w:sz w:val="21"/>
          <w:szCs w:val="21"/>
          <w:u w:val="none"/>
          <w:shd w:val="clear" w:color="auto" w:fill="FFFFFF"/>
          <w:vertAlign w:val="baseline"/>
        </w:rPr>
        <w:t>在中国境内生产。</w:t>
      </w:r>
      <w:r>
        <w:rPr>
          <w:rStyle w:val="32"/>
          <w:rFonts w:hint="eastAsia" w:ascii="宋体" w:hAnsi="宋体" w:eastAsia="宋体" w:cs="宋体"/>
          <w:i w:val="0"/>
          <w:iCs w:val="0"/>
          <w:caps w:val="0"/>
          <w:color w:val="auto"/>
          <w:spacing w:val="0"/>
          <w:sz w:val="21"/>
          <w:szCs w:val="21"/>
          <w:u w:val="single"/>
          <w:shd w:val="clear" w:color="auto" w:fill="FFFFFF"/>
          <w:vertAlign w:val="baseline"/>
        </w:rPr>
        <w:t>（产品名称2）</w:t>
      </w:r>
      <w:r>
        <w:rPr>
          <w:rFonts w:hint="eastAsia" w:ascii="宋体" w:hAnsi="宋体" w:eastAsia="宋体" w:cs="宋体"/>
          <w:i w:val="0"/>
          <w:iCs w:val="0"/>
          <w:caps w:val="0"/>
          <w:color w:val="auto"/>
          <w:spacing w:val="0"/>
          <w:sz w:val="21"/>
          <w:szCs w:val="21"/>
          <w:u w:val="none"/>
          <w:shd w:val="clear" w:color="auto" w:fill="FFFFFF"/>
          <w:vertAlign w:val="baseline"/>
        </w:rPr>
        <w:t>的</w:t>
      </w:r>
      <w:r>
        <w:rPr>
          <w:rStyle w:val="32"/>
          <w:rFonts w:hint="eastAsia" w:ascii="宋体" w:hAnsi="宋体" w:eastAsia="宋体" w:cs="宋体"/>
          <w:i w:val="0"/>
          <w:iCs w:val="0"/>
          <w:caps w:val="0"/>
          <w:color w:val="auto"/>
          <w:spacing w:val="0"/>
          <w:sz w:val="21"/>
          <w:szCs w:val="21"/>
          <w:u w:val="single"/>
          <w:shd w:val="clear" w:color="auto" w:fill="FFFFFF"/>
          <w:vertAlign w:val="baseline"/>
        </w:rPr>
        <w:t>（关键工序）</w:t>
      </w:r>
      <w:r>
        <w:rPr>
          <w:rFonts w:hint="eastAsia" w:ascii="宋体" w:hAnsi="宋体" w:eastAsia="宋体" w:cs="宋体"/>
          <w:i w:val="0"/>
          <w:iCs w:val="0"/>
          <w:caps w:val="0"/>
          <w:color w:val="auto"/>
          <w:spacing w:val="0"/>
          <w:sz w:val="21"/>
          <w:szCs w:val="21"/>
          <w:u w:val="none"/>
          <w:shd w:val="clear" w:color="auto" w:fill="FFFFFF"/>
          <w:vertAlign w:val="baseline"/>
        </w:rPr>
        <w:t>在中国境内完成。</w:t>
      </w:r>
    </w:p>
    <w:p w14:paraId="2A86CC03">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color="auto" w:fill="FFFFFF"/>
          <w:vertAlign w:val="baseline"/>
        </w:rPr>
        <w:t>……</w:t>
      </w:r>
    </w:p>
    <w:p w14:paraId="7B7BEDCA">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color="auto" w:fill="FFFFFF"/>
          <w:vertAlign w:val="baseline"/>
        </w:rPr>
        <w:t>本公司（单位）对上述声明内容的真实性负责。如有虚假，愿承担相应法律责任。</w:t>
      </w:r>
    </w:p>
    <w:p w14:paraId="4B4C8113">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color="auto" w:fill="FFFFFF"/>
          <w:vertAlign w:val="baseline"/>
        </w:rPr>
        <w:t>公司（单位）名称（盖章）：　        </w:t>
      </w:r>
    </w:p>
    <w:p w14:paraId="310AFCF0">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1"/>
          <w:szCs w:val="21"/>
          <w:u w:val="none"/>
          <w:shd w:val="clear" w:color="auto" w:fill="FFFFFF"/>
          <w:vertAlign w:val="baseline"/>
        </w:rPr>
        <w:t>日期：　     年　  月　  日       </w:t>
      </w:r>
      <w:r>
        <w:rPr>
          <w:rFonts w:hint="eastAsia" w:ascii="宋体" w:hAnsi="宋体" w:eastAsia="宋体" w:cs="宋体"/>
          <w:i w:val="0"/>
          <w:iCs w:val="0"/>
          <w:caps w:val="0"/>
          <w:color w:val="auto"/>
          <w:spacing w:val="0"/>
          <w:sz w:val="28"/>
          <w:szCs w:val="28"/>
          <w:u w:val="none"/>
          <w:shd w:val="clear" w:color="auto" w:fill="FFFFFF"/>
          <w:vertAlign w:val="baseline"/>
        </w:rPr>
        <w:t>  </w:t>
      </w:r>
    </w:p>
    <w:p w14:paraId="14C75133">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textAlignment w:val="baseline"/>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u w:val="none"/>
          <w:shd w:val="clear" w:color="auto" w:fill="FFFFFF"/>
          <w:vertAlign w:val="baseline"/>
        </w:rPr>
        <w:t>__________________</w:t>
      </w:r>
    </w:p>
    <w:p w14:paraId="134AA44B">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color="auto" w:fill="FFFFFF"/>
          <w:vertAlign w:val="baseline"/>
        </w:rPr>
        <w:t>1.产品如有型号，请在“产品名称”栏一并填写。</w:t>
      </w:r>
    </w:p>
    <w:p w14:paraId="4586D09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color="auto" w:fill="FFFFFF"/>
          <w:vertAlign w:val="baseline"/>
        </w:rPr>
        <w:t>2.生产厂名与厂址应与生产厂营业执照载明的相关信息保持一致。</w:t>
      </w:r>
    </w:p>
    <w:p w14:paraId="4BEB43CF">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color="auto" w:fill="FFFFFF"/>
          <w:vertAlign w:val="baseline"/>
        </w:rPr>
        <w:t>3.该产品的中国境内生产的组件成本占比相关要求实施前，“规定比例”栏可不填，下同。</w:t>
      </w:r>
    </w:p>
    <w:p w14:paraId="4C0AC433">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color="auto" w:fill="FFFFFF"/>
          <w:vertAlign w:val="baseline"/>
        </w:rPr>
        <w:t>4.该产品的关键组件要求实施前，“关键组件”栏可不填，下同。</w:t>
      </w:r>
    </w:p>
    <w:p w14:paraId="1B973C87">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color="auto" w:fill="FFFFFF"/>
          <w:vertAlign w:val="baseline"/>
        </w:rPr>
        <w:t>5.该产品的关键工序要求实施前，“关键工序”栏可不填，下同。</w:t>
      </w:r>
    </w:p>
    <w:p w14:paraId="7A03B2CD">
      <w:pPr>
        <w:rPr>
          <w:color w:val="auto"/>
        </w:rPr>
      </w:pPr>
    </w:p>
    <w:p w14:paraId="298EF93A">
      <w:pPr>
        <w:keepNext/>
        <w:keepLines/>
        <w:spacing w:before="260" w:after="260" w:line="412" w:lineRule="auto"/>
        <w:jc w:val="center"/>
        <w:outlineLvl w:val="2"/>
        <w:rPr>
          <w:rFonts w:ascii="宋体" w:hAnsi="宋体"/>
          <w:b/>
          <w:bCs/>
          <w:color w:val="auto"/>
          <w:kern w:val="0"/>
          <w:sz w:val="32"/>
          <w:szCs w:val="32"/>
          <w:highlight w:val="none"/>
        </w:rPr>
      </w:pPr>
      <w:bookmarkStart w:id="42" w:name="_Toc137818588"/>
      <w:r>
        <w:rPr>
          <w:rFonts w:hint="eastAsia" w:ascii="宋体" w:hAnsi="宋体"/>
          <w:b/>
          <w:bCs/>
          <w:color w:val="auto"/>
          <w:kern w:val="0"/>
          <w:sz w:val="32"/>
          <w:szCs w:val="32"/>
          <w:highlight w:val="none"/>
          <w:lang w:eastAsia="zh-CN"/>
        </w:rPr>
        <w:t>（六）</w:t>
      </w:r>
      <w:r>
        <w:rPr>
          <w:rFonts w:hint="eastAsia" w:ascii="宋体" w:hAnsi="宋体"/>
          <w:b/>
          <w:bCs/>
          <w:color w:val="auto"/>
          <w:kern w:val="0"/>
          <w:sz w:val="32"/>
          <w:szCs w:val="32"/>
          <w:highlight w:val="none"/>
        </w:rPr>
        <w:t>关于印发中小企业划型标准规定的通知</w:t>
      </w:r>
      <w:bookmarkEnd w:id="42"/>
    </w:p>
    <w:p w14:paraId="75D88E00">
      <w:pPr>
        <w:spacing w:line="360" w:lineRule="auto"/>
        <w:jc w:val="center"/>
        <w:rPr>
          <w:rFonts w:ascii="宋体" w:hAnsi="宋体"/>
          <w:color w:val="auto"/>
          <w:szCs w:val="21"/>
          <w:highlight w:val="none"/>
        </w:rPr>
      </w:pPr>
      <w:r>
        <w:rPr>
          <w:rFonts w:ascii="宋体" w:hAnsi="宋体"/>
          <w:color w:val="auto"/>
          <w:szCs w:val="21"/>
          <w:highlight w:val="none"/>
        </w:rPr>
        <w:t>关于印发中小企业划型标准规定的通知</w:t>
      </w:r>
    </w:p>
    <w:p w14:paraId="04180472">
      <w:pPr>
        <w:spacing w:line="360" w:lineRule="auto"/>
        <w:ind w:firstLine="315" w:firstLineChars="150"/>
        <w:jc w:val="center"/>
        <w:rPr>
          <w:rFonts w:ascii="宋体" w:hAnsi="宋体"/>
          <w:color w:val="auto"/>
          <w:szCs w:val="21"/>
          <w:highlight w:val="none"/>
        </w:rPr>
      </w:pPr>
      <w:r>
        <w:rPr>
          <w:rFonts w:ascii="宋体" w:hAnsi="宋体"/>
          <w:color w:val="auto"/>
          <w:szCs w:val="21"/>
          <w:highlight w:val="none"/>
        </w:rPr>
        <w:t>工信部联企业[2011]300号</w:t>
      </w:r>
    </w:p>
    <w:p w14:paraId="2AC734D4">
      <w:pPr>
        <w:spacing w:line="360" w:lineRule="auto"/>
        <w:ind w:firstLine="315" w:firstLineChars="150"/>
        <w:rPr>
          <w:rFonts w:ascii="宋体" w:hAnsi="宋体"/>
          <w:color w:val="auto"/>
          <w:szCs w:val="21"/>
          <w:highlight w:val="none"/>
        </w:rPr>
      </w:pPr>
      <w:r>
        <w:rPr>
          <w:rFonts w:ascii="宋体" w:hAnsi="宋体"/>
          <w:color w:val="auto"/>
          <w:szCs w:val="21"/>
          <w:highlight w:val="none"/>
        </w:rPr>
        <w:t>各省、自治区、直辖市人民政府，国务院各部委、各直属机构及有关单位：</w:t>
      </w:r>
    </w:p>
    <w:p w14:paraId="47C263EF">
      <w:pPr>
        <w:spacing w:line="360" w:lineRule="auto"/>
        <w:ind w:firstLine="315" w:firstLineChars="150"/>
        <w:rPr>
          <w:rFonts w:ascii="宋体" w:hAnsi="宋体"/>
          <w:color w:val="auto"/>
          <w:szCs w:val="21"/>
          <w:highlight w:val="none"/>
        </w:rPr>
      </w:pPr>
      <w:r>
        <w:rPr>
          <w:rFonts w:ascii="宋体" w:hAnsi="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C923608">
      <w:pPr>
        <w:spacing w:line="360" w:lineRule="auto"/>
        <w:ind w:firstLine="315" w:firstLineChars="150"/>
        <w:rPr>
          <w:rFonts w:ascii="宋体" w:hAnsi="宋体"/>
          <w:color w:val="auto"/>
          <w:szCs w:val="21"/>
          <w:highlight w:val="none"/>
        </w:rPr>
      </w:pPr>
      <w:r>
        <w:rPr>
          <w:rFonts w:ascii="宋体" w:hAnsi="宋体"/>
          <w:color w:val="auto"/>
          <w:szCs w:val="21"/>
          <w:highlight w:val="none"/>
        </w:rPr>
        <w:t>　　　　　　　　　　　　　　　　　　　　　　 工业和信息化部　国家统计局</w:t>
      </w:r>
    </w:p>
    <w:p w14:paraId="671FE2E9">
      <w:pPr>
        <w:spacing w:line="360" w:lineRule="auto"/>
        <w:ind w:firstLine="315" w:firstLineChars="150"/>
        <w:rPr>
          <w:rFonts w:ascii="宋体" w:hAnsi="宋体"/>
          <w:color w:val="auto"/>
          <w:szCs w:val="21"/>
          <w:highlight w:val="none"/>
        </w:rPr>
      </w:pPr>
      <w:r>
        <w:rPr>
          <w:rFonts w:ascii="宋体" w:hAnsi="宋体"/>
          <w:color w:val="auto"/>
          <w:szCs w:val="21"/>
          <w:highlight w:val="none"/>
        </w:rPr>
        <w:t>　　　　　　　　　　　　　　　　　　　　　　国家发展和改革委员会　财政部</w:t>
      </w:r>
    </w:p>
    <w:p w14:paraId="2DBBBB24">
      <w:pPr>
        <w:spacing w:line="360" w:lineRule="auto"/>
        <w:ind w:firstLine="315" w:firstLineChars="150"/>
        <w:rPr>
          <w:rFonts w:ascii="宋体" w:hAnsi="宋体"/>
          <w:color w:val="auto"/>
          <w:szCs w:val="21"/>
          <w:highlight w:val="none"/>
        </w:rPr>
      </w:pPr>
      <w:r>
        <w:rPr>
          <w:rFonts w:ascii="宋体" w:hAnsi="宋体"/>
          <w:color w:val="auto"/>
          <w:szCs w:val="21"/>
          <w:highlight w:val="none"/>
        </w:rPr>
        <w:t>　　　　　　　　　　　　　　　　　　　　　　　　二〇一一年六月十八日</w:t>
      </w:r>
    </w:p>
    <w:p w14:paraId="6CCD95F5">
      <w:pPr>
        <w:spacing w:line="360" w:lineRule="auto"/>
        <w:ind w:firstLine="315" w:firstLineChars="150"/>
        <w:rPr>
          <w:rFonts w:ascii="宋体" w:hAnsi="宋体"/>
          <w:color w:val="auto"/>
          <w:szCs w:val="21"/>
          <w:highlight w:val="none"/>
        </w:rPr>
      </w:pPr>
    </w:p>
    <w:p w14:paraId="281A4967">
      <w:pPr>
        <w:spacing w:line="360" w:lineRule="auto"/>
        <w:jc w:val="center"/>
        <w:rPr>
          <w:rFonts w:ascii="宋体" w:hAnsi="宋体"/>
          <w:color w:val="auto"/>
          <w:szCs w:val="21"/>
          <w:highlight w:val="none"/>
        </w:rPr>
      </w:pPr>
      <w:r>
        <w:rPr>
          <w:rFonts w:ascii="宋体" w:hAnsi="宋体"/>
          <w:color w:val="auto"/>
          <w:szCs w:val="21"/>
          <w:highlight w:val="none"/>
        </w:rPr>
        <w:t>中小企业划型标准规定</w:t>
      </w:r>
    </w:p>
    <w:p w14:paraId="54B0F7C5">
      <w:pPr>
        <w:spacing w:line="360" w:lineRule="auto"/>
        <w:ind w:firstLine="315" w:firstLineChars="150"/>
        <w:rPr>
          <w:rFonts w:ascii="宋体" w:hAnsi="宋体"/>
          <w:color w:val="auto"/>
          <w:szCs w:val="21"/>
          <w:highlight w:val="none"/>
        </w:rPr>
      </w:pPr>
      <w:r>
        <w:rPr>
          <w:rFonts w:ascii="宋体" w:hAnsi="宋体"/>
          <w:color w:val="auto"/>
          <w:szCs w:val="21"/>
          <w:highlight w:val="none"/>
        </w:rPr>
        <w:t>　一、根据《中华人民共和国中小企业促进法》和《国务院关于进一步促进中小企业发展的若干意见》(国发〔2009〕36号)，制定本规定。</w:t>
      </w:r>
    </w:p>
    <w:p w14:paraId="7785DE11">
      <w:pPr>
        <w:spacing w:line="360" w:lineRule="auto"/>
        <w:ind w:firstLine="315" w:firstLineChars="150"/>
        <w:rPr>
          <w:rFonts w:ascii="宋体" w:hAnsi="宋体"/>
          <w:color w:val="auto"/>
          <w:szCs w:val="21"/>
          <w:highlight w:val="none"/>
        </w:rPr>
      </w:pPr>
      <w:r>
        <w:rPr>
          <w:rFonts w:ascii="宋体" w:hAnsi="宋体"/>
          <w:color w:val="auto"/>
          <w:szCs w:val="21"/>
          <w:highlight w:val="none"/>
        </w:rPr>
        <w:t>　二、中小企业划分为中型、小型、微型三种类型，具体标准根据企业从业人员、营业收入、资产总额等指标，结合行业特点制定。</w:t>
      </w:r>
    </w:p>
    <w:p w14:paraId="7DD569B1">
      <w:pPr>
        <w:spacing w:line="360" w:lineRule="auto"/>
        <w:ind w:firstLine="315" w:firstLineChars="150"/>
        <w:rPr>
          <w:rFonts w:ascii="宋体" w:hAnsi="宋体"/>
          <w:color w:val="auto"/>
          <w:szCs w:val="21"/>
          <w:highlight w:val="none"/>
        </w:rPr>
      </w:pPr>
      <w:r>
        <w:rPr>
          <w:rFonts w:ascii="宋体" w:hAnsi="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30C73E9">
      <w:pPr>
        <w:spacing w:line="360" w:lineRule="auto"/>
        <w:ind w:firstLine="315" w:firstLineChars="150"/>
        <w:rPr>
          <w:rFonts w:ascii="宋体" w:hAnsi="宋体"/>
          <w:color w:val="auto"/>
          <w:szCs w:val="21"/>
          <w:highlight w:val="none"/>
        </w:rPr>
      </w:pPr>
      <w:r>
        <w:rPr>
          <w:rFonts w:ascii="宋体" w:hAnsi="宋体"/>
          <w:color w:val="auto"/>
          <w:szCs w:val="21"/>
          <w:highlight w:val="none"/>
        </w:rPr>
        <w:t>　四、各行业划型标准为：</w:t>
      </w:r>
    </w:p>
    <w:p w14:paraId="4F43D50C">
      <w:pPr>
        <w:spacing w:line="360" w:lineRule="auto"/>
        <w:ind w:firstLine="315" w:firstLineChars="150"/>
        <w:rPr>
          <w:rFonts w:ascii="宋体" w:hAnsi="宋体"/>
          <w:color w:val="auto"/>
          <w:szCs w:val="21"/>
          <w:highlight w:val="none"/>
        </w:rPr>
      </w:pPr>
      <w:r>
        <w:rPr>
          <w:rFonts w:ascii="宋体" w:hAnsi="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6200908A">
      <w:pPr>
        <w:spacing w:line="360" w:lineRule="auto"/>
        <w:ind w:firstLine="315" w:firstLineChars="150"/>
        <w:rPr>
          <w:rFonts w:ascii="宋体" w:hAnsi="宋体"/>
          <w:color w:val="auto"/>
          <w:szCs w:val="21"/>
          <w:highlight w:val="none"/>
        </w:rPr>
      </w:pPr>
      <w:r>
        <w:rPr>
          <w:rFonts w:ascii="宋体" w:hAnsi="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96CC37">
      <w:pPr>
        <w:spacing w:line="360" w:lineRule="auto"/>
        <w:ind w:firstLine="315" w:firstLineChars="150"/>
        <w:rPr>
          <w:rFonts w:ascii="宋体" w:hAnsi="宋体"/>
          <w:color w:val="auto"/>
          <w:szCs w:val="21"/>
          <w:highlight w:val="none"/>
        </w:rPr>
      </w:pPr>
      <w:r>
        <w:rPr>
          <w:rFonts w:ascii="宋体" w:hAnsi="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D06BC4D">
      <w:pPr>
        <w:spacing w:line="360" w:lineRule="auto"/>
        <w:ind w:firstLine="315" w:firstLineChars="150"/>
        <w:rPr>
          <w:rFonts w:ascii="宋体" w:hAnsi="宋体"/>
          <w:color w:val="auto"/>
          <w:szCs w:val="21"/>
          <w:highlight w:val="none"/>
        </w:rPr>
      </w:pPr>
      <w:r>
        <w:rPr>
          <w:rFonts w:ascii="宋体" w:hAnsi="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2BE545F">
      <w:pPr>
        <w:spacing w:line="360" w:lineRule="auto"/>
        <w:ind w:firstLine="315" w:firstLineChars="150"/>
        <w:rPr>
          <w:rFonts w:ascii="宋体" w:hAnsi="宋体"/>
          <w:color w:val="auto"/>
          <w:szCs w:val="21"/>
          <w:highlight w:val="none"/>
        </w:rPr>
      </w:pPr>
      <w:r>
        <w:rPr>
          <w:rFonts w:ascii="宋体" w:hAnsi="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D8FD24">
      <w:pPr>
        <w:spacing w:line="360" w:lineRule="auto"/>
        <w:ind w:firstLine="315" w:firstLineChars="150"/>
        <w:rPr>
          <w:rFonts w:ascii="宋体" w:hAnsi="宋体"/>
          <w:color w:val="auto"/>
          <w:szCs w:val="21"/>
          <w:highlight w:val="none"/>
        </w:rPr>
      </w:pPr>
      <w:r>
        <w:rPr>
          <w:rFonts w:ascii="宋体" w:hAnsi="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ADABEF2">
      <w:pPr>
        <w:spacing w:line="360" w:lineRule="auto"/>
        <w:ind w:firstLine="315" w:firstLineChars="150"/>
        <w:rPr>
          <w:rFonts w:ascii="宋体" w:hAnsi="宋体"/>
          <w:color w:val="auto"/>
          <w:szCs w:val="21"/>
          <w:highlight w:val="none"/>
        </w:rPr>
      </w:pPr>
      <w:r>
        <w:rPr>
          <w:rFonts w:ascii="宋体" w:hAnsi="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BA62C15">
      <w:pPr>
        <w:spacing w:line="360" w:lineRule="auto"/>
        <w:ind w:firstLine="315" w:firstLineChars="150"/>
        <w:rPr>
          <w:rFonts w:ascii="宋体" w:hAnsi="宋体"/>
          <w:color w:val="auto"/>
          <w:szCs w:val="21"/>
          <w:highlight w:val="none"/>
        </w:rPr>
      </w:pPr>
      <w:r>
        <w:rPr>
          <w:rFonts w:ascii="宋体" w:hAnsi="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0725449">
      <w:pPr>
        <w:spacing w:line="360" w:lineRule="auto"/>
        <w:ind w:firstLine="315" w:firstLineChars="150"/>
        <w:rPr>
          <w:rFonts w:ascii="宋体" w:hAnsi="宋体"/>
          <w:color w:val="auto"/>
          <w:szCs w:val="21"/>
          <w:highlight w:val="none"/>
        </w:rPr>
      </w:pPr>
      <w:r>
        <w:rPr>
          <w:rFonts w:ascii="宋体" w:hAnsi="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03BB20">
      <w:pPr>
        <w:spacing w:line="360" w:lineRule="auto"/>
        <w:ind w:firstLine="315" w:firstLineChars="150"/>
        <w:rPr>
          <w:rFonts w:ascii="宋体" w:hAnsi="宋体"/>
          <w:color w:val="auto"/>
          <w:szCs w:val="21"/>
          <w:highlight w:val="none"/>
        </w:rPr>
      </w:pPr>
      <w:r>
        <w:rPr>
          <w:rFonts w:ascii="宋体" w:hAnsi="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F018AE">
      <w:pPr>
        <w:spacing w:line="360" w:lineRule="auto"/>
        <w:ind w:firstLine="315" w:firstLineChars="150"/>
        <w:rPr>
          <w:rFonts w:ascii="宋体" w:hAnsi="宋体"/>
          <w:color w:val="auto"/>
          <w:szCs w:val="21"/>
          <w:highlight w:val="none"/>
        </w:rPr>
      </w:pPr>
      <w:r>
        <w:rPr>
          <w:rFonts w:ascii="宋体" w:hAnsi="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784C7E6">
      <w:pPr>
        <w:spacing w:line="360" w:lineRule="auto"/>
        <w:ind w:firstLine="315" w:firstLineChars="150"/>
        <w:rPr>
          <w:rFonts w:ascii="宋体" w:hAnsi="宋体"/>
          <w:color w:val="auto"/>
          <w:szCs w:val="21"/>
          <w:highlight w:val="none"/>
        </w:rPr>
      </w:pPr>
      <w:r>
        <w:rPr>
          <w:rFonts w:ascii="宋体" w:hAnsi="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328DE85">
      <w:pPr>
        <w:spacing w:line="360" w:lineRule="auto"/>
        <w:ind w:firstLine="315" w:firstLineChars="150"/>
        <w:rPr>
          <w:rFonts w:ascii="宋体" w:hAnsi="宋体"/>
          <w:color w:val="auto"/>
          <w:szCs w:val="21"/>
          <w:highlight w:val="none"/>
        </w:rPr>
      </w:pPr>
      <w:r>
        <w:rPr>
          <w:rFonts w:ascii="宋体" w:hAnsi="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B19DD7E">
      <w:pPr>
        <w:spacing w:line="360" w:lineRule="auto"/>
        <w:ind w:firstLine="315" w:firstLineChars="150"/>
        <w:rPr>
          <w:rFonts w:ascii="宋体" w:hAnsi="宋体"/>
          <w:color w:val="auto"/>
          <w:szCs w:val="21"/>
          <w:highlight w:val="none"/>
        </w:rPr>
      </w:pPr>
      <w:r>
        <w:rPr>
          <w:rFonts w:ascii="宋体" w:hAnsi="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CDC8109">
      <w:pPr>
        <w:spacing w:line="360" w:lineRule="auto"/>
        <w:ind w:firstLine="315" w:firstLineChars="150"/>
        <w:rPr>
          <w:rFonts w:ascii="宋体" w:hAnsi="宋体"/>
          <w:color w:val="auto"/>
          <w:szCs w:val="21"/>
          <w:highlight w:val="none"/>
        </w:rPr>
      </w:pPr>
      <w:r>
        <w:rPr>
          <w:rFonts w:ascii="宋体" w:hAnsi="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73A3553">
      <w:pPr>
        <w:spacing w:line="360" w:lineRule="auto"/>
        <w:ind w:firstLine="315" w:firstLineChars="150"/>
        <w:rPr>
          <w:rFonts w:ascii="宋体" w:hAnsi="宋体"/>
          <w:color w:val="auto"/>
          <w:szCs w:val="21"/>
          <w:highlight w:val="none"/>
        </w:rPr>
      </w:pPr>
      <w:r>
        <w:rPr>
          <w:rFonts w:ascii="宋体" w:hAnsi="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193AABDB">
      <w:pPr>
        <w:spacing w:line="360" w:lineRule="auto"/>
        <w:ind w:firstLine="315" w:firstLineChars="150"/>
        <w:rPr>
          <w:rFonts w:ascii="宋体" w:hAnsi="宋体"/>
          <w:color w:val="auto"/>
          <w:szCs w:val="21"/>
          <w:highlight w:val="none"/>
        </w:rPr>
      </w:pPr>
      <w:r>
        <w:rPr>
          <w:rFonts w:ascii="宋体" w:hAnsi="宋体"/>
          <w:color w:val="auto"/>
          <w:szCs w:val="21"/>
          <w:highlight w:val="none"/>
        </w:rPr>
        <w:t>五、企业类型的划分以统计部门的统计数据为依据。</w:t>
      </w:r>
    </w:p>
    <w:p w14:paraId="58AED33A">
      <w:pPr>
        <w:spacing w:line="360" w:lineRule="auto"/>
        <w:ind w:firstLine="315" w:firstLineChars="150"/>
        <w:rPr>
          <w:rFonts w:ascii="宋体" w:hAnsi="宋体"/>
          <w:color w:val="auto"/>
          <w:szCs w:val="21"/>
          <w:highlight w:val="none"/>
        </w:rPr>
      </w:pPr>
      <w:r>
        <w:rPr>
          <w:rFonts w:ascii="宋体" w:hAnsi="宋体"/>
          <w:color w:val="auto"/>
          <w:szCs w:val="21"/>
          <w:highlight w:val="none"/>
        </w:rPr>
        <w:t>六、本规定适用于在中华人民共和国境内依法设立的各类所有制和各种组织形式的企业。个体工商户和本规定以外的行业，参照本规定进行划型。</w:t>
      </w:r>
    </w:p>
    <w:p w14:paraId="01FB615B">
      <w:pPr>
        <w:spacing w:line="360" w:lineRule="auto"/>
        <w:ind w:firstLine="315" w:firstLineChars="150"/>
        <w:rPr>
          <w:rFonts w:ascii="宋体" w:hAnsi="宋体"/>
          <w:color w:val="auto"/>
          <w:szCs w:val="21"/>
          <w:highlight w:val="none"/>
        </w:rPr>
      </w:pPr>
      <w:r>
        <w:rPr>
          <w:rFonts w:ascii="宋体" w:hAnsi="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34B0B740">
      <w:pPr>
        <w:spacing w:line="360" w:lineRule="auto"/>
        <w:ind w:firstLine="315" w:firstLineChars="150"/>
        <w:rPr>
          <w:rFonts w:ascii="宋体" w:hAnsi="宋体"/>
          <w:color w:val="auto"/>
          <w:szCs w:val="21"/>
          <w:highlight w:val="none"/>
        </w:rPr>
      </w:pPr>
      <w:r>
        <w:rPr>
          <w:rFonts w:ascii="宋体" w:hAnsi="宋体"/>
          <w:color w:val="auto"/>
          <w:szCs w:val="21"/>
          <w:highlight w:val="none"/>
        </w:rPr>
        <w:t>八、本规定由工业和信息化部、国家统计局会同有关部门根据《国民经济行业分类》修订情况和企业发展变化情况适时修订。</w:t>
      </w:r>
    </w:p>
    <w:p w14:paraId="2AC61DBF">
      <w:pPr>
        <w:spacing w:line="360" w:lineRule="auto"/>
        <w:ind w:firstLine="315" w:firstLineChars="150"/>
        <w:rPr>
          <w:rFonts w:ascii="宋体" w:hAnsi="宋体"/>
          <w:color w:val="auto"/>
          <w:szCs w:val="21"/>
          <w:highlight w:val="none"/>
        </w:rPr>
      </w:pPr>
      <w:r>
        <w:rPr>
          <w:rFonts w:ascii="宋体" w:hAnsi="宋体"/>
          <w:color w:val="auto"/>
          <w:szCs w:val="21"/>
          <w:highlight w:val="none"/>
        </w:rPr>
        <w:t>九、本规定由工业和信息化部、国家统计局会同有关部门负责解释。</w:t>
      </w:r>
    </w:p>
    <w:p w14:paraId="761DA9E6">
      <w:pPr>
        <w:rPr>
          <w:color w:val="auto"/>
        </w:rPr>
      </w:pPr>
      <w:r>
        <w:rPr>
          <w:rFonts w:ascii="宋体" w:hAnsi="宋体"/>
          <w:color w:val="auto"/>
          <w:szCs w:val="21"/>
          <w:highlight w:val="none"/>
        </w:rPr>
        <w:t>十、本规定自发布之日起执行，原国家经贸委、原国家计委、财政部和国家统计局2003年颁布的《中小企业标准暂行规定》同时废止</w:t>
      </w:r>
      <w:r>
        <w:rPr>
          <w:rFonts w:hint="eastAsia" w:ascii="宋体" w:hAnsi="宋体"/>
          <w:color w:val="auto"/>
          <w:szCs w:val="21"/>
          <w:highlight w:val="none"/>
        </w:rPr>
        <w:t>。</w:t>
      </w:r>
    </w:p>
    <w:p w14:paraId="6FD3CFD3">
      <w:pPr>
        <w:rPr>
          <w:color w:val="auto"/>
        </w:rPr>
      </w:pPr>
    </w:p>
    <w:p w14:paraId="72DF8C5D">
      <w:pPr>
        <w:rPr>
          <w:color w:val="auto"/>
        </w:rPr>
      </w:pPr>
    </w:p>
    <w:p w14:paraId="148BFBA8">
      <w:pPr>
        <w:rPr>
          <w:color w:val="auto"/>
        </w:rPr>
      </w:pPr>
    </w:p>
    <w:p w14:paraId="21ED81DA">
      <w:pPr>
        <w:rPr>
          <w:color w:val="auto"/>
        </w:rPr>
      </w:pPr>
    </w:p>
    <w:p w14:paraId="648E7A12">
      <w:pPr>
        <w:rPr>
          <w:color w:val="auto"/>
        </w:rPr>
      </w:pPr>
    </w:p>
    <w:p w14:paraId="49872D3E">
      <w:pPr>
        <w:rPr>
          <w:color w:val="auto"/>
        </w:rPr>
      </w:pPr>
    </w:p>
    <w:p w14:paraId="7BDEB245">
      <w:pPr>
        <w:rPr>
          <w:color w:val="auto"/>
        </w:rPr>
      </w:pPr>
    </w:p>
    <w:p w14:paraId="415D5DEA">
      <w:pPr>
        <w:rPr>
          <w:color w:val="auto"/>
        </w:rPr>
      </w:pPr>
    </w:p>
    <w:p w14:paraId="075EA568">
      <w:pPr>
        <w:rPr>
          <w:color w:val="auto"/>
        </w:rPr>
      </w:pPr>
    </w:p>
    <w:p w14:paraId="199AAE91">
      <w:pPr>
        <w:rPr>
          <w:rFonts w:ascii="宋体" w:hAnsi="宋体" w:cs="宋体"/>
          <w:color w:val="auto"/>
        </w:rPr>
      </w:pPr>
    </w:p>
    <w:p w14:paraId="58C7A49E">
      <w:pPr>
        <w:rPr>
          <w:rFonts w:ascii="宋体" w:hAnsi="宋体" w:cs="宋体"/>
          <w:color w:val="auto"/>
        </w:rPr>
      </w:pPr>
    </w:p>
    <w:p w14:paraId="6FB4E233">
      <w:pPr>
        <w:rPr>
          <w:rFonts w:ascii="宋体" w:hAnsi="宋体" w:cs="宋体"/>
          <w:color w:val="auto"/>
        </w:rPr>
      </w:pPr>
    </w:p>
    <w:p w14:paraId="7BAD6977">
      <w:pPr>
        <w:rPr>
          <w:rFonts w:ascii="宋体" w:hAnsi="宋体" w:cs="宋体"/>
          <w:color w:val="auto"/>
        </w:rPr>
      </w:pPr>
    </w:p>
    <w:p w14:paraId="10D93CCF">
      <w:pPr>
        <w:rPr>
          <w:rFonts w:ascii="宋体" w:hAnsi="宋体" w:cs="宋体"/>
          <w:color w:val="auto"/>
        </w:rPr>
      </w:pPr>
    </w:p>
    <w:p w14:paraId="15E31FB9">
      <w:pPr>
        <w:rPr>
          <w:rFonts w:ascii="宋体" w:hAnsi="宋体" w:cs="宋体"/>
          <w:color w:val="auto"/>
        </w:rPr>
      </w:pPr>
    </w:p>
    <w:p w14:paraId="26572DA7">
      <w:pPr>
        <w:rPr>
          <w:rFonts w:ascii="宋体" w:hAnsi="宋体" w:cs="宋体"/>
          <w:color w:val="auto"/>
        </w:rPr>
      </w:pPr>
    </w:p>
    <w:p w14:paraId="7694F507">
      <w:pPr>
        <w:rPr>
          <w:rFonts w:ascii="宋体" w:hAnsi="宋体" w:cs="宋体"/>
          <w:color w:val="auto"/>
        </w:rPr>
      </w:pPr>
    </w:p>
    <w:p w14:paraId="0CEE2379">
      <w:pPr>
        <w:rPr>
          <w:rFonts w:ascii="宋体" w:hAnsi="宋体" w:cs="宋体"/>
          <w:color w:val="auto"/>
        </w:rPr>
      </w:pPr>
    </w:p>
    <w:p w14:paraId="07770D27">
      <w:pPr>
        <w:rPr>
          <w:rFonts w:ascii="宋体" w:hAnsi="宋体" w:cs="宋体"/>
          <w:color w:val="auto"/>
        </w:rPr>
      </w:pPr>
    </w:p>
    <w:p w14:paraId="7055C557">
      <w:pPr>
        <w:pStyle w:val="7"/>
        <w:tabs>
          <w:tab w:val="left" w:pos="2638"/>
        </w:tabs>
        <w:rPr>
          <w:color w:val="auto"/>
        </w:rPr>
      </w:pPr>
    </w:p>
    <w:p w14:paraId="77DF04BE">
      <w:pPr>
        <w:spacing w:before="64" w:line="225" w:lineRule="auto"/>
        <w:jc w:val="center"/>
        <w:outlineLvl w:val="1"/>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lang w:val="en-US" w:eastAsia="zh-CN"/>
        </w:rPr>
        <w:t>（七）、贯彻落实《国务院办公厅关于在政府采购中实施本国产品标准及相关政策的通知》的意见</w:t>
      </w:r>
    </w:p>
    <w:p w14:paraId="296A3E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textAlignment w:val="baseline"/>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shd w:val="clear" w:color="auto" w:fill="FFFFFF"/>
          <w:vertAlign w:val="baseline"/>
          <w:lang w:val="en-US" w:eastAsia="zh-CN" w:bidi="ar"/>
        </w:rPr>
        <w:t> </w:t>
      </w:r>
      <w:r>
        <w:rPr>
          <w:rFonts w:hint="eastAsia" w:ascii="宋体" w:hAnsi="宋体" w:eastAsia="宋体" w:cs="宋体"/>
          <w:b/>
          <w:bCs/>
          <w:i w:val="0"/>
          <w:iCs w:val="0"/>
          <w:caps w:val="0"/>
          <w:color w:val="auto"/>
          <w:spacing w:val="0"/>
          <w:kern w:val="0"/>
          <w:sz w:val="21"/>
          <w:szCs w:val="21"/>
          <w:u w:val="none"/>
          <w:shd w:val="clear" w:color="auto" w:fill="FFFFFF"/>
          <w:vertAlign w:val="baseline"/>
          <w:lang w:val="en-US" w:eastAsia="zh-CN" w:bidi="ar"/>
        </w:rPr>
        <w:t>财库〔2025〕30号</w:t>
      </w:r>
    </w:p>
    <w:p w14:paraId="076127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right="0" w:firstLine="412" w:firstLineChars="200"/>
        <w:jc w:val="both"/>
        <w:textAlignment w:val="baseline"/>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各中央预算单位，各省、自治区、直辖市、计划单列市财政厅（局）、工业和信息化主管部门，新疆生产建设兵团财政局、工业和信息化局：</w:t>
      </w:r>
    </w:p>
    <w:p w14:paraId="725ED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32"/>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为深入贯彻落实《国务院办公厅关于在政府采购中实施本国产品标准及相关政策的通知》（国办发〔2025〕34号，以下简称《通知》），加快构建统一开放、竞争有序的政府采购市场体系，现提出以下意见。</w:t>
      </w:r>
    </w:p>
    <w:p w14:paraId="1A9B8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32"/>
        <w:jc w:val="both"/>
        <w:textAlignment w:val="baseline"/>
        <w:rPr>
          <w:rFonts w:hint="eastAsia" w:ascii="宋体" w:hAnsi="宋体" w:eastAsia="宋体" w:cs="宋体"/>
          <w:color w:val="auto"/>
          <w:spacing w:val="-2"/>
          <w:sz w:val="21"/>
          <w:szCs w:val="21"/>
        </w:rPr>
      </w:pPr>
      <w:r>
        <w:rPr>
          <w:rFonts w:hint="eastAsia" w:ascii="宋体" w:hAnsi="宋体" w:eastAsia="宋体" w:cs="宋体"/>
          <w:b/>
          <w:bCs/>
          <w:i w:val="0"/>
          <w:iCs w:val="0"/>
          <w:caps w:val="0"/>
          <w:color w:val="auto"/>
          <w:spacing w:val="-2"/>
          <w:kern w:val="0"/>
          <w:sz w:val="21"/>
          <w:szCs w:val="21"/>
          <w:u w:val="none"/>
          <w:shd w:val="clear" w:color="auto" w:fill="FFFFFF"/>
          <w:vertAlign w:val="baseline"/>
          <w:lang w:val="en-US" w:eastAsia="zh-CN" w:bidi="ar"/>
        </w:rPr>
        <w:t>一、充分认识在政府采购中实施本国产品标准及相关政策的重要意义</w:t>
      </w:r>
    </w:p>
    <w:p w14:paraId="5C6111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5"/>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通知》以习近平新时代中国特色社会主义思想为指导，全面贯彻党的二十大和二十届历次全会精神，紧扣高质量发展要求，结合我国发展实际，对接国际高标准经贸规则，系统提出了构建政府采购中本国产品标准体系以及对本国产品予以支持的工作要求，为进一步保障各类经营主体平等参与政府采购活动提供了制度依据。</w:t>
      </w:r>
    </w:p>
    <w:p w14:paraId="3195F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通知》是政府采购领域的重要制度创新，也是优化营商环境的重要举措，还是落实政府采购领域外资企业国民待遇的务实行动，对构建以国内大循环为主体、国内国际双循环相互促进的新发展格局具有重要意义。</w:t>
      </w:r>
    </w:p>
    <w:p w14:paraId="79C0D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在政府采购中实施本国产品标准及相关政策,是一项长期性、系统性工作。各地区各部门要提高站位，准确把握本国产品标准及相关政策的核心内涵，进一步增强责任感和使命感，将《通知》要求落实落细落到位。</w:t>
      </w:r>
    </w:p>
    <w:p w14:paraId="0BECD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rFonts w:hint="eastAsia" w:ascii="宋体" w:hAnsi="宋体" w:eastAsia="宋体" w:cs="宋体"/>
          <w:color w:val="auto"/>
          <w:spacing w:val="-2"/>
          <w:sz w:val="21"/>
          <w:szCs w:val="21"/>
        </w:rPr>
      </w:pPr>
      <w:r>
        <w:rPr>
          <w:rFonts w:hint="eastAsia" w:ascii="宋体" w:hAnsi="宋体" w:eastAsia="宋体" w:cs="宋体"/>
          <w:b/>
          <w:bCs/>
          <w:i w:val="0"/>
          <w:iCs w:val="0"/>
          <w:caps w:val="0"/>
          <w:color w:val="auto"/>
          <w:spacing w:val="-2"/>
          <w:kern w:val="0"/>
          <w:sz w:val="21"/>
          <w:szCs w:val="21"/>
          <w:u w:val="none"/>
          <w:shd w:val="clear" w:color="auto" w:fill="FFFFFF"/>
          <w:vertAlign w:val="baseline"/>
          <w:lang w:val="en-US" w:eastAsia="zh-CN" w:bidi="ar"/>
        </w:rPr>
        <w:t>二、全面理解在政府采购中实施本国产品标准及相关政策的内涵和要求</w:t>
      </w:r>
    </w:p>
    <w:p w14:paraId="61107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32"/>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一）准确界定产品在中国境内生产。《通知》明确，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9CC9F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二）科学制定本国产品具体标准要求。财政部将会同工业和信息化部等有关行业主管部门，分类施策、稳妥推进，根据不同行业特点和我国产业发展实际，在充分征求有关内外资企业、行业商会协会等方面意见的基础上，依据企业产品成本核算制度等，分产品制定中国境内生产的组件成本占比要求，以及特定产品的关键组件、关键工序相关要求，明确成本核算规则，并合理设置过渡期，保障标准符合实际、具有可操作性。</w:t>
      </w:r>
    </w:p>
    <w:p w14:paraId="62A18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三）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51F2BE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32"/>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四）加强对本国产品标准及相关政策实施的监管。县级以上财政部门在处理涉及本国产品标准及相关政策的投诉或者开展监督检查时，要加强与有关部门的协调，必要时可以会同当地工业和信息化等有关部门，依托会计师事务所等专业机构，对产品和组件的生产地、工序完成地以及组件成本占比等进行核实、鉴定。一旦发现供应商假冒本国产品的，依法依规予以严肃处理。县级以上工业和信息化等有关部门要按照《通知》要求，配合财政部门做好涉及本国产品标准相关事项的核实、鉴定工作。</w:t>
      </w:r>
    </w:p>
    <w:p w14:paraId="695B91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五）严格落实平等对待内外资企业的相关要求。各地区、各部门要依法落实政府采购领域外资企业国民待遇。如发现在政府采购活动中指定品牌或者限制品牌注册地、所有者，以所有制形式、组织形式、股权结构、投资者国别或者其他不合理条件对供应商实行差别待遇或者歧视待遇的，要依法依规予以严肃处理，保障符合本国产品标准的外资企业产品平等参与政府采购活动。</w:t>
      </w:r>
    </w:p>
    <w:p w14:paraId="05119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rFonts w:hint="eastAsia" w:ascii="宋体" w:hAnsi="宋体" w:eastAsia="宋体" w:cs="宋体"/>
          <w:color w:val="auto"/>
          <w:spacing w:val="-2"/>
          <w:sz w:val="21"/>
          <w:szCs w:val="21"/>
        </w:rPr>
      </w:pPr>
      <w:r>
        <w:rPr>
          <w:rFonts w:hint="eastAsia" w:ascii="宋体" w:hAnsi="宋体" w:eastAsia="宋体" w:cs="宋体"/>
          <w:b/>
          <w:bCs/>
          <w:i w:val="0"/>
          <w:iCs w:val="0"/>
          <w:caps w:val="0"/>
          <w:color w:val="auto"/>
          <w:spacing w:val="-2"/>
          <w:kern w:val="0"/>
          <w:sz w:val="21"/>
          <w:szCs w:val="21"/>
          <w:u w:val="none"/>
          <w:shd w:val="clear" w:color="auto" w:fill="FFFFFF"/>
          <w:vertAlign w:val="baseline"/>
          <w:lang w:val="en-US" w:eastAsia="zh-CN" w:bidi="ar"/>
        </w:rPr>
        <w:t>三、抓好贯彻落实</w:t>
      </w:r>
    </w:p>
    <w:p w14:paraId="2A165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一）加强政策指导。地方各级财政部门要对此项工作高度重视、周密部署，通过组织培训、政策宣讲等方式，统一思想认识，制定切实可行的落实举措。要强化采购人的责任意识，加强对评审专家和供应商的监督指导，及时总结经验做法，营造有利于政策实施的良好环境，确保《通知》顺利实施。</w:t>
      </w:r>
    </w:p>
    <w:p w14:paraId="529165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二）完善内控机制。各级预算单位要强化采购人主体责任，结合本单位业务特点和《通知》要求，进一步健全内控制度，优化内部工作流程，将本国产品标准和相关政策要求嵌入采购需求、采购文件、采购合同、履约验收等政府采购各个环节中，确保于2026年1月1日起在政府采购中落实政策要求。</w:t>
      </w:r>
    </w:p>
    <w:p w14:paraId="4BB98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rFonts w:hint="eastAsia" w:ascii="宋体" w:hAnsi="宋体" w:eastAsia="宋体" w:cs="宋体"/>
          <w:color w:val="auto"/>
          <w:spacing w:val="-2"/>
          <w:sz w:val="21"/>
          <w:szCs w:val="21"/>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三）建立健全部门间协调机制。地方各级财政部门要积极加强和相关行业主管部门的沟通，推动建立健全部门间协调机制，着力解决在政府采购投诉处理、监督检查中涉及本国产品标准争议事项的专业认定问题，形成工作合力，保障政府采购供应商合法权益。</w:t>
      </w:r>
    </w:p>
    <w:p w14:paraId="1FF82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（四）强化监督检查。地方各级财政部门要加强对政府采购相关当事人落实《通知》要求的监督检查，畅通供应商投诉救济渠道，对未落实本国产品标准及相关政策的单位和相关责任人依法依规追究责任。</w:t>
      </w:r>
    </w:p>
    <w:p w14:paraId="0620BF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right"/>
        <w:textAlignment w:val="baseline"/>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财政部 工业和信息化部 </w:t>
      </w:r>
    </w:p>
    <w:p w14:paraId="3B268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right"/>
        <w:textAlignment w:val="baseline"/>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pPr>
      <w:r>
        <w:rPr>
          <w:rFonts w:hint="eastAsia" w:ascii="宋体" w:hAnsi="宋体" w:eastAsia="宋体" w:cs="宋体"/>
          <w:i w:val="0"/>
          <w:iCs w:val="0"/>
          <w:caps w:val="0"/>
          <w:color w:val="auto"/>
          <w:spacing w:val="-2"/>
          <w:kern w:val="0"/>
          <w:sz w:val="21"/>
          <w:szCs w:val="21"/>
          <w:u w:val="none"/>
          <w:shd w:val="clear" w:color="auto" w:fill="FFFFFF"/>
          <w:vertAlign w:val="baseline"/>
          <w:lang w:val="en-US" w:eastAsia="zh-CN" w:bidi="ar"/>
        </w:rPr>
        <w:t>                   2025年12月15日</w:t>
      </w:r>
    </w:p>
    <w:p w14:paraId="18515477">
      <w:pPr>
        <w:rPr>
          <w:rFonts w:hint="eastAsia" w:ascii="宋体" w:hAnsi="宋体" w:cs="宋体"/>
          <w:color w:val="auto"/>
          <w:lang w:val="en-US" w:eastAsia="zh-CN"/>
        </w:rPr>
      </w:pPr>
    </w:p>
    <w:p w14:paraId="6ADD6DDC">
      <w:pPr>
        <w:rPr>
          <w:rFonts w:hint="eastAsia" w:ascii="宋体" w:hAnsi="宋体" w:cs="宋体"/>
          <w:color w:val="auto"/>
          <w:lang w:val="en-US" w:eastAsia="zh-CN"/>
        </w:rPr>
      </w:pPr>
    </w:p>
    <w:p w14:paraId="64CB814F">
      <w:pPr>
        <w:rPr>
          <w:rFonts w:hint="eastAsia" w:ascii="宋体" w:hAnsi="宋体" w:cs="宋体"/>
          <w:color w:val="auto"/>
          <w:lang w:val="en-US" w:eastAsia="zh-CN"/>
        </w:rPr>
      </w:pPr>
    </w:p>
    <w:p w14:paraId="04455E40">
      <w:pPr>
        <w:rPr>
          <w:rFonts w:hint="eastAsia" w:ascii="宋体" w:hAnsi="宋体" w:cs="宋体"/>
          <w:color w:val="auto"/>
          <w:lang w:val="en-US" w:eastAsia="zh-CN"/>
        </w:rPr>
      </w:pPr>
    </w:p>
    <w:p w14:paraId="46198958">
      <w:pPr>
        <w:rPr>
          <w:rFonts w:hint="eastAsia" w:ascii="宋体" w:hAnsi="宋体" w:cs="宋体"/>
          <w:color w:val="auto"/>
          <w:lang w:val="en-US" w:eastAsia="zh-CN"/>
        </w:rPr>
      </w:pPr>
    </w:p>
    <w:p w14:paraId="2E9025A7">
      <w:pPr>
        <w:rPr>
          <w:rFonts w:hint="eastAsia" w:ascii="宋体" w:hAnsi="宋体" w:cs="宋体"/>
          <w:color w:val="auto"/>
          <w:lang w:val="en-US" w:eastAsia="zh-CN"/>
        </w:rPr>
      </w:pPr>
    </w:p>
    <w:p w14:paraId="24893C79">
      <w:pPr>
        <w:spacing w:line="276" w:lineRule="auto"/>
        <w:jc w:val="center"/>
        <w:rPr>
          <w:rFonts w:ascii="宋体" w:hAnsi="宋体" w:cs="宋体"/>
          <w:b/>
          <w:bCs/>
          <w:color w:val="auto"/>
          <w:sz w:val="30"/>
          <w:szCs w:val="30"/>
        </w:rPr>
      </w:pPr>
      <w:r>
        <w:rPr>
          <w:rFonts w:hint="eastAsia" w:ascii="宋体" w:hAnsi="宋体" w:cs="宋体"/>
          <w:b/>
          <w:bCs/>
          <w:color w:val="auto"/>
          <w:sz w:val="30"/>
          <w:szCs w:val="30"/>
        </w:rPr>
        <w:t>全流程电子化交易注意事项</w:t>
      </w:r>
    </w:p>
    <w:p w14:paraId="59D7B422">
      <w:pPr>
        <w:spacing w:line="276" w:lineRule="auto"/>
        <w:ind w:firstLine="316" w:firstLineChars="150"/>
        <w:rPr>
          <w:rFonts w:ascii="宋体" w:hAnsi="宋体" w:cs="宋体"/>
          <w:b/>
          <w:bCs/>
          <w:color w:val="auto"/>
        </w:rPr>
      </w:pPr>
      <w:r>
        <w:rPr>
          <w:rFonts w:hint="eastAsia" w:ascii="宋体" w:hAnsi="宋体" w:cs="宋体"/>
          <w:b/>
          <w:bCs/>
          <w:color w:val="auto"/>
        </w:rPr>
        <w:t>电子化交易项目投标文件是投标人、供应商（以下简称“投标人”）通过中心投标文件制作系统制作，并经过签章和加密后生成的电子版投标文件。（电子化投标文件具体制作教材请投标人通过CA证书登录公共资源电子化交易系统在右上角“组件下载”中查看）制作电子化投标文件，需仔细阅读以下条款。</w:t>
      </w:r>
    </w:p>
    <w:p w14:paraId="55854C86">
      <w:pPr>
        <w:spacing w:line="271" w:lineRule="auto"/>
        <w:rPr>
          <w:rFonts w:ascii="宋体" w:hAnsi="宋体" w:cs="宋体"/>
          <w:b/>
          <w:bCs/>
          <w:color w:val="auto"/>
        </w:rPr>
      </w:pPr>
      <w:r>
        <w:rPr>
          <w:rFonts w:hint="eastAsia" w:ascii="宋体" w:hAnsi="宋体" w:cs="宋体"/>
          <w:b/>
          <w:bCs/>
          <w:color w:val="auto"/>
        </w:rPr>
        <w:t>一、电子化投标</w:t>
      </w:r>
    </w:p>
    <w:p w14:paraId="31CBF9DD">
      <w:pPr>
        <w:spacing w:line="271" w:lineRule="auto"/>
        <w:rPr>
          <w:rFonts w:ascii="宋体" w:hAnsi="宋体" w:cs="宋体"/>
          <w:b/>
          <w:bCs/>
          <w:color w:val="auto"/>
        </w:rPr>
      </w:pPr>
      <w:r>
        <w:rPr>
          <w:rFonts w:hint="eastAsia" w:ascii="宋体" w:hAnsi="宋体" w:cs="宋体"/>
          <w:b/>
          <w:bCs/>
          <w:color w:val="auto"/>
        </w:rPr>
        <w:t>（一）网上投标保证金的缴纳</w:t>
      </w:r>
    </w:p>
    <w:p w14:paraId="6CAE2B25">
      <w:pPr>
        <w:spacing w:line="271" w:lineRule="auto"/>
        <w:rPr>
          <w:rFonts w:ascii="宋体" w:hAnsi="宋体" w:cs="宋体"/>
          <w:b/>
          <w:bCs/>
          <w:color w:val="auto"/>
        </w:rPr>
      </w:pPr>
      <w:r>
        <w:rPr>
          <w:rFonts w:hint="eastAsia" w:ascii="宋体" w:hAnsi="宋体" w:cs="宋体"/>
          <w:b/>
          <w:bCs/>
          <w:color w:val="auto"/>
        </w:rPr>
        <w:t>1、递交形式: 投标人的投标保证金必须通过投标人基本账户以转账或电汇的形式缴纳（账户必须是已加入平顶山市公共资源交易投标人或供应商诚信库中的账户）。</w:t>
      </w:r>
    </w:p>
    <w:p w14:paraId="07AB3C31">
      <w:pPr>
        <w:spacing w:line="271" w:lineRule="auto"/>
        <w:rPr>
          <w:rFonts w:ascii="宋体" w:hAnsi="宋体" w:cs="宋体"/>
          <w:b/>
          <w:bCs/>
          <w:color w:val="auto"/>
        </w:rPr>
      </w:pPr>
      <w:r>
        <w:rPr>
          <w:rFonts w:hint="eastAsia" w:ascii="宋体" w:hAnsi="宋体" w:cs="宋体"/>
          <w:b/>
          <w:bCs/>
          <w:color w:val="auto"/>
        </w:rPr>
        <w:t>2、投标人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14:paraId="45CDD6E4">
      <w:pPr>
        <w:spacing w:line="271" w:lineRule="auto"/>
        <w:rPr>
          <w:rFonts w:ascii="宋体" w:hAnsi="宋体" w:cs="宋体"/>
          <w:b/>
          <w:bCs/>
          <w:color w:val="auto"/>
        </w:rPr>
      </w:pPr>
      <w:r>
        <w:rPr>
          <w:rFonts w:hint="eastAsia" w:ascii="宋体" w:hAnsi="宋体" w:cs="宋体"/>
          <w:b/>
          <w:bCs/>
          <w:color w:val="auto"/>
        </w:rPr>
        <w:t>3、投标人在成功绑定后，可以将系统生成的回执单图片制作在投标文件中，作为缴纳保证金的依据。</w:t>
      </w:r>
    </w:p>
    <w:p w14:paraId="524109D1">
      <w:pPr>
        <w:spacing w:line="271" w:lineRule="auto"/>
        <w:rPr>
          <w:rFonts w:ascii="宋体" w:hAnsi="宋体" w:cs="宋体"/>
          <w:b/>
          <w:bCs/>
          <w:color w:val="auto"/>
        </w:rPr>
      </w:pPr>
      <w:r>
        <w:rPr>
          <w:rFonts w:hint="eastAsia" w:ascii="宋体" w:hAnsi="宋体" w:cs="宋体"/>
          <w:b/>
          <w:bCs/>
          <w:color w:val="auto"/>
        </w:rPr>
        <w:t>4、投标人应仔细阅读操作手册并充分考虑异地跨行转账到账时间等因素，因投标人操作不当或银行到账时间等问题造成保证金无法正常绑定影响投标的，由投标人自行承担后果。</w:t>
      </w:r>
    </w:p>
    <w:p w14:paraId="4A1B8B83">
      <w:pPr>
        <w:spacing w:line="271" w:lineRule="auto"/>
        <w:rPr>
          <w:rFonts w:ascii="宋体" w:hAnsi="宋体" w:cs="宋体"/>
          <w:b/>
          <w:bCs/>
          <w:color w:val="auto"/>
        </w:rPr>
      </w:pPr>
      <w:r>
        <w:rPr>
          <w:rFonts w:hint="eastAsia" w:ascii="宋体" w:hAnsi="宋体" w:cs="宋体"/>
          <w:b/>
          <w:bCs/>
          <w:color w:val="auto"/>
        </w:rPr>
        <w:t>5、未中标投标人的投标保证金在项目结束后，由中介服务机构向中心项目负责人提出退款申请，项目负责人同意并经财务部门核对后，通过中心交易平台退还给投标人。</w:t>
      </w:r>
    </w:p>
    <w:p w14:paraId="53C53D88">
      <w:pPr>
        <w:spacing w:line="271" w:lineRule="auto"/>
        <w:rPr>
          <w:rFonts w:ascii="宋体" w:hAnsi="宋体" w:cs="宋体"/>
          <w:b/>
          <w:bCs/>
          <w:color w:val="auto"/>
        </w:rPr>
      </w:pPr>
      <w:r>
        <w:rPr>
          <w:rFonts w:hint="eastAsia" w:ascii="宋体" w:hAnsi="宋体" w:cs="宋体"/>
          <w:b/>
          <w:bCs/>
          <w:color w:val="auto"/>
        </w:rPr>
        <w:t>（二）电子化投标文件的签章</w:t>
      </w:r>
    </w:p>
    <w:p w14:paraId="7BD3025F">
      <w:pPr>
        <w:spacing w:line="271" w:lineRule="auto"/>
        <w:rPr>
          <w:rFonts w:ascii="宋体" w:hAnsi="宋体" w:cs="宋体"/>
          <w:b/>
          <w:bCs/>
          <w:color w:val="auto"/>
        </w:rPr>
      </w:pPr>
      <w:r>
        <w:rPr>
          <w:rFonts w:hint="eastAsia" w:ascii="宋体" w:hAnsi="宋体" w:cs="宋体"/>
          <w:b/>
          <w:bCs/>
          <w:color w:val="auto"/>
        </w:rPr>
        <w:t>1、投标人在生成电子化投标文件后，应对电子化投标文件进行签章，未进行签章的视为无效投标。</w:t>
      </w:r>
    </w:p>
    <w:p w14:paraId="032A6F32">
      <w:pPr>
        <w:spacing w:line="271" w:lineRule="auto"/>
        <w:rPr>
          <w:rFonts w:ascii="宋体" w:hAnsi="宋体" w:cs="宋体"/>
          <w:b/>
          <w:bCs/>
          <w:color w:val="auto"/>
        </w:rPr>
      </w:pPr>
      <w:r>
        <w:rPr>
          <w:rFonts w:hint="eastAsia" w:ascii="宋体" w:hAnsi="宋体" w:cs="宋体"/>
          <w:b/>
          <w:bCs/>
          <w:color w:val="auto"/>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14:paraId="2C8CDD79">
      <w:pPr>
        <w:spacing w:line="271" w:lineRule="auto"/>
        <w:rPr>
          <w:rFonts w:ascii="宋体" w:hAnsi="宋体" w:cs="宋体"/>
          <w:b/>
          <w:bCs/>
          <w:color w:val="auto"/>
        </w:rPr>
      </w:pPr>
      <w:r>
        <w:rPr>
          <w:rFonts w:hint="eastAsia" w:ascii="宋体" w:hAnsi="宋体" w:cs="宋体"/>
          <w:b/>
          <w:bCs/>
          <w:color w:val="auto"/>
        </w:rPr>
        <w:t>（三）电子化投标文件的格式及上传投标</w:t>
      </w:r>
    </w:p>
    <w:p w14:paraId="372CA726">
      <w:pPr>
        <w:spacing w:line="271" w:lineRule="auto"/>
        <w:rPr>
          <w:rFonts w:ascii="宋体" w:hAnsi="宋体" w:cs="宋体"/>
          <w:b/>
          <w:bCs/>
          <w:color w:val="auto"/>
        </w:rPr>
      </w:pPr>
      <w:r>
        <w:rPr>
          <w:rFonts w:hint="eastAsia" w:ascii="宋体" w:hAnsi="宋体" w:cs="宋体"/>
          <w:b/>
          <w:bCs/>
          <w:color w:val="auto"/>
        </w:rPr>
        <w:t>1、投标人所上传的电子化投标文件，应是通过中心投标文件制作系统制作的，经过签章和加密后生成的电子版投标文件。生成的电子版投标文件包含用于投标文件上传的主文件（项目文件格式为：xxx公司_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项目名称.bin），备份文件主要用于电子化开标出现技术问题后的补救，请投标人随身携带。</w:t>
      </w:r>
    </w:p>
    <w:p w14:paraId="73763BA5">
      <w:pPr>
        <w:spacing w:line="271" w:lineRule="auto"/>
        <w:rPr>
          <w:rFonts w:ascii="宋体" w:hAnsi="宋体" w:cs="宋体"/>
          <w:b/>
          <w:bCs/>
          <w:color w:val="auto"/>
        </w:rPr>
      </w:pPr>
      <w:r>
        <w:rPr>
          <w:rFonts w:hint="eastAsia" w:ascii="宋体" w:hAnsi="宋体" w:cs="宋体"/>
          <w:b/>
          <w:bCs/>
          <w:color w:val="auto"/>
        </w:rPr>
        <w:t>注：（1）投标人投报多个标段的，根据标段制作各个标段的投标文件后上传</w:t>
      </w:r>
    </w:p>
    <w:p w14:paraId="73FC4E85">
      <w:pPr>
        <w:spacing w:line="271" w:lineRule="auto"/>
        <w:rPr>
          <w:rFonts w:ascii="宋体" w:hAnsi="宋体" w:cs="宋体"/>
          <w:b/>
          <w:bCs/>
          <w:color w:val="auto"/>
        </w:rPr>
      </w:pPr>
      <w:r>
        <w:rPr>
          <w:rFonts w:hint="eastAsia" w:ascii="宋体" w:hAnsi="宋体" w:cs="宋体"/>
          <w:b/>
          <w:bCs/>
          <w:color w:val="auto"/>
        </w:rPr>
        <w:t>2、电子化投标文件应在投标截止时间前成功上传至平顶山市公共资源电子化交易系统。至投标截止时间止，仍未上传成功的电子化投标文件将不予接收。</w:t>
      </w:r>
    </w:p>
    <w:p w14:paraId="274E348E">
      <w:pPr>
        <w:spacing w:line="271" w:lineRule="auto"/>
        <w:rPr>
          <w:rFonts w:ascii="宋体" w:hAnsi="宋体" w:cs="宋体"/>
          <w:b/>
          <w:bCs/>
          <w:color w:val="auto"/>
        </w:rPr>
      </w:pPr>
      <w:r>
        <w:rPr>
          <w:rFonts w:hint="eastAsia" w:ascii="宋体" w:hAnsi="宋体" w:cs="宋体"/>
          <w:b/>
          <w:bCs/>
          <w:color w:val="auto"/>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7C9C229C">
      <w:pPr>
        <w:spacing w:line="271" w:lineRule="auto"/>
        <w:rPr>
          <w:rFonts w:ascii="宋体" w:hAnsi="宋体" w:cs="宋体"/>
          <w:b/>
          <w:bCs/>
          <w:color w:val="auto"/>
        </w:rPr>
      </w:pPr>
      <w:r>
        <w:rPr>
          <w:rFonts w:hint="eastAsia" w:ascii="宋体" w:hAnsi="宋体" w:cs="宋体"/>
          <w:b/>
          <w:bCs/>
          <w:color w:val="auto"/>
        </w:rPr>
        <w:t>（四）电子化项目开标、解密、唱标、评标</w:t>
      </w:r>
    </w:p>
    <w:p w14:paraId="00BA9E9F">
      <w:pPr>
        <w:spacing w:line="271" w:lineRule="auto"/>
        <w:rPr>
          <w:rFonts w:ascii="宋体" w:hAnsi="宋体" w:cs="宋体"/>
          <w:b/>
          <w:bCs/>
          <w:color w:val="auto"/>
        </w:rPr>
      </w:pPr>
      <w:r>
        <w:rPr>
          <w:rFonts w:hint="eastAsia" w:ascii="宋体" w:hAnsi="宋体" w:cs="宋体"/>
          <w:b/>
          <w:bCs/>
          <w:color w:val="auto"/>
        </w:rPr>
        <w:t>1、电子化投标文件采用双重加密方式。开标时，首先由投标人使用CA证书，在规定时间内对其电子化投标文件进行首次解密，投标人解密完成后，再由中介服务机构使用CA证书对投标文件进行再次解密。</w:t>
      </w:r>
    </w:p>
    <w:p w14:paraId="47D084EC">
      <w:pPr>
        <w:spacing w:line="271" w:lineRule="auto"/>
        <w:rPr>
          <w:rFonts w:ascii="宋体" w:hAnsi="宋体" w:cs="宋体"/>
          <w:b/>
          <w:bCs/>
          <w:color w:val="auto"/>
        </w:rPr>
      </w:pPr>
      <w:r>
        <w:rPr>
          <w:rFonts w:hint="eastAsia" w:ascii="宋体" w:hAnsi="宋体" w:cs="宋体"/>
          <w:b/>
          <w:bCs/>
          <w:color w:val="auto"/>
        </w:rPr>
        <w:t>2、电子化投标文件解密异常的处理</w:t>
      </w:r>
    </w:p>
    <w:p w14:paraId="24EF1249">
      <w:pPr>
        <w:spacing w:line="271" w:lineRule="auto"/>
        <w:rPr>
          <w:rFonts w:ascii="宋体" w:hAnsi="宋体" w:cs="宋体"/>
          <w:b/>
          <w:bCs/>
          <w:color w:val="auto"/>
        </w:rPr>
      </w:pPr>
      <w:r>
        <w:rPr>
          <w:rFonts w:hint="eastAsia" w:ascii="宋体" w:hAnsi="宋体" w:cs="宋体"/>
          <w:b/>
          <w:bCs/>
          <w:color w:val="auto"/>
        </w:rPr>
        <w:t>如出现投标人的电子投标文件无法解密的情况，投标人应及时联系中介服务机构说明。投标文件解密异常，按以下步骤进行处理：</w:t>
      </w:r>
    </w:p>
    <w:p w14:paraId="75B9D855">
      <w:pPr>
        <w:spacing w:line="271" w:lineRule="auto"/>
        <w:rPr>
          <w:rFonts w:ascii="宋体" w:hAnsi="宋体" w:cs="宋体"/>
          <w:b/>
          <w:bCs/>
          <w:color w:val="auto"/>
        </w:rPr>
      </w:pPr>
      <w:r>
        <w:rPr>
          <w:rFonts w:hint="eastAsia" w:ascii="宋体" w:hAnsi="宋体" w:cs="宋体"/>
          <w:b/>
          <w:bCs/>
          <w:color w:val="auto"/>
        </w:rPr>
        <w:t>（1）首先由技术人员进行问题排查。</w:t>
      </w:r>
    </w:p>
    <w:p w14:paraId="336D6063">
      <w:pPr>
        <w:spacing w:line="271" w:lineRule="auto"/>
        <w:rPr>
          <w:rFonts w:ascii="宋体" w:hAnsi="宋体" w:cs="宋体"/>
          <w:b/>
          <w:bCs/>
          <w:color w:val="auto"/>
        </w:rPr>
      </w:pPr>
      <w:r>
        <w:rPr>
          <w:rFonts w:hint="eastAsia" w:ascii="宋体" w:hAnsi="宋体" w:cs="宋体"/>
          <w:b/>
          <w:bCs/>
          <w:color w:val="auto"/>
        </w:rPr>
        <w:t>（2）经技术人员排查后，是投标人文件自身问题导致投标文件无法解密的，该投标文件将不予接收、解密和唱标，开标会议继续进行。</w:t>
      </w:r>
    </w:p>
    <w:p w14:paraId="01DE03B0">
      <w:pPr>
        <w:spacing w:line="271" w:lineRule="auto"/>
        <w:rPr>
          <w:rFonts w:ascii="宋体" w:hAnsi="宋体" w:cs="宋体"/>
          <w:b/>
          <w:bCs/>
          <w:color w:val="auto"/>
        </w:rPr>
      </w:pPr>
      <w:r>
        <w:rPr>
          <w:rFonts w:hint="eastAsia" w:ascii="宋体" w:hAnsi="宋体" w:cs="宋体"/>
          <w:b/>
          <w:bCs/>
          <w:color w:val="auto"/>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7ECB21E">
      <w:pPr>
        <w:spacing w:line="271" w:lineRule="auto"/>
        <w:rPr>
          <w:rFonts w:ascii="宋体" w:hAnsi="宋体" w:cs="宋体"/>
          <w:b/>
          <w:bCs/>
          <w:color w:val="auto"/>
        </w:rPr>
      </w:pPr>
      <w:r>
        <w:rPr>
          <w:rFonts w:hint="eastAsia" w:ascii="宋体" w:hAnsi="宋体" w:cs="宋体"/>
          <w:b/>
          <w:bCs/>
          <w:color w:val="auto"/>
        </w:rPr>
        <w:t>3、待所有投标人投标文件解密完成后，由中介服务机构操作，对所有已解密投标文件进行唱标。</w:t>
      </w:r>
    </w:p>
    <w:p w14:paraId="57A002A0">
      <w:pPr>
        <w:spacing w:line="271" w:lineRule="auto"/>
        <w:rPr>
          <w:rFonts w:ascii="宋体" w:hAnsi="宋体" w:cs="宋体"/>
          <w:b/>
          <w:bCs/>
          <w:color w:val="auto"/>
        </w:rPr>
      </w:pPr>
      <w:r>
        <w:rPr>
          <w:rFonts w:hint="eastAsia" w:ascii="宋体" w:hAnsi="宋体" w:cs="宋体"/>
          <w:b/>
          <w:bCs/>
          <w:color w:val="auto"/>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29E08FAD">
      <w:pPr>
        <w:spacing w:line="271" w:lineRule="auto"/>
        <w:rPr>
          <w:rFonts w:ascii="宋体" w:hAnsi="宋体" w:cs="宋体"/>
          <w:b/>
          <w:bCs/>
          <w:color w:val="auto"/>
        </w:rPr>
      </w:pPr>
      <w:r>
        <w:rPr>
          <w:rFonts w:hint="eastAsia" w:ascii="宋体" w:hAnsi="宋体" w:cs="宋体"/>
          <w:b/>
          <w:bCs/>
          <w:color w:val="auto"/>
        </w:rPr>
        <w:t>5、如评标委员会对需要回复的投标人回复内容有异议的，经过几次回复仍不清楚的，需在监督下进行免提电话进行质疑。</w:t>
      </w:r>
    </w:p>
    <w:p w14:paraId="724C02B5">
      <w:pPr>
        <w:pStyle w:val="14"/>
        <w:ind w:left="152" w:leftChars="23" w:hanging="104" w:hangingChars="47"/>
        <w:rPr>
          <w:b/>
          <w:bCs/>
          <w:color w:val="auto"/>
        </w:rPr>
      </w:pPr>
      <w:r>
        <w:rPr>
          <w:rFonts w:hint="eastAsia"/>
          <w:b/>
          <w:bCs/>
          <w:color w:val="auto"/>
        </w:rPr>
        <w:t>6、评标时如因系统异常、停电、电脑病毒、网络堵塞等原因无法正常进行的，由技术人员排查解决，短时间无法解决的，经监督部门同意后，暂停评标活动，待问题解决后继续评标。</w:t>
      </w:r>
    </w:p>
    <w:p w14:paraId="6C5D32D0">
      <w:pPr>
        <w:rPr>
          <w:rFonts w:ascii="宋体" w:hAnsi="宋体" w:cs="宋体"/>
          <w:color w:val="auto"/>
        </w:rPr>
      </w:pPr>
    </w:p>
    <w:p w14:paraId="3970FCD0">
      <w:pPr>
        <w:pStyle w:val="39"/>
        <w:ind w:firstLine="520"/>
        <w:rPr>
          <w:rFonts w:ascii="宋体" w:hAnsi="宋体" w:cs="宋体"/>
          <w:color w:val="auto"/>
        </w:rPr>
      </w:pPr>
    </w:p>
    <w:p w14:paraId="788F5898">
      <w:pPr>
        <w:pStyle w:val="39"/>
        <w:ind w:firstLine="520"/>
        <w:rPr>
          <w:rFonts w:ascii="宋体" w:hAnsi="宋体" w:cs="宋体"/>
          <w:color w:val="auto"/>
        </w:rPr>
      </w:pPr>
    </w:p>
    <w:p w14:paraId="1FB38D3D">
      <w:pPr>
        <w:rPr>
          <w:rFonts w:ascii="宋体" w:hAnsi="宋体" w:cs="宋体"/>
          <w:color w:val="auto"/>
        </w:rPr>
      </w:pPr>
    </w:p>
    <w:sectPr>
      <w:footerReference r:id="rId1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Calibri Light">
    <w:panose1 w:val="020F0302020204030204"/>
    <w:charset w:val="00"/>
    <w:family w:val="swiss"/>
    <w:pitch w:val="default"/>
    <w:sig w:usb0="A00002EF" w:usb1="4000207B" w:usb2="00000000" w:usb3="00000000" w:csb0="2000019F" w:csb1="00000000"/>
  </w:font>
  <w:font w:name="TimesNewRomanPSMT">
    <w:altName w:val="Times New Roman"/>
    <w:panose1 w:val="00000000000000000000"/>
    <w:charset w:val="00"/>
    <w:family w:val="auto"/>
    <w:pitch w:val="default"/>
    <w:sig w:usb0="00000000" w:usb1="00000000" w:usb2="00000001" w:usb3="00000000" w:csb0="400001BF" w:csb1="DFF70000"/>
  </w:font>
  <w:font w:name="Microsoft JhengHei UI Light">
    <w:altName w:val="Microsoft JhengHei"/>
    <w:panose1 w:val="020B03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29669">
    <w:pPr>
      <w:pStyle w:val="9"/>
      <w:spacing w:line="14" w:lineRule="auto"/>
      <w:rPr>
        <w:sz w:val="18"/>
      </w:rP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6EE17">
                          <w:pPr>
                            <w:pStyle w:val="1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iBtMsBAACc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KogbTLAQAAnAMAAA4AAAAAAAAAAQAgAAAAHgEAAGRycy9lMm9E&#10;b2MueG1sUEsFBgAAAAAGAAYAWQEAAFsFAAAAAA==&#10;">
              <v:fill on="f" focussize="0,0"/>
              <v:stroke on="f"/>
              <v:imagedata o:title=""/>
              <o:lock v:ext="edit" aspectratio="f"/>
              <v:textbox inset="0mm,0mm,0mm,0mm" style="mso-fit-shape-to-text:t;">
                <w:txbxContent>
                  <w:p w14:paraId="4F36EE17">
                    <w:pPr>
                      <w:pStyle w:val="19"/>
                    </w:pPr>
                    <w:r>
                      <w:fldChar w:fldCharType="begin"/>
                    </w:r>
                    <w:r>
                      <w:instrText xml:space="preserve"> PAGE  \* MERGEFORMAT </w:instrText>
                    </w:r>
                    <w:r>
                      <w:fldChar w:fldCharType="separate"/>
                    </w:r>
                    <w:r>
                      <w:t>2</w:t>
                    </w:r>
                    <w:r>
                      <w:fldChar w:fldCharType="end"/>
                    </w: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margin">
                <wp:posOffset>2428875</wp:posOffset>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119CA5">
                          <w:pPr>
                            <w:pStyle w:val="19"/>
                          </w:pPr>
                        </w:p>
                      </w:txbxContent>
                    </wps:txbx>
                    <wps:bodyPr wrap="none" lIns="0" tIns="0" rIns="0" bIns="0" upright="1">
                      <a:spAutoFit/>
                    </wps:bodyPr>
                  </wps:wsp>
                </a:graphicData>
              </a:graphic>
            </wp:anchor>
          </w:drawing>
        </mc:Choice>
        <mc:Fallback>
          <w:pict>
            <v:shape id="文本框 4" o:spid="_x0000_s1026" o:spt="202" type="#_x0000_t202" style="position:absolute;left:0pt;margin-left:191.25pt;margin-top:0pt;height:144pt;width:144pt;mso-position-horizontal-relative:margin;mso-wrap-style:none;z-index:251661312;mso-width-relative:page;mso-height-relative:page;" filled="f" stroked="f" coordsize="21600,21600" o:gfxdata="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2rXPnUAAAACAEAAA8AAAAAAAAAAQAgAAAAIgAAAGRycy9k&#10;b3ducmV2LnhtbFBLAQIUABQAAAAIAIdO4kCWRiC2zQEAAKcDAAAOAAAAAAAAAAEAIAAAACMBAABk&#10;cnMvZTJvRG9jLnhtbFBLBQYAAAAABgAGAFkBAABiBQAAAAA=&#10;">
              <v:fill on="f" focussize="0,0"/>
              <v:stroke on="f"/>
              <v:imagedata o:title=""/>
              <o:lock v:ext="edit" aspectratio="f"/>
              <v:textbox inset="0mm,0mm,0mm,0mm" style="mso-fit-shape-to-text:t;">
                <w:txbxContent>
                  <w:p w14:paraId="3E119CA5">
                    <w:pPr>
                      <w:pStyle w:val="19"/>
                    </w:pP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2893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328930" cy="1828800"/>
                      </a:xfrm>
                      <a:prstGeom prst="rect">
                        <a:avLst/>
                      </a:prstGeom>
                      <a:noFill/>
                      <a:ln w="6350">
                        <a:noFill/>
                      </a:ln>
                      <a:effectLst/>
                    </wps:spPr>
                    <wps:txbx>
                      <w:txbxContent>
                        <w:p w14:paraId="20C22738">
                          <w:pPr>
                            <w:pStyle w:val="19"/>
                            <w:rPr>
                              <w:b/>
                              <w:bCs/>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25.9pt;mso-position-horizontal:center;mso-position-horizontal-relative:margin;z-index:251662336;mso-width-relative:page;mso-height-relative:page;" filled="f" stroked="f" coordsize="21600,21600" o:gfxdata="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vXN5W0wAAAAQBAAAPAAAAAAAAAAEAIAAAACIAAABkcnMvZG93bnJldi54&#10;bWxQSwECFAAUAAAACACHTuJAqMIMyDgCAABkBAAADgAAAAAAAAABACAAAAAiAQAAZHJzL2Uyb0Rv&#10;Yy54bWxQSwUGAAAAAAYABgBZAQAAzAUAAAAA&#10;">
              <v:fill on="f" focussize="0,0"/>
              <v:stroke on="f" weight="0.5pt"/>
              <v:imagedata o:title=""/>
              <o:lock v:ext="edit" aspectratio="f"/>
              <v:textbox inset="0mm,0mm,0mm,0mm" style="mso-fit-shape-to-text:t;">
                <w:txbxContent>
                  <w:p w14:paraId="20C22738">
                    <w:pPr>
                      <w:pStyle w:val="19"/>
                      <w:rPr>
                        <w:b/>
                        <w:bCs/>
                      </w:rPr>
                    </w:pPr>
                  </w:p>
                </w:txbxContent>
              </v:textbox>
            </v:shape>
          </w:pict>
        </mc:Fallback>
      </mc:AlternateContent>
    </w:r>
    <w:r>
      <w:rPr>
        <w:lang w:val="en-US"/>
      </w:rPr>
      <mc:AlternateContent>
        <mc:Choice Requires="wps">
          <w:drawing>
            <wp:anchor distT="0" distB="0" distL="114300" distR="114300" simplePos="0" relativeHeight="251670528" behindDoc="1" locked="0" layoutInCell="1" allowOverlap="1">
              <wp:simplePos x="0" y="0"/>
              <wp:positionH relativeFrom="page">
                <wp:posOffset>3766820</wp:posOffset>
              </wp:positionH>
              <wp:positionV relativeFrom="page">
                <wp:posOffset>9704070</wp:posOffset>
              </wp:positionV>
              <wp:extent cx="167005" cy="1524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a:effectLst/>
                    </wps:spPr>
                    <wps:txbx>
                      <w:txbxContent>
                        <w:p w14:paraId="5E13F481">
                          <w:pPr>
                            <w:spacing w:before="12"/>
                            <w:rPr>
                              <w:rFonts w:ascii="Times New Roman"/>
                              <w:sz w:val="18"/>
                            </w:rPr>
                          </w:pPr>
                        </w:p>
                      </w:txbxContent>
                    </wps:txbx>
                    <wps:bodyPr lIns="0" tIns="0" rIns="0" bIns="0" upright="1"/>
                  </wps:wsp>
                </a:graphicData>
              </a:graphic>
            </wp:anchor>
          </w:drawing>
        </mc:Choice>
        <mc:Fallback>
          <w:pict>
            <v:shape id="文本框 6" o:spid="_x0000_s1026" o:spt="202" type="#_x0000_t202" style="position:absolute;left:0pt;margin-left:296.6pt;margin-top:764.1pt;height:12pt;width:13.15pt;mso-position-horizontal-relative:page;mso-position-vertical-relative:page;z-index:-251645952;mso-width-relative:page;mso-height-relative:page;" filled="f" stroked="f" coordsize="21600,21600" o:gfxdata="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9OWKnaAAAADQEAAA8AAAAAAAAAAQAgAAAAIgAAAGRycy9k&#10;b3ducmV2LnhtbFBLAQIUABQAAAAIAIdO4kA/mA2HxwEAAIkDAAAOAAAAAAAAAAEAIAAAACkBAABk&#10;cnMvZTJvRG9jLnhtbFBLBQYAAAAABgAGAFkBAABiBQAAAAA=&#10;">
              <v:fill on="f" focussize="0,0"/>
              <v:stroke on="f"/>
              <v:imagedata o:title=""/>
              <o:lock v:ext="edit" aspectratio="f"/>
              <v:textbox inset="0mm,0mm,0mm,0mm">
                <w:txbxContent>
                  <w:p w14:paraId="5E13F481">
                    <w:pPr>
                      <w:spacing w:before="12"/>
                      <w:rPr>
                        <w:rFonts w:ascii="Times New Roman"/>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DF7F">
    <w:pPr>
      <w:pStyle w:val="1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1F73BC">
                          <w:pPr>
                            <w:pStyle w:val="1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- 35 -</w:t>
                          </w:r>
                          <w:r>
                            <w:rPr>
                              <w:b/>
                              <w:bCs/>
                              <w:sz w:val="24"/>
                              <w:szCs w:val="24"/>
                            </w:rPr>
                            <w:fldChar w:fldCharType="end"/>
                          </w:r>
                          <w:r>
                            <w:rPr>
                              <w:lang w:val="zh-CN"/>
                            </w:rPr>
                            <w:t xml:space="preserve"> </w:t>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bil+1zAEAAJwDAAAOAAAAAAAAAAEAIAAAAB4BAABkcnMvZTJv&#10;RG9jLnhtbFBLBQYAAAAABgAGAFkBAABcBQAAAAA=&#10;">
              <v:fill on="f" focussize="0,0"/>
              <v:stroke on="f"/>
              <v:imagedata o:title=""/>
              <o:lock v:ext="edit" aspectratio="f"/>
              <v:textbox inset="0mm,0mm,0mm,0mm" style="mso-fit-shape-to-text:t;">
                <w:txbxContent>
                  <w:p w14:paraId="571F73BC">
                    <w:pPr>
                      <w:pStyle w:val="1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- 35 -</w:t>
                    </w:r>
                    <w:r>
                      <w:rPr>
                        <w:b/>
                        <w:bCs/>
                        <w:sz w:val="24"/>
                        <w:szCs w:val="24"/>
                      </w:rPr>
                      <w:fldChar w:fldCharType="end"/>
                    </w:r>
                    <w:r>
                      <w:rPr>
                        <w:lang w:val="zh-CN"/>
                      </w:rPr>
                      <w:t xml:space="preserve"> </w:t>
                    </w:r>
                  </w:p>
                </w:txbxContent>
              </v:textbox>
            </v:shape>
          </w:pict>
        </mc:Fallback>
      </mc:AlternateContent>
    </w:r>
  </w:p>
  <w:p w14:paraId="02688832">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AC49">
    <w:pPr>
      <w:pStyle w:val="1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47D5EF">
                          <w:pPr>
                            <w:pStyle w:val="19"/>
                          </w:pPr>
                          <w:r>
                            <w:fldChar w:fldCharType="begin"/>
                          </w:r>
                          <w:r>
                            <w:instrText xml:space="preserve"> PAGE  \* MERGEFORMAT </w:instrText>
                          </w:r>
                          <w:r>
                            <w:fldChar w:fldCharType="separate"/>
                          </w:r>
                          <w:r>
                            <w:t>- 46 -</w:t>
                          </w:r>
                          <w: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YkAcsBAACc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7Ks&#10;Xq9yh/oANSY+BExNw50fcG9mP6AzCx9UtPmLkgjGsb/na3/lkIjIj9ar9brCkMDYfEF89vg8REhv&#10;pbckGw2NOMDSV356D2lMnVNyNefvtTFliMb95UDM7GGZ+8gxW2nYD5OgvW/PqKfH2TfU4apTYt45&#10;bG1ek9mIs7GfjWOI+tAhtWXhBeH2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TmJAHLAQAAnAMAAA4AAAAAAAAAAQAgAAAAHgEAAGRycy9lMm9E&#10;b2MueG1sUEsFBgAAAAAGAAYAWQEAAFsFAAAAAA==&#10;">
              <v:fill on="f" focussize="0,0"/>
              <v:stroke on="f"/>
              <v:imagedata o:title=""/>
              <o:lock v:ext="edit" aspectratio="f"/>
              <v:textbox inset="0mm,0mm,0mm,0mm" style="mso-fit-shape-to-text:t;">
                <w:txbxContent>
                  <w:p w14:paraId="5047D5EF">
                    <w:pPr>
                      <w:pStyle w:val="19"/>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D3857">
    <w:pPr>
      <w:pStyle w:val="1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568B2">
                          <w:pPr>
                            <w:pStyle w:val="19"/>
                          </w:pPr>
                          <w:r>
                            <w:fldChar w:fldCharType="begin"/>
                          </w:r>
                          <w:r>
                            <w:instrText xml:space="preserve"> PAGE  \* MERGEFORMAT </w:instrText>
                          </w:r>
                          <w:r>
                            <w:fldChar w:fldCharType="separate"/>
                          </w:r>
                          <w:r>
                            <w:t>- 55 -</w:t>
                          </w:r>
                          <w:r>
                            <w:fldChar w:fldCharType="end"/>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U7MsBAACcAwAADgAAAGRycy9lMm9Eb2MueG1srVNNrtMwEN4jcQfL&#10;e+q0C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X1HiuMWBX75/u/z4dfn5lSyr&#10;5y9yh/oANSbeBUxNwxs/4N7MfkBnFj6oaPMXJRGMY3/P1/7KIRGRH61X63WFIYGx+YL47P55iJDe&#10;Sm9JNhoacYClr/z0HtKYOqfkas7famPKEI37y4GY2cMy95FjttKwHyZBe9+eUU+Ps2+ow1WnxLxz&#10;2Nq8JrMRZ2M/G8cQ9aFDasvCC8LrY0IShVuuMMJOhXFoRd20YHkr/ryXrPu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h1VOzLAQAAnAMAAA4AAAAAAAAAAQAgAAAAHgEAAGRycy9lMm9E&#10;b2MueG1sUEsFBgAAAAAGAAYAWQEAAFsFAAAAAA==&#10;">
              <v:fill on="f" focussize="0,0"/>
              <v:stroke on="f"/>
              <v:imagedata o:title=""/>
              <o:lock v:ext="edit" aspectratio="f"/>
              <v:textbox inset="0mm,0mm,0mm,0mm" style="mso-fit-shape-to-text:t;">
                <w:txbxContent>
                  <w:p w14:paraId="2D7568B2">
                    <w:pPr>
                      <w:pStyle w:val="19"/>
                    </w:pPr>
                    <w:r>
                      <w:fldChar w:fldCharType="begin"/>
                    </w:r>
                    <w:r>
                      <w:instrText xml:space="preserve"> PAGE  \* MERGEFORMAT </w:instrText>
                    </w:r>
                    <w:r>
                      <w:fldChar w:fldCharType="separate"/>
                    </w:r>
                    <w:r>
                      <w:t>- 55 -</w:t>
                    </w:r>
                    <w: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3195" cy="200660"/>
              <wp:effectExtent l="0" t="0" r="0" b="0"/>
              <wp:wrapNone/>
              <wp:docPr id="10" name="文本框 2059"/>
              <wp:cNvGraphicFramePr/>
              <a:graphic xmlns:a="http://schemas.openxmlformats.org/drawingml/2006/main">
                <a:graphicData uri="http://schemas.microsoft.com/office/word/2010/wordprocessingShape">
                  <wps:wsp>
                    <wps:cNvSpPr txBox="1"/>
                    <wps:spPr>
                      <a:xfrm>
                        <a:off x="0" y="0"/>
                        <a:ext cx="163195" cy="200660"/>
                      </a:xfrm>
                      <a:prstGeom prst="rect">
                        <a:avLst/>
                      </a:prstGeom>
                      <a:noFill/>
                      <a:ln>
                        <a:noFill/>
                      </a:ln>
                    </wps:spPr>
                    <wps:txbx>
                      <w:txbxContent>
                        <w:p w14:paraId="26B031A6">
                          <w:pPr>
                            <w:pStyle w:val="19"/>
                          </w:pPr>
                          <w:r>
                            <w:t xml:space="preserve"> </w:t>
                          </w:r>
                        </w:p>
                      </w:txbxContent>
                    </wps:txbx>
                    <wps:bodyPr lIns="0" tIns="0" rIns="0" bIns="0" upright="1"/>
                  </wps:wsp>
                </a:graphicData>
              </a:graphic>
            </wp:anchor>
          </w:drawing>
        </mc:Choice>
        <mc:Fallback>
          <w:pict>
            <v:shape id="文本框 2059" o:spid="_x0000_s1026" o:spt="202" type="#_x0000_t202" style="position:absolute;left:0pt;margin-top:0pt;height:15.8pt;width:12.85pt;mso-position-horizontal:center;mso-position-horizontal-relative:margin;z-index:251668480;mso-width-relative:page;mso-height-relative:page;" filled="f" stroked="f" coordsize="21600,21600" o:gfxdata="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DYA+m1AAAAAMBAAAPAAAAAAAAAAEAIAAAACIAAABkcnMvZG93bnJldi54bWxQSwECFAAU&#10;AAAACACHTuJAB0fgirwBAAB1AwAADgAAAAAAAAABACAAAAAjAQAAZHJzL2Uyb0RvYy54bWxQSwUG&#10;AAAAAAYABgBZAQAAUQUAAAAA&#10;">
              <v:fill on="f" focussize="0,0"/>
              <v:stroke on="f"/>
              <v:imagedata o:title=""/>
              <o:lock v:ext="edit" aspectratio="f"/>
              <v:textbox inset="0mm,0mm,0mm,0mm">
                <w:txbxContent>
                  <w:p w14:paraId="26B031A6">
                    <w:pPr>
                      <w:pStyle w:val="19"/>
                    </w:pP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A57B0">
    <w:pPr>
      <w:pStyle w:val="9"/>
      <w:spacing w:line="229" w:lineRule="auto"/>
      <w:ind w:right="14"/>
      <w:jc w:val="right"/>
      <w:rPr>
        <w:sz w:val="18"/>
        <w:szCs w:val="18"/>
      </w:rPr>
    </w:pPr>
    <w:r>
      <w:rPr>
        <w:spacing w:val="-5"/>
        <w:sz w:val="18"/>
        <w:szCs w:val="18"/>
      </w:rPr>
      <w:t>52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705C">
    <w:pPr>
      <w:pStyle w:val="54"/>
    </w:pPr>
  </w:p>
  <w:p w14:paraId="55AD8C3B">
    <w:pPr>
      <w:pStyle w:val="54"/>
    </w:pPr>
  </w:p>
  <w:p w14:paraId="25A49732">
    <w:pPr>
      <w:widowControl/>
      <w:shd w:val="clear" w:color="auto" w:fill="FFFFFF"/>
      <w:spacing w:line="420" w:lineRule="atLeast"/>
      <w:jc w:val="left"/>
      <w:rPr>
        <w:color w:val="000000"/>
        <w:sz w:val="18"/>
        <w:szCs w:val="18"/>
      </w:rPr>
    </w:pPr>
    <w:r>
      <w:rPr>
        <w:rFonts w:hint="eastAsia"/>
        <w:color w:val="000000"/>
        <w:sz w:val="15"/>
        <w:szCs w:val="15"/>
        <w:lang w:eastAsia="zh-CN"/>
      </w:rPr>
      <w:t>平顶山学院24#、25#、26#、27#号学生公寓购置家具项目</w:t>
    </w:r>
    <w:r>
      <w:rPr>
        <w:rFonts w:hint="eastAsia"/>
        <w:color w:val="000000"/>
        <w:sz w:val="15"/>
        <w:szCs w:val="15"/>
      </w:rPr>
      <w:t xml:space="preserve">             </w:t>
    </w:r>
    <w:r>
      <w:rPr>
        <w:rFonts w:hint="eastAsia"/>
        <w:color w:val="000000"/>
        <w:sz w:val="15"/>
        <w:szCs w:val="15"/>
        <w:lang w:val="en-US" w:eastAsia="zh-CN"/>
      </w:rPr>
      <w:t xml:space="preserve">                                   </w:t>
    </w:r>
    <w:r>
      <w:rPr>
        <w:rFonts w:hint="eastAsia"/>
        <w:color w:val="000000"/>
        <w:sz w:val="15"/>
        <w:szCs w:val="15"/>
      </w:rPr>
      <w:t xml:space="preserve"> 招标文件</w:t>
    </w:r>
  </w:p>
  <w:p w14:paraId="0165A53F">
    <w:pPr>
      <w:pStyle w:val="20"/>
      <w:pBdr>
        <w:bottom w:val="none" w:color="auto" w:sz="0" w:space="0"/>
      </w:pBdr>
      <w:ind w:right="1306" w:rightChars="622"/>
    </w:pPr>
    <w: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20955</wp:posOffset>
              </wp:positionV>
              <wp:extent cx="5252720" cy="17780"/>
              <wp:effectExtent l="0" t="28575" r="5080" b="29845"/>
              <wp:wrapNone/>
              <wp:docPr id="3" name="直接箭头连接符 3"/>
              <wp:cNvGraphicFramePr/>
              <a:graphic xmlns:a="http://schemas.openxmlformats.org/drawingml/2006/main">
                <a:graphicData uri="http://schemas.microsoft.com/office/word/2010/wordprocessingShape">
                  <wps:wsp>
                    <wps:cNvCnPr/>
                    <wps:spPr>
                      <a:xfrm>
                        <a:off x="0" y="0"/>
                        <a:ext cx="5252720" cy="17780"/>
                      </a:xfrm>
                      <a:prstGeom prst="straightConnector1">
                        <a:avLst/>
                      </a:prstGeom>
                      <a:ln w="57150" cap="flat" cmpd="thickThin">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3pt;margin-top:1.65pt;height:1.4pt;width:413.6pt;z-index:251659264;mso-width-relative:page;mso-height-relative:page;" filled="f" stroked="t" coordsize="21600,21600" o:gfxdata="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36TIG0wAAAAQBAAAPAAAAAAAAAAEAIAAAACIAAABk&#10;cnMvZG93bnJldi54bWxQSwECFAAUAAAACACHTuJAHzK8BQsCAAAFBAAADgAAAAAAAAABACAAAAAi&#10;AQAAZHJzL2Uyb0RvYy54bWxQSwUGAAAAAAYABgBZAQAAnwUAAAAA&#10;">
              <v:fill on="f" focussize="0,0"/>
              <v:stroke weight="4.5pt" color="#000000" linestyle="thickThin" joinstyle="round"/>
              <v:imagedata o:title=""/>
              <o:lock v:ext="edit" aspectratio="f"/>
            </v:shape>
          </w:pict>
        </mc:Fallback>
      </mc:AlternateConten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2BD54">
    <w:pPr>
      <w:widowControl/>
      <w:shd w:val="clear" w:color="auto" w:fill="FFFFFF"/>
      <w:spacing w:line="420" w:lineRule="atLeast"/>
      <w:rPr>
        <w:color w:val="000000"/>
        <w:sz w:val="15"/>
        <w:szCs w:val="15"/>
      </w:rPr>
    </w:pPr>
  </w:p>
  <w:p w14:paraId="6FFF703F">
    <w:pPr>
      <w:widowControl/>
      <w:shd w:val="clear" w:color="auto" w:fill="FFFFFF"/>
      <w:spacing w:line="420" w:lineRule="atLeast"/>
      <w:jc w:val="left"/>
      <w:rPr>
        <w:color w:val="000000"/>
        <w:sz w:val="15"/>
        <w:szCs w:val="15"/>
      </w:rPr>
    </w:pPr>
    <w:r>
      <w:rPr>
        <w:rFonts w:hint="eastAsia"/>
        <w:color w:val="000000"/>
        <w:sz w:val="15"/>
        <w:szCs w:val="15"/>
        <w:lang w:eastAsia="zh-CN"/>
      </w:rPr>
      <w:t>平顶山学院24#、25#、26#、27#号学生公寓购置家具项目</w:t>
    </w:r>
    <w:r>
      <w:rPr>
        <w:rFonts w:hint="eastAsia"/>
        <w:color w:val="000000"/>
        <w:sz w:val="15"/>
        <w:szCs w:val="15"/>
      </w:rPr>
      <w:t xml:space="preserve">                     </w:t>
    </w:r>
    <w:r>
      <w:rPr>
        <w:rFonts w:hint="eastAsia"/>
        <w:color w:val="000000"/>
        <w:sz w:val="15"/>
        <w:szCs w:val="15"/>
        <w:lang w:val="en-US" w:eastAsia="zh-CN"/>
      </w:rPr>
      <w:t xml:space="preserve">                                    </w:t>
    </w:r>
    <w:r>
      <w:rPr>
        <w:rFonts w:hint="eastAsia"/>
        <w:color w:val="000000"/>
        <w:sz w:val="15"/>
        <w:szCs w:val="15"/>
      </w:rPr>
      <w:t xml:space="preserve">  招标文件</w:t>
    </w:r>
  </w:p>
  <w:p w14:paraId="44206C93">
    <w:pPr>
      <w:pStyle w:val="20"/>
      <w:pBdr>
        <w:bottom w:val="none" w:color="auto" w:sz="0" w:space="1"/>
      </w:pBdr>
    </w:pPr>
    <w: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59055</wp:posOffset>
              </wp:positionV>
              <wp:extent cx="5678170" cy="635"/>
              <wp:effectExtent l="0" t="28575" r="17780" b="46990"/>
              <wp:wrapNone/>
              <wp:docPr id="2" name="直接连接符 2"/>
              <wp:cNvGraphicFramePr/>
              <a:graphic xmlns:a="http://schemas.openxmlformats.org/drawingml/2006/main">
                <a:graphicData uri="http://schemas.microsoft.com/office/word/2010/wordprocessingShape">
                  <wps:wsp>
                    <wps:cNvCnPr/>
                    <wps:spPr>
                      <a:xfrm>
                        <a:off x="0" y="0"/>
                        <a:ext cx="5678170" cy="635"/>
                      </a:xfrm>
                      <a:prstGeom prst="line">
                        <a:avLst/>
                      </a:prstGeom>
                      <a:ln w="571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55pt;margin-top:4.65pt;height:0.05pt;width:447.1pt;z-index:251663360;mso-width-relative:page;mso-height-relative:page;" filled="f" stroked="t" coordsize="21600,21600" o:gfxdata="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8CDF60QAAAAUBAAAPAAAAAAAAAAEAIAAAACIAAABkcnMvZG93bnJldi54bWxQSwECFAAUAAAA&#10;CACHTuJAVAIg7fUBAADvAwAADgAAAAAAAAABACAAAAAgAQAAZHJzL2Uyb0RvYy54bWxQSwUGAAAA&#10;AAYABgBZAQAAhwUAAAAA&#10;">
              <v:fill on="f" focussize="0,0"/>
              <v:stroke weight="4.5pt" color="#000000" linestyle="thickThin"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B8FF">
    <w:pPr>
      <w:pStyle w:val="20"/>
      <w:pBdr>
        <w:bottom w:val="thinThickThinSmallGap" w:color="auto" w:sz="18" w:space="1"/>
      </w:pBdr>
      <w:rPr>
        <w:color w:val="000000"/>
      </w:rPr>
    </w:pPr>
  </w:p>
  <w:p w14:paraId="50E866F0">
    <w:pPr>
      <w:pStyle w:val="20"/>
      <w:pBdr>
        <w:bottom w:val="thinThickThinSmallGap" w:color="auto" w:sz="18" w:space="1"/>
      </w:pBdr>
      <w:jc w:val="both"/>
      <w:rPr>
        <w:sz w:val="15"/>
        <w:szCs w:val="15"/>
      </w:rPr>
    </w:pPr>
    <w:r>
      <w:rPr>
        <w:rFonts w:hint="eastAsia"/>
        <w:color w:val="000000"/>
        <w:sz w:val="15"/>
        <w:szCs w:val="15"/>
        <w:lang w:eastAsia="zh-CN"/>
      </w:rPr>
      <w:t>平顶山学院24#、25#、26#、27#号学生公寓购置家具项目</w:t>
    </w:r>
    <w:r>
      <w:rPr>
        <w:rFonts w:hint="eastAsia"/>
        <w:color w:val="000000"/>
        <w:sz w:val="15"/>
        <w:szCs w:val="15"/>
      </w:rPr>
      <w:t xml:space="preserve">   </w:t>
    </w:r>
    <w:r>
      <w:rPr>
        <w:rFonts w:hint="eastAsia"/>
        <w:color w:val="000000"/>
        <w:sz w:val="15"/>
        <w:szCs w:val="15"/>
        <w:lang w:val="en-US" w:eastAsia="zh-CN"/>
      </w:rPr>
      <w:t xml:space="preserve">       </w:t>
    </w:r>
    <w:r>
      <w:rPr>
        <w:rFonts w:hint="eastAsia"/>
        <w:color w:val="000000"/>
        <w:sz w:val="15"/>
        <w:szCs w:val="15"/>
      </w:rPr>
      <w:t xml:space="preserve">   </w:t>
    </w:r>
    <w:r>
      <w:rPr>
        <w:rFonts w:hint="eastAsia"/>
        <w:color w:val="000000"/>
        <w:sz w:val="15"/>
        <w:szCs w:val="15"/>
        <w:lang w:val="en-US" w:eastAsia="zh-CN"/>
      </w:rPr>
      <w:t xml:space="preserve">                                   </w:t>
    </w:r>
    <w:r>
      <w:rPr>
        <w:rFonts w:hint="eastAsia"/>
        <w:color w:val="000000"/>
        <w:sz w:val="15"/>
        <w:szCs w:val="15"/>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4C3F4">
    <w:pPr>
      <w:widowControl/>
      <w:pBdr>
        <w:bottom w:val="thinThickThinSmallGap" w:color="000000" w:sz="18" w:space="0"/>
      </w:pBdr>
      <w:shd w:val="clear" w:color="auto" w:fill="FFFFFF"/>
      <w:spacing w:line="420" w:lineRule="atLeast"/>
      <w:jc w:val="left"/>
    </w:pPr>
    <w:r>
      <w:rPr>
        <w:rFonts w:hint="eastAsia"/>
        <w:color w:val="000000"/>
        <w:sz w:val="15"/>
        <w:szCs w:val="15"/>
        <w:lang w:eastAsia="zh-CN"/>
      </w:rPr>
      <w:t>平顶山学院24#、25#、26#、27#号学生公寓购置家具项目</w:t>
    </w:r>
    <w:r>
      <w:rPr>
        <w:rFonts w:hint="eastAsia"/>
        <w:color w:val="000000"/>
        <w:sz w:val="15"/>
        <w:szCs w:val="15"/>
      </w:rPr>
      <w:t xml:space="preserve">          </w:t>
    </w:r>
    <w:r>
      <w:rPr>
        <w:rFonts w:hint="eastAsia"/>
        <w:color w:val="000000"/>
        <w:sz w:val="15"/>
        <w:szCs w:val="15"/>
        <w:lang w:val="en-US" w:eastAsia="zh-CN"/>
      </w:rPr>
      <w:t xml:space="preserve">                                      </w:t>
    </w:r>
    <w:r>
      <w:rPr>
        <w:rFonts w:hint="eastAsia"/>
        <w:color w:val="000000"/>
        <w:sz w:val="15"/>
        <w:szCs w:val="15"/>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B530">
    <w:pPr>
      <w:widowControl/>
      <w:shd w:val="clear" w:color="auto" w:fill="FFFFFF"/>
      <w:spacing w:line="420" w:lineRule="atLeast"/>
      <w:jc w:val="left"/>
      <w:rPr>
        <w:rFonts w:hint="eastAsia"/>
        <w:color w:val="000000"/>
        <w:sz w:val="15"/>
        <w:szCs w:val="15"/>
        <w:lang w:eastAsia="zh-CN"/>
      </w:rPr>
    </w:pPr>
  </w:p>
  <w:p w14:paraId="485636E0">
    <w:pPr>
      <w:widowControl/>
      <w:shd w:val="clear" w:color="auto" w:fill="FFFFFF"/>
      <w:spacing w:line="420" w:lineRule="atLeast"/>
      <w:jc w:val="left"/>
      <w:rPr>
        <w:rFonts w:hint="eastAsia"/>
        <w:color w:val="000000"/>
        <w:sz w:val="15"/>
        <w:szCs w:val="15"/>
        <w:lang w:eastAsia="zh-CN"/>
      </w:rPr>
    </w:pPr>
  </w:p>
  <w:p w14:paraId="39C2E529">
    <w:pPr>
      <w:widowControl/>
      <w:shd w:val="clear" w:color="auto" w:fill="FFFFFF"/>
      <w:spacing w:line="420" w:lineRule="atLeast"/>
      <w:jc w:val="left"/>
      <w:rPr>
        <w:color w:val="000000"/>
        <w:sz w:val="18"/>
        <w:szCs w:val="18"/>
      </w:rPr>
    </w:pPr>
    <w:r>
      <w:rPr>
        <w:color w:val="000000"/>
        <w:sz w:val="15"/>
        <w:szCs w:val="15"/>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304800</wp:posOffset>
              </wp:positionV>
              <wp:extent cx="5292090" cy="5715"/>
              <wp:effectExtent l="0" t="28575" r="3810" b="41910"/>
              <wp:wrapNone/>
              <wp:docPr id="13" name="直接箭头连接符 13"/>
              <wp:cNvGraphicFramePr/>
              <a:graphic xmlns:a="http://schemas.openxmlformats.org/drawingml/2006/main">
                <a:graphicData uri="http://schemas.microsoft.com/office/word/2010/wordprocessingShape">
                  <wps:wsp>
                    <wps:cNvCnPr/>
                    <wps:spPr>
                      <a:xfrm flipV="1">
                        <a:off x="0" y="0"/>
                        <a:ext cx="5292090" cy="5715"/>
                      </a:xfrm>
                      <a:prstGeom prst="straightConnector1">
                        <a:avLst/>
                      </a:prstGeom>
                      <a:ln w="57150" cap="flat" cmpd="thickThin">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15pt;margin-top:24pt;height:0.45pt;width:416.7pt;z-index:251666432;mso-width-relative:page;mso-height-relative:page;" filled="f" stroked="t" coordsize="21600,21600" o:gfxdata="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2nlPNYAAAAIAQAADwAAAAAAAAABACAAAAAi&#10;AAAAZHJzL2Rvd25yZXYueG1sUEsBAhQAFAAAAAgAh07iQLJzeyQMAgAAEAQAAA4AAAAAAAAAAQAg&#10;AAAAJQEAAGRycy9lMm9Eb2MueG1sUEsFBgAAAAAGAAYAWQEAAKMFAAAAAA==&#10;">
              <v:fill on="f" focussize="0,0"/>
              <v:stroke weight="4.5pt" color="#000000" linestyle="thickThin" joinstyle="round"/>
              <v:imagedata o:title=""/>
              <o:lock v:ext="edit" aspectratio="f"/>
            </v:shape>
          </w:pict>
        </mc:Fallback>
      </mc:AlternateContent>
    </w:r>
    <w:r>
      <w:rPr>
        <w:rFonts w:hint="eastAsia"/>
        <w:color w:val="000000"/>
        <w:sz w:val="15"/>
        <w:szCs w:val="15"/>
        <w:lang w:eastAsia="zh-CN"/>
      </w:rPr>
      <w:t>平顶山学院24#、25#、26#、27#号学生公寓购置家具项目</w:t>
    </w:r>
    <w:r>
      <w:rPr>
        <w:rFonts w:hint="eastAsia"/>
        <w:color w:val="000000"/>
        <w:sz w:val="15"/>
        <w:szCs w:val="15"/>
      </w:rPr>
      <w:t xml:space="preserve">     </w:t>
    </w:r>
    <w:r>
      <w:rPr>
        <w:color w:val="000000"/>
        <w:sz w:val="15"/>
        <w:szCs w:val="15"/>
      </w:rPr>
      <w:t xml:space="preserve"> </w:t>
    </w:r>
    <w:r>
      <w:rPr>
        <w:rFonts w:hint="eastAsia"/>
        <w:color w:val="000000"/>
        <w:sz w:val="15"/>
        <w:szCs w:val="15"/>
      </w:rPr>
      <w:t xml:space="preserve">        </w:t>
    </w:r>
    <w:r>
      <w:rPr>
        <w:rFonts w:hint="eastAsia"/>
        <w:color w:val="000000"/>
        <w:sz w:val="15"/>
        <w:szCs w:val="15"/>
        <w:lang w:val="en-US" w:eastAsia="zh-CN"/>
      </w:rPr>
      <w:t xml:space="preserve">                              </w:t>
    </w:r>
    <w:r>
      <w:rPr>
        <w:rFonts w:hint="eastAsia"/>
        <w:color w:val="000000"/>
        <w:sz w:val="15"/>
        <w:szCs w:val="15"/>
      </w:rPr>
      <w:t xml:space="preserve">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6AE2">
    <w:pPr>
      <w:widowControl/>
      <w:shd w:val="clear" w:color="auto" w:fill="FFFFFF"/>
      <w:spacing w:line="420" w:lineRule="atLeast"/>
      <w:rPr>
        <w:color w:val="000000"/>
        <w:sz w:val="15"/>
        <w:szCs w:val="15"/>
      </w:rPr>
    </w:pPr>
  </w:p>
  <w:p w14:paraId="0D902E0E">
    <w:pPr>
      <w:widowControl/>
      <w:shd w:val="clear" w:color="auto" w:fill="FFFFFF"/>
      <w:spacing w:line="420" w:lineRule="atLeast"/>
      <w:jc w:val="left"/>
      <w:rPr>
        <w:sz w:val="15"/>
        <w:szCs w:val="15"/>
      </w:rPr>
    </w:pPr>
    <w:r>
      <w:rPr>
        <w:sz w:val="15"/>
        <w:szCs w:val="15"/>
      </w:rPr>
      <mc:AlternateContent>
        <mc:Choice Requires="wps">
          <w:drawing>
            <wp:anchor distT="0" distB="0" distL="114300" distR="114300" simplePos="0" relativeHeight="251669504" behindDoc="0" locked="0" layoutInCell="1" allowOverlap="1">
              <wp:simplePos x="0" y="0"/>
              <wp:positionH relativeFrom="column">
                <wp:posOffset>-11430</wp:posOffset>
              </wp:positionH>
              <wp:positionV relativeFrom="paragraph">
                <wp:posOffset>280035</wp:posOffset>
              </wp:positionV>
              <wp:extent cx="5718810" cy="9525"/>
              <wp:effectExtent l="0" t="28575" r="15240" b="38100"/>
              <wp:wrapNone/>
              <wp:docPr id="18" name="直接连接符 18"/>
              <wp:cNvGraphicFramePr/>
              <a:graphic xmlns:a="http://schemas.openxmlformats.org/drawingml/2006/main">
                <a:graphicData uri="http://schemas.microsoft.com/office/word/2010/wordprocessingShape">
                  <wps:wsp>
                    <wps:cNvCnPr/>
                    <wps:spPr>
                      <a:xfrm flipV="1">
                        <a:off x="0" y="0"/>
                        <a:ext cx="5690870" cy="18415"/>
                      </a:xfrm>
                      <a:prstGeom prst="line">
                        <a:avLst/>
                      </a:prstGeom>
                      <a:ln w="571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9pt;margin-top:22.05pt;height:0.75pt;width:450.3pt;z-index:251669504;mso-width-relative:page;mso-height-relative:page;" filled="f" stroked="t" coordsize="21600,21600" o:gfxdata="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XKDyNcAAAAIAQAADwAAAAAAAAABACAAAAAiAAAAZHJzL2Rvd25y&#10;ZXYueG1sUEsBAhQAFAAAAAgAh07iQPfrVV//AQAA/QMAAA4AAAAAAAAAAQAgAAAAJgEAAGRycy9l&#10;Mm9Eb2MueG1sUEsFBgAAAAAGAAYAWQEAAJcFAAAAAA==&#10;">
              <v:fill on="f" focussize="0,0"/>
              <v:stroke weight="4.5pt" color="#000000" linestyle="thickThin" joinstyle="round"/>
              <v:imagedata o:title=""/>
              <o:lock v:ext="edit" aspectratio="f"/>
            </v:line>
          </w:pict>
        </mc:Fallback>
      </mc:AlternateContent>
    </w:r>
    <w:r>
      <w:rPr>
        <w:rFonts w:hint="eastAsia"/>
        <w:color w:val="000000"/>
        <w:sz w:val="15"/>
        <w:szCs w:val="15"/>
        <w:lang w:eastAsia="zh-CN"/>
      </w:rPr>
      <w:t>平顶山学院24#、25#、26#、27#号学生公寓购置家具项目</w:t>
    </w:r>
    <w:r>
      <w:rPr>
        <w:rFonts w:hint="eastAsia"/>
        <w:color w:val="000000"/>
        <w:sz w:val="15"/>
        <w:szCs w:val="15"/>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998C7"/>
    <w:multiLevelType w:val="singleLevel"/>
    <w:tmpl w:val="8FF998C7"/>
    <w:lvl w:ilvl="0" w:tentative="0">
      <w:start w:val="1"/>
      <w:numFmt w:val="chineseCounting"/>
      <w:suff w:val="nothing"/>
      <w:lvlText w:val="%1、"/>
      <w:lvlJc w:val="left"/>
      <w:pPr>
        <w:ind w:left="210"/>
      </w:pPr>
      <w:rPr>
        <w:rFonts w:hint="eastAsia"/>
      </w:rPr>
    </w:lvl>
  </w:abstractNum>
  <w:abstractNum w:abstractNumId="1">
    <w:nsid w:val="9EB69EBB"/>
    <w:multiLevelType w:val="singleLevel"/>
    <w:tmpl w:val="9EB69EBB"/>
    <w:lvl w:ilvl="0" w:tentative="0">
      <w:start w:val="1"/>
      <w:numFmt w:val="chineseCounting"/>
      <w:suff w:val="space"/>
      <w:lvlText w:val="第%1章"/>
      <w:lvlJc w:val="left"/>
      <w:rPr>
        <w:rFonts w:hint="eastAsia" w:cs="Times New Roman"/>
      </w:rPr>
    </w:lvl>
  </w:abstractNum>
  <w:abstractNum w:abstractNumId="2">
    <w:nsid w:val="BBBBD23B"/>
    <w:multiLevelType w:val="singleLevel"/>
    <w:tmpl w:val="BBBBD23B"/>
    <w:lvl w:ilvl="0" w:tentative="0">
      <w:start w:val="2"/>
      <w:numFmt w:val="chineseCounting"/>
      <w:lvlText w:val="第%1章"/>
      <w:lvlJc w:val="left"/>
      <w:rPr>
        <w:rFonts w:hint="eastAsia" w:cs="Times New Roman"/>
      </w:rPr>
    </w:lvl>
  </w:abstractNum>
  <w:abstractNum w:abstractNumId="3">
    <w:nsid w:val="C8879AEF"/>
    <w:multiLevelType w:val="multilevel"/>
    <w:tmpl w:val="C8879AEF"/>
    <w:lvl w:ilvl="0" w:tentative="0">
      <w:start w:val="1"/>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218" w:hanging="632"/>
      </w:pPr>
      <w:rPr>
        <w:rFonts w:hint="default" w:ascii="宋体" w:hAnsi="宋体" w:eastAsia="宋体" w:cs="宋体"/>
        <w:spacing w:val="-3"/>
        <w:w w:val="100"/>
        <w:sz w:val="21"/>
        <w:szCs w:val="21"/>
      </w:rPr>
    </w:lvl>
    <w:lvl w:ilvl="3" w:tentative="0">
      <w:start w:val="0"/>
      <w:numFmt w:val="bullet"/>
      <w:lvlText w:val="•"/>
      <w:lvlJc w:val="left"/>
      <w:pPr>
        <w:ind w:left="1340" w:hanging="632"/>
      </w:pPr>
      <w:rPr>
        <w:rFonts w:hint="default"/>
      </w:rPr>
    </w:lvl>
    <w:lvl w:ilvl="4" w:tentative="0">
      <w:start w:val="0"/>
      <w:numFmt w:val="bullet"/>
      <w:lvlText w:val="•"/>
      <w:lvlJc w:val="left"/>
      <w:pPr>
        <w:ind w:left="2600" w:hanging="632"/>
      </w:pPr>
      <w:rPr>
        <w:rFonts w:hint="default"/>
      </w:rPr>
    </w:lvl>
    <w:lvl w:ilvl="5" w:tentative="0">
      <w:start w:val="0"/>
      <w:numFmt w:val="bullet"/>
      <w:lvlText w:val="•"/>
      <w:lvlJc w:val="left"/>
      <w:pPr>
        <w:ind w:left="3860" w:hanging="632"/>
      </w:pPr>
      <w:rPr>
        <w:rFonts w:hint="default"/>
      </w:rPr>
    </w:lvl>
    <w:lvl w:ilvl="6" w:tentative="0">
      <w:start w:val="0"/>
      <w:numFmt w:val="bullet"/>
      <w:lvlText w:val="•"/>
      <w:lvlJc w:val="left"/>
      <w:pPr>
        <w:ind w:left="5120" w:hanging="632"/>
      </w:pPr>
      <w:rPr>
        <w:rFonts w:hint="default"/>
      </w:rPr>
    </w:lvl>
    <w:lvl w:ilvl="7" w:tentative="0">
      <w:start w:val="0"/>
      <w:numFmt w:val="bullet"/>
      <w:lvlText w:val="•"/>
      <w:lvlJc w:val="left"/>
      <w:pPr>
        <w:ind w:left="6380" w:hanging="632"/>
      </w:pPr>
      <w:rPr>
        <w:rFonts w:hint="default"/>
      </w:rPr>
    </w:lvl>
    <w:lvl w:ilvl="8" w:tentative="0">
      <w:start w:val="0"/>
      <w:numFmt w:val="bullet"/>
      <w:lvlText w:val="•"/>
      <w:lvlJc w:val="left"/>
      <w:pPr>
        <w:ind w:left="7640" w:hanging="632"/>
      </w:pPr>
      <w:rPr>
        <w:rFonts w:hint="default"/>
      </w:rPr>
    </w:lvl>
  </w:abstractNum>
  <w:abstractNum w:abstractNumId="4">
    <w:nsid w:val="D394DE9E"/>
    <w:multiLevelType w:val="singleLevel"/>
    <w:tmpl w:val="D394DE9E"/>
    <w:lvl w:ilvl="0" w:tentative="0">
      <w:start w:val="1"/>
      <w:numFmt w:val="chineseCounting"/>
      <w:lvlText w:val="(%1)"/>
      <w:lvlJc w:val="left"/>
      <w:pPr>
        <w:tabs>
          <w:tab w:val="left" w:pos="312"/>
        </w:tabs>
      </w:pPr>
      <w:rPr>
        <w:rFonts w:hint="eastAsia"/>
      </w:rPr>
    </w:lvl>
  </w:abstractNum>
  <w:abstractNum w:abstractNumId="5">
    <w:nsid w:val="F2AEAEA6"/>
    <w:multiLevelType w:val="singleLevel"/>
    <w:tmpl w:val="F2AEAEA6"/>
    <w:lvl w:ilvl="0" w:tentative="0">
      <w:start w:val="1"/>
      <w:numFmt w:val="decimal"/>
      <w:suff w:val="nothing"/>
      <w:lvlText w:val="（%1）"/>
      <w:lvlJc w:val="left"/>
      <w:rPr>
        <w:rFonts w:cs="Times New Roman"/>
      </w:rPr>
    </w:lvl>
  </w:abstractNum>
  <w:abstractNum w:abstractNumId="6">
    <w:nsid w:val="0052F3E9"/>
    <w:multiLevelType w:val="singleLevel"/>
    <w:tmpl w:val="0052F3E9"/>
    <w:lvl w:ilvl="0" w:tentative="0">
      <w:start w:val="1"/>
      <w:numFmt w:val="decimal"/>
      <w:lvlText w:val="（%1)"/>
      <w:lvlJc w:val="left"/>
      <w:pPr>
        <w:tabs>
          <w:tab w:val="left" w:pos="312"/>
        </w:tabs>
      </w:pPr>
      <w:rPr>
        <w:rFonts w:cs="Times New Roman"/>
      </w:rPr>
    </w:lvl>
  </w:abstractNum>
  <w:abstractNum w:abstractNumId="7">
    <w:nsid w:val="0E640482"/>
    <w:multiLevelType w:val="multilevel"/>
    <w:tmpl w:val="0E640482"/>
    <w:lvl w:ilvl="0" w:tentative="0">
      <w:start w:val="5"/>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1330" w:hanging="632"/>
      </w:pPr>
      <w:rPr>
        <w:rFonts w:hint="default" w:ascii="宋体" w:hAnsi="宋体" w:eastAsia="宋体" w:cs="宋体"/>
        <w:spacing w:val="-1"/>
        <w:w w:val="100"/>
        <w:sz w:val="21"/>
        <w:szCs w:val="21"/>
      </w:rPr>
    </w:lvl>
    <w:lvl w:ilvl="3" w:tentative="0">
      <w:start w:val="0"/>
      <w:numFmt w:val="bullet"/>
      <w:lvlText w:val="•"/>
      <w:lvlJc w:val="left"/>
      <w:pPr>
        <w:ind w:left="3300" w:hanging="632"/>
      </w:pPr>
      <w:rPr>
        <w:rFonts w:hint="default"/>
      </w:rPr>
    </w:lvl>
    <w:lvl w:ilvl="4" w:tentative="0">
      <w:start w:val="0"/>
      <w:numFmt w:val="bullet"/>
      <w:lvlText w:val="•"/>
      <w:lvlJc w:val="left"/>
      <w:pPr>
        <w:ind w:left="4280" w:hanging="632"/>
      </w:pPr>
      <w:rPr>
        <w:rFonts w:hint="default"/>
      </w:rPr>
    </w:lvl>
    <w:lvl w:ilvl="5" w:tentative="0">
      <w:start w:val="0"/>
      <w:numFmt w:val="bullet"/>
      <w:lvlText w:val="•"/>
      <w:lvlJc w:val="left"/>
      <w:pPr>
        <w:ind w:left="5260" w:hanging="632"/>
      </w:pPr>
      <w:rPr>
        <w:rFonts w:hint="default"/>
      </w:rPr>
    </w:lvl>
    <w:lvl w:ilvl="6" w:tentative="0">
      <w:start w:val="0"/>
      <w:numFmt w:val="bullet"/>
      <w:lvlText w:val="•"/>
      <w:lvlJc w:val="left"/>
      <w:pPr>
        <w:ind w:left="6240" w:hanging="632"/>
      </w:pPr>
      <w:rPr>
        <w:rFonts w:hint="default"/>
      </w:rPr>
    </w:lvl>
    <w:lvl w:ilvl="7" w:tentative="0">
      <w:start w:val="0"/>
      <w:numFmt w:val="bullet"/>
      <w:lvlText w:val="•"/>
      <w:lvlJc w:val="left"/>
      <w:pPr>
        <w:ind w:left="7220" w:hanging="632"/>
      </w:pPr>
      <w:rPr>
        <w:rFonts w:hint="default"/>
      </w:rPr>
    </w:lvl>
    <w:lvl w:ilvl="8" w:tentative="0">
      <w:start w:val="0"/>
      <w:numFmt w:val="bullet"/>
      <w:lvlText w:val="•"/>
      <w:lvlJc w:val="left"/>
      <w:pPr>
        <w:ind w:left="8200" w:hanging="632"/>
      </w:pPr>
      <w:rPr>
        <w:rFonts w:hint="default"/>
      </w:rPr>
    </w:lvl>
  </w:abstractNum>
  <w:abstractNum w:abstractNumId="8">
    <w:nsid w:val="161E28A6"/>
    <w:multiLevelType w:val="multilevel"/>
    <w:tmpl w:val="161E28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70EC97"/>
    <w:multiLevelType w:val="multilevel"/>
    <w:tmpl w:val="2470EC97"/>
    <w:lvl w:ilvl="0" w:tentative="0">
      <w:start w:val="2"/>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3）"/>
      <w:lvlJc w:val="left"/>
      <w:pPr>
        <w:ind w:left="1227" w:hanging="529"/>
      </w:pPr>
      <w:rPr>
        <w:rFonts w:hint="default" w:ascii="宋体" w:hAnsi="宋体" w:eastAsia="宋体" w:cs="宋体"/>
        <w:spacing w:val="-3"/>
        <w:w w:val="100"/>
        <w:sz w:val="19"/>
        <w:szCs w:val="19"/>
      </w:rPr>
    </w:lvl>
    <w:lvl w:ilvl="3" w:tentative="0">
      <w:start w:val="0"/>
      <w:numFmt w:val="bullet"/>
      <w:lvlText w:val="•"/>
      <w:lvlJc w:val="left"/>
      <w:pPr>
        <w:ind w:left="3206" w:hanging="529"/>
      </w:pPr>
      <w:rPr>
        <w:rFonts w:hint="default"/>
      </w:rPr>
    </w:lvl>
    <w:lvl w:ilvl="4" w:tentative="0">
      <w:start w:val="0"/>
      <w:numFmt w:val="bullet"/>
      <w:lvlText w:val="•"/>
      <w:lvlJc w:val="left"/>
      <w:pPr>
        <w:ind w:left="4200" w:hanging="529"/>
      </w:pPr>
      <w:rPr>
        <w:rFonts w:hint="default"/>
      </w:rPr>
    </w:lvl>
    <w:lvl w:ilvl="5" w:tentative="0">
      <w:start w:val="0"/>
      <w:numFmt w:val="bullet"/>
      <w:lvlText w:val="•"/>
      <w:lvlJc w:val="left"/>
      <w:pPr>
        <w:ind w:left="5193" w:hanging="529"/>
      </w:pPr>
      <w:rPr>
        <w:rFonts w:hint="default"/>
      </w:rPr>
    </w:lvl>
    <w:lvl w:ilvl="6" w:tentative="0">
      <w:start w:val="0"/>
      <w:numFmt w:val="bullet"/>
      <w:lvlText w:val="•"/>
      <w:lvlJc w:val="left"/>
      <w:pPr>
        <w:ind w:left="6187" w:hanging="529"/>
      </w:pPr>
      <w:rPr>
        <w:rFonts w:hint="default"/>
      </w:rPr>
    </w:lvl>
    <w:lvl w:ilvl="7" w:tentative="0">
      <w:start w:val="0"/>
      <w:numFmt w:val="bullet"/>
      <w:lvlText w:val="•"/>
      <w:lvlJc w:val="left"/>
      <w:pPr>
        <w:ind w:left="7180" w:hanging="529"/>
      </w:pPr>
      <w:rPr>
        <w:rFonts w:hint="default"/>
      </w:rPr>
    </w:lvl>
    <w:lvl w:ilvl="8" w:tentative="0">
      <w:start w:val="0"/>
      <w:numFmt w:val="bullet"/>
      <w:lvlText w:val="•"/>
      <w:lvlJc w:val="left"/>
      <w:pPr>
        <w:ind w:left="8173" w:hanging="529"/>
      </w:pPr>
      <w:rPr>
        <w:rFonts w:hint="default"/>
      </w:rPr>
    </w:lvl>
  </w:abstractNum>
  <w:abstractNum w:abstractNumId="10">
    <w:nsid w:val="46A08BB8"/>
    <w:multiLevelType w:val="multilevel"/>
    <w:tmpl w:val="46A08BB8"/>
    <w:lvl w:ilvl="0" w:tentative="0">
      <w:start w:val="6"/>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218" w:hanging="632"/>
      </w:pPr>
      <w:rPr>
        <w:rFonts w:hint="default" w:ascii="宋体" w:hAnsi="宋体" w:eastAsia="宋体" w:cs="宋体"/>
        <w:w w:val="100"/>
        <w:sz w:val="21"/>
        <w:szCs w:val="21"/>
      </w:rPr>
    </w:lvl>
    <w:lvl w:ilvl="3" w:tentative="0">
      <w:start w:val="0"/>
      <w:numFmt w:val="bullet"/>
      <w:lvlText w:val="•"/>
      <w:lvlJc w:val="left"/>
      <w:pPr>
        <w:ind w:left="2802" w:hanging="632"/>
      </w:pPr>
      <w:rPr>
        <w:rFonts w:hint="default"/>
      </w:rPr>
    </w:lvl>
    <w:lvl w:ilvl="4" w:tentative="0">
      <w:start w:val="0"/>
      <w:numFmt w:val="bullet"/>
      <w:lvlText w:val="•"/>
      <w:lvlJc w:val="left"/>
      <w:pPr>
        <w:ind w:left="3853" w:hanging="632"/>
      </w:pPr>
      <w:rPr>
        <w:rFonts w:hint="default"/>
      </w:rPr>
    </w:lvl>
    <w:lvl w:ilvl="5" w:tentative="0">
      <w:start w:val="0"/>
      <w:numFmt w:val="bullet"/>
      <w:lvlText w:val="•"/>
      <w:lvlJc w:val="left"/>
      <w:pPr>
        <w:ind w:left="4904" w:hanging="632"/>
      </w:pPr>
      <w:rPr>
        <w:rFonts w:hint="default"/>
      </w:rPr>
    </w:lvl>
    <w:lvl w:ilvl="6" w:tentative="0">
      <w:start w:val="0"/>
      <w:numFmt w:val="bullet"/>
      <w:lvlText w:val="•"/>
      <w:lvlJc w:val="left"/>
      <w:pPr>
        <w:ind w:left="5956" w:hanging="632"/>
      </w:pPr>
      <w:rPr>
        <w:rFonts w:hint="default"/>
      </w:rPr>
    </w:lvl>
    <w:lvl w:ilvl="7" w:tentative="0">
      <w:start w:val="0"/>
      <w:numFmt w:val="bullet"/>
      <w:lvlText w:val="•"/>
      <w:lvlJc w:val="left"/>
      <w:pPr>
        <w:ind w:left="7007" w:hanging="632"/>
      </w:pPr>
      <w:rPr>
        <w:rFonts w:hint="default"/>
      </w:rPr>
    </w:lvl>
    <w:lvl w:ilvl="8" w:tentative="0">
      <w:start w:val="0"/>
      <w:numFmt w:val="bullet"/>
      <w:lvlText w:val="•"/>
      <w:lvlJc w:val="left"/>
      <w:pPr>
        <w:ind w:left="8058" w:hanging="632"/>
      </w:pPr>
      <w:rPr>
        <w:rFonts w:hint="default"/>
      </w:rPr>
    </w:lvl>
  </w:abstractNum>
  <w:abstractNum w:abstractNumId="11">
    <w:nsid w:val="5345346A"/>
    <w:multiLevelType w:val="singleLevel"/>
    <w:tmpl w:val="5345346A"/>
    <w:lvl w:ilvl="0" w:tentative="0">
      <w:start w:val="1"/>
      <w:numFmt w:val="decimal"/>
      <w:suff w:val="nothing"/>
      <w:lvlText w:val="%1．"/>
      <w:lvlJc w:val="left"/>
      <w:pPr>
        <w:ind w:left="0" w:firstLine="400"/>
      </w:pPr>
      <w:rPr>
        <w:rFonts w:hint="default"/>
      </w:rPr>
    </w:lvl>
  </w:abstractNum>
  <w:abstractNum w:abstractNumId="12">
    <w:nsid w:val="5ED6B89D"/>
    <w:multiLevelType w:val="singleLevel"/>
    <w:tmpl w:val="5ED6B89D"/>
    <w:lvl w:ilvl="0" w:tentative="0">
      <w:start w:val="1"/>
      <w:numFmt w:val="decimal"/>
      <w:suff w:val="nothing"/>
      <w:lvlText w:val="（%1）"/>
      <w:lvlJc w:val="left"/>
    </w:lvl>
  </w:abstractNum>
  <w:abstractNum w:abstractNumId="13">
    <w:nsid w:val="60382F6E"/>
    <w:multiLevelType w:val="multilevel"/>
    <w:tmpl w:val="60382F6E"/>
    <w:lvl w:ilvl="0" w:tentative="0">
      <w:start w:val="4"/>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218" w:hanging="632"/>
      </w:pPr>
      <w:rPr>
        <w:rFonts w:hint="default" w:ascii="宋体" w:hAnsi="宋体" w:eastAsia="宋体" w:cs="宋体"/>
        <w:w w:val="100"/>
        <w:sz w:val="21"/>
        <w:szCs w:val="21"/>
      </w:rPr>
    </w:lvl>
    <w:lvl w:ilvl="3" w:tentative="0">
      <w:start w:val="0"/>
      <w:numFmt w:val="bullet"/>
      <w:lvlText w:val="•"/>
      <w:lvlJc w:val="left"/>
      <w:pPr>
        <w:ind w:left="2442" w:hanging="632"/>
      </w:pPr>
      <w:rPr>
        <w:rFonts w:hint="default"/>
      </w:rPr>
    </w:lvl>
    <w:lvl w:ilvl="4" w:tentative="0">
      <w:start w:val="0"/>
      <w:numFmt w:val="bullet"/>
      <w:lvlText w:val="•"/>
      <w:lvlJc w:val="left"/>
      <w:pPr>
        <w:ind w:left="3545" w:hanging="632"/>
      </w:pPr>
      <w:rPr>
        <w:rFonts w:hint="default"/>
      </w:rPr>
    </w:lvl>
    <w:lvl w:ilvl="5" w:tentative="0">
      <w:start w:val="0"/>
      <w:numFmt w:val="bullet"/>
      <w:lvlText w:val="•"/>
      <w:lvlJc w:val="left"/>
      <w:pPr>
        <w:ind w:left="4647" w:hanging="632"/>
      </w:pPr>
      <w:rPr>
        <w:rFonts w:hint="default"/>
      </w:rPr>
    </w:lvl>
    <w:lvl w:ilvl="6" w:tentative="0">
      <w:start w:val="0"/>
      <w:numFmt w:val="bullet"/>
      <w:lvlText w:val="•"/>
      <w:lvlJc w:val="left"/>
      <w:pPr>
        <w:ind w:left="5750" w:hanging="632"/>
      </w:pPr>
      <w:rPr>
        <w:rFonts w:hint="default"/>
      </w:rPr>
    </w:lvl>
    <w:lvl w:ilvl="7" w:tentative="0">
      <w:start w:val="0"/>
      <w:numFmt w:val="bullet"/>
      <w:lvlText w:val="•"/>
      <w:lvlJc w:val="left"/>
      <w:pPr>
        <w:ind w:left="6853" w:hanging="632"/>
      </w:pPr>
      <w:rPr>
        <w:rFonts w:hint="default"/>
      </w:rPr>
    </w:lvl>
    <w:lvl w:ilvl="8" w:tentative="0">
      <w:start w:val="0"/>
      <w:numFmt w:val="bullet"/>
      <w:lvlText w:val="•"/>
      <w:lvlJc w:val="left"/>
      <w:pPr>
        <w:ind w:left="7955" w:hanging="632"/>
      </w:pPr>
      <w:rPr>
        <w:rFonts w:hint="default"/>
      </w:rPr>
    </w:lvl>
  </w:abstractNum>
  <w:abstractNum w:abstractNumId="14">
    <w:nsid w:val="7C246926"/>
    <w:multiLevelType w:val="multilevel"/>
    <w:tmpl w:val="7C246926"/>
    <w:lvl w:ilvl="0" w:tentative="0">
      <w:start w:val="7"/>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1330" w:hanging="632"/>
      </w:pPr>
      <w:rPr>
        <w:rFonts w:hint="default" w:ascii="宋体" w:hAnsi="宋体" w:eastAsia="宋体" w:cs="宋体"/>
        <w:w w:val="100"/>
        <w:sz w:val="21"/>
        <w:szCs w:val="21"/>
      </w:rPr>
    </w:lvl>
    <w:lvl w:ilvl="3" w:tentative="0">
      <w:start w:val="0"/>
      <w:numFmt w:val="bullet"/>
      <w:lvlText w:val="•"/>
      <w:lvlJc w:val="left"/>
      <w:pPr>
        <w:ind w:left="2442" w:hanging="632"/>
      </w:pPr>
      <w:rPr>
        <w:rFonts w:hint="default"/>
      </w:rPr>
    </w:lvl>
    <w:lvl w:ilvl="4" w:tentative="0">
      <w:start w:val="0"/>
      <w:numFmt w:val="bullet"/>
      <w:lvlText w:val="•"/>
      <w:lvlJc w:val="left"/>
      <w:pPr>
        <w:ind w:left="3545" w:hanging="632"/>
      </w:pPr>
      <w:rPr>
        <w:rFonts w:hint="default"/>
      </w:rPr>
    </w:lvl>
    <w:lvl w:ilvl="5" w:tentative="0">
      <w:start w:val="0"/>
      <w:numFmt w:val="bullet"/>
      <w:lvlText w:val="•"/>
      <w:lvlJc w:val="left"/>
      <w:pPr>
        <w:ind w:left="4647" w:hanging="632"/>
      </w:pPr>
      <w:rPr>
        <w:rFonts w:hint="default"/>
      </w:rPr>
    </w:lvl>
    <w:lvl w:ilvl="6" w:tentative="0">
      <w:start w:val="0"/>
      <w:numFmt w:val="bullet"/>
      <w:lvlText w:val="•"/>
      <w:lvlJc w:val="left"/>
      <w:pPr>
        <w:ind w:left="5750" w:hanging="632"/>
      </w:pPr>
      <w:rPr>
        <w:rFonts w:hint="default"/>
      </w:rPr>
    </w:lvl>
    <w:lvl w:ilvl="7" w:tentative="0">
      <w:start w:val="0"/>
      <w:numFmt w:val="bullet"/>
      <w:lvlText w:val="•"/>
      <w:lvlJc w:val="left"/>
      <w:pPr>
        <w:ind w:left="6853" w:hanging="632"/>
      </w:pPr>
      <w:rPr>
        <w:rFonts w:hint="default"/>
      </w:rPr>
    </w:lvl>
    <w:lvl w:ilvl="8" w:tentative="0">
      <w:start w:val="0"/>
      <w:numFmt w:val="bullet"/>
      <w:lvlText w:val="•"/>
      <w:lvlJc w:val="left"/>
      <w:pPr>
        <w:ind w:left="7955" w:hanging="632"/>
      </w:pPr>
      <w:rPr>
        <w:rFonts w:hint="default"/>
      </w:rPr>
    </w:lvl>
  </w:abstractNum>
  <w:num w:numId="1">
    <w:abstractNumId w:val="1"/>
  </w:num>
  <w:num w:numId="2">
    <w:abstractNumId w:val="0"/>
  </w:num>
  <w:num w:numId="3">
    <w:abstractNumId w:val="2"/>
  </w:num>
  <w:num w:numId="4">
    <w:abstractNumId w:val="8"/>
  </w:num>
  <w:num w:numId="5">
    <w:abstractNumId w:val="3"/>
  </w:num>
  <w:num w:numId="6">
    <w:abstractNumId w:val="9"/>
  </w:num>
  <w:num w:numId="7">
    <w:abstractNumId w:val="13"/>
  </w:num>
  <w:num w:numId="8">
    <w:abstractNumId w:val="7"/>
  </w:num>
  <w:num w:numId="9">
    <w:abstractNumId w:val="10"/>
  </w:num>
  <w:num w:numId="10">
    <w:abstractNumId w:val="14"/>
  </w:num>
  <w:num w:numId="11">
    <w:abstractNumId w:val="12"/>
  </w:num>
  <w:num w:numId="12">
    <w:abstractNumId w:val="6"/>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MjcyZTY5MzRiN2Y3YWEzMWI0MjI5NGI3ZDM2ZTYifQ=="/>
  </w:docVars>
  <w:rsids>
    <w:rsidRoot w:val="00172A27"/>
    <w:rsid w:val="0006608B"/>
    <w:rsid w:val="000A4BB4"/>
    <w:rsid w:val="000B6A38"/>
    <w:rsid w:val="00113516"/>
    <w:rsid w:val="00164650"/>
    <w:rsid w:val="00172A27"/>
    <w:rsid w:val="001A6BCC"/>
    <w:rsid w:val="001B09D5"/>
    <w:rsid w:val="002052F6"/>
    <w:rsid w:val="00225378"/>
    <w:rsid w:val="00266C0A"/>
    <w:rsid w:val="00293B7B"/>
    <w:rsid w:val="002A6BB4"/>
    <w:rsid w:val="002B092D"/>
    <w:rsid w:val="002B4BC0"/>
    <w:rsid w:val="002B6923"/>
    <w:rsid w:val="00357E04"/>
    <w:rsid w:val="0036149F"/>
    <w:rsid w:val="0038166F"/>
    <w:rsid w:val="003C51B6"/>
    <w:rsid w:val="00417EF4"/>
    <w:rsid w:val="00450E76"/>
    <w:rsid w:val="00462F76"/>
    <w:rsid w:val="004734CD"/>
    <w:rsid w:val="00487E39"/>
    <w:rsid w:val="004B1C17"/>
    <w:rsid w:val="004F1083"/>
    <w:rsid w:val="005117E0"/>
    <w:rsid w:val="005471BA"/>
    <w:rsid w:val="0054725E"/>
    <w:rsid w:val="005636DB"/>
    <w:rsid w:val="00563A1C"/>
    <w:rsid w:val="00564855"/>
    <w:rsid w:val="00582807"/>
    <w:rsid w:val="005974E4"/>
    <w:rsid w:val="005A2A5A"/>
    <w:rsid w:val="005B3C9C"/>
    <w:rsid w:val="005B672F"/>
    <w:rsid w:val="005C671E"/>
    <w:rsid w:val="005F39BF"/>
    <w:rsid w:val="006219EE"/>
    <w:rsid w:val="0063440E"/>
    <w:rsid w:val="006561D6"/>
    <w:rsid w:val="00665BCA"/>
    <w:rsid w:val="00693121"/>
    <w:rsid w:val="006D3D99"/>
    <w:rsid w:val="006E49BF"/>
    <w:rsid w:val="006E5E76"/>
    <w:rsid w:val="007014B8"/>
    <w:rsid w:val="007477F0"/>
    <w:rsid w:val="00797423"/>
    <w:rsid w:val="007C2CDB"/>
    <w:rsid w:val="007C717F"/>
    <w:rsid w:val="007F665E"/>
    <w:rsid w:val="00826FDC"/>
    <w:rsid w:val="0083050D"/>
    <w:rsid w:val="0084384E"/>
    <w:rsid w:val="008746BE"/>
    <w:rsid w:val="008940E9"/>
    <w:rsid w:val="008A66D7"/>
    <w:rsid w:val="008E0DD6"/>
    <w:rsid w:val="008F1241"/>
    <w:rsid w:val="008F397A"/>
    <w:rsid w:val="008F53B9"/>
    <w:rsid w:val="00905CC4"/>
    <w:rsid w:val="00906898"/>
    <w:rsid w:val="009440A4"/>
    <w:rsid w:val="009604B1"/>
    <w:rsid w:val="0099243F"/>
    <w:rsid w:val="009D1FA0"/>
    <w:rsid w:val="009E70F5"/>
    <w:rsid w:val="009F4622"/>
    <w:rsid w:val="00A45AE6"/>
    <w:rsid w:val="00A816CB"/>
    <w:rsid w:val="00A8714B"/>
    <w:rsid w:val="00A95A9A"/>
    <w:rsid w:val="00AB1812"/>
    <w:rsid w:val="00AB4A9B"/>
    <w:rsid w:val="00AB67AB"/>
    <w:rsid w:val="00AC7AEE"/>
    <w:rsid w:val="00B424DB"/>
    <w:rsid w:val="00C06A80"/>
    <w:rsid w:val="00C132A6"/>
    <w:rsid w:val="00C20F54"/>
    <w:rsid w:val="00C76034"/>
    <w:rsid w:val="00C85F20"/>
    <w:rsid w:val="00C9140D"/>
    <w:rsid w:val="00CA26C8"/>
    <w:rsid w:val="00CC471D"/>
    <w:rsid w:val="00D5688F"/>
    <w:rsid w:val="00D70D08"/>
    <w:rsid w:val="00D71AFD"/>
    <w:rsid w:val="00D81F9C"/>
    <w:rsid w:val="00D93922"/>
    <w:rsid w:val="00DD2F0C"/>
    <w:rsid w:val="00DD630D"/>
    <w:rsid w:val="00DD680E"/>
    <w:rsid w:val="00DF5E9B"/>
    <w:rsid w:val="00E32D5A"/>
    <w:rsid w:val="00E32F77"/>
    <w:rsid w:val="00E40880"/>
    <w:rsid w:val="00E57705"/>
    <w:rsid w:val="00E61A6F"/>
    <w:rsid w:val="00E920FA"/>
    <w:rsid w:val="00E9561C"/>
    <w:rsid w:val="00EB60B2"/>
    <w:rsid w:val="00EC35B4"/>
    <w:rsid w:val="00EF4CE0"/>
    <w:rsid w:val="00EF6793"/>
    <w:rsid w:val="00F1191B"/>
    <w:rsid w:val="00F8136C"/>
    <w:rsid w:val="00F82EDA"/>
    <w:rsid w:val="00FA7E71"/>
    <w:rsid w:val="00FC5AD5"/>
    <w:rsid w:val="00FE0C00"/>
    <w:rsid w:val="00FE7B94"/>
    <w:rsid w:val="00FF4383"/>
    <w:rsid w:val="00FF56BA"/>
    <w:rsid w:val="0100390C"/>
    <w:rsid w:val="01057174"/>
    <w:rsid w:val="010604F2"/>
    <w:rsid w:val="0108129B"/>
    <w:rsid w:val="010A3535"/>
    <w:rsid w:val="010D2684"/>
    <w:rsid w:val="010D427B"/>
    <w:rsid w:val="010F3B4F"/>
    <w:rsid w:val="01145302"/>
    <w:rsid w:val="01195C6E"/>
    <w:rsid w:val="011E0236"/>
    <w:rsid w:val="0123584C"/>
    <w:rsid w:val="0127533C"/>
    <w:rsid w:val="012C0C23"/>
    <w:rsid w:val="012E66E0"/>
    <w:rsid w:val="01345D48"/>
    <w:rsid w:val="013A2BE8"/>
    <w:rsid w:val="014009EF"/>
    <w:rsid w:val="0141544B"/>
    <w:rsid w:val="01423A35"/>
    <w:rsid w:val="014538F5"/>
    <w:rsid w:val="01454E6C"/>
    <w:rsid w:val="01475D04"/>
    <w:rsid w:val="01482AA1"/>
    <w:rsid w:val="014C6666"/>
    <w:rsid w:val="014C775D"/>
    <w:rsid w:val="014F70B4"/>
    <w:rsid w:val="015110B3"/>
    <w:rsid w:val="0159301C"/>
    <w:rsid w:val="01655E65"/>
    <w:rsid w:val="0168325F"/>
    <w:rsid w:val="016D6AC7"/>
    <w:rsid w:val="016F4726"/>
    <w:rsid w:val="01722330"/>
    <w:rsid w:val="01785B98"/>
    <w:rsid w:val="01795E76"/>
    <w:rsid w:val="017B5688"/>
    <w:rsid w:val="017B7E0D"/>
    <w:rsid w:val="01852063"/>
    <w:rsid w:val="018A799D"/>
    <w:rsid w:val="01910D44"/>
    <w:rsid w:val="019404F8"/>
    <w:rsid w:val="01951782"/>
    <w:rsid w:val="019634E3"/>
    <w:rsid w:val="019E65BD"/>
    <w:rsid w:val="01AD0A5B"/>
    <w:rsid w:val="01B316BE"/>
    <w:rsid w:val="01B36BD0"/>
    <w:rsid w:val="01B43E8F"/>
    <w:rsid w:val="01B43FEE"/>
    <w:rsid w:val="01BD35AB"/>
    <w:rsid w:val="01BE76EF"/>
    <w:rsid w:val="01BF4543"/>
    <w:rsid w:val="01C0309B"/>
    <w:rsid w:val="01C7005F"/>
    <w:rsid w:val="01CC39AD"/>
    <w:rsid w:val="01D2264B"/>
    <w:rsid w:val="01D33805"/>
    <w:rsid w:val="01D35A2D"/>
    <w:rsid w:val="01D43523"/>
    <w:rsid w:val="01D875D2"/>
    <w:rsid w:val="01E14DAC"/>
    <w:rsid w:val="01E52B01"/>
    <w:rsid w:val="01E74ACC"/>
    <w:rsid w:val="01EA0723"/>
    <w:rsid w:val="01EC20E2"/>
    <w:rsid w:val="01F93DA6"/>
    <w:rsid w:val="01FA1688"/>
    <w:rsid w:val="01FA611A"/>
    <w:rsid w:val="01FB49AF"/>
    <w:rsid w:val="01FB5C11"/>
    <w:rsid w:val="01FC4352"/>
    <w:rsid w:val="01FC5A36"/>
    <w:rsid w:val="02122A4C"/>
    <w:rsid w:val="0213766F"/>
    <w:rsid w:val="0216715F"/>
    <w:rsid w:val="021E6830"/>
    <w:rsid w:val="021F6013"/>
    <w:rsid w:val="0221327C"/>
    <w:rsid w:val="02247ACE"/>
    <w:rsid w:val="02253824"/>
    <w:rsid w:val="022B0E5C"/>
    <w:rsid w:val="022C6982"/>
    <w:rsid w:val="0231692E"/>
    <w:rsid w:val="02317AF5"/>
    <w:rsid w:val="02331ABF"/>
    <w:rsid w:val="02350614"/>
    <w:rsid w:val="023B3575"/>
    <w:rsid w:val="02405F8A"/>
    <w:rsid w:val="024B64FC"/>
    <w:rsid w:val="024C5E48"/>
    <w:rsid w:val="02587777"/>
    <w:rsid w:val="025978D5"/>
    <w:rsid w:val="025C7268"/>
    <w:rsid w:val="025E58A1"/>
    <w:rsid w:val="026659F0"/>
    <w:rsid w:val="02691984"/>
    <w:rsid w:val="026B74AB"/>
    <w:rsid w:val="026E0D49"/>
    <w:rsid w:val="02777BFD"/>
    <w:rsid w:val="027A1874"/>
    <w:rsid w:val="027F6908"/>
    <w:rsid w:val="02820350"/>
    <w:rsid w:val="02843462"/>
    <w:rsid w:val="0286368E"/>
    <w:rsid w:val="02892562"/>
    <w:rsid w:val="028C74B3"/>
    <w:rsid w:val="02900CBF"/>
    <w:rsid w:val="029D0DCD"/>
    <w:rsid w:val="02A604E3"/>
    <w:rsid w:val="02AB2641"/>
    <w:rsid w:val="02AD1871"/>
    <w:rsid w:val="02AE207B"/>
    <w:rsid w:val="02AF09E1"/>
    <w:rsid w:val="02B20C36"/>
    <w:rsid w:val="02B47C8B"/>
    <w:rsid w:val="02B726F0"/>
    <w:rsid w:val="02B926F3"/>
    <w:rsid w:val="02BC3043"/>
    <w:rsid w:val="02C72207"/>
    <w:rsid w:val="02CB64E1"/>
    <w:rsid w:val="02CC2350"/>
    <w:rsid w:val="02CC714B"/>
    <w:rsid w:val="02D432A2"/>
    <w:rsid w:val="02D747BB"/>
    <w:rsid w:val="02DA0C99"/>
    <w:rsid w:val="02DA0CB0"/>
    <w:rsid w:val="02E415A6"/>
    <w:rsid w:val="02EB406C"/>
    <w:rsid w:val="02F456F2"/>
    <w:rsid w:val="02F474A0"/>
    <w:rsid w:val="02F53218"/>
    <w:rsid w:val="02F94D5D"/>
    <w:rsid w:val="02FC0103"/>
    <w:rsid w:val="02FF79F9"/>
    <w:rsid w:val="03015719"/>
    <w:rsid w:val="030E51E4"/>
    <w:rsid w:val="03121F16"/>
    <w:rsid w:val="031511C4"/>
    <w:rsid w:val="03185038"/>
    <w:rsid w:val="031A4A2D"/>
    <w:rsid w:val="031C2553"/>
    <w:rsid w:val="03226446"/>
    <w:rsid w:val="032F41CC"/>
    <w:rsid w:val="03304250"/>
    <w:rsid w:val="0332583F"/>
    <w:rsid w:val="033A003F"/>
    <w:rsid w:val="033C0E47"/>
    <w:rsid w:val="033F6241"/>
    <w:rsid w:val="03466BD8"/>
    <w:rsid w:val="034B4BE6"/>
    <w:rsid w:val="034C0909"/>
    <w:rsid w:val="034C199A"/>
    <w:rsid w:val="034E00AB"/>
    <w:rsid w:val="035451CD"/>
    <w:rsid w:val="03586E92"/>
    <w:rsid w:val="035937A7"/>
    <w:rsid w:val="036C0CCE"/>
    <w:rsid w:val="03760162"/>
    <w:rsid w:val="03767EB5"/>
    <w:rsid w:val="03802AE2"/>
    <w:rsid w:val="038346BE"/>
    <w:rsid w:val="038720C2"/>
    <w:rsid w:val="038E1FC4"/>
    <w:rsid w:val="0394654A"/>
    <w:rsid w:val="03963248"/>
    <w:rsid w:val="039B791C"/>
    <w:rsid w:val="03A4345F"/>
    <w:rsid w:val="03B10EED"/>
    <w:rsid w:val="03C230FA"/>
    <w:rsid w:val="03C36E72"/>
    <w:rsid w:val="03C4543C"/>
    <w:rsid w:val="03D11AF7"/>
    <w:rsid w:val="03D775A4"/>
    <w:rsid w:val="03D90444"/>
    <w:rsid w:val="03DA6FE7"/>
    <w:rsid w:val="03DE478D"/>
    <w:rsid w:val="03E25383"/>
    <w:rsid w:val="03E65513"/>
    <w:rsid w:val="03E70DB3"/>
    <w:rsid w:val="03F1578E"/>
    <w:rsid w:val="03F66907"/>
    <w:rsid w:val="03F90AE6"/>
    <w:rsid w:val="03FB660C"/>
    <w:rsid w:val="03FD02E4"/>
    <w:rsid w:val="03FF434E"/>
    <w:rsid w:val="04001E75"/>
    <w:rsid w:val="04021749"/>
    <w:rsid w:val="04045CE2"/>
    <w:rsid w:val="040567C8"/>
    <w:rsid w:val="040A2CF3"/>
    <w:rsid w:val="040B1E9B"/>
    <w:rsid w:val="040C4AA9"/>
    <w:rsid w:val="040F3E66"/>
    <w:rsid w:val="04276F58"/>
    <w:rsid w:val="042913CB"/>
    <w:rsid w:val="042B399C"/>
    <w:rsid w:val="04335DA6"/>
    <w:rsid w:val="04372D25"/>
    <w:rsid w:val="04387860"/>
    <w:rsid w:val="043C6374"/>
    <w:rsid w:val="043E2741"/>
    <w:rsid w:val="043F43F6"/>
    <w:rsid w:val="04486932"/>
    <w:rsid w:val="044C1079"/>
    <w:rsid w:val="044C60FF"/>
    <w:rsid w:val="04553F6E"/>
    <w:rsid w:val="0464096C"/>
    <w:rsid w:val="04680F4A"/>
    <w:rsid w:val="046B7766"/>
    <w:rsid w:val="046E52B6"/>
    <w:rsid w:val="047168CE"/>
    <w:rsid w:val="04781A0B"/>
    <w:rsid w:val="047831A2"/>
    <w:rsid w:val="047D1717"/>
    <w:rsid w:val="047D5273"/>
    <w:rsid w:val="04816E88"/>
    <w:rsid w:val="0482288A"/>
    <w:rsid w:val="04847112"/>
    <w:rsid w:val="048605CC"/>
    <w:rsid w:val="0487252D"/>
    <w:rsid w:val="04893A1F"/>
    <w:rsid w:val="048F17CE"/>
    <w:rsid w:val="0490021E"/>
    <w:rsid w:val="04910D1F"/>
    <w:rsid w:val="049C38C9"/>
    <w:rsid w:val="049D02D8"/>
    <w:rsid w:val="04A62256"/>
    <w:rsid w:val="04A70A75"/>
    <w:rsid w:val="04AB1DE0"/>
    <w:rsid w:val="04B02192"/>
    <w:rsid w:val="04BD7D66"/>
    <w:rsid w:val="04C26695"/>
    <w:rsid w:val="04C32FE5"/>
    <w:rsid w:val="04C64E6C"/>
    <w:rsid w:val="04CD1839"/>
    <w:rsid w:val="04CE5ACF"/>
    <w:rsid w:val="04D035F5"/>
    <w:rsid w:val="04D4127A"/>
    <w:rsid w:val="04D42425"/>
    <w:rsid w:val="04D53301"/>
    <w:rsid w:val="04D806FC"/>
    <w:rsid w:val="04DD195C"/>
    <w:rsid w:val="04DD5D12"/>
    <w:rsid w:val="04DF1090"/>
    <w:rsid w:val="04DF5F2E"/>
    <w:rsid w:val="04E121EC"/>
    <w:rsid w:val="04E240FF"/>
    <w:rsid w:val="04E91F74"/>
    <w:rsid w:val="04EE2130"/>
    <w:rsid w:val="04F04BD3"/>
    <w:rsid w:val="04F16063"/>
    <w:rsid w:val="04F2010B"/>
    <w:rsid w:val="04F217BD"/>
    <w:rsid w:val="04FA4262"/>
    <w:rsid w:val="04FD16D3"/>
    <w:rsid w:val="05046C57"/>
    <w:rsid w:val="05050BB5"/>
    <w:rsid w:val="05121E5F"/>
    <w:rsid w:val="05151950"/>
    <w:rsid w:val="051D733B"/>
    <w:rsid w:val="051E63C2"/>
    <w:rsid w:val="052551D3"/>
    <w:rsid w:val="052C0180"/>
    <w:rsid w:val="05324986"/>
    <w:rsid w:val="053624ED"/>
    <w:rsid w:val="05373674"/>
    <w:rsid w:val="053D1FAB"/>
    <w:rsid w:val="05410997"/>
    <w:rsid w:val="054569F5"/>
    <w:rsid w:val="05485881"/>
    <w:rsid w:val="054A15F9"/>
    <w:rsid w:val="054B2EBB"/>
    <w:rsid w:val="054E09BE"/>
    <w:rsid w:val="05547711"/>
    <w:rsid w:val="05573D16"/>
    <w:rsid w:val="05584BBA"/>
    <w:rsid w:val="055C757F"/>
    <w:rsid w:val="055D1154"/>
    <w:rsid w:val="05656433"/>
    <w:rsid w:val="05685F23"/>
    <w:rsid w:val="056D353A"/>
    <w:rsid w:val="05703491"/>
    <w:rsid w:val="05764E78"/>
    <w:rsid w:val="057E12A3"/>
    <w:rsid w:val="05816FE5"/>
    <w:rsid w:val="05832132"/>
    <w:rsid w:val="05843A4A"/>
    <w:rsid w:val="05924D4E"/>
    <w:rsid w:val="059356D2"/>
    <w:rsid w:val="05951A18"/>
    <w:rsid w:val="05960A24"/>
    <w:rsid w:val="059705B7"/>
    <w:rsid w:val="059C1E33"/>
    <w:rsid w:val="059D3E1F"/>
    <w:rsid w:val="05A351AD"/>
    <w:rsid w:val="05A52CD4"/>
    <w:rsid w:val="05AB5E10"/>
    <w:rsid w:val="05C24D89"/>
    <w:rsid w:val="05C3315A"/>
    <w:rsid w:val="05C5427C"/>
    <w:rsid w:val="05CF1AFF"/>
    <w:rsid w:val="05D05916"/>
    <w:rsid w:val="05D27895"/>
    <w:rsid w:val="05D926DA"/>
    <w:rsid w:val="05DA0A26"/>
    <w:rsid w:val="05DE61E6"/>
    <w:rsid w:val="05E355AA"/>
    <w:rsid w:val="05F67F02"/>
    <w:rsid w:val="05FC62EA"/>
    <w:rsid w:val="05FC7D5F"/>
    <w:rsid w:val="05FE23E4"/>
    <w:rsid w:val="05FE58E1"/>
    <w:rsid w:val="0600615C"/>
    <w:rsid w:val="06042145"/>
    <w:rsid w:val="0604233A"/>
    <w:rsid w:val="06065B16"/>
    <w:rsid w:val="06086964"/>
    <w:rsid w:val="06110369"/>
    <w:rsid w:val="061314C1"/>
    <w:rsid w:val="061E65E2"/>
    <w:rsid w:val="061F1A82"/>
    <w:rsid w:val="06280C63"/>
    <w:rsid w:val="062C48E9"/>
    <w:rsid w:val="06353DDE"/>
    <w:rsid w:val="06353EC7"/>
    <w:rsid w:val="063A41D9"/>
    <w:rsid w:val="063B7194"/>
    <w:rsid w:val="063B7DB5"/>
    <w:rsid w:val="06471FDD"/>
    <w:rsid w:val="064D5460"/>
    <w:rsid w:val="065A0083"/>
    <w:rsid w:val="065E3608"/>
    <w:rsid w:val="066171BC"/>
    <w:rsid w:val="066D28A0"/>
    <w:rsid w:val="066F4546"/>
    <w:rsid w:val="06737F6B"/>
    <w:rsid w:val="068306E0"/>
    <w:rsid w:val="068401A4"/>
    <w:rsid w:val="068B249A"/>
    <w:rsid w:val="069074E0"/>
    <w:rsid w:val="06915006"/>
    <w:rsid w:val="06990F64"/>
    <w:rsid w:val="069E3F99"/>
    <w:rsid w:val="069F5975"/>
    <w:rsid w:val="06A25465"/>
    <w:rsid w:val="06AE5BB8"/>
    <w:rsid w:val="06B07B82"/>
    <w:rsid w:val="06B55198"/>
    <w:rsid w:val="06B63C38"/>
    <w:rsid w:val="06B64A6C"/>
    <w:rsid w:val="06CA61CE"/>
    <w:rsid w:val="06CF343A"/>
    <w:rsid w:val="06DA5602"/>
    <w:rsid w:val="06DE1668"/>
    <w:rsid w:val="06DE6B7B"/>
    <w:rsid w:val="06E008EC"/>
    <w:rsid w:val="06E23AB3"/>
    <w:rsid w:val="06E346DB"/>
    <w:rsid w:val="06E65352"/>
    <w:rsid w:val="06E66313"/>
    <w:rsid w:val="06E72CB0"/>
    <w:rsid w:val="06EC109F"/>
    <w:rsid w:val="06EE4206"/>
    <w:rsid w:val="06F07F7E"/>
    <w:rsid w:val="06F1421C"/>
    <w:rsid w:val="06F20E97"/>
    <w:rsid w:val="06F2243D"/>
    <w:rsid w:val="06F36A68"/>
    <w:rsid w:val="06F7130D"/>
    <w:rsid w:val="07063204"/>
    <w:rsid w:val="0708351A"/>
    <w:rsid w:val="070D0B30"/>
    <w:rsid w:val="07140111"/>
    <w:rsid w:val="07174749"/>
    <w:rsid w:val="07197315"/>
    <w:rsid w:val="071C5217"/>
    <w:rsid w:val="071D13D8"/>
    <w:rsid w:val="071D4AEC"/>
    <w:rsid w:val="072E5324"/>
    <w:rsid w:val="073015A0"/>
    <w:rsid w:val="073506FE"/>
    <w:rsid w:val="073740BE"/>
    <w:rsid w:val="07386AD1"/>
    <w:rsid w:val="07391B69"/>
    <w:rsid w:val="073A21FE"/>
    <w:rsid w:val="073C3D3F"/>
    <w:rsid w:val="074F3A97"/>
    <w:rsid w:val="07513684"/>
    <w:rsid w:val="075524D7"/>
    <w:rsid w:val="075E313A"/>
    <w:rsid w:val="075E5677"/>
    <w:rsid w:val="076364B8"/>
    <w:rsid w:val="076622E3"/>
    <w:rsid w:val="076646E5"/>
    <w:rsid w:val="076B7157"/>
    <w:rsid w:val="0771206D"/>
    <w:rsid w:val="077220EE"/>
    <w:rsid w:val="077C0BC6"/>
    <w:rsid w:val="078057A6"/>
    <w:rsid w:val="07830636"/>
    <w:rsid w:val="078F4812"/>
    <w:rsid w:val="07911761"/>
    <w:rsid w:val="07933DD8"/>
    <w:rsid w:val="07940C51"/>
    <w:rsid w:val="0797457B"/>
    <w:rsid w:val="079B1FE1"/>
    <w:rsid w:val="079E5C2C"/>
    <w:rsid w:val="07AB3E20"/>
    <w:rsid w:val="07AF7E3A"/>
    <w:rsid w:val="07B45450"/>
    <w:rsid w:val="07B873D1"/>
    <w:rsid w:val="07B92A66"/>
    <w:rsid w:val="07BB67DE"/>
    <w:rsid w:val="07BC2556"/>
    <w:rsid w:val="07BC60B3"/>
    <w:rsid w:val="07C338E5"/>
    <w:rsid w:val="07C5765D"/>
    <w:rsid w:val="07CF29AC"/>
    <w:rsid w:val="07E22797"/>
    <w:rsid w:val="07E775D3"/>
    <w:rsid w:val="07E94397"/>
    <w:rsid w:val="07EF0236"/>
    <w:rsid w:val="07EF4761"/>
    <w:rsid w:val="07FB4797"/>
    <w:rsid w:val="07FB5E75"/>
    <w:rsid w:val="08033CE1"/>
    <w:rsid w:val="08051A5D"/>
    <w:rsid w:val="080546FB"/>
    <w:rsid w:val="081163FE"/>
    <w:rsid w:val="081172DC"/>
    <w:rsid w:val="08147C9D"/>
    <w:rsid w:val="08160D83"/>
    <w:rsid w:val="081859DF"/>
    <w:rsid w:val="081931E4"/>
    <w:rsid w:val="081C4DA3"/>
    <w:rsid w:val="08297BEC"/>
    <w:rsid w:val="082C1125"/>
    <w:rsid w:val="082C3238"/>
    <w:rsid w:val="08365E65"/>
    <w:rsid w:val="08376C16"/>
    <w:rsid w:val="08404F36"/>
    <w:rsid w:val="08444A26"/>
    <w:rsid w:val="08471E20"/>
    <w:rsid w:val="08504A1F"/>
    <w:rsid w:val="08512C9F"/>
    <w:rsid w:val="0854278F"/>
    <w:rsid w:val="08566CE7"/>
    <w:rsid w:val="08601134"/>
    <w:rsid w:val="0864627A"/>
    <w:rsid w:val="08713027"/>
    <w:rsid w:val="0877762B"/>
    <w:rsid w:val="087F780C"/>
    <w:rsid w:val="087F7FAB"/>
    <w:rsid w:val="08802D69"/>
    <w:rsid w:val="08892439"/>
    <w:rsid w:val="088B0493"/>
    <w:rsid w:val="0891753F"/>
    <w:rsid w:val="089730D8"/>
    <w:rsid w:val="08973ABD"/>
    <w:rsid w:val="089963F4"/>
    <w:rsid w:val="089A66CF"/>
    <w:rsid w:val="089C3619"/>
    <w:rsid w:val="089D5EE4"/>
    <w:rsid w:val="089E53A6"/>
    <w:rsid w:val="089F154E"/>
    <w:rsid w:val="08A53DED"/>
    <w:rsid w:val="08BF071D"/>
    <w:rsid w:val="08BF7256"/>
    <w:rsid w:val="08C568DF"/>
    <w:rsid w:val="08CB6B4E"/>
    <w:rsid w:val="08CC4A1B"/>
    <w:rsid w:val="08D166BD"/>
    <w:rsid w:val="08DF474E"/>
    <w:rsid w:val="08E14EE1"/>
    <w:rsid w:val="08E90BBC"/>
    <w:rsid w:val="08EF6FE3"/>
    <w:rsid w:val="08F31FA8"/>
    <w:rsid w:val="08F33380"/>
    <w:rsid w:val="08F85810"/>
    <w:rsid w:val="0900253A"/>
    <w:rsid w:val="09173579"/>
    <w:rsid w:val="09181A0E"/>
    <w:rsid w:val="092232CB"/>
    <w:rsid w:val="09295154"/>
    <w:rsid w:val="092E1232"/>
    <w:rsid w:val="092E2948"/>
    <w:rsid w:val="093F51ED"/>
    <w:rsid w:val="09400498"/>
    <w:rsid w:val="09407E8B"/>
    <w:rsid w:val="09410638"/>
    <w:rsid w:val="094C5D1E"/>
    <w:rsid w:val="094E6801"/>
    <w:rsid w:val="094F0F3B"/>
    <w:rsid w:val="09581E0B"/>
    <w:rsid w:val="095C5D9F"/>
    <w:rsid w:val="095D60E8"/>
    <w:rsid w:val="095E43A4"/>
    <w:rsid w:val="09631A23"/>
    <w:rsid w:val="09694018"/>
    <w:rsid w:val="09751EF0"/>
    <w:rsid w:val="09785A76"/>
    <w:rsid w:val="09786FE0"/>
    <w:rsid w:val="097E12ED"/>
    <w:rsid w:val="097F383C"/>
    <w:rsid w:val="0981749F"/>
    <w:rsid w:val="09871681"/>
    <w:rsid w:val="09921A1E"/>
    <w:rsid w:val="09994C73"/>
    <w:rsid w:val="09996A3D"/>
    <w:rsid w:val="09A42771"/>
    <w:rsid w:val="09A73697"/>
    <w:rsid w:val="09A81073"/>
    <w:rsid w:val="09A92667"/>
    <w:rsid w:val="09AB7218"/>
    <w:rsid w:val="09B23214"/>
    <w:rsid w:val="09B41737"/>
    <w:rsid w:val="09B76DB3"/>
    <w:rsid w:val="09B83A33"/>
    <w:rsid w:val="09B94F9F"/>
    <w:rsid w:val="09BD1E08"/>
    <w:rsid w:val="09C000DC"/>
    <w:rsid w:val="09C870EF"/>
    <w:rsid w:val="09C9449F"/>
    <w:rsid w:val="09CB4CD3"/>
    <w:rsid w:val="09CB6A81"/>
    <w:rsid w:val="09D840F1"/>
    <w:rsid w:val="09DB2124"/>
    <w:rsid w:val="09DC4E1D"/>
    <w:rsid w:val="09E11F77"/>
    <w:rsid w:val="09E27849"/>
    <w:rsid w:val="09E638BB"/>
    <w:rsid w:val="09EC78B4"/>
    <w:rsid w:val="09F36006"/>
    <w:rsid w:val="09F475D4"/>
    <w:rsid w:val="09FA7228"/>
    <w:rsid w:val="09FC2849"/>
    <w:rsid w:val="09FF654D"/>
    <w:rsid w:val="0A026946"/>
    <w:rsid w:val="0A0563E0"/>
    <w:rsid w:val="0A075EA4"/>
    <w:rsid w:val="0A0B2755"/>
    <w:rsid w:val="0A0C10CD"/>
    <w:rsid w:val="0A0C2434"/>
    <w:rsid w:val="0A0E5E9C"/>
    <w:rsid w:val="0A12645E"/>
    <w:rsid w:val="0A310FDA"/>
    <w:rsid w:val="0A36214C"/>
    <w:rsid w:val="0A3669EB"/>
    <w:rsid w:val="0A385615"/>
    <w:rsid w:val="0A3960E0"/>
    <w:rsid w:val="0A3E7253"/>
    <w:rsid w:val="0A3F1048"/>
    <w:rsid w:val="0A425A53"/>
    <w:rsid w:val="0A430ECE"/>
    <w:rsid w:val="0A4505E1"/>
    <w:rsid w:val="0A4C3251"/>
    <w:rsid w:val="0A4E393A"/>
    <w:rsid w:val="0A4F1460"/>
    <w:rsid w:val="0A4F30F4"/>
    <w:rsid w:val="0A551570"/>
    <w:rsid w:val="0A59408D"/>
    <w:rsid w:val="0A5C0B08"/>
    <w:rsid w:val="0A5C7EB1"/>
    <w:rsid w:val="0A60769B"/>
    <w:rsid w:val="0A641FD4"/>
    <w:rsid w:val="0A643AB3"/>
    <w:rsid w:val="0A717628"/>
    <w:rsid w:val="0A722713"/>
    <w:rsid w:val="0A773ED0"/>
    <w:rsid w:val="0A7A27F3"/>
    <w:rsid w:val="0A83110A"/>
    <w:rsid w:val="0A841E0C"/>
    <w:rsid w:val="0A854E82"/>
    <w:rsid w:val="0A8774E4"/>
    <w:rsid w:val="0A88084B"/>
    <w:rsid w:val="0A8844F4"/>
    <w:rsid w:val="0A945995"/>
    <w:rsid w:val="0A964538"/>
    <w:rsid w:val="0A9822EC"/>
    <w:rsid w:val="0A997416"/>
    <w:rsid w:val="0A9C5346"/>
    <w:rsid w:val="0AA31420"/>
    <w:rsid w:val="0AA51080"/>
    <w:rsid w:val="0AAE262A"/>
    <w:rsid w:val="0AAE6186"/>
    <w:rsid w:val="0AAF1EFF"/>
    <w:rsid w:val="0AB80DB3"/>
    <w:rsid w:val="0AB87005"/>
    <w:rsid w:val="0ABB65ED"/>
    <w:rsid w:val="0AC17245"/>
    <w:rsid w:val="0AC32ED7"/>
    <w:rsid w:val="0AC72B50"/>
    <w:rsid w:val="0ACA6217"/>
    <w:rsid w:val="0ACD7728"/>
    <w:rsid w:val="0ACE05D7"/>
    <w:rsid w:val="0ACE6366"/>
    <w:rsid w:val="0AD55E09"/>
    <w:rsid w:val="0ADA341F"/>
    <w:rsid w:val="0ADA51CD"/>
    <w:rsid w:val="0AE876B9"/>
    <w:rsid w:val="0AF12517"/>
    <w:rsid w:val="0AF34838"/>
    <w:rsid w:val="0AF4572D"/>
    <w:rsid w:val="0AFF69E2"/>
    <w:rsid w:val="0B0111DE"/>
    <w:rsid w:val="0B053DFA"/>
    <w:rsid w:val="0B077F8D"/>
    <w:rsid w:val="0B0E73E0"/>
    <w:rsid w:val="0B163D2C"/>
    <w:rsid w:val="0B1A69D3"/>
    <w:rsid w:val="0B227131"/>
    <w:rsid w:val="0B24469B"/>
    <w:rsid w:val="0B246449"/>
    <w:rsid w:val="0B27418B"/>
    <w:rsid w:val="0B275135"/>
    <w:rsid w:val="0B350656"/>
    <w:rsid w:val="0B495EAF"/>
    <w:rsid w:val="0B4B60CB"/>
    <w:rsid w:val="0B5207A2"/>
    <w:rsid w:val="0B570170"/>
    <w:rsid w:val="0B5A630E"/>
    <w:rsid w:val="0B5F56D3"/>
    <w:rsid w:val="0B642CE9"/>
    <w:rsid w:val="0B651280"/>
    <w:rsid w:val="0B6562E1"/>
    <w:rsid w:val="0B683AB3"/>
    <w:rsid w:val="0B6A0E11"/>
    <w:rsid w:val="0B730162"/>
    <w:rsid w:val="0B7F4D69"/>
    <w:rsid w:val="0B8134F3"/>
    <w:rsid w:val="0B884C29"/>
    <w:rsid w:val="0B892750"/>
    <w:rsid w:val="0B8C3DD0"/>
    <w:rsid w:val="0B9C78E8"/>
    <w:rsid w:val="0B9D2446"/>
    <w:rsid w:val="0BAB6A03"/>
    <w:rsid w:val="0BB13F44"/>
    <w:rsid w:val="0BB81EEF"/>
    <w:rsid w:val="0BC179CF"/>
    <w:rsid w:val="0BC8771C"/>
    <w:rsid w:val="0BCA5C7D"/>
    <w:rsid w:val="0BCD088E"/>
    <w:rsid w:val="0BD62EC5"/>
    <w:rsid w:val="0BE360C6"/>
    <w:rsid w:val="0BE45C70"/>
    <w:rsid w:val="0BE70D57"/>
    <w:rsid w:val="0BE81B6C"/>
    <w:rsid w:val="0BF43CEA"/>
    <w:rsid w:val="0BFC73C5"/>
    <w:rsid w:val="0BFD5D38"/>
    <w:rsid w:val="0C041985"/>
    <w:rsid w:val="0C053F57"/>
    <w:rsid w:val="0C0557D8"/>
    <w:rsid w:val="0C05627A"/>
    <w:rsid w:val="0C1069CD"/>
    <w:rsid w:val="0C112633"/>
    <w:rsid w:val="0C152235"/>
    <w:rsid w:val="0C1666D9"/>
    <w:rsid w:val="0C180D25"/>
    <w:rsid w:val="0C1A0C5A"/>
    <w:rsid w:val="0C236700"/>
    <w:rsid w:val="0C2C634F"/>
    <w:rsid w:val="0C2D2773"/>
    <w:rsid w:val="0C382083"/>
    <w:rsid w:val="0C420CE1"/>
    <w:rsid w:val="0C4274CE"/>
    <w:rsid w:val="0C460641"/>
    <w:rsid w:val="0C4E055E"/>
    <w:rsid w:val="0C531610"/>
    <w:rsid w:val="0C5E3BDC"/>
    <w:rsid w:val="0C6065C1"/>
    <w:rsid w:val="0C626ED0"/>
    <w:rsid w:val="0C6E3191"/>
    <w:rsid w:val="0C6F457A"/>
    <w:rsid w:val="0C741652"/>
    <w:rsid w:val="0C755539"/>
    <w:rsid w:val="0C782DF5"/>
    <w:rsid w:val="0C846C54"/>
    <w:rsid w:val="0C8548C5"/>
    <w:rsid w:val="0C871385"/>
    <w:rsid w:val="0C88413C"/>
    <w:rsid w:val="0C8938B4"/>
    <w:rsid w:val="0C9615C8"/>
    <w:rsid w:val="0C9B0FC5"/>
    <w:rsid w:val="0C9B273A"/>
    <w:rsid w:val="0CA46C54"/>
    <w:rsid w:val="0CA73527"/>
    <w:rsid w:val="0CAD246E"/>
    <w:rsid w:val="0CB35CD6"/>
    <w:rsid w:val="0CC021A1"/>
    <w:rsid w:val="0CC5211D"/>
    <w:rsid w:val="0CC53C5B"/>
    <w:rsid w:val="0CC544E0"/>
    <w:rsid w:val="0CCA3020"/>
    <w:rsid w:val="0CCD1B0F"/>
    <w:rsid w:val="0CCE0D62"/>
    <w:rsid w:val="0CD730CB"/>
    <w:rsid w:val="0CD8398F"/>
    <w:rsid w:val="0CDB3000"/>
    <w:rsid w:val="0CE660DE"/>
    <w:rsid w:val="0CEA5470"/>
    <w:rsid w:val="0CEB36FC"/>
    <w:rsid w:val="0CED7CFF"/>
    <w:rsid w:val="0CEE4F60"/>
    <w:rsid w:val="0CF86D68"/>
    <w:rsid w:val="0CF91EA7"/>
    <w:rsid w:val="0CFA58FA"/>
    <w:rsid w:val="0CFE1F16"/>
    <w:rsid w:val="0D004C93"/>
    <w:rsid w:val="0D040E9D"/>
    <w:rsid w:val="0D0A4A98"/>
    <w:rsid w:val="0D0D38A1"/>
    <w:rsid w:val="0D0E115E"/>
    <w:rsid w:val="0D1E7673"/>
    <w:rsid w:val="0D1F15BD"/>
    <w:rsid w:val="0D272C5F"/>
    <w:rsid w:val="0D3112F1"/>
    <w:rsid w:val="0D352CD8"/>
    <w:rsid w:val="0D3636AC"/>
    <w:rsid w:val="0D3660AE"/>
    <w:rsid w:val="0D367631"/>
    <w:rsid w:val="0D457F98"/>
    <w:rsid w:val="0D492FFF"/>
    <w:rsid w:val="0D4B23B2"/>
    <w:rsid w:val="0D4E59FF"/>
    <w:rsid w:val="0D4F3654"/>
    <w:rsid w:val="0D51729D"/>
    <w:rsid w:val="0D524992"/>
    <w:rsid w:val="0D584ACF"/>
    <w:rsid w:val="0D5A25F6"/>
    <w:rsid w:val="0D642AC3"/>
    <w:rsid w:val="0D6443EA"/>
    <w:rsid w:val="0D660F9A"/>
    <w:rsid w:val="0D6712B1"/>
    <w:rsid w:val="0D6763D2"/>
    <w:rsid w:val="0D687737"/>
    <w:rsid w:val="0D6B2396"/>
    <w:rsid w:val="0D6C6C92"/>
    <w:rsid w:val="0D71520A"/>
    <w:rsid w:val="0D7454E3"/>
    <w:rsid w:val="0D7845A6"/>
    <w:rsid w:val="0D8C749F"/>
    <w:rsid w:val="0D914272"/>
    <w:rsid w:val="0DA87805"/>
    <w:rsid w:val="0DA96882"/>
    <w:rsid w:val="0DAC0F9E"/>
    <w:rsid w:val="0DB77AB5"/>
    <w:rsid w:val="0DBA12E6"/>
    <w:rsid w:val="0DBB0BA9"/>
    <w:rsid w:val="0DBC463D"/>
    <w:rsid w:val="0DBF68FD"/>
    <w:rsid w:val="0DC07E76"/>
    <w:rsid w:val="0DC108C7"/>
    <w:rsid w:val="0DC12675"/>
    <w:rsid w:val="0DC21119"/>
    <w:rsid w:val="0DC245D6"/>
    <w:rsid w:val="0DC43F13"/>
    <w:rsid w:val="0DC9777B"/>
    <w:rsid w:val="0DCB50E3"/>
    <w:rsid w:val="0DD07EEF"/>
    <w:rsid w:val="0DD654C0"/>
    <w:rsid w:val="0DEC6D2E"/>
    <w:rsid w:val="0DF35F33"/>
    <w:rsid w:val="0DF87EE2"/>
    <w:rsid w:val="0DF91C71"/>
    <w:rsid w:val="0DF93BBD"/>
    <w:rsid w:val="0DFA1849"/>
    <w:rsid w:val="0DFD3B19"/>
    <w:rsid w:val="0E0013EF"/>
    <w:rsid w:val="0E034A3B"/>
    <w:rsid w:val="0E075413"/>
    <w:rsid w:val="0E0A1A3E"/>
    <w:rsid w:val="0E0B1B42"/>
    <w:rsid w:val="0E1B7A83"/>
    <w:rsid w:val="0E213113"/>
    <w:rsid w:val="0E2536E2"/>
    <w:rsid w:val="0E3028E5"/>
    <w:rsid w:val="0E386D2D"/>
    <w:rsid w:val="0E3A32DB"/>
    <w:rsid w:val="0E3C619F"/>
    <w:rsid w:val="0E3E5A73"/>
    <w:rsid w:val="0E4269FC"/>
    <w:rsid w:val="0E4532A6"/>
    <w:rsid w:val="0E457798"/>
    <w:rsid w:val="0E464E3E"/>
    <w:rsid w:val="0E4726B0"/>
    <w:rsid w:val="0E4C0B9E"/>
    <w:rsid w:val="0E4C1ECF"/>
    <w:rsid w:val="0E4F5D1D"/>
    <w:rsid w:val="0E4F5ED2"/>
    <w:rsid w:val="0E5139F9"/>
    <w:rsid w:val="0E5E1C72"/>
    <w:rsid w:val="0E6059EA"/>
    <w:rsid w:val="0E6E2C67"/>
    <w:rsid w:val="0E7B0A75"/>
    <w:rsid w:val="0E8A2A67"/>
    <w:rsid w:val="0E8C2971"/>
    <w:rsid w:val="0E9D1E9A"/>
    <w:rsid w:val="0E9E29B6"/>
    <w:rsid w:val="0E9E6927"/>
    <w:rsid w:val="0EA37FCC"/>
    <w:rsid w:val="0EAC2C39"/>
    <w:rsid w:val="0EB126E9"/>
    <w:rsid w:val="0EB266AE"/>
    <w:rsid w:val="0EB9159E"/>
    <w:rsid w:val="0EC86F9D"/>
    <w:rsid w:val="0EC904EA"/>
    <w:rsid w:val="0EE14291"/>
    <w:rsid w:val="0EE20AF5"/>
    <w:rsid w:val="0EE228A3"/>
    <w:rsid w:val="0EE85301"/>
    <w:rsid w:val="0EE8736A"/>
    <w:rsid w:val="0EEE32F0"/>
    <w:rsid w:val="0EEF3211"/>
    <w:rsid w:val="0EEF564D"/>
    <w:rsid w:val="0EF65866"/>
    <w:rsid w:val="0EF97BEC"/>
    <w:rsid w:val="0EFC6331"/>
    <w:rsid w:val="0EFC796B"/>
    <w:rsid w:val="0F046E28"/>
    <w:rsid w:val="0F072309"/>
    <w:rsid w:val="0F0A7832"/>
    <w:rsid w:val="0F0C791F"/>
    <w:rsid w:val="0F0F11BE"/>
    <w:rsid w:val="0F1217BA"/>
    <w:rsid w:val="0F130CAE"/>
    <w:rsid w:val="0F1A64E0"/>
    <w:rsid w:val="0F1C28CB"/>
    <w:rsid w:val="0F220EF1"/>
    <w:rsid w:val="0F24390A"/>
    <w:rsid w:val="0F2729AB"/>
    <w:rsid w:val="0F2C6214"/>
    <w:rsid w:val="0F2D515E"/>
    <w:rsid w:val="0F3052F1"/>
    <w:rsid w:val="0F320BDA"/>
    <w:rsid w:val="0F340C24"/>
    <w:rsid w:val="0F48425D"/>
    <w:rsid w:val="0F4972E4"/>
    <w:rsid w:val="0F4E7F38"/>
    <w:rsid w:val="0F503637"/>
    <w:rsid w:val="0F5B7036"/>
    <w:rsid w:val="0F64150A"/>
    <w:rsid w:val="0F6445B6"/>
    <w:rsid w:val="0F6B0AEA"/>
    <w:rsid w:val="0F7756E1"/>
    <w:rsid w:val="0F784FB5"/>
    <w:rsid w:val="0F7F029F"/>
    <w:rsid w:val="0F827BE2"/>
    <w:rsid w:val="0F84395A"/>
    <w:rsid w:val="0F85062C"/>
    <w:rsid w:val="0F8971C2"/>
    <w:rsid w:val="0F8B367D"/>
    <w:rsid w:val="0FA20284"/>
    <w:rsid w:val="0FA275E7"/>
    <w:rsid w:val="0FA61B22"/>
    <w:rsid w:val="0FA638D0"/>
    <w:rsid w:val="0FAA48C2"/>
    <w:rsid w:val="0FB00BF3"/>
    <w:rsid w:val="0FB3448B"/>
    <w:rsid w:val="0FB36066"/>
    <w:rsid w:val="0FB57FB7"/>
    <w:rsid w:val="0FB6788B"/>
    <w:rsid w:val="0FB71F81"/>
    <w:rsid w:val="0FB75481"/>
    <w:rsid w:val="0FB94AA9"/>
    <w:rsid w:val="0FBA42F4"/>
    <w:rsid w:val="0FBB5E8F"/>
    <w:rsid w:val="0FBC1346"/>
    <w:rsid w:val="0FC226D4"/>
    <w:rsid w:val="0FC91CB4"/>
    <w:rsid w:val="0FCC70AF"/>
    <w:rsid w:val="0FCE07BC"/>
    <w:rsid w:val="0FDC53FA"/>
    <w:rsid w:val="0FE13CE7"/>
    <w:rsid w:val="0FE37C9E"/>
    <w:rsid w:val="0FEB2659"/>
    <w:rsid w:val="0FFF56D6"/>
    <w:rsid w:val="10006A89"/>
    <w:rsid w:val="10067155"/>
    <w:rsid w:val="10072DFF"/>
    <w:rsid w:val="100A313A"/>
    <w:rsid w:val="100A58AB"/>
    <w:rsid w:val="10115DA0"/>
    <w:rsid w:val="1016687D"/>
    <w:rsid w:val="10167D23"/>
    <w:rsid w:val="10240B57"/>
    <w:rsid w:val="10246EEB"/>
    <w:rsid w:val="10264A11"/>
    <w:rsid w:val="10270CA8"/>
    <w:rsid w:val="10293019"/>
    <w:rsid w:val="10305890"/>
    <w:rsid w:val="10321608"/>
    <w:rsid w:val="10340160"/>
    <w:rsid w:val="103B4960"/>
    <w:rsid w:val="10466E61"/>
    <w:rsid w:val="104B26C9"/>
    <w:rsid w:val="104E1564"/>
    <w:rsid w:val="105006CE"/>
    <w:rsid w:val="1054157E"/>
    <w:rsid w:val="1057106E"/>
    <w:rsid w:val="105772C0"/>
    <w:rsid w:val="10594DE6"/>
    <w:rsid w:val="10611EED"/>
    <w:rsid w:val="106554A0"/>
    <w:rsid w:val="10682560"/>
    <w:rsid w:val="1068327B"/>
    <w:rsid w:val="10710C08"/>
    <w:rsid w:val="107112C0"/>
    <w:rsid w:val="107C4552"/>
    <w:rsid w:val="10802628"/>
    <w:rsid w:val="10832F57"/>
    <w:rsid w:val="108A1444"/>
    <w:rsid w:val="108D760C"/>
    <w:rsid w:val="108F25B6"/>
    <w:rsid w:val="1090632E"/>
    <w:rsid w:val="109E0A4B"/>
    <w:rsid w:val="10AB4F16"/>
    <w:rsid w:val="10B13854"/>
    <w:rsid w:val="10B2611E"/>
    <w:rsid w:val="10BA6A1E"/>
    <w:rsid w:val="10BF7D0B"/>
    <w:rsid w:val="10C440FA"/>
    <w:rsid w:val="10C55FD8"/>
    <w:rsid w:val="10D34B99"/>
    <w:rsid w:val="10D66437"/>
    <w:rsid w:val="10DE52EC"/>
    <w:rsid w:val="10E068D4"/>
    <w:rsid w:val="10E36DA6"/>
    <w:rsid w:val="10EA1EE2"/>
    <w:rsid w:val="10EF216E"/>
    <w:rsid w:val="10FB7C4C"/>
    <w:rsid w:val="11027EB6"/>
    <w:rsid w:val="110805BA"/>
    <w:rsid w:val="110C00AB"/>
    <w:rsid w:val="1111262E"/>
    <w:rsid w:val="11147A7E"/>
    <w:rsid w:val="11166833"/>
    <w:rsid w:val="111B3B5E"/>
    <w:rsid w:val="111D4066"/>
    <w:rsid w:val="111E393A"/>
    <w:rsid w:val="111F08FB"/>
    <w:rsid w:val="11205904"/>
    <w:rsid w:val="11217992"/>
    <w:rsid w:val="112310CF"/>
    <w:rsid w:val="11271DFE"/>
    <w:rsid w:val="112841F9"/>
    <w:rsid w:val="112F5269"/>
    <w:rsid w:val="112F5B47"/>
    <w:rsid w:val="1137045A"/>
    <w:rsid w:val="113A6EA1"/>
    <w:rsid w:val="113B2CD2"/>
    <w:rsid w:val="113B3391"/>
    <w:rsid w:val="113E3FDC"/>
    <w:rsid w:val="11477335"/>
    <w:rsid w:val="114A472F"/>
    <w:rsid w:val="114C04A7"/>
    <w:rsid w:val="114C66F9"/>
    <w:rsid w:val="114F61E9"/>
    <w:rsid w:val="115B2DE0"/>
    <w:rsid w:val="116550A2"/>
    <w:rsid w:val="117479FE"/>
    <w:rsid w:val="11755C50"/>
    <w:rsid w:val="117A7089"/>
    <w:rsid w:val="117F587E"/>
    <w:rsid w:val="11821BFB"/>
    <w:rsid w:val="11867E5D"/>
    <w:rsid w:val="118C5C9B"/>
    <w:rsid w:val="118F65E6"/>
    <w:rsid w:val="1191235E"/>
    <w:rsid w:val="1193257A"/>
    <w:rsid w:val="11934328"/>
    <w:rsid w:val="11941BE6"/>
    <w:rsid w:val="119A7465"/>
    <w:rsid w:val="119C142F"/>
    <w:rsid w:val="11A835A9"/>
    <w:rsid w:val="11AA3420"/>
    <w:rsid w:val="11B01B7C"/>
    <w:rsid w:val="11B54C60"/>
    <w:rsid w:val="11B5604C"/>
    <w:rsid w:val="11B96E25"/>
    <w:rsid w:val="11BA2919"/>
    <w:rsid w:val="11BE373B"/>
    <w:rsid w:val="11C10E95"/>
    <w:rsid w:val="11D80387"/>
    <w:rsid w:val="11D85C34"/>
    <w:rsid w:val="11DA5AB3"/>
    <w:rsid w:val="11DC64BF"/>
    <w:rsid w:val="11E2268F"/>
    <w:rsid w:val="11E803F1"/>
    <w:rsid w:val="11E93953"/>
    <w:rsid w:val="11EA7052"/>
    <w:rsid w:val="11EB2228"/>
    <w:rsid w:val="11EB5F12"/>
    <w:rsid w:val="11F95CDA"/>
    <w:rsid w:val="11FC011F"/>
    <w:rsid w:val="11FD3A3F"/>
    <w:rsid w:val="11FD53EF"/>
    <w:rsid w:val="11FE3E97"/>
    <w:rsid w:val="12060A91"/>
    <w:rsid w:val="12062907"/>
    <w:rsid w:val="1207125C"/>
    <w:rsid w:val="12130518"/>
    <w:rsid w:val="121D4566"/>
    <w:rsid w:val="12231CD6"/>
    <w:rsid w:val="122431D2"/>
    <w:rsid w:val="1231091D"/>
    <w:rsid w:val="123258EF"/>
    <w:rsid w:val="12355800"/>
    <w:rsid w:val="1236527E"/>
    <w:rsid w:val="124264D5"/>
    <w:rsid w:val="12437D47"/>
    <w:rsid w:val="124E241A"/>
    <w:rsid w:val="12527D3F"/>
    <w:rsid w:val="12577104"/>
    <w:rsid w:val="125A27ED"/>
    <w:rsid w:val="125F18C3"/>
    <w:rsid w:val="125F420A"/>
    <w:rsid w:val="126B3548"/>
    <w:rsid w:val="127512DC"/>
    <w:rsid w:val="127840D2"/>
    <w:rsid w:val="127B54E8"/>
    <w:rsid w:val="12831FFA"/>
    <w:rsid w:val="12864F41"/>
    <w:rsid w:val="12875942"/>
    <w:rsid w:val="128901AF"/>
    <w:rsid w:val="128B0541"/>
    <w:rsid w:val="12940283"/>
    <w:rsid w:val="1296114D"/>
    <w:rsid w:val="129B16E6"/>
    <w:rsid w:val="129C1400"/>
    <w:rsid w:val="12AC38F3"/>
    <w:rsid w:val="12B427A8"/>
    <w:rsid w:val="12B44556"/>
    <w:rsid w:val="12B72298"/>
    <w:rsid w:val="12BB58E4"/>
    <w:rsid w:val="12BD28F2"/>
    <w:rsid w:val="12C6369D"/>
    <w:rsid w:val="12CA0608"/>
    <w:rsid w:val="12CA4190"/>
    <w:rsid w:val="12CB18A0"/>
    <w:rsid w:val="12CC5D44"/>
    <w:rsid w:val="12D212D4"/>
    <w:rsid w:val="12D21387"/>
    <w:rsid w:val="12D469C2"/>
    <w:rsid w:val="12D60970"/>
    <w:rsid w:val="12DB1F2D"/>
    <w:rsid w:val="12E0534B"/>
    <w:rsid w:val="12E3308D"/>
    <w:rsid w:val="12EA61CA"/>
    <w:rsid w:val="12F928B1"/>
    <w:rsid w:val="12FA466C"/>
    <w:rsid w:val="12FE1C75"/>
    <w:rsid w:val="12FE3A23"/>
    <w:rsid w:val="130971F4"/>
    <w:rsid w:val="130E6773"/>
    <w:rsid w:val="132143D7"/>
    <w:rsid w:val="1328217F"/>
    <w:rsid w:val="132945F0"/>
    <w:rsid w:val="133833D9"/>
    <w:rsid w:val="133D3EE7"/>
    <w:rsid w:val="13433B2C"/>
    <w:rsid w:val="134A310C"/>
    <w:rsid w:val="134D0D0E"/>
    <w:rsid w:val="135875D7"/>
    <w:rsid w:val="135B0E75"/>
    <w:rsid w:val="135D74CC"/>
    <w:rsid w:val="136468D6"/>
    <w:rsid w:val="136650C1"/>
    <w:rsid w:val="13674B86"/>
    <w:rsid w:val="13733397"/>
    <w:rsid w:val="137837D5"/>
    <w:rsid w:val="137940B6"/>
    <w:rsid w:val="137B2C05"/>
    <w:rsid w:val="137D04A8"/>
    <w:rsid w:val="13824654"/>
    <w:rsid w:val="1382738E"/>
    <w:rsid w:val="13856113"/>
    <w:rsid w:val="13861201"/>
    <w:rsid w:val="13897791"/>
    <w:rsid w:val="138F4B74"/>
    <w:rsid w:val="13906D71"/>
    <w:rsid w:val="13957B0A"/>
    <w:rsid w:val="13983E78"/>
    <w:rsid w:val="13A200F4"/>
    <w:rsid w:val="13A445CA"/>
    <w:rsid w:val="13A559E6"/>
    <w:rsid w:val="13AE71F7"/>
    <w:rsid w:val="13AF049D"/>
    <w:rsid w:val="13B846E4"/>
    <w:rsid w:val="13B9623E"/>
    <w:rsid w:val="13BB36C2"/>
    <w:rsid w:val="13BF31B2"/>
    <w:rsid w:val="13C20EF5"/>
    <w:rsid w:val="13C22CA3"/>
    <w:rsid w:val="13C87C63"/>
    <w:rsid w:val="13CC58CF"/>
    <w:rsid w:val="13CE33F5"/>
    <w:rsid w:val="13D824C6"/>
    <w:rsid w:val="13DA48DF"/>
    <w:rsid w:val="13DB3DA1"/>
    <w:rsid w:val="13DC32CF"/>
    <w:rsid w:val="13E0137B"/>
    <w:rsid w:val="13E1581F"/>
    <w:rsid w:val="13E66F15"/>
    <w:rsid w:val="13E7766F"/>
    <w:rsid w:val="13E83BB6"/>
    <w:rsid w:val="13E8776B"/>
    <w:rsid w:val="13F80FF5"/>
    <w:rsid w:val="13F92E09"/>
    <w:rsid w:val="140E413A"/>
    <w:rsid w:val="14114025"/>
    <w:rsid w:val="141358DD"/>
    <w:rsid w:val="1415173F"/>
    <w:rsid w:val="1424395D"/>
    <w:rsid w:val="14251954"/>
    <w:rsid w:val="143A0A8B"/>
    <w:rsid w:val="143A1AA2"/>
    <w:rsid w:val="143A6CDD"/>
    <w:rsid w:val="143C5B51"/>
    <w:rsid w:val="144114A1"/>
    <w:rsid w:val="144642DD"/>
    <w:rsid w:val="14467430"/>
    <w:rsid w:val="144819CF"/>
    <w:rsid w:val="144A588B"/>
    <w:rsid w:val="145462B3"/>
    <w:rsid w:val="14553B17"/>
    <w:rsid w:val="1457163D"/>
    <w:rsid w:val="145B6F4B"/>
    <w:rsid w:val="14646CE8"/>
    <w:rsid w:val="14706BA3"/>
    <w:rsid w:val="147246C9"/>
    <w:rsid w:val="14772206"/>
    <w:rsid w:val="1477564D"/>
    <w:rsid w:val="147D0DB2"/>
    <w:rsid w:val="14812B5E"/>
    <w:rsid w:val="14817EE2"/>
    <w:rsid w:val="14867990"/>
    <w:rsid w:val="14883EEC"/>
    <w:rsid w:val="148B5A61"/>
    <w:rsid w:val="14920082"/>
    <w:rsid w:val="14961F4B"/>
    <w:rsid w:val="149731F9"/>
    <w:rsid w:val="14A01236"/>
    <w:rsid w:val="14A126C9"/>
    <w:rsid w:val="14A34882"/>
    <w:rsid w:val="14A35BAB"/>
    <w:rsid w:val="14A423A8"/>
    <w:rsid w:val="14AB3737"/>
    <w:rsid w:val="14AE1842"/>
    <w:rsid w:val="14B04FD1"/>
    <w:rsid w:val="14B407FD"/>
    <w:rsid w:val="14BC76F2"/>
    <w:rsid w:val="14C606AB"/>
    <w:rsid w:val="14E90AE3"/>
    <w:rsid w:val="14EB115C"/>
    <w:rsid w:val="14ED3D4F"/>
    <w:rsid w:val="14F447EE"/>
    <w:rsid w:val="14F708A2"/>
    <w:rsid w:val="15001C4F"/>
    <w:rsid w:val="15010A44"/>
    <w:rsid w:val="1504243E"/>
    <w:rsid w:val="150F5650"/>
    <w:rsid w:val="151139DC"/>
    <w:rsid w:val="151632A6"/>
    <w:rsid w:val="15165D3C"/>
    <w:rsid w:val="151B55E7"/>
    <w:rsid w:val="152049FA"/>
    <w:rsid w:val="15215E7B"/>
    <w:rsid w:val="15235434"/>
    <w:rsid w:val="15235A64"/>
    <w:rsid w:val="152579CF"/>
    <w:rsid w:val="152A0AFF"/>
    <w:rsid w:val="152A6721"/>
    <w:rsid w:val="152E3847"/>
    <w:rsid w:val="1537146E"/>
    <w:rsid w:val="1537321C"/>
    <w:rsid w:val="153B4ABB"/>
    <w:rsid w:val="15412AC2"/>
    <w:rsid w:val="154C59FC"/>
    <w:rsid w:val="15505E17"/>
    <w:rsid w:val="155219F2"/>
    <w:rsid w:val="15522B32"/>
    <w:rsid w:val="155344FA"/>
    <w:rsid w:val="15556AC5"/>
    <w:rsid w:val="155E3DF4"/>
    <w:rsid w:val="15604DBD"/>
    <w:rsid w:val="15612B40"/>
    <w:rsid w:val="15671D54"/>
    <w:rsid w:val="15742287"/>
    <w:rsid w:val="15814374"/>
    <w:rsid w:val="1583304F"/>
    <w:rsid w:val="15897F1C"/>
    <w:rsid w:val="15932B49"/>
    <w:rsid w:val="159465B9"/>
    <w:rsid w:val="159A6269"/>
    <w:rsid w:val="159C1C61"/>
    <w:rsid w:val="15A20FDE"/>
    <w:rsid w:val="15A22D8C"/>
    <w:rsid w:val="15A44D56"/>
    <w:rsid w:val="15A60CE9"/>
    <w:rsid w:val="15AC59B8"/>
    <w:rsid w:val="15B10A56"/>
    <w:rsid w:val="15B11CFC"/>
    <w:rsid w:val="15B151DF"/>
    <w:rsid w:val="15BC48E2"/>
    <w:rsid w:val="15BE749A"/>
    <w:rsid w:val="15C815CC"/>
    <w:rsid w:val="15C947BC"/>
    <w:rsid w:val="15CD0C66"/>
    <w:rsid w:val="15D31197"/>
    <w:rsid w:val="15D7553B"/>
    <w:rsid w:val="15DC4184"/>
    <w:rsid w:val="15E2762C"/>
    <w:rsid w:val="15ED7C1A"/>
    <w:rsid w:val="15F31839"/>
    <w:rsid w:val="15F909C6"/>
    <w:rsid w:val="15FA4976"/>
    <w:rsid w:val="16036B4C"/>
    <w:rsid w:val="16053BAB"/>
    <w:rsid w:val="160B4C10"/>
    <w:rsid w:val="160C7F31"/>
    <w:rsid w:val="16135A37"/>
    <w:rsid w:val="1614187E"/>
    <w:rsid w:val="16161084"/>
    <w:rsid w:val="16164A21"/>
    <w:rsid w:val="161831A6"/>
    <w:rsid w:val="161D4D74"/>
    <w:rsid w:val="162714E3"/>
    <w:rsid w:val="162D0D93"/>
    <w:rsid w:val="163B0AEA"/>
    <w:rsid w:val="163C6D3C"/>
    <w:rsid w:val="163F3957"/>
    <w:rsid w:val="1645503C"/>
    <w:rsid w:val="16467BBB"/>
    <w:rsid w:val="165226B5"/>
    <w:rsid w:val="165379A1"/>
    <w:rsid w:val="16590379"/>
    <w:rsid w:val="165A5414"/>
    <w:rsid w:val="165B1884"/>
    <w:rsid w:val="165F0C7D"/>
    <w:rsid w:val="1662251B"/>
    <w:rsid w:val="1663255E"/>
    <w:rsid w:val="166B13D0"/>
    <w:rsid w:val="166D06A2"/>
    <w:rsid w:val="166D17A1"/>
    <w:rsid w:val="166D1E6A"/>
    <w:rsid w:val="166F1D9C"/>
    <w:rsid w:val="166F6250"/>
    <w:rsid w:val="16730284"/>
    <w:rsid w:val="16734728"/>
    <w:rsid w:val="1675224E"/>
    <w:rsid w:val="167641D5"/>
    <w:rsid w:val="16843287"/>
    <w:rsid w:val="16877DA9"/>
    <w:rsid w:val="168E3310"/>
    <w:rsid w:val="168F4182"/>
    <w:rsid w:val="16930926"/>
    <w:rsid w:val="169A7F07"/>
    <w:rsid w:val="169E79F7"/>
    <w:rsid w:val="16AB3F01"/>
    <w:rsid w:val="16AB7BB8"/>
    <w:rsid w:val="16AF04AC"/>
    <w:rsid w:val="16B41948"/>
    <w:rsid w:val="16B5089D"/>
    <w:rsid w:val="16B74615"/>
    <w:rsid w:val="16BA319D"/>
    <w:rsid w:val="16BD162A"/>
    <w:rsid w:val="16C13805"/>
    <w:rsid w:val="16CA7E31"/>
    <w:rsid w:val="16D231FD"/>
    <w:rsid w:val="16DE1BA1"/>
    <w:rsid w:val="16E30B31"/>
    <w:rsid w:val="16E82A20"/>
    <w:rsid w:val="16F05D79"/>
    <w:rsid w:val="16F21AF1"/>
    <w:rsid w:val="16F71C9A"/>
    <w:rsid w:val="16F77B6A"/>
    <w:rsid w:val="170830C2"/>
    <w:rsid w:val="170B4961"/>
    <w:rsid w:val="170E12EE"/>
    <w:rsid w:val="17100C34"/>
    <w:rsid w:val="17105CCD"/>
    <w:rsid w:val="17125CEF"/>
    <w:rsid w:val="17127EC0"/>
    <w:rsid w:val="17143815"/>
    <w:rsid w:val="17171557"/>
    <w:rsid w:val="1718154D"/>
    <w:rsid w:val="171D2462"/>
    <w:rsid w:val="1720665E"/>
    <w:rsid w:val="17261D73"/>
    <w:rsid w:val="172C0F9B"/>
    <w:rsid w:val="172C3288"/>
    <w:rsid w:val="17341AF4"/>
    <w:rsid w:val="173619DD"/>
    <w:rsid w:val="173B3498"/>
    <w:rsid w:val="173C2D6C"/>
    <w:rsid w:val="173E2CC5"/>
    <w:rsid w:val="17424826"/>
    <w:rsid w:val="174405C4"/>
    <w:rsid w:val="174D4F79"/>
    <w:rsid w:val="174F0CF1"/>
    <w:rsid w:val="175149CB"/>
    <w:rsid w:val="17544559"/>
    <w:rsid w:val="17546308"/>
    <w:rsid w:val="17562080"/>
    <w:rsid w:val="17565914"/>
    <w:rsid w:val="175C045F"/>
    <w:rsid w:val="17613E23"/>
    <w:rsid w:val="17626C76"/>
    <w:rsid w:val="17654071"/>
    <w:rsid w:val="17680005"/>
    <w:rsid w:val="176D1177"/>
    <w:rsid w:val="17740758"/>
    <w:rsid w:val="17800407"/>
    <w:rsid w:val="17800EAB"/>
    <w:rsid w:val="178A1D29"/>
    <w:rsid w:val="178D1DE8"/>
    <w:rsid w:val="178F5AB3"/>
    <w:rsid w:val="17920292"/>
    <w:rsid w:val="17920BDE"/>
    <w:rsid w:val="17942BA8"/>
    <w:rsid w:val="17966920"/>
    <w:rsid w:val="17A70B2D"/>
    <w:rsid w:val="17AD104E"/>
    <w:rsid w:val="17B1355A"/>
    <w:rsid w:val="17B40771"/>
    <w:rsid w:val="17BE19D3"/>
    <w:rsid w:val="17C20BA8"/>
    <w:rsid w:val="17C21A9B"/>
    <w:rsid w:val="17C405A0"/>
    <w:rsid w:val="17C57C22"/>
    <w:rsid w:val="17CC284F"/>
    <w:rsid w:val="17CE2D3A"/>
    <w:rsid w:val="17D42FA4"/>
    <w:rsid w:val="17D83122"/>
    <w:rsid w:val="17DC7350"/>
    <w:rsid w:val="17E551B2"/>
    <w:rsid w:val="17E56F60"/>
    <w:rsid w:val="17E62C77"/>
    <w:rsid w:val="17F92A0B"/>
    <w:rsid w:val="17FF6273"/>
    <w:rsid w:val="180A1097"/>
    <w:rsid w:val="18115297"/>
    <w:rsid w:val="1812786C"/>
    <w:rsid w:val="18197310"/>
    <w:rsid w:val="18277578"/>
    <w:rsid w:val="1828797F"/>
    <w:rsid w:val="18300B23"/>
    <w:rsid w:val="1840063A"/>
    <w:rsid w:val="1842673C"/>
    <w:rsid w:val="184357A6"/>
    <w:rsid w:val="18455E9A"/>
    <w:rsid w:val="184D733B"/>
    <w:rsid w:val="18510A99"/>
    <w:rsid w:val="18534433"/>
    <w:rsid w:val="185A0406"/>
    <w:rsid w:val="18613722"/>
    <w:rsid w:val="1864127F"/>
    <w:rsid w:val="18653C27"/>
    <w:rsid w:val="187637D1"/>
    <w:rsid w:val="18784278"/>
    <w:rsid w:val="187A7FF0"/>
    <w:rsid w:val="187F73B4"/>
    <w:rsid w:val="18826EA4"/>
    <w:rsid w:val="18896374"/>
    <w:rsid w:val="188B643B"/>
    <w:rsid w:val="188C387F"/>
    <w:rsid w:val="18910E95"/>
    <w:rsid w:val="18916A13"/>
    <w:rsid w:val="18952334"/>
    <w:rsid w:val="18956BD8"/>
    <w:rsid w:val="18991B08"/>
    <w:rsid w:val="18A117B3"/>
    <w:rsid w:val="18A230A3"/>
    <w:rsid w:val="18A72E32"/>
    <w:rsid w:val="18A92683"/>
    <w:rsid w:val="18A97A19"/>
    <w:rsid w:val="18AD1583"/>
    <w:rsid w:val="18AE0570"/>
    <w:rsid w:val="18AF73F6"/>
    <w:rsid w:val="18B11F53"/>
    <w:rsid w:val="18BC1226"/>
    <w:rsid w:val="18CA0E9A"/>
    <w:rsid w:val="18CC214C"/>
    <w:rsid w:val="18CD013D"/>
    <w:rsid w:val="18CD6371"/>
    <w:rsid w:val="18CE21FE"/>
    <w:rsid w:val="18D60BC0"/>
    <w:rsid w:val="18E117C4"/>
    <w:rsid w:val="18E216F1"/>
    <w:rsid w:val="18E81E5E"/>
    <w:rsid w:val="18E869DC"/>
    <w:rsid w:val="18EF4E58"/>
    <w:rsid w:val="18F27CD7"/>
    <w:rsid w:val="18F41B50"/>
    <w:rsid w:val="18F4558E"/>
    <w:rsid w:val="18FF73B6"/>
    <w:rsid w:val="19050BC8"/>
    <w:rsid w:val="19061D70"/>
    <w:rsid w:val="190B6E9A"/>
    <w:rsid w:val="19145D4E"/>
    <w:rsid w:val="191E0CBD"/>
    <w:rsid w:val="191E4E1F"/>
    <w:rsid w:val="192022B1"/>
    <w:rsid w:val="19235F91"/>
    <w:rsid w:val="19277DA7"/>
    <w:rsid w:val="192A5E06"/>
    <w:rsid w:val="19314B52"/>
    <w:rsid w:val="19343D46"/>
    <w:rsid w:val="193D7A83"/>
    <w:rsid w:val="193E0CBA"/>
    <w:rsid w:val="193E227A"/>
    <w:rsid w:val="193E7D91"/>
    <w:rsid w:val="193E7DCB"/>
    <w:rsid w:val="19406B43"/>
    <w:rsid w:val="19414514"/>
    <w:rsid w:val="194259B3"/>
    <w:rsid w:val="194717A8"/>
    <w:rsid w:val="19483C4A"/>
    <w:rsid w:val="19545DA3"/>
    <w:rsid w:val="195A572B"/>
    <w:rsid w:val="195F2D42"/>
    <w:rsid w:val="1963744E"/>
    <w:rsid w:val="196D4F9F"/>
    <w:rsid w:val="197D69FB"/>
    <w:rsid w:val="19841F4F"/>
    <w:rsid w:val="198504D4"/>
    <w:rsid w:val="19873A68"/>
    <w:rsid w:val="198804EA"/>
    <w:rsid w:val="198B6251"/>
    <w:rsid w:val="198E75EB"/>
    <w:rsid w:val="198F09F0"/>
    <w:rsid w:val="199243FA"/>
    <w:rsid w:val="19941B4A"/>
    <w:rsid w:val="199948E1"/>
    <w:rsid w:val="19996254"/>
    <w:rsid w:val="199A5594"/>
    <w:rsid w:val="199B2E0B"/>
    <w:rsid w:val="199D26BE"/>
    <w:rsid w:val="199E7D0E"/>
    <w:rsid w:val="19A54BF8"/>
    <w:rsid w:val="19A74F92"/>
    <w:rsid w:val="19AE0418"/>
    <w:rsid w:val="19B71113"/>
    <w:rsid w:val="19BD11AD"/>
    <w:rsid w:val="19BE48C9"/>
    <w:rsid w:val="19C77196"/>
    <w:rsid w:val="19CA465F"/>
    <w:rsid w:val="19D41982"/>
    <w:rsid w:val="19D41BF2"/>
    <w:rsid w:val="19D76D7C"/>
    <w:rsid w:val="19DB4ABE"/>
    <w:rsid w:val="19DB6886"/>
    <w:rsid w:val="19DC72B1"/>
    <w:rsid w:val="19E10036"/>
    <w:rsid w:val="19E27BFB"/>
    <w:rsid w:val="19E324E2"/>
    <w:rsid w:val="19E43B0E"/>
    <w:rsid w:val="19EA2F53"/>
    <w:rsid w:val="19F7721A"/>
    <w:rsid w:val="19FA5E70"/>
    <w:rsid w:val="19FB2146"/>
    <w:rsid w:val="19FC70C2"/>
    <w:rsid w:val="19FD16FB"/>
    <w:rsid w:val="1A045731"/>
    <w:rsid w:val="1A0A21ED"/>
    <w:rsid w:val="1A0C4C78"/>
    <w:rsid w:val="1A0E09F0"/>
    <w:rsid w:val="1A0F24DC"/>
    <w:rsid w:val="1A0F6516"/>
    <w:rsid w:val="1A145D4F"/>
    <w:rsid w:val="1A160992"/>
    <w:rsid w:val="1A163D48"/>
    <w:rsid w:val="1A1A0C7A"/>
    <w:rsid w:val="1A1B2E82"/>
    <w:rsid w:val="1A1B3508"/>
    <w:rsid w:val="1A1C3306"/>
    <w:rsid w:val="1A1E2A6D"/>
    <w:rsid w:val="1A213972"/>
    <w:rsid w:val="1A2C356C"/>
    <w:rsid w:val="1A2D5F46"/>
    <w:rsid w:val="1A3009DE"/>
    <w:rsid w:val="1A304E0A"/>
    <w:rsid w:val="1A400DC5"/>
    <w:rsid w:val="1A411730"/>
    <w:rsid w:val="1A424B3D"/>
    <w:rsid w:val="1A472154"/>
    <w:rsid w:val="1A497980"/>
    <w:rsid w:val="1A4F2DB6"/>
    <w:rsid w:val="1A592576"/>
    <w:rsid w:val="1A5E01E6"/>
    <w:rsid w:val="1A60061A"/>
    <w:rsid w:val="1A6414DA"/>
    <w:rsid w:val="1A674C37"/>
    <w:rsid w:val="1A6C1935"/>
    <w:rsid w:val="1A7777CA"/>
    <w:rsid w:val="1A843454"/>
    <w:rsid w:val="1A925573"/>
    <w:rsid w:val="1A9856D4"/>
    <w:rsid w:val="1A98798A"/>
    <w:rsid w:val="1A9C6652"/>
    <w:rsid w:val="1A9D5276"/>
    <w:rsid w:val="1A9F5AEC"/>
    <w:rsid w:val="1AA17AB6"/>
    <w:rsid w:val="1AA42ABA"/>
    <w:rsid w:val="1AA45417"/>
    <w:rsid w:val="1AA740CE"/>
    <w:rsid w:val="1AA747B1"/>
    <w:rsid w:val="1AA81171"/>
    <w:rsid w:val="1AA821AE"/>
    <w:rsid w:val="1AA92B13"/>
    <w:rsid w:val="1AB315FA"/>
    <w:rsid w:val="1ABC1537"/>
    <w:rsid w:val="1ABC7F33"/>
    <w:rsid w:val="1AC11F06"/>
    <w:rsid w:val="1AC218C5"/>
    <w:rsid w:val="1AD80FFE"/>
    <w:rsid w:val="1ADA27BF"/>
    <w:rsid w:val="1ADA4552"/>
    <w:rsid w:val="1ADD278A"/>
    <w:rsid w:val="1ADF365C"/>
    <w:rsid w:val="1AE150F4"/>
    <w:rsid w:val="1AE85578"/>
    <w:rsid w:val="1AE87493"/>
    <w:rsid w:val="1AE94FB9"/>
    <w:rsid w:val="1AE96D67"/>
    <w:rsid w:val="1AEB728B"/>
    <w:rsid w:val="1AFC2F3E"/>
    <w:rsid w:val="1AFC4710"/>
    <w:rsid w:val="1B0346B6"/>
    <w:rsid w:val="1B035CF8"/>
    <w:rsid w:val="1B060A7D"/>
    <w:rsid w:val="1B065B6B"/>
    <w:rsid w:val="1B09342A"/>
    <w:rsid w:val="1B0F52B8"/>
    <w:rsid w:val="1B122762"/>
    <w:rsid w:val="1B185420"/>
    <w:rsid w:val="1B1C7CE7"/>
    <w:rsid w:val="1B1F4E7E"/>
    <w:rsid w:val="1B245FF1"/>
    <w:rsid w:val="1B261D69"/>
    <w:rsid w:val="1B26620D"/>
    <w:rsid w:val="1B3444D8"/>
    <w:rsid w:val="1B361631"/>
    <w:rsid w:val="1B38760B"/>
    <w:rsid w:val="1B3A3A66"/>
    <w:rsid w:val="1B3B1CB8"/>
    <w:rsid w:val="1B423D8C"/>
    <w:rsid w:val="1B487F31"/>
    <w:rsid w:val="1B505038"/>
    <w:rsid w:val="1B522C94"/>
    <w:rsid w:val="1B5468D6"/>
    <w:rsid w:val="1B5D7724"/>
    <w:rsid w:val="1B631040"/>
    <w:rsid w:val="1B632FBD"/>
    <w:rsid w:val="1B645D19"/>
    <w:rsid w:val="1B684130"/>
    <w:rsid w:val="1B7E7DF7"/>
    <w:rsid w:val="1B837AD9"/>
    <w:rsid w:val="1B8847D2"/>
    <w:rsid w:val="1B891C22"/>
    <w:rsid w:val="1B915971"/>
    <w:rsid w:val="1B9211AC"/>
    <w:rsid w:val="1B974A15"/>
    <w:rsid w:val="1B9B2C46"/>
    <w:rsid w:val="1BA449F8"/>
    <w:rsid w:val="1BA84E74"/>
    <w:rsid w:val="1BB455C7"/>
    <w:rsid w:val="1BB83309"/>
    <w:rsid w:val="1BBE4697"/>
    <w:rsid w:val="1BC17006"/>
    <w:rsid w:val="1BC8022B"/>
    <w:rsid w:val="1BD143CB"/>
    <w:rsid w:val="1BD15AB4"/>
    <w:rsid w:val="1BD17F27"/>
    <w:rsid w:val="1BD36403"/>
    <w:rsid w:val="1BD96DDB"/>
    <w:rsid w:val="1BDD2D6F"/>
    <w:rsid w:val="1BDD624A"/>
    <w:rsid w:val="1BE61B36"/>
    <w:rsid w:val="1BEA0CB8"/>
    <w:rsid w:val="1BED2887"/>
    <w:rsid w:val="1BF243E8"/>
    <w:rsid w:val="1BF30979"/>
    <w:rsid w:val="1BF41E67"/>
    <w:rsid w:val="1BF800DA"/>
    <w:rsid w:val="1BF9122C"/>
    <w:rsid w:val="1BFE6C12"/>
    <w:rsid w:val="1BFF683E"/>
    <w:rsid w:val="1C0D4CD7"/>
    <w:rsid w:val="1C0F5412"/>
    <w:rsid w:val="1C103E1D"/>
    <w:rsid w:val="1C1300D2"/>
    <w:rsid w:val="1C132C6F"/>
    <w:rsid w:val="1C2D4AD3"/>
    <w:rsid w:val="1C3047C7"/>
    <w:rsid w:val="1C33473D"/>
    <w:rsid w:val="1C365FAB"/>
    <w:rsid w:val="1C3D6A8C"/>
    <w:rsid w:val="1C416881"/>
    <w:rsid w:val="1C422A6D"/>
    <w:rsid w:val="1C4306F9"/>
    <w:rsid w:val="1C47468D"/>
    <w:rsid w:val="1C4B0FEA"/>
    <w:rsid w:val="1C4B5978"/>
    <w:rsid w:val="1C503742"/>
    <w:rsid w:val="1C505235"/>
    <w:rsid w:val="1C511068"/>
    <w:rsid w:val="1C536B8E"/>
    <w:rsid w:val="1C562864"/>
    <w:rsid w:val="1C575926"/>
    <w:rsid w:val="1C584E2B"/>
    <w:rsid w:val="1C5D17E5"/>
    <w:rsid w:val="1C697DEE"/>
    <w:rsid w:val="1C7134B8"/>
    <w:rsid w:val="1C730FDE"/>
    <w:rsid w:val="1C75670D"/>
    <w:rsid w:val="1C784846"/>
    <w:rsid w:val="1C876837"/>
    <w:rsid w:val="1C976DEE"/>
    <w:rsid w:val="1C980A44"/>
    <w:rsid w:val="1C9B221C"/>
    <w:rsid w:val="1C9B6A19"/>
    <w:rsid w:val="1C9E3D80"/>
    <w:rsid w:val="1C9F5A70"/>
    <w:rsid w:val="1CB17D58"/>
    <w:rsid w:val="1CCA5501"/>
    <w:rsid w:val="1CD00218"/>
    <w:rsid w:val="1CD203FA"/>
    <w:rsid w:val="1CD57AA2"/>
    <w:rsid w:val="1CD777BF"/>
    <w:rsid w:val="1CE03102"/>
    <w:rsid w:val="1CE569C3"/>
    <w:rsid w:val="1CE65C54"/>
    <w:rsid w:val="1CE85903"/>
    <w:rsid w:val="1CEB27CA"/>
    <w:rsid w:val="1CF0262F"/>
    <w:rsid w:val="1CF56091"/>
    <w:rsid w:val="1CFF0AC4"/>
    <w:rsid w:val="1D0221F6"/>
    <w:rsid w:val="1D0D31E0"/>
    <w:rsid w:val="1D0E791D"/>
    <w:rsid w:val="1D1038E4"/>
    <w:rsid w:val="1D1327C1"/>
    <w:rsid w:val="1D1D601E"/>
    <w:rsid w:val="1D1E32DE"/>
    <w:rsid w:val="1D230C56"/>
    <w:rsid w:val="1D27482D"/>
    <w:rsid w:val="1D287CE9"/>
    <w:rsid w:val="1D291FE4"/>
    <w:rsid w:val="1D2B147D"/>
    <w:rsid w:val="1D2F75FB"/>
    <w:rsid w:val="1D37200B"/>
    <w:rsid w:val="1D383FD6"/>
    <w:rsid w:val="1D395931"/>
    <w:rsid w:val="1D4341EB"/>
    <w:rsid w:val="1D47016B"/>
    <w:rsid w:val="1D4B5AB7"/>
    <w:rsid w:val="1D600CA6"/>
    <w:rsid w:val="1D60613A"/>
    <w:rsid w:val="1D6628F1"/>
    <w:rsid w:val="1D6B7631"/>
    <w:rsid w:val="1D6E17A5"/>
    <w:rsid w:val="1D6E3E6F"/>
    <w:rsid w:val="1D721295"/>
    <w:rsid w:val="1D766117"/>
    <w:rsid w:val="1D807E56"/>
    <w:rsid w:val="1D8669FF"/>
    <w:rsid w:val="1D8C678F"/>
    <w:rsid w:val="1D8D60CF"/>
    <w:rsid w:val="1D905BC0"/>
    <w:rsid w:val="1D9901FE"/>
    <w:rsid w:val="1DA41C5A"/>
    <w:rsid w:val="1DA541D5"/>
    <w:rsid w:val="1DAA3E69"/>
    <w:rsid w:val="1DBA2FC9"/>
    <w:rsid w:val="1DBA666C"/>
    <w:rsid w:val="1DC13FCB"/>
    <w:rsid w:val="1DC237E6"/>
    <w:rsid w:val="1DC4123E"/>
    <w:rsid w:val="1DC84C81"/>
    <w:rsid w:val="1DC85359"/>
    <w:rsid w:val="1DCC5269"/>
    <w:rsid w:val="1DCF2045"/>
    <w:rsid w:val="1DD96AFE"/>
    <w:rsid w:val="1DE32193"/>
    <w:rsid w:val="1DE67354"/>
    <w:rsid w:val="1DE859FC"/>
    <w:rsid w:val="1DEC729A"/>
    <w:rsid w:val="1DEF28E6"/>
    <w:rsid w:val="1DF12B02"/>
    <w:rsid w:val="1DF733EF"/>
    <w:rsid w:val="1DF90150"/>
    <w:rsid w:val="1DF94183"/>
    <w:rsid w:val="1DFF731C"/>
    <w:rsid w:val="1E000D26"/>
    <w:rsid w:val="1E026ABD"/>
    <w:rsid w:val="1E036392"/>
    <w:rsid w:val="1E0431F6"/>
    <w:rsid w:val="1E0C013E"/>
    <w:rsid w:val="1E0D0A3A"/>
    <w:rsid w:val="1E0D7210"/>
    <w:rsid w:val="1E112D44"/>
    <w:rsid w:val="1E14059F"/>
    <w:rsid w:val="1E1467F1"/>
    <w:rsid w:val="1E16046E"/>
    <w:rsid w:val="1E1B30F3"/>
    <w:rsid w:val="1E230DA8"/>
    <w:rsid w:val="1E262080"/>
    <w:rsid w:val="1E264B94"/>
    <w:rsid w:val="1E28404A"/>
    <w:rsid w:val="1E2A1B70"/>
    <w:rsid w:val="1E2A7DC2"/>
    <w:rsid w:val="1E312EFF"/>
    <w:rsid w:val="1E34479D"/>
    <w:rsid w:val="1E360515"/>
    <w:rsid w:val="1E3F5984"/>
    <w:rsid w:val="1E403142"/>
    <w:rsid w:val="1E4F6F01"/>
    <w:rsid w:val="1E5060FB"/>
    <w:rsid w:val="1E530BE4"/>
    <w:rsid w:val="1E535952"/>
    <w:rsid w:val="1E5E181A"/>
    <w:rsid w:val="1E5F65A2"/>
    <w:rsid w:val="1E604D51"/>
    <w:rsid w:val="1E6C2189"/>
    <w:rsid w:val="1E74728F"/>
    <w:rsid w:val="1E7F6240"/>
    <w:rsid w:val="1E890F8D"/>
    <w:rsid w:val="1E965458"/>
    <w:rsid w:val="1E9960E4"/>
    <w:rsid w:val="1EA00084"/>
    <w:rsid w:val="1EA37779"/>
    <w:rsid w:val="1EA71431"/>
    <w:rsid w:val="1EA86053"/>
    <w:rsid w:val="1EAA0146"/>
    <w:rsid w:val="1EB94412"/>
    <w:rsid w:val="1EBC2F21"/>
    <w:rsid w:val="1EC30CED"/>
    <w:rsid w:val="1EC51899"/>
    <w:rsid w:val="1EC83B80"/>
    <w:rsid w:val="1ED02718"/>
    <w:rsid w:val="1ED61E70"/>
    <w:rsid w:val="1EDB37C8"/>
    <w:rsid w:val="1EDD76D2"/>
    <w:rsid w:val="1EDF6DFF"/>
    <w:rsid w:val="1EE2244B"/>
    <w:rsid w:val="1EE42C85"/>
    <w:rsid w:val="1EE47F71"/>
    <w:rsid w:val="1EE77A61"/>
    <w:rsid w:val="1EE91A2B"/>
    <w:rsid w:val="1EE93F77"/>
    <w:rsid w:val="1EEA1055"/>
    <w:rsid w:val="1EEA14A3"/>
    <w:rsid w:val="1EEE2B9E"/>
    <w:rsid w:val="1EF503D0"/>
    <w:rsid w:val="1EF5217E"/>
    <w:rsid w:val="1EF67119"/>
    <w:rsid w:val="1EF93A11"/>
    <w:rsid w:val="1EFA3C38"/>
    <w:rsid w:val="1EFA416B"/>
    <w:rsid w:val="1EFA41E1"/>
    <w:rsid w:val="1EFB52BB"/>
    <w:rsid w:val="1F015BE8"/>
    <w:rsid w:val="1F0265C3"/>
    <w:rsid w:val="1F071C53"/>
    <w:rsid w:val="1F093E5A"/>
    <w:rsid w:val="1F101DC8"/>
    <w:rsid w:val="1F125B80"/>
    <w:rsid w:val="1F187EDF"/>
    <w:rsid w:val="1F2222F4"/>
    <w:rsid w:val="1F25008A"/>
    <w:rsid w:val="1F274302"/>
    <w:rsid w:val="1F2760B0"/>
    <w:rsid w:val="1F28215D"/>
    <w:rsid w:val="1F2E1FA9"/>
    <w:rsid w:val="1F31724E"/>
    <w:rsid w:val="1F386489"/>
    <w:rsid w:val="1F394761"/>
    <w:rsid w:val="1F3C1B5B"/>
    <w:rsid w:val="1F3F33F9"/>
    <w:rsid w:val="1F4774DB"/>
    <w:rsid w:val="1F4D279A"/>
    <w:rsid w:val="1F4E32C6"/>
    <w:rsid w:val="1F582A1A"/>
    <w:rsid w:val="1F595DA6"/>
    <w:rsid w:val="1F5A6B7D"/>
    <w:rsid w:val="1F656E1E"/>
    <w:rsid w:val="1F686DF4"/>
    <w:rsid w:val="1F6B0692"/>
    <w:rsid w:val="1F6B296E"/>
    <w:rsid w:val="1F7074E6"/>
    <w:rsid w:val="1F761238"/>
    <w:rsid w:val="1F78690B"/>
    <w:rsid w:val="1F7A07C8"/>
    <w:rsid w:val="1F7B54E2"/>
    <w:rsid w:val="1F7D314A"/>
    <w:rsid w:val="1F7E2174"/>
    <w:rsid w:val="1F7F5EEC"/>
    <w:rsid w:val="1F83491E"/>
    <w:rsid w:val="1F8828CF"/>
    <w:rsid w:val="1F8A7D23"/>
    <w:rsid w:val="1F8D23B7"/>
    <w:rsid w:val="1F903386"/>
    <w:rsid w:val="1F986C6B"/>
    <w:rsid w:val="1F9B49BB"/>
    <w:rsid w:val="1FA12306"/>
    <w:rsid w:val="1FA31DB6"/>
    <w:rsid w:val="1FA55A0F"/>
    <w:rsid w:val="1FA6791C"/>
    <w:rsid w:val="1FAE03BD"/>
    <w:rsid w:val="1FAF4A23"/>
    <w:rsid w:val="1FB05EDC"/>
    <w:rsid w:val="1FB14A71"/>
    <w:rsid w:val="1FB47771"/>
    <w:rsid w:val="1FB77434"/>
    <w:rsid w:val="1FB97650"/>
    <w:rsid w:val="1FBB633A"/>
    <w:rsid w:val="1FC03C94"/>
    <w:rsid w:val="1FC81641"/>
    <w:rsid w:val="1FCA53B9"/>
    <w:rsid w:val="1FD20711"/>
    <w:rsid w:val="1FD2426D"/>
    <w:rsid w:val="1FD44489"/>
    <w:rsid w:val="1FD55B0C"/>
    <w:rsid w:val="1FDB34B7"/>
    <w:rsid w:val="1FEC02A8"/>
    <w:rsid w:val="1FEF7154"/>
    <w:rsid w:val="1FF01896"/>
    <w:rsid w:val="20050FCA"/>
    <w:rsid w:val="200B6122"/>
    <w:rsid w:val="200F7478"/>
    <w:rsid w:val="201375D2"/>
    <w:rsid w:val="201554B1"/>
    <w:rsid w:val="201605FE"/>
    <w:rsid w:val="201B442B"/>
    <w:rsid w:val="201C7219"/>
    <w:rsid w:val="201E74B3"/>
    <w:rsid w:val="202B07D6"/>
    <w:rsid w:val="202D76F6"/>
    <w:rsid w:val="202E2D1D"/>
    <w:rsid w:val="203300DE"/>
    <w:rsid w:val="20341601"/>
    <w:rsid w:val="20384A18"/>
    <w:rsid w:val="204427C5"/>
    <w:rsid w:val="20444216"/>
    <w:rsid w:val="20466C64"/>
    <w:rsid w:val="2054378F"/>
    <w:rsid w:val="20564BC6"/>
    <w:rsid w:val="20585BB1"/>
    <w:rsid w:val="205D724E"/>
    <w:rsid w:val="20620216"/>
    <w:rsid w:val="20636E2D"/>
    <w:rsid w:val="20640D67"/>
    <w:rsid w:val="206A6B9C"/>
    <w:rsid w:val="206C021E"/>
    <w:rsid w:val="206D0ABB"/>
    <w:rsid w:val="2075227B"/>
    <w:rsid w:val="20760875"/>
    <w:rsid w:val="20765B52"/>
    <w:rsid w:val="20797C60"/>
    <w:rsid w:val="207F79C6"/>
    <w:rsid w:val="20841603"/>
    <w:rsid w:val="208D3CEE"/>
    <w:rsid w:val="208E59C6"/>
    <w:rsid w:val="20902F83"/>
    <w:rsid w:val="20931C4F"/>
    <w:rsid w:val="209634ED"/>
    <w:rsid w:val="20A3117D"/>
    <w:rsid w:val="20A916B0"/>
    <w:rsid w:val="20AD6AED"/>
    <w:rsid w:val="20AE4CDA"/>
    <w:rsid w:val="20AE6A88"/>
    <w:rsid w:val="20AE7D63"/>
    <w:rsid w:val="20B43B94"/>
    <w:rsid w:val="20B9542D"/>
    <w:rsid w:val="20BA48CB"/>
    <w:rsid w:val="20BD4D2D"/>
    <w:rsid w:val="20C620BD"/>
    <w:rsid w:val="20C756B3"/>
    <w:rsid w:val="20C77B4A"/>
    <w:rsid w:val="20CC7AC6"/>
    <w:rsid w:val="20D072F7"/>
    <w:rsid w:val="20D236AA"/>
    <w:rsid w:val="20D52267"/>
    <w:rsid w:val="20D83B05"/>
    <w:rsid w:val="20DB2098"/>
    <w:rsid w:val="20DC6348"/>
    <w:rsid w:val="20DF30E6"/>
    <w:rsid w:val="20E25F0F"/>
    <w:rsid w:val="20E97AC1"/>
    <w:rsid w:val="20EB7510"/>
    <w:rsid w:val="20ED394F"/>
    <w:rsid w:val="20F070A1"/>
    <w:rsid w:val="20F43780"/>
    <w:rsid w:val="20F57C43"/>
    <w:rsid w:val="20FE76DB"/>
    <w:rsid w:val="20FF13F5"/>
    <w:rsid w:val="21020B82"/>
    <w:rsid w:val="210743EB"/>
    <w:rsid w:val="210769FF"/>
    <w:rsid w:val="21086CE7"/>
    <w:rsid w:val="21091F11"/>
    <w:rsid w:val="210D130C"/>
    <w:rsid w:val="210D5F52"/>
    <w:rsid w:val="210F504D"/>
    <w:rsid w:val="211270F6"/>
    <w:rsid w:val="21160797"/>
    <w:rsid w:val="211B179B"/>
    <w:rsid w:val="211E11B7"/>
    <w:rsid w:val="21224554"/>
    <w:rsid w:val="212C299A"/>
    <w:rsid w:val="213008F8"/>
    <w:rsid w:val="213D7E0C"/>
    <w:rsid w:val="21421859"/>
    <w:rsid w:val="21453526"/>
    <w:rsid w:val="214A3DE5"/>
    <w:rsid w:val="214B42D7"/>
    <w:rsid w:val="214D44F3"/>
    <w:rsid w:val="21521B0A"/>
    <w:rsid w:val="215E4737"/>
    <w:rsid w:val="21636079"/>
    <w:rsid w:val="2164183D"/>
    <w:rsid w:val="216B5CBE"/>
    <w:rsid w:val="216D5D97"/>
    <w:rsid w:val="217750CC"/>
    <w:rsid w:val="21787096"/>
    <w:rsid w:val="217A4BBD"/>
    <w:rsid w:val="217C0935"/>
    <w:rsid w:val="2181419D"/>
    <w:rsid w:val="2184375F"/>
    <w:rsid w:val="218625D1"/>
    <w:rsid w:val="218961DA"/>
    <w:rsid w:val="2190325A"/>
    <w:rsid w:val="219557BF"/>
    <w:rsid w:val="21A34A8F"/>
    <w:rsid w:val="21A476A4"/>
    <w:rsid w:val="21AB50B2"/>
    <w:rsid w:val="21AC05E3"/>
    <w:rsid w:val="21AD0AEE"/>
    <w:rsid w:val="21AD69D4"/>
    <w:rsid w:val="21B05AE7"/>
    <w:rsid w:val="21B41D2D"/>
    <w:rsid w:val="21B55A58"/>
    <w:rsid w:val="21B91B16"/>
    <w:rsid w:val="21B92CED"/>
    <w:rsid w:val="21BA3A3D"/>
    <w:rsid w:val="21C10A3D"/>
    <w:rsid w:val="21C13498"/>
    <w:rsid w:val="21C440BD"/>
    <w:rsid w:val="21C64851"/>
    <w:rsid w:val="21C66054"/>
    <w:rsid w:val="21CE4667"/>
    <w:rsid w:val="21D267A7"/>
    <w:rsid w:val="21D27CB4"/>
    <w:rsid w:val="21D43EDB"/>
    <w:rsid w:val="21DB4204"/>
    <w:rsid w:val="21E309B4"/>
    <w:rsid w:val="21ED538F"/>
    <w:rsid w:val="21F05FFE"/>
    <w:rsid w:val="21F91F85"/>
    <w:rsid w:val="21FA7AAB"/>
    <w:rsid w:val="22037FAF"/>
    <w:rsid w:val="22052A66"/>
    <w:rsid w:val="220630F6"/>
    <w:rsid w:val="220A5EDD"/>
    <w:rsid w:val="220B1CB9"/>
    <w:rsid w:val="220D3C83"/>
    <w:rsid w:val="221729FA"/>
    <w:rsid w:val="221A1218"/>
    <w:rsid w:val="221A5066"/>
    <w:rsid w:val="222114DC"/>
    <w:rsid w:val="22244B28"/>
    <w:rsid w:val="222D7FE9"/>
    <w:rsid w:val="22307955"/>
    <w:rsid w:val="22376969"/>
    <w:rsid w:val="22396FDA"/>
    <w:rsid w:val="223A07CE"/>
    <w:rsid w:val="22544D97"/>
    <w:rsid w:val="22573150"/>
    <w:rsid w:val="22586E1C"/>
    <w:rsid w:val="22635651"/>
    <w:rsid w:val="22656171"/>
    <w:rsid w:val="2268490C"/>
    <w:rsid w:val="2279561A"/>
    <w:rsid w:val="227E06DD"/>
    <w:rsid w:val="22873A35"/>
    <w:rsid w:val="2297354C"/>
    <w:rsid w:val="229A64ED"/>
    <w:rsid w:val="22AA7723"/>
    <w:rsid w:val="22AD3165"/>
    <w:rsid w:val="22AE37D7"/>
    <w:rsid w:val="22B0098E"/>
    <w:rsid w:val="22B26E3A"/>
    <w:rsid w:val="22B343FA"/>
    <w:rsid w:val="22B40199"/>
    <w:rsid w:val="22B778B0"/>
    <w:rsid w:val="22B91715"/>
    <w:rsid w:val="22B97967"/>
    <w:rsid w:val="22C5630B"/>
    <w:rsid w:val="22C71E41"/>
    <w:rsid w:val="22C820C0"/>
    <w:rsid w:val="22CA6328"/>
    <w:rsid w:val="22CC31F6"/>
    <w:rsid w:val="22D1634A"/>
    <w:rsid w:val="22DA53B7"/>
    <w:rsid w:val="22DE6C94"/>
    <w:rsid w:val="22F4099F"/>
    <w:rsid w:val="22F67BD3"/>
    <w:rsid w:val="2305495A"/>
    <w:rsid w:val="230773CD"/>
    <w:rsid w:val="230A2611"/>
    <w:rsid w:val="230A39D8"/>
    <w:rsid w:val="23130E25"/>
    <w:rsid w:val="23160F21"/>
    <w:rsid w:val="2316136D"/>
    <w:rsid w:val="231B23CF"/>
    <w:rsid w:val="231C3EA4"/>
    <w:rsid w:val="231C434A"/>
    <w:rsid w:val="231F0C21"/>
    <w:rsid w:val="232149CB"/>
    <w:rsid w:val="232C1EE7"/>
    <w:rsid w:val="232E08EA"/>
    <w:rsid w:val="23340CD3"/>
    <w:rsid w:val="23347033"/>
    <w:rsid w:val="233A4603"/>
    <w:rsid w:val="233C211C"/>
    <w:rsid w:val="233D78E5"/>
    <w:rsid w:val="234146D4"/>
    <w:rsid w:val="234E638A"/>
    <w:rsid w:val="234F2F0C"/>
    <w:rsid w:val="23563407"/>
    <w:rsid w:val="235A2EF8"/>
    <w:rsid w:val="235F050E"/>
    <w:rsid w:val="236A5949"/>
    <w:rsid w:val="23711FEF"/>
    <w:rsid w:val="23735D67"/>
    <w:rsid w:val="237639C0"/>
    <w:rsid w:val="237B69CA"/>
    <w:rsid w:val="237E6B78"/>
    <w:rsid w:val="23810484"/>
    <w:rsid w:val="238166D6"/>
    <w:rsid w:val="238536EB"/>
    <w:rsid w:val="238857AC"/>
    <w:rsid w:val="23947475"/>
    <w:rsid w:val="23952182"/>
    <w:rsid w:val="23954172"/>
    <w:rsid w:val="23A4153E"/>
    <w:rsid w:val="23A6613D"/>
    <w:rsid w:val="23A7083F"/>
    <w:rsid w:val="23AD1F5E"/>
    <w:rsid w:val="23AD74CB"/>
    <w:rsid w:val="23BF71FF"/>
    <w:rsid w:val="23C10881"/>
    <w:rsid w:val="23D04A52"/>
    <w:rsid w:val="23D04F68"/>
    <w:rsid w:val="23DC390D"/>
    <w:rsid w:val="23DF164F"/>
    <w:rsid w:val="23E02904"/>
    <w:rsid w:val="23E34C9B"/>
    <w:rsid w:val="23E905D7"/>
    <w:rsid w:val="23EB3B50"/>
    <w:rsid w:val="23EB3B67"/>
    <w:rsid w:val="23EB4987"/>
    <w:rsid w:val="23EE3640"/>
    <w:rsid w:val="23EE607A"/>
    <w:rsid w:val="23EF0CB5"/>
    <w:rsid w:val="23F073B8"/>
    <w:rsid w:val="23F46EA8"/>
    <w:rsid w:val="23F549CE"/>
    <w:rsid w:val="23F66897"/>
    <w:rsid w:val="23F8626D"/>
    <w:rsid w:val="23FB7301"/>
    <w:rsid w:val="23FE7D27"/>
    <w:rsid w:val="240370EB"/>
    <w:rsid w:val="240408EA"/>
    <w:rsid w:val="24054FDE"/>
    <w:rsid w:val="24066BDB"/>
    <w:rsid w:val="24067396"/>
    <w:rsid w:val="24174945"/>
    <w:rsid w:val="24262DDA"/>
    <w:rsid w:val="242C0575"/>
    <w:rsid w:val="2441638A"/>
    <w:rsid w:val="244B03F4"/>
    <w:rsid w:val="244B113E"/>
    <w:rsid w:val="244C3370"/>
    <w:rsid w:val="244D4ED3"/>
    <w:rsid w:val="24545B99"/>
    <w:rsid w:val="24565857"/>
    <w:rsid w:val="24653902"/>
    <w:rsid w:val="2465590F"/>
    <w:rsid w:val="24691EB2"/>
    <w:rsid w:val="2471674B"/>
    <w:rsid w:val="24771167"/>
    <w:rsid w:val="247B2A90"/>
    <w:rsid w:val="247C0C4C"/>
    <w:rsid w:val="2480698E"/>
    <w:rsid w:val="2483647E"/>
    <w:rsid w:val="2485026A"/>
    <w:rsid w:val="248752C2"/>
    <w:rsid w:val="249266C1"/>
    <w:rsid w:val="249B3BAB"/>
    <w:rsid w:val="249C309C"/>
    <w:rsid w:val="24B00C8B"/>
    <w:rsid w:val="24BD373E"/>
    <w:rsid w:val="24BD5534"/>
    <w:rsid w:val="24BF08AD"/>
    <w:rsid w:val="24C26FA6"/>
    <w:rsid w:val="24C32D57"/>
    <w:rsid w:val="24C543A1"/>
    <w:rsid w:val="24C60B2C"/>
    <w:rsid w:val="24C70119"/>
    <w:rsid w:val="24C745BD"/>
    <w:rsid w:val="24D32F62"/>
    <w:rsid w:val="24D40A88"/>
    <w:rsid w:val="24D6038E"/>
    <w:rsid w:val="24D847D0"/>
    <w:rsid w:val="24E30CCB"/>
    <w:rsid w:val="24E32A79"/>
    <w:rsid w:val="24ED080E"/>
    <w:rsid w:val="24EF7F00"/>
    <w:rsid w:val="24F66C50"/>
    <w:rsid w:val="24F912B4"/>
    <w:rsid w:val="24FB4266"/>
    <w:rsid w:val="24FF3987"/>
    <w:rsid w:val="25014B93"/>
    <w:rsid w:val="250300ED"/>
    <w:rsid w:val="25066545"/>
    <w:rsid w:val="250C7A19"/>
    <w:rsid w:val="250F7D12"/>
    <w:rsid w:val="25137802"/>
    <w:rsid w:val="25162E4E"/>
    <w:rsid w:val="251B7971"/>
    <w:rsid w:val="25201F1F"/>
    <w:rsid w:val="25232042"/>
    <w:rsid w:val="25243DAF"/>
    <w:rsid w:val="25266FA9"/>
    <w:rsid w:val="252A663B"/>
    <w:rsid w:val="25351D14"/>
    <w:rsid w:val="253D03DB"/>
    <w:rsid w:val="25457290"/>
    <w:rsid w:val="254937ED"/>
    <w:rsid w:val="255045B2"/>
    <w:rsid w:val="2557145D"/>
    <w:rsid w:val="255856EF"/>
    <w:rsid w:val="256A0A08"/>
    <w:rsid w:val="256D7EE9"/>
    <w:rsid w:val="25742ECE"/>
    <w:rsid w:val="25751388"/>
    <w:rsid w:val="257858B7"/>
    <w:rsid w:val="257A33DD"/>
    <w:rsid w:val="258129BE"/>
    <w:rsid w:val="25823CE8"/>
    <w:rsid w:val="25824E1D"/>
    <w:rsid w:val="2584600A"/>
    <w:rsid w:val="258B346A"/>
    <w:rsid w:val="2596047F"/>
    <w:rsid w:val="25A23CAB"/>
    <w:rsid w:val="25A7790D"/>
    <w:rsid w:val="25A77F4A"/>
    <w:rsid w:val="25B54BBC"/>
    <w:rsid w:val="25BA1A2C"/>
    <w:rsid w:val="25BF0BD5"/>
    <w:rsid w:val="25BF5294"/>
    <w:rsid w:val="25C17EE5"/>
    <w:rsid w:val="25C44AEC"/>
    <w:rsid w:val="25C77546"/>
    <w:rsid w:val="25C94F4D"/>
    <w:rsid w:val="25CA7994"/>
    <w:rsid w:val="25CD21B1"/>
    <w:rsid w:val="25D04D59"/>
    <w:rsid w:val="25D330ED"/>
    <w:rsid w:val="25D36F91"/>
    <w:rsid w:val="25D53056"/>
    <w:rsid w:val="25D6236D"/>
    <w:rsid w:val="25E30C74"/>
    <w:rsid w:val="25E96733"/>
    <w:rsid w:val="25EE76A0"/>
    <w:rsid w:val="25F72508"/>
    <w:rsid w:val="25F92AE8"/>
    <w:rsid w:val="2601414C"/>
    <w:rsid w:val="260646A0"/>
    <w:rsid w:val="260B672B"/>
    <w:rsid w:val="26105AEF"/>
    <w:rsid w:val="26121A3A"/>
    <w:rsid w:val="261750D0"/>
    <w:rsid w:val="261A071C"/>
    <w:rsid w:val="26215F4F"/>
    <w:rsid w:val="2624159B"/>
    <w:rsid w:val="26271E4B"/>
    <w:rsid w:val="2628108B"/>
    <w:rsid w:val="26297DA5"/>
    <w:rsid w:val="263306B3"/>
    <w:rsid w:val="263656BA"/>
    <w:rsid w:val="26394CC0"/>
    <w:rsid w:val="263E4557"/>
    <w:rsid w:val="266071A2"/>
    <w:rsid w:val="26651134"/>
    <w:rsid w:val="26702FE4"/>
    <w:rsid w:val="267918E7"/>
    <w:rsid w:val="267966E1"/>
    <w:rsid w:val="267C11FF"/>
    <w:rsid w:val="267C4F33"/>
    <w:rsid w:val="2682006C"/>
    <w:rsid w:val="2685028B"/>
    <w:rsid w:val="2687496B"/>
    <w:rsid w:val="268D1AD9"/>
    <w:rsid w:val="26903129"/>
    <w:rsid w:val="26AA74E4"/>
    <w:rsid w:val="26B008DD"/>
    <w:rsid w:val="26B8257A"/>
    <w:rsid w:val="26B9578A"/>
    <w:rsid w:val="26BB5A5B"/>
    <w:rsid w:val="26C22C59"/>
    <w:rsid w:val="26CD0FEF"/>
    <w:rsid w:val="26D11723"/>
    <w:rsid w:val="26D60AE7"/>
    <w:rsid w:val="26D62F59"/>
    <w:rsid w:val="26DB7EAB"/>
    <w:rsid w:val="26E31456"/>
    <w:rsid w:val="26E620D2"/>
    <w:rsid w:val="26EB3E67"/>
    <w:rsid w:val="26EE50B1"/>
    <w:rsid w:val="26EF6D6F"/>
    <w:rsid w:val="26F471BF"/>
    <w:rsid w:val="26FB14B0"/>
    <w:rsid w:val="27021EE7"/>
    <w:rsid w:val="27037402"/>
    <w:rsid w:val="27070CA1"/>
    <w:rsid w:val="270A3EA1"/>
    <w:rsid w:val="270B34BB"/>
    <w:rsid w:val="271167EA"/>
    <w:rsid w:val="271909D4"/>
    <w:rsid w:val="27231FD9"/>
    <w:rsid w:val="27235FAF"/>
    <w:rsid w:val="27294A71"/>
    <w:rsid w:val="27295780"/>
    <w:rsid w:val="272A498F"/>
    <w:rsid w:val="272F01F7"/>
    <w:rsid w:val="273173C6"/>
    <w:rsid w:val="2735599C"/>
    <w:rsid w:val="2742617D"/>
    <w:rsid w:val="27433CA3"/>
    <w:rsid w:val="27484C75"/>
    <w:rsid w:val="274C03CE"/>
    <w:rsid w:val="275814FC"/>
    <w:rsid w:val="2758774E"/>
    <w:rsid w:val="27595274"/>
    <w:rsid w:val="27596E26"/>
    <w:rsid w:val="275B2D9A"/>
    <w:rsid w:val="275E0ED5"/>
    <w:rsid w:val="27681378"/>
    <w:rsid w:val="27692C92"/>
    <w:rsid w:val="276C63CC"/>
    <w:rsid w:val="27716A62"/>
    <w:rsid w:val="27753752"/>
    <w:rsid w:val="277B343D"/>
    <w:rsid w:val="278247CB"/>
    <w:rsid w:val="27932534"/>
    <w:rsid w:val="27985D9D"/>
    <w:rsid w:val="279F712B"/>
    <w:rsid w:val="27A74232"/>
    <w:rsid w:val="27A85E63"/>
    <w:rsid w:val="27AC27A6"/>
    <w:rsid w:val="27AD212C"/>
    <w:rsid w:val="27B01338"/>
    <w:rsid w:val="27B57BD0"/>
    <w:rsid w:val="27B811E4"/>
    <w:rsid w:val="27B95B2D"/>
    <w:rsid w:val="27BF3329"/>
    <w:rsid w:val="27C070A1"/>
    <w:rsid w:val="27C22E19"/>
    <w:rsid w:val="27C43035"/>
    <w:rsid w:val="27D05907"/>
    <w:rsid w:val="27D50D9F"/>
    <w:rsid w:val="27D5544D"/>
    <w:rsid w:val="27D72D69"/>
    <w:rsid w:val="27D92883"/>
    <w:rsid w:val="27DB3EDB"/>
    <w:rsid w:val="27DE1BD1"/>
    <w:rsid w:val="27E234BC"/>
    <w:rsid w:val="27E31D3B"/>
    <w:rsid w:val="27E64D5A"/>
    <w:rsid w:val="27E90454"/>
    <w:rsid w:val="27F07810"/>
    <w:rsid w:val="27F1718E"/>
    <w:rsid w:val="27F46B19"/>
    <w:rsid w:val="27F84A8D"/>
    <w:rsid w:val="27F853B3"/>
    <w:rsid w:val="28001706"/>
    <w:rsid w:val="28033B5E"/>
    <w:rsid w:val="2809110F"/>
    <w:rsid w:val="28096C9A"/>
    <w:rsid w:val="280E41FD"/>
    <w:rsid w:val="28191CD1"/>
    <w:rsid w:val="281A2C55"/>
    <w:rsid w:val="282122F8"/>
    <w:rsid w:val="28233470"/>
    <w:rsid w:val="28296CA7"/>
    <w:rsid w:val="282F0A40"/>
    <w:rsid w:val="283677FB"/>
    <w:rsid w:val="2838132E"/>
    <w:rsid w:val="283830DC"/>
    <w:rsid w:val="283A684C"/>
    <w:rsid w:val="283D366D"/>
    <w:rsid w:val="28493AAC"/>
    <w:rsid w:val="28496567"/>
    <w:rsid w:val="284B2E0F"/>
    <w:rsid w:val="28500425"/>
    <w:rsid w:val="28500F59"/>
    <w:rsid w:val="28524C35"/>
    <w:rsid w:val="28530C17"/>
    <w:rsid w:val="285A12A4"/>
    <w:rsid w:val="285B534F"/>
    <w:rsid w:val="285C326E"/>
    <w:rsid w:val="285D2B42"/>
    <w:rsid w:val="285E03E3"/>
    <w:rsid w:val="28605B4E"/>
    <w:rsid w:val="286730E5"/>
    <w:rsid w:val="286B2E69"/>
    <w:rsid w:val="286C3843"/>
    <w:rsid w:val="28722A91"/>
    <w:rsid w:val="28784261"/>
    <w:rsid w:val="288169DB"/>
    <w:rsid w:val="28846321"/>
    <w:rsid w:val="28866C7A"/>
    <w:rsid w:val="28885E11"/>
    <w:rsid w:val="28891F32"/>
    <w:rsid w:val="288A4AEB"/>
    <w:rsid w:val="288A7DDB"/>
    <w:rsid w:val="289A44A3"/>
    <w:rsid w:val="289A7BE8"/>
    <w:rsid w:val="289B0F0A"/>
    <w:rsid w:val="289E4AC1"/>
    <w:rsid w:val="28A45CDB"/>
    <w:rsid w:val="28A5038A"/>
    <w:rsid w:val="28AA3FD9"/>
    <w:rsid w:val="28AA6AED"/>
    <w:rsid w:val="28AB1AFF"/>
    <w:rsid w:val="28AE2CE8"/>
    <w:rsid w:val="28B21CDB"/>
    <w:rsid w:val="28BB618C"/>
    <w:rsid w:val="28C02E90"/>
    <w:rsid w:val="28C53AF0"/>
    <w:rsid w:val="28C87709"/>
    <w:rsid w:val="28CC03F4"/>
    <w:rsid w:val="28CD3FE0"/>
    <w:rsid w:val="28D3368C"/>
    <w:rsid w:val="28D364C6"/>
    <w:rsid w:val="28E15521"/>
    <w:rsid w:val="28E34737"/>
    <w:rsid w:val="28E55011"/>
    <w:rsid w:val="28E600A8"/>
    <w:rsid w:val="28EC45F2"/>
    <w:rsid w:val="28ED2118"/>
    <w:rsid w:val="28ED394F"/>
    <w:rsid w:val="28F22685"/>
    <w:rsid w:val="28FE4325"/>
    <w:rsid w:val="29001BD4"/>
    <w:rsid w:val="29025891"/>
    <w:rsid w:val="29051210"/>
    <w:rsid w:val="2907142C"/>
    <w:rsid w:val="29075F5A"/>
    <w:rsid w:val="290A7EA3"/>
    <w:rsid w:val="29113D96"/>
    <w:rsid w:val="29114E16"/>
    <w:rsid w:val="2916341D"/>
    <w:rsid w:val="29194CBB"/>
    <w:rsid w:val="291B4ED7"/>
    <w:rsid w:val="291B6C85"/>
    <w:rsid w:val="2921345B"/>
    <w:rsid w:val="29250314"/>
    <w:rsid w:val="292628E0"/>
    <w:rsid w:val="29277184"/>
    <w:rsid w:val="292B443C"/>
    <w:rsid w:val="29310CE3"/>
    <w:rsid w:val="293164A9"/>
    <w:rsid w:val="2933789A"/>
    <w:rsid w:val="293977EE"/>
    <w:rsid w:val="293C6F00"/>
    <w:rsid w:val="29411486"/>
    <w:rsid w:val="294F692F"/>
    <w:rsid w:val="2951175D"/>
    <w:rsid w:val="29567CBD"/>
    <w:rsid w:val="295B1C92"/>
    <w:rsid w:val="29634066"/>
    <w:rsid w:val="29641FB0"/>
    <w:rsid w:val="296C7758"/>
    <w:rsid w:val="296F015F"/>
    <w:rsid w:val="297C0E90"/>
    <w:rsid w:val="297D1482"/>
    <w:rsid w:val="29826D04"/>
    <w:rsid w:val="29863EFF"/>
    <w:rsid w:val="29895AA2"/>
    <w:rsid w:val="298F4F7D"/>
    <w:rsid w:val="29A17237"/>
    <w:rsid w:val="29A603E2"/>
    <w:rsid w:val="29A7599D"/>
    <w:rsid w:val="29AD4633"/>
    <w:rsid w:val="29B55D6A"/>
    <w:rsid w:val="29B77875"/>
    <w:rsid w:val="29CD7843"/>
    <w:rsid w:val="29CE3CF8"/>
    <w:rsid w:val="29D07A70"/>
    <w:rsid w:val="29D15596"/>
    <w:rsid w:val="29D55086"/>
    <w:rsid w:val="29D766D0"/>
    <w:rsid w:val="29D84B76"/>
    <w:rsid w:val="29DB01C2"/>
    <w:rsid w:val="29E161F5"/>
    <w:rsid w:val="29E20691"/>
    <w:rsid w:val="29E25CCA"/>
    <w:rsid w:val="29E26B84"/>
    <w:rsid w:val="29EF28C2"/>
    <w:rsid w:val="29F64FFC"/>
    <w:rsid w:val="29FE0913"/>
    <w:rsid w:val="2A0239A1"/>
    <w:rsid w:val="2A075299"/>
    <w:rsid w:val="2A080B62"/>
    <w:rsid w:val="2A0925F1"/>
    <w:rsid w:val="2A140BDD"/>
    <w:rsid w:val="2A1C69EC"/>
    <w:rsid w:val="2A2B4A41"/>
    <w:rsid w:val="2A2F04C5"/>
    <w:rsid w:val="2A303506"/>
    <w:rsid w:val="2A351FC9"/>
    <w:rsid w:val="2A360335"/>
    <w:rsid w:val="2A383867"/>
    <w:rsid w:val="2A417882"/>
    <w:rsid w:val="2A436B33"/>
    <w:rsid w:val="2A53196C"/>
    <w:rsid w:val="2A542313"/>
    <w:rsid w:val="2A5C57A7"/>
    <w:rsid w:val="2A5D507B"/>
    <w:rsid w:val="2A5E32CD"/>
    <w:rsid w:val="2A6615BB"/>
    <w:rsid w:val="2A691C72"/>
    <w:rsid w:val="2A6A4D41"/>
    <w:rsid w:val="2A6B1546"/>
    <w:rsid w:val="2A6B7798"/>
    <w:rsid w:val="2A9071FF"/>
    <w:rsid w:val="2A9144DF"/>
    <w:rsid w:val="2A9160E4"/>
    <w:rsid w:val="2A934DA0"/>
    <w:rsid w:val="2A954E5D"/>
    <w:rsid w:val="2A961459"/>
    <w:rsid w:val="2A9E67CD"/>
    <w:rsid w:val="2AA046B1"/>
    <w:rsid w:val="2AA0607C"/>
    <w:rsid w:val="2AA27EE9"/>
    <w:rsid w:val="2AA333D6"/>
    <w:rsid w:val="2AA36F32"/>
    <w:rsid w:val="2AA62E11"/>
    <w:rsid w:val="2AA902C1"/>
    <w:rsid w:val="2AAD17B7"/>
    <w:rsid w:val="2AAD7DB1"/>
    <w:rsid w:val="2AAF3B29"/>
    <w:rsid w:val="2AB253C7"/>
    <w:rsid w:val="2AB501EC"/>
    <w:rsid w:val="2ABB5CB2"/>
    <w:rsid w:val="2ABF7AE4"/>
    <w:rsid w:val="2AC46EA9"/>
    <w:rsid w:val="2AC51F95"/>
    <w:rsid w:val="2AC5334C"/>
    <w:rsid w:val="2AC850EE"/>
    <w:rsid w:val="2ACB0237"/>
    <w:rsid w:val="2AD43590"/>
    <w:rsid w:val="2AD74E2E"/>
    <w:rsid w:val="2ADA11FD"/>
    <w:rsid w:val="2AEB2509"/>
    <w:rsid w:val="2AEC7925"/>
    <w:rsid w:val="2AEF37E4"/>
    <w:rsid w:val="2AF13A0E"/>
    <w:rsid w:val="2AF634BB"/>
    <w:rsid w:val="2AFE060C"/>
    <w:rsid w:val="2B0025D7"/>
    <w:rsid w:val="2B035C23"/>
    <w:rsid w:val="2B050A30"/>
    <w:rsid w:val="2B0E3135"/>
    <w:rsid w:val="2B0F281A"/>
    <w:rsid w:val="2B1101B9"/>
    <w:rsid w:val="2B141BDE"/>
    <w:rsid w:val="2B157704"/>
    <w:rsid w:val="2B194FD2"/>
    <w:rsid w:val="2B1B3D33"/>
    <w:rsid w:val="2B1B63F8"/>
    <w:rsid w:val="2B221EE3"/>
    <w:rsid w:val="2B285689"/>
    <w:rsid w:val="2B2A2389"/>
    <w:rsid w:val="2B2A7653"/>
    <w:rsid w:val="2B2B1214"/>
    <w:rsid w:val="2B35205E"/>
    <w:rsid w:val="2B393440"/>
    <w:rsid w:val="2B3F74B5"/>
    <w:rsid w:val="2B485D2C"/>
    <w:rsid w:val="2B4C2A62"/>
    <w:rsid w:val="2B4C75CA"/>
    <w:rsid w:val="2B512285"/>
    <w:rsid w:val="2B524A1D"/>
    <w:rsid w:val="2B532258"/>
    <w:rsid w:val="2B5366D5"/>
    <w:rsid w:val="2B554BE5"/>
    <w:rsid w:val="2B5673A0"/>
    <w:rsid w:val="2B5B15BB"/>
    <w:rsid w:val="2B5D12F0"/>
    <w:rsid w:val="2B5F72E9"/>
    <w:rsid w:val="2B600577"/>
    <w:rsid w:val="2B620031"/>
    <w:rsid w:val="2B69468B"/>
    <w:rsid w:val="2B6A3EF4"/>
    <w:rsid w:val="2B6A5CA2"/>
    <w:rsid w:val="2B6D12EE"/>
    <w:rsid w:val="2B6D7EF7"/>
    <w:rsid w:val="2B726905"/>
    <w:rsid w:val="2B8054C5"/>
    <w:rsid w:val="2B831FC1"/>
    <w:rsid w:val="2B8F3228"/>
    <w:rsid w:val="2B8F6F9F"/>
    <w:rsid w:val="2B940F71"/>
    <w:rsid w:val="2B986A2C"/>
    <w:rsid w:val="2B9F2FF6"/>
    <w:rsid w:val="2BA07EE6"/>
    <w:rsid w:val="2BA35939"/>
    <w:rsid w:val="2BA50A88"/>
    <w:rsid w:val="2BB04648"/>
    <w:rsid w:val="2BB1567F"/>
    <w:rsid w:val="2BB95AD2"/>
    <w:rsid w:val="2BBE7D9C"/>
    <w:rsid w:val="2BC058C2"/>
    <w:rsid w:val="2BC23F85"/>
    <w:rsid w:val="2BCC5E56"/>
    <w:rsid w:val="2BD415B0"/>
    <w:rsid w:val="2BDD0222"/>
    <w:rsid w:val="2BE03010"/>
    <w:rsid w:val="2BE041B6"/>
    <w:rsid w:val="2BE47802"/>
    <w:rsid w:val="2BEE2FB2"/>
    <w:rsid w:val="2BF1541C"/>
    <w:rsid w:val="2BF33EE9"/>
    <w:rsid w:val="2BF42B8D"/>
    <w:rsid w:val="2BF50051"/>
    <w:rsid w:val="2BF75441"/>
    <w:rsid w:val="2BF90788"/>
    <w:rsid w:val="2BFA2185"/>
    <w:rsid w:val="2BFB0579"/>
    <w:rsid w:val="2C000FAC"/>
    <w:rsid w:val="2C036042"/>
    <w:rsid w:val="2C052EDC"/>
    <w:rsid w:val="2C075070"/>
    <w:rsid w:val="2C097269"/>
    <w:rsid w:val="2C0B1233"/>
    <w:rsid w:val="2C0B54C5"/>
    <w:rsid w:val="2C0C04D3"/>
    <w:rsid w:val="2C0F23A5"/>
    <w:rsid w:val="2C11133A"/>
    <w:rsid w:val="2C117FD4"/>
    <w:rsid w:val="2C13380B"/>
    <w:rsid w:val="2C194BB5"/>
    <w:rsid w:val="2C1A76C8"/>
    <w:rsid w:val="2C1C652F"/>
    <w:rsid w:val="2C1D2080"/>
    <w:rsid w:val="2C243033"/>
    <w:rsid w:val="2C245E51"/>
    <w:rsid w:val="2C2A6A46"/>
    <w:rsid w:val="2C31404D"/>
    <w:rsid w:val="2C327A35"/>
    <w:rsid w:val="2C3635FF"/>
    <w:rsid w:val="2C3A517F"/>
    <w:rsid w:val="2C3D5164"/>
    <w:rsid w:val="2C3F2C8B"/>
    <w:rsid w:val="2C400CD8"/>
    <w:rsid w:val="2C42277B"/>
    <w:rsid w:val="2C424529"/>
    <w:rsid w:val="2C5518F5"/>
    <w:rsid w:val="2C5A3604"/>
    <w:rsid w:val="2C6426F1"/>
    <w:rsid w:val="2C675465"/>
    <w:rsid w:val="2C6F7797"/>
    <w:rsid w:val="2C7738FD"/>
    <w:rsid w:val="2C7768C8"/>
    <w:rsid w:val="2C7843EE"/>
    <w:rsid w:val="2C7C3EDF"/>
    <w:rsid w:val="2C915D51"/>
    <w:rsid w:val="2C965B7B"/>
    <w:rsid w:val="2C9A57D8"/>
    <w:rsid w:val="2C9A6113"/>
    <w:rsid w:val="2C9F203B"/>
    <w:rsid w:val="2C9F4F66"/>
    <w:rsid w:val="2CA07A3F"/>
    <w:rsid w:val="2CA174A1"/>
    <w:rsid w:val="2CA376BD"/>
    <w:rsid w:val="2CA927FA"/>
    <w:rsid w:val="2CB43679"/>
    <w:rsid w:val="2CB47A60"/>
    <w:rsid w:val="2CB73169"/>
    <w:rsid w:val="2CB80146"/>
    <w:rsid w:val="2CBA0563"/>
    <w:rsid w:val="2CBB4816"/>
    <w:rsid w:val="2CBC4430"/>
    <w:rsid w:val="2CBF201D"/>
    <w:rsid w:val="2CC15D95"/>
    <w:rsid w:val="2CC31B0E"/>
    <w:rsid w:val="2CC41C9E"/>
    <w:rsid w:val="2CC5569D"/>
    <w:rsid w:val="2CCD64FE"/>
    <w:rsid w:val="2CD06059"/>
    <w:rsid w:val="2CD84CA1"/>
    <w:rsid w:val="2CDB3327"/>
    <w:rsid w:val="2CDD4252"/>
    <w:rsid w:val="2CEB28A9"/>
    <w:rsid w:val="2CF03F85"/>
    <w:rsid w:val="2CF439F1"/>
    <w:rsid w:val="2CF55A3F"/>
    <w:rsid w:val="2D085772"/>
    <w:rsid w:val="2D0F4D53"/>
    <w:rsid w:val="2D102879"/>
    <w:rsid w:val="2D173C07"/>
    <w:rsid w:val="2D184ECE"/>
    <w:rsid w:val="2D1C4D7A"/>
    <w:rsid w:val="2D1F486A"/>
    <w:rsid w:val="2D202ABC"/>
    <w:rsid w:val="2D23435A"/>
    <w:rsid w:val="2D250FC4"/>
    <w:rsid w:val="2D25665A"/>
    <w:rsid w:val="2D286352"/>
    <w:rsid w:val="2D300825"/>
    <w:rsid w:val="2D340315"/>
    <w:rsid w:val="2D346567"/>
    <w:rsid w:val="2D3717AC"/>
    <w:rsid w:val="2D411497"/>
    <w:rsid w:val="2D430559"/>
    <w:rsid w:val="2D434152"/>
    <w:rsid w:val="2D454DE9"/>
    <w:rsid w:val="2D46629B"/>
    <w:rsid w:val="2D4A5D8B"/>
    <w:rsid w:val="2D595FCE"/>
    <w:rsid w:val="2D5C786C"/>
    <w:rsid w:val="2D5E0FA2"/>
    <w:rsid w:val="2D5E5D8C"/>
    <w:rsid w:val="2D630BFB"/>
    <w:rsid w:val="2D6329A9"/>
    <w:rsid w:val="2D6438BE"/>
    <w:rsid w:val="2D652BC5"/>
    <w:rsid w:val="2D687F0E"/>
    <w:rsid w:val="2D6926BD"/>
    <w:rsid w:val="2D6E3D65"/>
    <w:rsid w:val="2D7828F8"/>
    <w:rsid w:val="2D7C122E"/>
    <w:rsid w:val="2D7E6C5F"/>
    <w:rsid w:val="2D877ABB"/>
    <w:rsid w:val="2D8A6187"/>
    <w:rsid w:val="2D9B65E7"/>
    <w:rsid w:val="2DA103D6"/>
    <w:rsid w:val="2DA67D05"/>
    <w:rsid w:val="2DAB1C21"/>
    <w:rsid w:val="2DAE00B5"/>
    <w:rsid w:val="2DB15E0A"/>
    <w:rsid w:val="2DB94CBF"/>
    <w:rsid w:val="2DBE22D5"/>
    <w:rsid w:val="2DC07DFB"/>
    <w:rsid w:val="2DC538C3"/>
    <w:rsid w:val="2DC6137D"/>
    <w:rsid w:val="2DC71203"/>
    <w:rsid w:val="2DC86CB0"/>
    <w:rsid w:val="2DCA0914"/>
    <w:rsid w:val="2DD63DA1"/>
    <w:rsid w:val="2DD64D07"/>
    <w:rsid w:val="2DD6566E"/>
    <w:rsid w:val="2DD65871"/>
    <w:rsid w:val="2DD900C2"/>
    <w:rsid w:val="2DE75388"/>
    <w:rsid w:val="2DE81607"/>
    <w:rsid w:val="2DE9009D"/>
    <w:rsid w:val="2DEA131C"/>
    <w:rsid w:val="2DEC299E"/>
    <w:rsid w:val="2DF70433"/>
    <w:rsid w:val="2DF9330D"/>
    <w:rsid w:val="2DF94ED2"/>
    <w:rsid w:val="2DFB0019"/>
    <w:rsid w:val="2DFC404C"/>
    <w:rsid w:val="2E00469C"/>
    <w:rsid w:val="2E0423DE"/>
    <w:rsid w:val="2E045F3A"/>
    <w:rsid w:val="2E092B61"/>
    <w:rsid w:val="2E0C27FA"/>
    <w:rsid w:val="2E0E2BAB"/>
    <w:rsid w:val="2E0F34F2"/>
    <w:rsid w:val="2E150147"/>
    <w:rsid w:val="2E1541D7"/>
    <w:rsid w:val="2E161C39"/>
    <w:rsid w:val="2E1B6AE1"/>
    <w:rsid w:val="2E1F6195"/>
    <w:rsid w:val="2E314860"/>
    <w:rsid w:val="2E330246"/>
    <w:rsid w:val="2E372A60"/>
    <w:rsid w:val="2E390D64"/>
    <w:rsid w:val="2E393B97"/>
    <w:rsid w:val="2E424CB4"/>
    <w:rsid w:val="2E4444FA"/>
    <w:rsid w:val="2E450300"/>
    <w:rsid w:val="2E500242"/>
    <w:rsid w:val="2E5073D1"/>
    <w:rsid w:val="2E51671D"/>
    <w:rsid w:val="2E531B0A"/>
    <w:rsid w:val="2E544175"/>
    <w:rsid w:val="2E567396"/>
    <w:rsid w:val="2E5844D8"/>
    <w:rsid w:val="2E590573"/>
    <w:rsid w:val="2E6A1FD6"/>
    <w:rsid w:val="2E7745C2"/>
    <w:rsid w:val="2E7C1180"/>
    <w:rsid w:val="2E7D525B"/>
    <w:rsid w:val="2E7D5CEC"/>
    <w:rsid w:val="2E8213B8"/>
    <w:rsid w:val="2E8A0060"/>
    <w:rsid w:val="2E91438F"/>
    <w:rsid w:val="2E9A1CD4"/>
    <w:rsid w:val="2E9A5F3C"/>
    <w:rsid w:val="2E9B12B3"/>
    <w:rsid w:val="2E9D18BF"/>
    <w:rsid w:val="2EA43279"/>
    <w:rsid w:val="2EA72782"/>
    <w:rsid w:val="2EA92AB7"/>
    <w:rsid w:val="2EA94D33"/>
    <w:rsid w:val="2EAA10D2"/>
    <w:rsid w:val="2EAB6BE9"/>
    <w:rsid w:val="2EAE5EA6"/>
    <w:rsid w:val="2EB52749"/>
    <w:rsid w:val="2EB75A35"/>
    <w:rsid w:val="2EC0616E"/>
    <w:rsid w:val="2EC274BB"/>
    <w:rsid w:val="2EC27BA3"/>
    <w:rsid w:val="2EC76F67"/>
    <w:rsid w:val="2ECD27D0"/>
    <w:rsid w:val="2ECD6C74"/>
    <w:rsid w:val="2ED022C0"/>
    <w:rsid w:val="2ED43650"/>
    <w:rsid w:val="2EE12FDF"/>
    <w:rsid w:val="2EE144CD"/>
    <w:rsid w:val="2EED4C20"/>
    <w:rsid w:val="2EF73D51"/>
    <w:rsid w:val="2EF74F81"/>
    <w:rsid w:val="2EF755A7"/>
    <w:rsid w:val="2EFA10EB"/>
    <w:rsid w:val="2EFD7BB8"/>
    <w:rsid w:val="2EFE3FF7"/>
    <w:rsid w:val="2F081A5A"/>
    <w:rsid w:val="2F0B29CF"/>
    <w:rsid w:val="2F177EEF"/>
    <w:rsid w:val="2F1D79A9"/>
    <w:rsid w:val="2F253A7E"/>
    <w:rsid w:val="2F274C55"/>
    <w:rsid w:val="2F2830C5"/>
    <w:rsid w:val="2F29786C"/>
    <w:rsid w:val="2F2F4EFD"/>
    <w:rsid w:val="2F2F596E"/>
    <w:rsid w:val="2F3A16A1"/>
    <w:rsid w:val="2F3B1E2F"/>
    <w:rsid w:val="2F476F50"/>
    <w:rsid w:val="2F4A2072"/>
    <w:rsid w:val="2F542464"/>
    <w:rsid w:val="2F566C69"/>
    <w:rsid w:val="2F5B70A6"/>
    <w:rsid w:val="2F6B3D97"/>
    <w:rsid w:val="2F755435"/>
    <w:rsid w:val="2F7865CE"/>
    <w:rsid w:val="2F797A79"/>
    <w:rsid w:val="2F7A0D16"/>
    <w:rsid w:val="2F854E58"/>
    <w:rsid w:val="2F8670CA"/>
    <w:rsid w:val="2F881742"/>
    <w:rsid w:val="2F9318AE"/>
    <w:rsid w:val="2F9E0F3B"/>
    <w:rsid w:val="2FA21C9C"/>
    <w:rsid w:val="2FA21EAE"/>
    <w:rsid w:val="2FA304B5"/>
    <w:rsid w:val="2FA379D4"/>
    <w:rsid w:val="2FA86D99"/>
    <w:rsid w:val="2FAA0D63"/>
    <w:rsid w:val="2FAF6219"/>
    <w:rsid w:val="2FB1304E"/>
    <w:rsid w:val="2FB219C5"/>
    <w:rsid w:val="2FB92D54"/>
    <w:rsid w:val="2FB971F8"/>
    <w:rsid w:val="2FBD1134"/>
    <w:rsid w:val="2FC55B9D"/>
    <w:rsid w:val="2FCD2861"/>
    <w:rsid w:val="2FD052EF"/>
    <w:rsid w:val="2FD24C4D"/>
    <w:rsid w:val="2FD8767E"/>
    <w:rsid w:val="2FDC211F"/>
    <w:rsid w:val="2FDE0A0C"/>
    <w:rsid w:val="2FE0708A"/>
    <w:rsid w:val="2FE353EC"/>
    <w:rsid w:val="2FFD500B"/>
    <w:rsid w:val="30007FC8"/>
    <w:rsid w:val="300246FB"/>
    <w:rsid w:val="30085A89"/>
    <w:rsid w:val="30132C90"/>
    <w:rsid w:val="3017378A"/>
    <w:rsid w:val="30183F1E"/>
    <w:rsid w:val="30191A45"/>
    <w:rsid w:val="301D4D89"/>
    <w:rsid w:val="301D7787"/>
    <w:rsid w:val="301E705B"/>
    <w:rsid w:val="30213D18"/>
    <w:rsid w:val="302723B3"/>
    <w:rsid w:val="302E255F"/>
    <w:rsid w:val="302F2024"/>
    <w:rsid w:val="303643A5"/>
    <w:rsid w:val="30375E0A"/>
    <w:rsid w:val="30391C78"/>
    <w:rsid w:val="303F1FB0"/>
    <w:rsid w:val="304E16EE"/>
    <w:rsid w:val="30550CCF"/>
    <w:rsid w:val="30564A47"/>
    <w:rsid w:val="305B1167"/>
    <w:rsid w:val="305B3E0B"/>
    <w:rsid w:val="30631A2B"/>
    <w:rsid w:val="30645E3B"/>
    <w:rsid w:val="306D28CF"/>
    <w:rsid w:val="307420C0"/>
    <w:rsid w:val="30747760"/>
    <w:rsid w:val="30767FEF"/>
    <w:rsid w:val="307750E9"/>
    <w:rsid w:val="30804925"/>
    <w:rsid w:val="308200A0"/>
    <w:rsid w:val="30821D86"/>
    <w:rsid w:val="30837C95"/>
    <w:rsid w:val="308B009C"/>
    <w:rsid w:val="308E2433"/>
    <w:rsid w:val="309915E9"/>
    <w:rsid w:val="309B06AC"/>
    <w:rsid w:val="309E1957"/>
    <w:rsid w:val="30AB02EF"/>
    <w:rsid w:val="30AE6631"/>
    <w:rsid w:val="30B4691B"/>
    <w:rsid w:val="30B579BF"/>
    <w:rsid w:val="30B914F9"/>
    <w:rsid w:val="30BA6D84"/>
    <w:rsid w:val="30BC6FA0"/>
    <w:rsid w:val="30BD0622"/>
    <w:rsid w:val="30C145B6"/>
    <w:rsid w:val="30CB71E3"/>
    <w:rsid w:val="30CE60C2"/>
    <w:rsid w:val="30D20CFE"/>
    <w:rsid w:val="30DC62AB"/>
    <w:rsid w:val="30DD0CC4"/>
    <w:rsid w:val="30DF2742"/>
    <w:rsid w:val="30E12562"/>
    <w:rsid w:val="30E16A06"/>
    <w:rsid w:val="30E30449"/>
    <w:rsid w:val="30F616C5"/>
    <w:rsid w:val="30F95784"/>
    <w:rsid w:val="31015D61"/>
    <w:rsid w:val="310F1F07"/>
    <w:rsid w:val="311741D6"/>
    <w:rsid w:val="31216E03"/>
    <w:rsid w:val="312406A1"/>
    <w:rsid w:val="312468F3"/>
    <w:rsid w:val="312B175F"/>
    <w:rsid w:val="312B2461"/>
    <w:rsid w:val="312D0270"/>
    <w:rsid w:val="312E32CE"/>
    <w:rsid w:val="313755DD"/>
    <w:rsid w:val="3137691D"/>
    <w:rsid w:val="31384310"/>
    <w:rsid w:val="31386EBD"/>
    <w:rsid w:val="313A6116"/>
    <w:rsid w:val="31434FCB"/>
    <w:rsid w:val="31440D43"/>
    <w:rsid w:val="314C06DF"/>
    <w:rsid w:val="31532D34"/>
    <w:rsid w:val="31615451"/>
    <w:rsid w:val="31692695"/>
    <w:rsid w:val="31701B38"/>
    <w:rsid w:val="31703D84"/>
    <w:rsid w:val="317433D6"/>
    <w:rsid w:val="317A5777"/>
    <w:rsid w:val="317E2105"/>
    <w:rsid w:val="31855C31"/>
    <w:rsid w:val="3186322A"/>
    <w:rsid w:val="318B0EB4"/>
    <w:rsid w:val="318B24CE"/>
    <w:rsid w:val="318C4456"/>
    <w:rsid w:val="318F6462"/>
    <w:rsid w:val="31906498"/>
    <w:rsid w:val="31950A25"/>
    <w:rsid w:val="3195334D"/>
    <w:rsid w:val="319D6CD7"/>
    <w:rsid w:val="319E3BAC"/>
    <w:rsid w:val="31A041CB"/>
    <w:rsid w:val="31A42662"/>
    <w:rsid w:val="31AE3364"/>
    <w:rsid w:val="31B1462B"/>
    <w:rsid w:val="31B3126B"/>
    <w:rsid w:val="31B31AAB"/>
    <w:rsid w:val="31BC319E"/>
    <w:rsid w:val="31BD2FCF"/>
    <w:rsid w:val="31C3435E"/>
    <w:rsid w:val="31CD0E92"/>
    <w:rsid w:val="31D40319"/>
    <w:rsid w:val="31D74187"/>
    <w:rsid w:val="31DF1572"/>
    <w:rsid w:val="31E0708F"/>
    <w:rsid w:val="31E22FC4"/>
    <w:rsid w:val="31E41CE9"/>
    <w:rsid w:val="31E64EA0"/>
    <w:rsid w:val="31E85B72"/>
    <w:rsid w:val="31EA5447"/>
    <w:rsid w:val="31F6203D"/>
    <w:rsid w:val="31F86DAA"/>
    <w:rsid w:val="31FD0F66"/>
    <w:rsid w:val="31FF6C4B"/>
    <w:rsid w:val="32002EBC"/>
    <w:rsid w:val="32003608"/>
    <w:rsid w:val="32017CA9"/>
    <w:rsid w:val="32024E86"/>
    <w:rsid w:val="32026C34"/>
    <w:rsid w:val="3207249C"/>
    <w:rsid w:val="320F30FF"/>
    <w:rsid w:val="320F4EAD"/>
    <w:rsid w:val="32140715"/>
    <w:rsid w:val="321A5F46"/>
    <w:rsid w:val="321E77E6"/>
    <w:rsid w:val="32226EED"/>
    <w:rsid w:val="3227403D"/>
    <w:rsid w:val="322A4803"/>
    <w:rsid w:val="322A7F39"/>
    <w:rsid w:val="322C1F03"/>
    <w:rsid w:val="322C73FF"/>
    <w:rsid w:val="32323227"/>
    <w:rsid w:val="323B5190"/>
    <w:rsid w:val="32406D31"/>
    <w:rsid w:val="32415CCE"/>
    <w:rsid w:val="324E4AEC"/>
    <w:rsid w:val="32591705"/>
    <w:rsid w:val="325B6AFF"/>
    <w:rsid w:val="325E7967"/>
    <w:rsid w:val="3260395B"/>
    <w:rsid w:val="32605D75"/>
    <w:rsid w:val="32610B49"/>
    <w:rsid w:val="3262143E"/>
    <w:rsid w:val="32654565"/>
    <w:rsid w:val="327A2C6E"/>
    <w:rsid w:val="327A627A"/>
    <w:rsid w:val="327C6335"/>
    <w:rsid w:val="327F64D7"/>
    <w:rsid w:val="32827D75"/>
    <w:rsid w:val="32851613"/>
    <w:rsid w:val="328E4313"/>
    <w:rsid w:val="329234F1"/>
    <w:rsid w:val="32935ADE"/>
    <w:rsid w:val="3298242D"/>
    <w:rsid w:val="32A6649E"/>
    <w:rsid w:val="32AB4CCA"/>
    <w:rsid w:val="32AB6F12"/>
    <w:rsid w:val="32AB72CC"/>
    <w:rsid w:val="32AC4DF2"/>
    <w:rsid w:val="32AF5D7F"/>
    <w:rsid w:val="32B35F94"/>
    <w:rsid w:val="32B40FDB"/>
    <w:rsid w:val="32BF1400"/>
    <w:rsid w:val="32C4038E"/>
    <w:rsid w:val="32CB1BC7"/>
    <w:rsid w:val="32CC136B"/>
    <w:rsid w:val="32CC2774"/>
    <w:rsid w:val="32CD669E"/>
    <w:rsid w:val="32D55884"/>
    <w:rsid w:val="32DD1896"/>
    <w:rsid w:val="32DD205B"/>
    <w:rsid w:val="32E5034F"/>
    <w:rsid w:val="32E52C8C"/>
    <w:rsid w:val="32E53C1A"/>
    <w:rsid w:val="32EA7CCE"/>
    <w:rsid w:val="32EB3B6C"/>
    <w:rsid w:val="32F005DA"/>
    <w:rsid w:val="32F3105D"/>
    <w:rsid w:val="32F32A21"/>
    <w:rsid w:val="32F752F3"/>
    <w:rsid w:val="32F95BBA"/>
    <w:rsid w:val="33007D45"/>
    <w:rsid w:val="330469DC"/>
    <w:rsid w:val="33062754"/>
    <w:rsid w:val="33064502"/>
    <w:rsid w:val="33072028"/>
    <w:rsid w:val="33113B00"/>
    <w:rsid w:val="3312165B"/>
    <w:rsid w:val="3314104E"/>
    <w:rsid w:val="331A7FAD"/>
    <w:rsid w:val="331C5269"/>
    <w:rsid w:val="331D1E9C"/>
    <w:rsid w:val="331E3971"/>
    <w:rsid w:val="33242BDA"/>
    <w:rsid w:val="33296443"/>
    <w:rsid w:val="332E1CAB"/>
    <w:rsid w:val="334E0F4E"/>
    <w:rsid w:val="334F40FB"/>
    <w:rsid w:val="33501C21"/>
    <w:rsid w:val="335039CF"/>
    <w:rsid w:val="3355548A"/>
    <w:rsid w:val="33565283"/>
    <w:rsid w:val="33582884"/>
    <w:rsid w:val="335A65FC"/>
    <w:rsid w:val="335D1FE1"/>
    <w:rsid w:val="335E3D94"/>
    <w:rsid w:val="33616DFB"/>
    <w:rsid w:val="33710457"/>
    <w:rsid w:val="337218E7"/>
    <w:rsid w:val="33777D02"/>
    <w:rsid w:val="33791178"/>
    <w:rsid w:val="337E184B"/>
    <w:rsid w:val="337F21BD"/>
    <w:rsid w:val="3383086E"/>
    <w:rsid w:val="338813BB"/>
    <w:rsid w:val="338F2F19"/>
    <w:rsid w:val="339379F1"/>
    <w:rsid w:val="33941B0E"/>
    <w:rsid w:val="33983602"/>
    <w:rsid w:val="339C0123"/>
    <w:rsid w:val="33A53D1B"/>
    <w:rsid w:val="33A61841"/>
    <w:rsid w:val="33AE1A64"/>
    <w:rsid w:val="33B34E53"/>
    <w:rsid w:val="33B51A84"/>
    <w:rsid w:val="33B72FA9"/>
    <w:rsid w:val="33B77017"/>
    <w:rsid w:val="33C07D1A"/>
    <w:rsid w:val="33C33887"/>
    <w:rsid w:val="33C84616"/>
    <w:rsid w:val="33D579EE"/>
    <w:rsid w:val="33D63987"/>
    <w:rsid w:val="33D848B7"/>
    <w:rsid w:val="33E12879"/>
    <w:rsid w:val="33E13A0E"/>
    <w:rsid w:val="33ED7470"/>
    <w:rsid w:val="33EF4F96"/>
    <w:rsid w:val="33F14F59"/>
    <w:rsid w:val="33F52B8E"/>
    <w:rsid w:val="3400304F"/>
    <w:rsid w:val="340B6179"/>
    <w:rsid w:val="340E164C"/>
    <w:rsid w:val="341232F7"/>
    <w:rsid w:val="34166220"/>
    <w:rsid w:val="341A2314"/>
    <w:rsid w:val="342133AC"/>
    <w:rsid w:val="342E3610"/>
    <w:rsid w:val="342E50D5"/>
    <w:rsid w:val="34321327"/>
    <w:rsid w:val="343E1A7A"/>
    <w:rsid w:val="344F3ED3"/>
    <w:rsid w:val="34574484"/>
    <w:rsid w:val="345B262C"/>
    <w:rsid w:val="345C0152"/>
    <w:rsid w:val="34696D14"/>
    <w:rsid w:val="346D47E9"/>
    <w:rsid w:val="3474091A"/>
    <w:rsid w:val="34853B4C"/>
    <w:rsid w:val="3489673B"/>
    <w:rsid w:val="348A2F11"/>
    <w:rsid w:val="348B265E"/>
    <w:rsid w:val="34915DCF"/>
    <w:rsid w:val="3494526F"/>
    <w:rsid w:val="349977F4"/>
    <w:rsid w:val="349A66DA"/>
    <w:rsid w:val="34A41578"/>
    <w:rsid w:val="34A95C33"/>
    <w:rsid w:val="34AC1882"/>
    <w:rsid w:val="34AC732B"/>
    <w:rsid w:val="34B03B4C"/>
    <w:rsid w:val="34B50AEC"/>
    <w:rsid w:val="34B61F58"/>
    <w:rsid w:val="34BC52A3"/>
    <w:rsid w:val="34BD75B0"/>
    <w:rsid w:val="34BF0E0C"/>
    <w:rsid w:val="34D66156"/>
    <w:rsid w:val="34D80120"/>
    <w:rsid w:val="34D8367D"/>
    <w:rsid w:val="34E268A9"/>
    <w:rsid w:val="34EE36A0"/>
    <w:rsid w:val="34EF7B9E"/>
    <w:rsid w:val="34F34F5A"/>
    <w:rsid w:val="34FA0097"/>
    <w:rsid w:val="35074C99"/>
    <w:rsid w:val="3508226D"/>
    <w:rsid w:val="350C2516"/>
    <w:rsid w:val="35131158"/>
    <w:rsid w:val="35132F06"/>
    <w:rsid w:val="35133287"/>
    <w:rsid w:val="35151D59"/>
    <w:rsid w:val="35185B4C"/>
    <w:rsid w:val="35237B10"/>
    <w:rsid w:val="35246EC1"/>
    <w:rsid w:val="35270760"/>
    <w:rsid w:val="35293514"/>
    <w:rsid w:val="352F6F4A"/>
    <w:rsid w:val="353115DE"/>
    <w:rsid w:val="35316ED2"/>
    <w:rsid w:val="35370FFD"/>
    <w:rsid w:val="353838BF"/>
    <w:rsid w:val="353F3852"/>
    <w:rsid w:val="3542349F"/>
    <w:rsid w:val="35445953"/>
    <w:rsid w:val="354637C7"/>
    <w:rsid w:val="35470E02"/>
    <w:rsid w:val="355455A0"/>
    <w:rsid w:val="35647C06"/>
    <w:rsid w:val="356B2CB8"/>
    <w:rsid w:val="35727BB0"/>
    <w:rsid w:val="35753BC1"/>
    <w:rsid w:val="35777939"/>
    <w:rsid w:val="35794C99"/>
    <w:rsid w:val="3579793F"/>
    <w:rsid w:val="357A3583"/>
    <w:rsid w:val="357C0B43"/>
    <w:rsid w:val="358314EA"/>
    <w:rsid w:val="358B6F41"/>
    <w:rsid w:val="3594355A"/>
    <w:rsid w:val="35944047"/>
    <w:rsid w:val="359955FD"/>
    <w:rsid w:val="35A850DC"/>
    <w:rsid w:val="35AA302D"/>
    <w:rsid w:val="35AF0E81"/>
    <w:rsid w:val="35AF43DB"/>
    <w:rsid w:val="35B308A6"/>
    <w:rsid w:val="35B71A5D"/>
    <w:rsid w:val="35B96959"/>
    <w:rsid w:val="35BA14D7"/>
    <w:rsid w:val="35C264AD"/>
    <w:rsid w:val="35C31CEC"/>
    <w:rsid w:val="35C42D19"/>
    <w:rsid w:val="35C451D2"/>
    <w:rsid w:val="35CB1A33"/>
    <w:rsid w:val="35CD7559"/>
    <w:rsid w:val="35D25AE9"/>
    <w:rsid w:val="35D408E8"/>
    <w:rsid w:val="35D5465E"/>
    <w:rsid w:val="35D813E1"/>
    <w:rsid w:val="35DE1766"/>
    <w:rsid w:val="35DE3514"/>
    <w:rsid w:val="35E70DD6"/>
    <w:rsid w:val="35ED7BFB"/>
    <w:rsid w:val="35EE0F73"/>
    <w:rsid w:val="35FA3107"/>
    <w:rsid w:val="35FB19D7"/>
    <w:rsid w:val="35FC6014"/>
    <w:rsid w:val="35FF40A2"/>
    <w:rsid w:val="36032E2F"/>
    <w:rsid w:val="36050AA1"/>
    <w:rsid w:val="360D576E"/>
    <w:rsid w:val="360F7B72"/>
    <w:rsid w:val="361405C0"/>
    <w:rsid w:val="36150468"/>
    <w:rsid w:val="36172C1C"/>
    <w:rsid w:val="3619279E"/>
    <w:rsid w:val="36201D7F"/>
    <w:rsid w:val="3625142C"/>
    <w:rsid w:val="362D0406"/>
    <w:rsid w:val="362E7B41"/>
    <w:rsid w:val="36363350"/>
    <w:rsid w:val="36393AF2"/>
    <w:rsid w:val="363A3E94"/>
    <w:rsid w:val="36415851"/>
    <w:rsid w:val="36471D90"/>
    <w:rsid w:val="3648277D"/>
    <w:rsid w:val="364A2958"/>
    <w:rsid w:val="364A5875"/>
    <w:rsid w:val="3650458C"/>
    <w:rsid w:val="365629C4"/>
    <w:rsid w:val="36637EBD"/>
    <w:rsid w:val="366629B9"/>
    <w:rsid w:val="366713B3"/>
    <w:rsid w:val="366854D4"/>
    <w:rsid w:val="366A2597"/>
    <w:rsid w:val="366A433D"/>
    <w:rsid w:val="36793231"/>
    <w:rsid w:val="368050C6"/>
    <w:rsid w:val="36807369"/>
    <w:rsid w:val="3686588C"/>
    <w:rsid w:val="368D02E5"/>
    <w:rsid w:val="368D2D4F"/>
    <w:rsid w:val="368E4F3A"/>
    <w:rsid w:val="36952547"/>
    <w:rsid w:val="36966D52"/>
    <w:rsid w:val="36975421"/>
    <w:rsid w:val="36985DB9"/>
    <w:rsid w:val="369C4DB1"/>
    <w:rsid w:val="369E5B11"/>
    <w:rsid w:val="36A06A1C"/>
    <w:rsid w:val="36A3434D"/>
    <w:rsid w:val="36AA1948"/>
    <w:rsid w:val="36AA3233"/>
    <w:rsid w:val="36AE1139"/>
    <w:rsid w:val="36B025B9"/>
    <w:rsid w:val="36B64491"/>
    <w:rsid w:val="36BE2339"/>
    <w:rsid w:val="36C16E27"/>
    <w:rsid w:val="36C26992"/>
    <w:rsid w:val="36C56482"/>
    <w:rsid w:val="36C94D6E"/>
    <w:rsid w:val="36CF5F4F"/>
    <w:rsid w:val="36D36DF1"/>
    <w:rsid w:val="36D51E74"/>
    <w:rsid w:val="36D668E1"/>
    <w:rsid w:val="36E44B5A"/>
    <w:rsid w:val="36EC3A0F"/>
    <w:rsid w:val="36EE4461"/>
    <w:rsid w:val="36F32FEF"/>
    <w:rsid w:val="36F56481"/>
    <w:rsid w:val="36FB540D"/>
    <w:rsid w:val="36FC3474"/>
    <w:rsid w:val="37117919"/>
    <w:rsid w:val="37124304"/>
    <w:rsid w:val="3718453D"/>
    <w:rsid w:val="372469BB"/>
    <w:rsid w:val="372633C5"/>
    <w:rsid w:val="372E1197"/>
    <w:rsid w:val="373830F8"/>
    <w:rsid w:val="373C4EA6"/>
    <w:rsid w:val="373E55B7"/>
    <w:rsid w:val="374044C1"/>
    <w:rsid w:val="37465815"/>
    <w:rsid w:val="374B2E2B"/>
    <w:rsid w:val="37503F9E"/>
    <w:rsid w:val="375454A0"/>
    <w:rsid w:val="375B0D1F"/>
    <w:rsid w:val="375F0685"/>
    <w:rsid w:val="376168A4"/>
    <w:rsid w:val="37616DF9"/>
    <w:rsid w:val="376B527C"/>
    <w:rsid w:val="377759CE"/>
    <w:rsid w:val="37797B11"/>
    <w:rsid w:val="377C7942"/>
    <w:rsid w:val="377E00A8"/>
    <w:rsid w:val="377E6A3C"/>
    <w:rsid w:val="377E6FE3"/>
    <w:rsid w:val="378657F9"/>
    <w:rsid w:val="37865C12"/>
    <w:rsid w:val="378818AD"/>
    <w:rsid w:val="37903188"/>
    <w:rsid w:val="379A1DE6"/>
    <w:rsid w:val="379A5AEA"/>
    <w:rsid w:val="379C71E3"/>
    <w:rsid w:val="37A265B4"/>
    <w:rsid w:val="37AE23C2"/>
    <w:rsid w:val="37B202A7"/>
    <w:rsid w:val="37B35C54"/>
    <w:rsid w:val="37B51D61"/>
    <w:rsid w:val="37B81B43"/>
    <w:rsid w:val="37B8201E"/>
    <w:rsid w:val="37BD7EC9"/>
    <w:rsid w:val="37BE35FD"/>
    <w:rsid w:val="37C64D32"/>
    <w:rsid w:val="37C8447C"/>
    <w:rsid w:val="37C87FD8"/>
    <w:rsid w:val="37C902A8"/>
    <w:rsid w:val="37CE4EB3"/>
    <w:rsid w:val="37D23E9F"/>
    <w:rsid w:val="37D27A8F"/>
    <w:rsid w:val="37D83F93"/>
    <w:rsid w:val="37E20A34"/>
    <w:rsid w:val="37E232F3"/>
    <w:rsid w:val="37E6378A"/>
    <w:rsid w:val="37EA2644"/>
    <w:rsid w:val="37EA34C5"/>
    <w:rsid w:val="37ED180B"/>
    <w:rsid w:val="37EF7C5B"/>
    <w:rsid w:val="37F039D3"/>
    <w:rsid w:val="37F3156B"/>
    <w:rsid w:val="37F51845"/>
    <w:rsid w:val="37FF5527"/>
    <w:rsid w:val="38003C16"/>
    <w:rsid w:val="38024D91"/>
    <w:rsid w:val="38084878"/>
    <w:rsid w:val="380F3E59"/>
    <w:rsid w:val="3814321D"/>
    <w:rsid w:val="38176DDA"/>
    <w:rsid w:val="38194CD8"/>
    <w:rsid w:val="381B14B9"/>
    <w:rsid w:val="382350EF"/>
    <w:rsid w:val="382B392B"/>
    <w:rsid w:val="382D0783"/>
    <w:rsid w:val="38390ED6"/>
    <w:rsid w:val="383B0154"/>
    <w:rsid w:val="383C4522"/>
    <w:rsid w:val="383D0EF0"/>
    <w:rsid w:val="38415FDC"/>
    <w:rsid w:val="384D4981"/>
    <w:rsid w:val="385258C5"/>
    <w:rsid w:val="38534F67"/>
    <w:rsid w:val="38573680"/>
    <w:rsid w:val="3858244A"/>
    <w:rsid w:val="386A5533"/>
    <w:rsid w:val="386C3059"/>
    <w:rsid w:val="386E5B0D"/>
    <w:rsid w:val="38730BF6"/>
    <w:rsid w:val="38740160"/>
    <w:rsid w:val="38756024"/>
    <w:rsid w:val="38765CDD"/>
    <w:rsid w:val="38814DD1"/>
    <w:rsid w:val="388303A3"/>
    <w:rsid w:val="38852BC9"/>
    <w:rsid w:val="388760E5"/>
    <w:rsid w:val="388A7983"/>
    <w:rsid w:val="388B2FF6"/>
    <w:rsid w:val="3894610C"/>
    <w:rsid w:val="3896567A"/>
    <w:rsid w:val="389C3213"/>
    <w:rsid w:val="389D1465"/>
    <w:rsid w:val="38A10829"/>
    <w:rsid w:val="38A345A1"/>
    <w:rsid w:val="38AC407D"/>
    <w:rsid w:val="38AF1198"/>
    <w:rsid w:val="38AF2F46"/>
    <w:rsid w:val="38B467AE"/>
    <w:rsid w:val="38B60571"/>
    <w:rsid w:val="38B642D4"/>
    <w:rsid w:val="38BA3BAF"/>
    <w:rsid w:val="38C6595C"/>
    <w:rsid w:val="38CE32E8"/>
    <w:rsid w:val="38D470BB"/>
    <w:rsid w:val="38D66725"/>
    <w:rsid w:val="38DF6BD2"/>
    <w:rsid w:val="38E13D9D"/>
    <w:rsid w:val="38E3531D"/>
    <w:rsid w:val="38E62726"/>
    <w:rsid w:val="38E64627"/>
    <w:rsid w:val="38E7227B"/>
    <w:rsid w:val="38E726E0"/>
    <w:rsid w:val="38E9508D"/>
    <w:rsid w:val="38EC419A"/>
    <w:rsid w:val="38F33791"/>
    <w:rsid w:val="3904319B"/>
    <w:rsid w:val="390E4110"/>
    <w:rsid w:val="39101AED"/>
    <w:rsid w:val="39131003"/>
    <w:rsid w:val="3915002E"/>
    <w:rsid w:val="39167469"/>
    <w:rsid w:val="391C0A6E"/>
    <w:rsid w:val="391D76E1"/>
    <w:rsid w:val="391E1E7A"/>
    <w:rsid w:val="39231142"/>
    <w:rsid w:val="39240E61"/>
    <w:rsid w:val="392576AC"/>
    <w:rsid w:val="39280E1E"/>
    <w:rsid w:val="392916A4"/>
    <w:rsid w:val="39364156"/>
    <w:rsid w:val="393B0636"/>
    <w:rsid w:val="393C3C3C"/>
    <w:rsid w:val="3946559D"/>
    <w:rsid w:val="394F0285"/>
    <w:rsid w:val="3952779F"/>
    <w:rsid w:val="39532D55"/>
    <w:rsid w:val="39551D3F"/>
    <w:rsid w:val="395A7356"/>
    <w:rsid w:val="3962445C"/>
    <w:rsid w:val="39665CFB"/>
    <w:rsid w:val="39667F3C"/>
    <w:rsid w:val="39693911"/>
    <w:rsid w:val="396A0465"/>
    <w:rsid w:val="397649A7"/>
    <w:rsid w:val="39775D31"/>
    <w:rsid w:val="397C5FB3"/>
    <w:rsid w:val="397F500E"/>
    <w:rsid w:val="398231C4"/>
    <w:rsid w:val="39831C4A"/>
    <w:rsid w:val="39861EF9"/>
    <w:rsid w:val="39885026"/>
    <w:rsid w:val="39916AF0"/>
    <w:rsid w:val="39994256"/>
    <w:rsid w:val="39A63BBC"/>
    <w:rsid w:val="39A86313"/>
    <w:rsid w:val="39AD039D"/>
    <w:rsid w:val="39B0057A"/>
    <w:rsid w:val="39B22046"/>
    <w:rsid w:val="39B36224"/>
    <w:rsid w:val="39B556D3"/>
    <w:rsid w:val="39BB5146"/>
    <w:rsid w:val="39BD7F93"/>
    <w:rsid w:val="39C04D8D"/>
    <w:rsid w:val="39C12F31"/>
    <w:rsid w:val="39C244C3"/>
    <w:rsid w:val="39C40D3D"/>
    <w:rsid w:val="39CE38A0"/>
    <w:rsid w:val="39D30EB6"/>
    <w:rsid w:val="39D8471E"/>
    <w:rsid w:val="39D864CC"/>
    <w:rsid w:val="39DA2245"/>
    <w:rsid w:val="39E140D2"/>
    <w:rsid w:val="39E34B45"/>
    <w:rsid w:val="39E62997"/>
    <w:rsid w:val="39F50E2C"/>
    <w:rsid w:val="3A0177D1"/>
    <w:rsid w:val="3A055CC4"/>
    <w:rsid w:val="3A120B63"/>
    <w:rsid w:val="3A16371B"/>
    <w:rsid w:val="3A1A6AE5"/>
    <w:rsid w:val="3A1C2F27"/>
    <w:rsid w:val="3A1D6964"/>
    <w:rsid w:val="3A256AA9"/>
    <w:rsid w:val="3A257964"/>
    <w:rsid w:val="3A281202"/>
    <w:rsid w:val="3A296D28"/>
    <w:rsid w:val="3A2F56B3"/>
    <w:rsid w:val="3A3322FE"/>
    <w:rsid w:val="3A340DB3"/>
    <w:rsid w:val="3A367F92"/>
    <w:rsid w:val="3A3F1290"/>
    <w:rsid w:val="3A4419A6"/>
    <w:rsid w:val="3A443B62"/>
    <w:rsid w:val="3A445910"/>
    <w:rsid w:val="3A4551D8"/>
    <w:rsid w:val="3A4A73CA"/>
    <w:rsid w:val="3A4C0BC7"/>
    <w:rsid w:val="3A4D4379"/>
    <w:rsid w:val="3A515EF9"/>
    <w:rsid w:val="3A531D18"/>
    <w:rsid w:val="3A5346DC"/>
    <w:rsid w:val="3A573CA5"/>
    <w:rsid w:val="3A575643"/>
    <w:rsid w:val="3A63048C"/>
    <w:rsid w:val="3A667638"/>
    <w:rsid w:val="3A677310"/>
    <w:rsid w:val="3A6A181A"/>
    <w:rsid w:val="3A6D76A7"/>
    <w:rsid w:val="3A706705"/>
    <w:rsid w:val="3A71196C"/>
    <w:rsid w:val="3A7A7584"/>
    <w:rsid w:val="3A7C19FD"/>
    <w:rsid w:val="3A8137B8"/>
    <w:rsid w:val="3A820B41"/>
    <w:rsid w:val="3A821FEB"/>
    <w:rsid w:val="3A870470"/>
    <w:rsid w:val="3A8A3C6B"/>
    <w:rsid w:val="3A8F1324"/>
    <w:rsid w:val="3A946897"/>
    <w:rsid w:val="3A95616C"/>
    <w:rsid w:val="3A976388"/>
    <w:rsid w:val="3A995C5C"/>
    <w:rsid w:val="3AA0559A"/>
    <w:rsid w:val="3AA467A3"/>
    <w:rsid w:val="3AAD5B59"/>
    <w:rsid w:val="3AB050D7"/>
    <w:rsid w:val="3AB46F81"/>
    <w:rsid w:val="3AB474B6"/>
    <w:rsid w:val="3AB82612"/>
    <w:rsid w:val="3AB96A8D"/>
    <w:rsid w:val="3ABB2076"/>
    <w:rsid w:val="3AC46F9E"/>
    <w:rsid w:val="3AC727C9"/>
    <w:rsid w:val="3ACD3528"/>
    <w:rsid w:val="3ACF78CF"/>
    <w:rsid w:val="3AD07F48"/>
    <w:rsid w:val="3AD378E9"/>
    <w:rsid w:val="3AE157F1"/>
    <w:rsid w:val="3AE42A27"/>
    <w:rsid w:val="3AE55345"/>
    <w:rsid w:val="3AE72E6B"/>
    <w:rsid w:val="3AE96BE3"/>
    <w:rsid w:val="3AED4483"/>
    <w:rsid w:val="3AEE7D76"/>
    <w:rsid w:val="3AEF0D9A"/>
    <w:rsid w:val="3AEF7F72"/>
    <w:rsid w:val="3AF74C0E"/>
    <w:rsid w:val="3AFC23EB"/>
    <w:rsid w:val="3AFD443D"/>
    <w:rsid w:val="3B051543"/>
    <w:rsid w:val="3B084B8F"/>
    <w:rsid w:val="3B0C4680"/>
    <w:rsid w:val="3B126D4F"/>
    <w:rsid w:val="3B1479D8"/>
    <w:rsid w:val="3B18284A"/>
    <w:rsid w:val="3B1D1175"/>
    <w:rsid w:val="3B2478C7"/>
    <w:rsid w:val="3B2A3B74"/>
    <w:rsid w:val="3B2C087E"/>
    <w:rsid w:val="3B304812"/>
    <w:rsid w:val="3B3140E6"/>
    <w:rsid w:val="3B34138A"/>
    <w:rsid w:val="3B3D0CDD"/>
    <w:rsid w:val="3B441166"/>
    <w:rsid w:val="3B4E4C98"/>
    <w:rsid w:val="3B521C83"/>
    <w:rsid w:val="3B547DD5"/>
    <w:rsid w:val="3B565557"/>
    <w:rsid w:val="3B5D4EDB"/>
    <w:rsid w:val="3B5F6EA5"/>
    <w:rsid w:val="3B63165B"/>
    <w:rsid w:val="3B653D90"/>
    <w:rsid w:val="3B666D3D"/>
    <w:rsid w:val="3B6A70D4"/>
    <w:rsid w:val="3B6C15C2"/>
    <w:rsid w:val="3B711DF3"/>
    <w:rsid w:val="3B7A5A8D"/>
    <w:rsid w:val="3B8E442A"/>
    <w:rsid w:val="3B90705F"/>
    <w:rsid w:val="3B9308FD"/>
    <w:rsid w:val="3BA53FC7"/>
    <w:rsid w:val="3BA67719"/>
    <w:rsid w:val="3BA945C4"/>
    <w:rsid w:val="3BAE3989"/>
    <w:rsid w:val="3BAE5737"/>
    <w:rsid w:val="3BB415AB"/>
    <w:rsid w:val="3BB6283D"/>
    <w:rsid w:val="3BBC7ADF"/>
    <w:rsid w:val="3BBD3D30"/>
    <w:rsid w:val="3BC627C5"/>
    <w:rsid w:val="3BC62A80"/>
    <w:rsid w:val="3BC6792E"/>
    <w:rsid w:val="3BCB5986"/>
    <w:rsid w:val="3BCE6E9C"/>
    <w:rsid w:val="3BD643E6"/>
    <w:rsid w:val="3BDB058B"/>
    <w:rsid w:val="3BDB4052"/>
    <w:rsid w:val="3BE21E87"/>
    <w:rsid w:val="3BFC2946"/>
    <w:rsid w:val="3C04409A"/>
    <w:rsid w:val="3C08753D"/>
    <w:rsid w:val="3C104664"/>
    <w:rsid w:val="3C1133CA"/>
    <w:rsid w:val="3C1732DC"/>
    <w:rsid w:val="3C237ED3"/>
    <w:rsid w:val="3C2459F9"/>
    <w:rsid w:val="3C256ADC"/>
    <w:rsid w:val="3C29300F"/>
    <w:rsid w:val="3C295855"/>
    <w:rsid w:val="3C347734"/>
    <w:rsid w:val="3C362D74"/>
    <w:rsid w:val="3C5C5193"/>
    <w:rsid w:val="3C5D29F0"/>
    <w:rsid w:val="3C5E791A"/>
    <w:rsid w:val="3C5F25AF"/>
    <w:rsid w:val="3C6711AB"/>
    <w:rsid w:val="3C681D8A"/>
    <w:rsid w:val="3C6F136A"/>
    <w:rsid w:val="3C6F2DDE"/>
    <w:rsid w:val="3C77021F"/>
    <w:rsid w:val="3C771FCD"/>
    <w:rsid w:val="3C79142B"/>
    <w:rsid w:val="3C796011"/>
    <w:rsid w:val="3C8918D1"/>
    <w:rsid w:val="3C8E29D6"/>
    <w:rsid w:val="3C8E2AD7"/>
    <w:rsid w:val="3C951AAB"/>
    <w:rsid w:val="3C954168"/>
    <w:rsid w:val="3C9A4EFD"/>
    <w:rsid w:val="3CA134EE"/>
    <w:rsid w:val="3CA71560"/>
    <w:rsid w:val="3CAC611A"/>
    <w:rsid w:val="3CAC7946"/>
    <w:rsid w:val="3CAF3B01"/>
    <w:rsid w:val="3CB66F99"/>
    <w:rsid w:val="3CBF6EDA"/>
    <w:rsid w:val="3CC176EC"/>
    <w:rsid w:val="3CC571DC"/>
    <w:rsid w:val="3CD016DD"/>
    <w:rsid w:val="3CD15B81"/>
    <w:rsid w:val="3CD218F9"/>
    <w:rsid w:val="3CD46601"/>
    <w:rsid w:val="3CD613E9"/>
    <w:rsid w:val="3CD64F45"/>
    <w:rsid w:val="3CD87E4C"/>
    <w:rsid w:val="3CD92C87"/>
    <w:rsid w:val="3CE35FC3"/>
    <w:rsid w:val="3CE54765"/>
    <w:rsid w:val="3CEC6C82"/>
    <w:rsid w:val="3CF63839"/>
    <w:rsid w:val="3CFB49AC"/>
    <w:rsid w:val="3CFC0724"/>
    <w:rsid w:val="3CFE16A4"/>
    <w:rsid w:val="3D021277"/>
    <w:rsid w:val="3D027B98"/>
    <w:rsid w:val="3D037D04"/>
    <w:rsid w:val="3D0A7881"/>
    <w:rsid w:val="3D0B6731"/>
    <w:rsid w:val="3D1416FB"/>
    <w:rsid w:val="3D173E5A"/>
    <w:rsid w:val="3D1B0A17"/>
    <w:rsid w:val="3D1D0DC6"/>
    <w:rsid w:val="3D1E4B3E"/>
    <w:rsid w:val="3D3E0D3C"/>
    <w:rsid w:val="3D485717"/>
    <w:rsid w:val="3D54230E"/>
    <w:rsid w:val="3D570399"/>
    <w:rsid w:val="3D5B333B"/>
    <w:rsid w:val="3D604486"/>
    <w:rsid w:val="3D622C7D"/>
    <w:rsid w:val="3D6407A3"/>
    <w:rsid w:val="3D66120C"/>
    <w:rsid w:val="3D6C309B"/>
    <w:rsid w:val="3D6F2940"/>
    <w:rsid w:val="3D785FFC"/>
    <w:rsid w:val="3D7930B5"/>
    <w:rsid w:val="3D7F382F"/>
    <w:rsid w:val="3D881DCE"/>
    <w:rsid w:val="3D8C36A3"/>
    <w:rsid w:val="3D934BE4"/>
    <w:rsid w:val="3D956CEE"/>
    <w:rsid w:val="3D975682"/>
    <w:rsid w:val="3D991205"/>
    <w:rsid w:val="3D9A2417"/>
    <w:rsid w:val="3DA1173F"/>
    <w:rsid w:val="3DA212CB"/>
    <w:rsid w:val="3DA221CE"/>
    <w:rsid w:val="3DA42D50"/>
    <w:rsid w:val="3DA62216"/>
    <w:rsid w:val="3DAB102C"/>
    <w:rsid w:val="3DB303A1"/>
    <w:rsid w:val="3DB334D8"/>
    <w:rsid w:val="3DB37034"/>
    <w:rsid w:val="3DB761D7"/>
    <w:rsid w:val="3DC50C4C"/>
    <w:rsid w:val="3DD11BB1"/>
    <w:rsid w:val="3DD27E02"/>
    <w:rsid w:val="3DD87BC0"/>
    <w:rsid w:val="3DDD5811"/>
    <w:rsid w:val="3DDF1799"/>
    <w:rsid w:val="3DE05485"/>
    <w:rsid w:val="3DE05FE2"/>
    <w:rsid w:val="3DE23DBE"/>
    <w:rsid w:val="3DE53BDC"/>
    <w:rsid w:val="3DEE5B07"/>
    <w:rsid w:val="3DF05475"/>
    <w:rsid w:val="3DF20055"/>
    <w:rsid w:val="3DF817B5"/>
    <w:rsid w:val="3DF97057"/>
    <w:rsid w:val="3E011B41"/>
    <w:rsid w:val="3E0334EE"/>
    <w:rsid w:val="3E06417B"/>
    <w:rsid w:val="3E157CEF"/>
    <w:rsid w:val="3E1726CB"/>
    <w:rsid w:val="3E175A62"/>
    <w:rsid w:val="3E194979"/>
    <w:rsid w:val="3E1D4DF6"/>
    <w:rsid w:val="3E1D6422"/>
    <w:rsid w:val="3E204767"/>
    <w:rsid w:val="3E2148E6"/>
    <w:rsid w:val="3E263CAA"/>
    <w:rsid w:val="3E2674E2"/>
    <w:rsid w:val="3E326623"/>
    <w:rsid w:val="3E3A1F40"/>
    <w:rsid w:val="3E3B7138"/>
    <w:rsid w:val="3E3C21FA"/>
    <w:rsid w:val="3E3E055C"/>
    <w:rsid w:val="3E436AF3"/>
    <w:rsid w:val="3E4747AC"/>
    <w:rsid w:val="3E495BEB"/>
    <w:rsid w:val="3E530BF4"/>
    <w:rsid w:val="3E54091B"/>
    <w:rsid w:val="3E557746"/>
    <w:rsid w:val="3E59111D"/>
    <w:rsid w:val="3E5E1696"/>
    <w:rsid w:val="3E5F0F6A"/>
    <w:rsid w:val="3E695FFA"/>
    <w:rsid w:val="3E7D796E"/>
    <w:rsid w:val="3E7E4E99"/>
    <w:rsid w:val="3E807306"/>
    <w:rsid w:val="3E833768"/>
    <w:rsid w:val="3E885D70"/>
    <w:rsid w:val="3E894DB2"/>
    <w:rsid w:val="3E8A248B"/>
    <w:rsid w:val="3E8B6203"/>
    <w:rsid w:val="3E917038"/>
    <w:rsid w:val="3E95234D"/>
    <w:rsid w:val="3E95498C"/>
    <w:rsid w:val="3E9A01F4"/>
    <w:rsid w:val="3E9B4698"/>
    <w:rsid w:val="3E9E1A93"/>
    <w:rsid w:val="3E9E5F37"/>
    <w:rsid w:val="3EA03A5D"/>
    <w:rsid w:val="3EA16CB7"/>
    <w:rsid w:val="3EA20FD0"/>
    <w:rsid w:val="3EA6237E"/>
    <w:rsid w:val="3EA90437"/>
    <w:rsid w:val="3EA965C5"/>
    <w:rsid w:val="3EB812A8"/>
    <w:rsid w:val="3EBA43F3"/>
    <w:rsid w:val="3EBC31F8"/>
    <w:rsid w:val="3EBF7C5B"/>
    <w:rsid w:val="3EC44451"/>
    <w:rsid w:val="3EC60FE9"/>
    <w:rsid w:val="3EC83B16"/>
    <w:rsid w:val="3EC96AEB"/>
    <w:rsid w:val="3ECF56C3"/>
    <w:rsid w:val="3ED24784"/>
    <w:rsid w:val="3ED817DF"/>
    <w:rsid w:val="3EE576C2"/>
    <w:rsid w:val="3EE85404"/>
    <w:rsid w:val="3EF80751"/>
    <w:rsid w:val="3EFB24AE"/>
    <w:rsid w:val="3F0F4B6A"/>
    <w:rsid w:val="3F152DF8"/>
    <w:rsid w:val="3F161F71"/>
    <w:rsid w:val="3F19380F"/>
    <w:rsid w:val="3F1F4D01"/>
    <w:rsid w:val="3F2301EA"/>
    <w:rsid w:val="3F2A45FE"/>
    <w:rsid w:val="3F2C14D0"/>
    <w:rsid w:val="3F2D72BA"/>
    <w:rsid w:val="3F302BEF"/>
    <w:rsid w:val="3F3163DF"/>
    <w:rsid w:val="3F375A43"/>
    <w:rsid w:val="3F37774A"/>
    <w:rsid w:val="3F380F5E"/>
    <w:rsid w:val="3F3957AB"/>
    <w:rsid w:val="3F3B52C2"/>
    <w:rsid w:val="3F462F71"/>
    <w:rsid w:val="3F47338C"/>
    <w:rsid w:val="3F4A5777"/>
    <w:rsid w:val="3F4C0C3B"/>
    <w:rsid w:val="3F517D1F"/>
    <w:rsid w:val="3F533573"/>
    <w:rsid w:val="3F536D21"/>
    <w:rsid w:val="3F563EEF"/>
    <w:rsid w:val="3F593C0C"/>
    <w:rsid w:val="3F5D194E"/>
    <w:rsid w:val="3F692AA1"/>
    <w:rsid w:val="3F6E5909"/>
    <w:rsid w:val="3F7124E6"/>
    <w:rsid w:val="3F720B16"/>
    <w:rsid w:val="3F731171"/>
    <w:rsid w:val="3F7318C6"/>
    <w:rsid w:val="3F743D32"/>
    <w:rsid w:val="3F744EE9"/>
    <w:rsid w:val="3F801757"/>
    <w:rsid w:val="3F8213B4"/>
    <w:rsid w:val="3F8A0269"/>
    <w:rsid w:val="3F8E7D59"/>
    <w:rsid w:val="3F922372"/>
    <w:rsid w:val="3F95733A"/>
    <w:rsid w:val="3F96045E"/>
    <w:rsid w:val="3F9A113C"/>
    <w:rsid w:val="3F9D61EE"/>
    <w:rsid w:val="3F9E20DE"/>
    <w:rsid w:val="3FA62F14"/>
    <w:rsid w:val="3FA72BC9"/>
    <w:rsid w:val="3FB35A12"/>
    <w:rsid w:val="3FBA0FD6"/>
    <w:rsid w:val="3FBB0422"/>
    <w:rsid w:val="3FC031EC"/>
    <w:rsid w:val="3FCA5625"/>
    <w:rsid w:val="3FD11E2C"/>
    <w:rsid w:val="3FD65135"/>
    <w:rsid w:val="3FD6794B"/>
    <w:rsid w:val="3FD772A9"/>
    <w:rsid w:val="3FDF63AE"/>
    <w:rsid w:val="3FE04DB2"/>
    <w:rsid w:val="3FE1257F"/>
    <w:rsid w:val="3FE248CE"/>
    <w:rsid w:val="3FED48A9"/>
    <w:rsid w:val="3FF639D7"/>
    <w:rsid w:val="3FFD0A3B"/>
    <w:rsid w:val="3FFD6C8D"/>
    <w:rsid w:val="4000052B"/>
    <w:rsid w:val="40071747"/>
    <w:rsid w:val="4012030F"/>
    <w:rsid w:val="40130737"/>
    <w:rsid w:val="401706D4"/>
    <w:rsid w:val="40175FA1"/>
    <w:rsid w:val="401E7F2C"/>
    <w:rsid w:val="402044C9"/>
    <w:rsid w:val="40266BAD"/>
    <w:rsid w:val="402D7572"/>
    <w:rsid w:val="4033445D"/>
    <w:rsid w:val="403F1EEA"/>
    <w:rsid w:val="40460634"/>
    <w:rsid w:val="40491F46"/>
    <w:rsid w:val="40497962"/>
    <w:rsid w:val="404B163B"/>
    <w:rsid w:val="405368AD"/>
    <w:rsid w:val="405B15E8"/>
    <w:rsid w:val="405C39B3"/>
    <w:rsid w:val="40662A84"/>
    <w:rsid w:val="406655AD"/>
    <w:rsid w:val="40692574"/>
    <w:rsid w:val="406B6A21"/>
    <w:rsid w:val="40713C8B"/>
    <w:rsid w:val="4073762A"/>
    <w:rsid w:val="407C111B"/>
    <w:rsid w:val="407E4428"/>
    <w:rsid w:val="40822C5B"/>
    <w:rsid w:val="408847A8"/>
    <w:rsid w:val="408E1DBB"/>
    <w:rsid w:val="40900279"/>
    <w:rsid w:val="40925627"/>
    <w:rsid w:val="409472D6"/>
    <w:rsid w:val="40A047AF"/>
    <w:rsid w:val="40A1586A"/>
    <w:rsid w:val="40A4535A"/>
    <w:rsid w:val="40A47108"/>
    <w:rsid w:val="40A667C1"/>
    <w:rsid w:val="40A87FF4"/>
    <w:rsid w:val="40AB3F44"/>
    <w:rsid w:val="40AD66FB"/>
    <w:rsid w:val="40B0231F"/>
    <w:rsid w:val="40B907E3"/>
    <w:rsid w:val="40C003E6"/>
    <w:rsid w:val="40C471D5"/>
    <w:rsid w:val="40C81049"/>
    <w:rsid w:val="40CB28E7"/>
    <w:rsid w:val="40CF7438"/>
    <w:rsid w:val="40D0614F"/>
    <w:rsid w:val="40D6663A"/>
    <w:rsid w:val="40D774DE"/>
    <w:rsid w:val="40DB5220"/>
    <w:rsid w:val="40DC2D46"/>
    <w:rsid w:val="40DC4AF4"/>
    <w:rsid w:val="40DD3BB5"/>
    <w:rsid w:val="40DD6545"/>
    <w:rsid w:val="40DD79B5"/>
    <w:rsid w:val="40E165AE"/>
    <w:rsid w:val="40E80544"/>
    <w:rsid w:val="40E829C7"/>
    <w:rsid w:val="40F63E08"/>
    <w:rsid w:val="410E337A"/>
    <w:rsid w:val="410F3C14"/>
    <w:rsid w:val="41147011"/>
    <w:rsid w:val="411A5F75"/>
    <w:rsid w:val="411F04C2"/>
    <w:rsid w:val="41232723"/>
    <w:rsid w:val="41235477"/>
    <w:rsid w:val="412C58AF"/>
    <w:rsid w:val="4130762D"/>
    <w:rsid w:val="41362456"/>
    <w:rsid w:val="413761CE"/>
    <w:rsid w:val="41390199"/>
    <w:rsid w:val="413B7A6D"/>
    <w:rsid w:val="413C5593"/>
    <w:rsid w:val="41451774"/>
    <w:rsid w:val="414C37AB"/>
    <w:rsid w:val="414F3518"/>
    <w:rsid w:val="415043F6"/>
    <w:rsid w:val="4156186C"/>
    <w:rsid w:val="41670A76"/>
    <w:rsid w:val="416A5D6D"/>
    <w:rsid w:val="4172565D"/>
    <w:rsid w:val="41764F49"/>
    <w:rsid w:val="417D62D7"/>
    <w:rsid w:val="417F0FDE"/>
    <w:rsid w:val="41862402"/>
    <w:rsid w:val="418B6F45"/>
    <w:rsid w:val="418F600A"/>
    <w:rsid w:val="41990C37"/>
    <w:rsid w:val="419929E5"/>
    <w:rsid w:val="41994793"/>
    <w:rsid w:val="419B675D"/>
    <w:rsid w:val="419D0259"/>
    <w:rsid w:val="41A06FEC"/>
    <w:rsid w:val="41A12478"/>
    <w:rsid w:val="41BA3087"/>
    <w:rsid w:val="41BB0FD4"/>
    <w:rsid w:val="41BC7F32"/>
    <w:rsid w:val="41C31810"/>
    <w:rsid w:val="41C37A62"/>
    <w:rsid w:val="41C42E55"/>
    <w:rsid w:val="41C578BE"/>
    <w:rsid w:val="41C71300"/>
    <w:rsid w:val="41C9151C"/>
    <w:rsid w:val="41D96C5D"/>
    <w:rsid w:val="41DE5FDD"/>
    <w:rsid w:val="41E4174F"/>
    <w:rsid w:val="41E45EE7"/>
    <w:rsid w:val="41EA4FEF"/>
    <w:rsid w:val="41EB018D"/>
    <w:rsid w:val="41EC520B"/>
    <w:rsid w:val="41FA1A9B"/>
    <w:rsid w:val="41FB544E"/>
    <w:rsid w:val="41FE3D0E"/>
    <w:rsid w:val="41FE7175"/>
    <w:rsid w:val="4202355D"/>
    <w:rsid w:val="4209374A"/>
    <w:rsid w:val="420B2E61"/>
    <w:rsid w:val="420C1409"/>
    <w:rsid w:val="42162288"/>
    <w:rsid w:val="4218675A"/>
    <w:rsid w:val="421B6C19"/>
    <w:rsid w:val="42213F66"/>
    <w:rsid w:val="42293D69"/>
    <w:rsid w:val="422A632F"/>
    <w:rsid w:val="42313785"/>
    <w:rsid w:val="42315E9D"/>
    <w:rsid w:val="42345589"/>
    <w:rsid w:val="42360234"/>
    <w:rsid w:val="423705ED"/>
    <w:rsid w:val="423A7D24"/>
    <w:rsid w:val="424402BA"/>
    <w:rsid w:val="424677FD"/>
    <w:rsid w:val="42573B25"/>
    <w:rsid w:val="425A4389"/>
    <w:rsid w:val="425B0AA7"/>
    <w:rsid w:val="425F59DD"/>
    <w:rsid w:val="426052B1"/>
    <w:rsid w:val="42645548"/>
    <w:rsid w:val="4267663F"/>
    <w:rsid w:val="42733236"/>
    <w:rsid w:val="42756568"/>
    <w:rsid w:val="427B2FE2"/>
    <w:rsid w:val="427D59E6"/>
    <w:rsid w:val="427E6830"/>
    <w:rsid w:val="427F0F1F"/>
    <w:rsid w:val="428043A9"/>
    <w:rsid w:val="42804726"/>
    <w:rsid w:val="42842A0E"/>
    <w:rsid w:val="4284574A"/>
    <w:rsid w:val="42864D18"/>
    <w:rsid w:val="428F4329"/>
    <w:rsid w:val="42970F1C"/>
    <w:rsid w:val="429C278D"/>
    <w:rsid w:val="429E4757"/>
    <w:rsid w:val="42A95355"/>
    <w:rsid w:val="42AC34C9"/>
    <w:rsid w:val="42B34DD0"/>
    <w:rsid w:val="42B420F6"/>
    <w:rsid w:val="42B555FD"/>
    <w:rsid w:val="42BA2C13"/>
    <w:rsid w:val="42BD2703"/>
    <w:rsid w:val="42C13FA2"/>
    <w:rsid w:val="42C23975"/>
    <w:rsid w:val="42C37BFF"/>
    <w:rsid w:val="42C70E99"/>
    <w:rsid w:val="42CA2BC0"/>
    <w:rsid w:val="42CA7536"/>
    <w:rsid w:val="42D02437"/>
    <w:rsid w:val="42D11487"/>
    <w:rsid w:val="42D208FA"/>
    <w:rsid w:val="42D26348"/>
    <w:rsid w:val="42D9578F"/>
    <w:rsid w:val="42DA63E1"/>
    <w:rsid w:val="42DF3EEA"/>
    <w:rsid w:val="42EB0051"/>
    <w:rsid w:val="42ED2FE9"/>
    <w:rsid w:val="42EE0B0F"/>
    <w:rsid w:val="42F44377"/>
    <w:rsid w:val="42F500EF"/>
    <w:rsid w:val="42FB79EA"/>
    <w:rsid w:val="42FC76D0"/>
    <w:rsid w:val="42FE6FA4"/>
    <w:rsid w:val="43075693"/>
    <w:rsid w:val="430B6824"/>
    <w:rsid w:val="43124292"/>
    <w:rsid w:val="43140575"/>
    <w:rsid w:val="431C1B20"/>
    <w:rsid w:val="432033BE"/>
    <w:rsid w:val="4320516C"/>
    <w:rsid w:val="43324D08"/>
    <w:rsid w:val="43344580"/>
    <w:rsid w:val="433724B6"/>
    <w:rsid w:val="43397FDC"/>
    <w:rsid w:val="433C6192"/>
    <w:rsid w:val="433E3844"/>
    <w:rsid w:val="434F20E4"/>
    <w:rsid w:val="43543068"/>
    <w:rsid w:val="43615785"/>
    <w:rsid w:val="43620202"/>
    <w:rsid w:val="43784FA8"/>
    <w:rsid w:val="43792ACE"/>
    <w:rsid w:val="437C2D34"/>
    <w:rsid w:val="437E5B2E"/>
    <w:rsid w:val="437F5074"/>
    <w:rsid w:val="4381367A"/>
    <w:rsid w:val="43827BD5"/>
    <w:rsid w:val="438505F1"/>
    <w:rsid w:val="43882577"/>
    <w:rsid w:val="43894867"/>
    <w:rsid w:val="438A0837"/>
    <w:rsid w:val="438F40A0"/>
    <w:rsid w:val="43903853"/>
    <w:rsid w:val="43903EC6"/>
    <w:rsid w:val="4396542E"/>
    <w:rsid w:val="439A69EE"/>
    <w:rsid w:val="439E4788"/>
    <w:rsid w:val="43AE09CA"/>
    <w:rsid w:val="43AE42A5"/>
    <w:rsid w:val="43AF64F0"/>
    <w:rsid w:val="43B43B06"/>
    <w:rsid w:val="43B6162D"/>
    <w:rsid w:val="43C7383A"/>
    <w:rsid w:val="43D23F8D"/>
    <w:rsid w:val="43DC6E1E"/>
    <w:rsid w:val="43E048FB"/>
    <w:rsid w:val="43E4263E"/>
    <w:rsid w:val="43E46493"/>
    <w:rsid w:val="43EE4FAC"/>
    <w:rsid w:val="43F94172"/>
    <w:rsid w:val="440403FC"/>
    <w:rsid w:val="44067130"/>
    <w:rsid w:val="440C5251"/>
    <w:rsid w:val="4410550B"/>
    <w:rsid w:val="44112D07"/>
    <w:rsid w:val="44145BDB"/>
    <w:rsid w:val="44150A49"/>
    <w:rsid w:val="44170C80"/>
    <w:rsid w:val="44187294"/>
    <w:rsid w:val="441A7E0D"/>
    <w:rsid w:val="442A2749"/>
    <w:rsid w:val="443413D3"/>
    <w:rsid w:val="444508DB"/>
    <w:rsid w:val="444C1F91"/>
    <w:rsid w:val="444F1B4F"/>
    <w:rsid w:val="44511355"/>
    <w:rsid w:val="445552E9"/>
    <w:rsid w:val="44564BBE"/>
    <w:rsid w:val="4467501D"/>
    <w:rsid w:val="446A2417"/>
    <w:rsid w:val="447102DE"/>
    <w:rsid w:val="44766D69"/>
    <w:rsid w:val="447A7B86"/>
    <w:rsid w:val="4487121B"/>
    <w:rsid w:val="448E4FAC"/>
    <w:rsid w:val="44926129"/>
    <w:rsid w:val="449B4813"/>
    <w:rsid w:val="449F47B6"/>
    <w:rsid w:val="44A419B6"/>
    <w:rsid w:val="44A41DCD"/>
    <w:rsid w:val="44A85FC4"/>
    <w:rsid w:val="44AB6CB7"/>
    <w:rsid w:val="44B1168D"/>
    <w:rsid w:val="44B8165E"/>
    <w:rsid w:val="44BA0097"/>
    <w:rsid w:val="44BC0EC5"/>
    <w:rsid w:val="44BF68EE"/>
    <w:rsid w:val="44C47D79"/>
    <w:rsid w:val="44CE0CBD"/>
    <w:rsid w:val="44D3620E"/>
    <w:rsid w:val="44D366B0"/>
    <w:rsid w:val="44D36DCB"/>
    <w:rsid w:val="44D65417"/>
    <w:rsid w:val="44D87133"/>
    <w:rsid w:val="44D97CC8"/>
    <w:rsid w:val="44DC3315"/>
    <w:rsid w:val="44DF4BB3"/>
    <w:rsid w:val="44E328F5"/>
    <w:rsid w:val="44E336DC"/>
    <w:rsid w:val="44E61F50"/>
    <w:rsid w:val="44EB4706"/>
    <w:rsid w:val="44F0337F"/>
    <w:rsid w:val="44F95E84"/>
    <w:rsid w:val="44FD7379"/>
    <w:rsid w:val="4500275F"/>
    <w:rsid w:val="450D1720"/>
    <w:rsid w:val="45100BF0"/>
    <w:rsid w:val="45121F3C"/>
    <w:rsid w:val="451508BD"/>
    <w:rsid w:val="45180A57"/>
    <w:rsid w:val="4521341D"/>
    <w:rsid w:val="4522663A"/>
    <w:rsid w:val="45252F0E"/>
    <w:rsid w:val="45271B3B"/>
    <w:rsid w:val="452773CD"/>
    <w:rsid w:val="452A0524"/>
    <w:rsid w:val="452D591E"/>
    <w:rsid w:val="452F30B6"/>
    <w:rsid w:val="452F4FBA"/>
    <w:rsid w:val="4530540F"/>
    <w:rsid w:val="45376015"/>
    <w:rsid w:val="453C5E40"/>
    <w:rsid w:val="454109B4"/>
    <w:rsid w:val="454A4712"/>
    <w:rsid w:val="454D4212"/>
    <w:rsid w:val="4550336E"/>
    <w:rsid w:val="45557ABE"/>
    <w:rsid w:val="45576FB4"/>
    <w:rsid w:val="455B3561"/>
    <w:rsid w:val="455C7004"/>
    <w:rsid w:val="456A0921"/>
    <w:rsid w:val="457A4698"/>
    <w:rsid w:val="457C109A"/>
    <w:rsid w:val="457E36C4"/>
    <w:rsid w:val="458A7378"/>
    <w:rsid w:val="458B6AE9"/>
    <w:rsid w:val="458C58B4"/>
    <w:rsid w:val="4590260F"/>
    <w:rsid w:val="45927E77"/>
    <w:rsid w:val="4594599D"/>
    <w:rsid w:val="45962486"/>
    <w:rsid w:val="459E59D6"/>
    <w:rsid w:val="45A50107"/>
    <w:rsid w:val="45A51959"/>
    <w:rsid w:val="45A6719A"/>
    <w:rsid w:val="45AB2CE7"/>
    <w:rsid w:val="45AD202F"/>
    <w:rsid w:val="45AD2496"/>
    <w:rsid w:val="45B076CD"/>
    <w:rsid w:val="45B3623E"/>
    <w:rsid w:val="45BA6024"/>
    <w:rsid w:val="45BF1FC4"/>
    <w:rsid w:val="45CE293B"/>
    <w:rsid w:val="45D109A0"/>
    <w:rsid w:val="45E701C3"/>
    <w:rsid w:val="45EC7588"/>
    <w:rsid w:val="45F12DF0"/>
    <w:rsid w:val="45F665AB"/>
    <w:rsid w:val="45F66658"/>
    <w:rsid w:val="45FA52BF"/>
    <w:rsid w:val="45FB4F39"/>
    <w:rsid w:val="4609247C"/>
    <w:rsid w:val="460A2104"/>
    <w:rsid w:val="460F1714"/>
    <w:rsid w:val="46115B90"/>
    <w:rsid w:val="46130FB8"/>
    <w:rsid w:val="46145CE6"/>
    <w:rsid w:val="461626B5"/>
    <w:rsid w:val="461850F0"/>
    <w:rsid w:val="461D6F10"/>
    <w:rsid w:val="461F56E8"/>
    <w:rsid w:val="4620240C"/>
    <w:rsid w:val="46280534"/>
    <w:rsid w:val="46284338"/>
    <w:rsid w:val="462B1E48"/>
    <w:rsid w:val="462B36A5"/>
    <w:rsid w:val="462C7AA0"/>
    <w:rsid w:val="462E090B"/>
    <w:rsid w:val="46317690"/>
    <w:rsid w:val="46344783"/>
    <w:rsid w:val="46366144"/>
    <w:rsid w:val="463D593A"/>
    <w:rsid w:val="46411531"/>
    <w:rsid w:val="4642189D"/>
    <w:rsid w:val="46474654"/>
    <w:rsid w:val="46475F1B"/>
    <w:rsid w:val="464D2C90"/>
    <w:rsid w:val="464E0242"/>
    <w:rsid w:val="465434E1"/>
    <w:rsid w:val="465600AF"/>
    <w:rsid w:val="465869CB"/>
    <w:rsid w:val="465D0485"/>
    <w:rsid w:val="46603BB3"/>
    <w:rsid w:val="46605BA8"/>
    <w:rsid w:val="46632FDC"/>
    <w:rsid w:val="46633B60"/>
    <w:rsid w:val="466435C2"/>
    <w:rsid w:val="46647F14"/>
    <w:rsid w:val="46653955"/>
    <w:rsid w:val="46675B6D"/>
    <w:rsid w:val="466C379F"/>
    <w:rsid w:val="467E10CF"/>
    <w:rsid w:val="46841EB6"/>
    <w:rsid w:val="46880D8E"/>
    <w:rsid w:val="468C0D6B"/>
    <w:rsid w:val="46955E71"/>
    <w:rsid w:val="469F284C"/>
    <w:rsid w:val="46A23803"/>
    <w:rsid w:val="46A52873"/>
    <w:rsid w:val="46AC31BB"/>
    <w:rsid w:val="46AC4F69"/>
    <w:rsid w:val="46AF1F31"/>
    <w:rsid w:val="46B02CAB"/>
    <w:rsid w:val="46B5206F"/>
    <w:rsid w:val="46C2653A"/>
    <w:rsid w:val="46C51DCA"/>
    <w:rsid w:val="46C60137"/>
    <w:rsid w:val="46C80698"/>
    <w:rsid w:val="46CD003B"/>
    <w:rsid w:val="46D37F92"/>
    <w:rsid w:val="46D53836"/>
    <w:rsid w:val="46D85D5E"/>
    <w:rsid w:val="46DD15C6"/>
    <w:rsid w:val="46E14C12"/>
    <w:rsid w:val="46E2665B"/>
    <w:rsid w:val="46E97F6B"/>
    <w:rsid w:val="46ED17D6"/>
    <w:rsid w:val="46F12A6F"/>
    <w:rsid w:val="46F16DBB"/>
    <w:rsid w:val="46FC3FEE"/>
    <w:rsid w:val="47013507"/>
    <w:rsid w:val="470A1EEB"/>
    <w:rsid w:val="4711722F"/>
    <w:rsid w:val="47163565"/>
    <w:rsid w:val="471A45C8"/>
    <w:rsid w:val="47227818"/>
    <w:rsid w:val="47252A47"/>
    <w:rsid w:val="47264BB4"/>
    <w:rsid w:val="4729618B"/>
    <w:rsid w:val="472E0CCC"/>
    <w:rsid w:val="473F410F"/>
    <w:rsid w:val="474358CD"/>
    <w:rsid w:val="47477F1D"/>
    <w:rsid w:val="474C4178"/>
    <w:rsid w:val="475A6773"/>
    <w:rsid w:val="4764175D"/>
    <w:rsid w:val="476E7E09"/>
    <w:rsid w:val="47737835"/>
    <w:rsid w:val="47740191"/>
    <w:rsid w:val="47743CD8"/>
    <w:rsid w:val="477C2B8D"/>
    <w:rsid w:val="477F442B"/>
    <w:rsid w:val="47851FED"/>
    <w:rsid w:val="479E2B03"/>
    <w:rsid w:val="47A2040C"/>
    <w:rsid w:val="47A3011A"/>
    <w:rsid w:val="47A8083B"/>
    <w:rsid w:val="47AD0D2F"/>
    <w:rsid w:val="47B10A89"/>
    <w:rsid w:val="47B60850"/>
    <w:rsid w:val="47B642F1"/>
    <w:rsid w:val="47BF56FB"/>
    <w:rsid w:val="47C02A7A"/>
    <w:rsid w:val="47C647A1"/>
    <w:rsid w:val="47CA38F8"/>
    <w:rsid w:val="47CA4E42"/>
    <w:rsid w:val="47CA7416"/>
    <w:rsid w:val="47CA7D9C"/>
    <w:rsid w:val="47CD33E9"/>
    <w:rsid w:val="47D14C87"/>
    <w:rsid w:val="47D429C9"/>
    <w:rsid w:val="47D604EF"/>
    <w:rsid w:val="47DE485E"/>
    <w:rsid w:val="47DF13BA"/>
    <w:rsid w:val="47F24C34"/>
    <w:rsid w:val="47FE35A2"/>
    <w:rsid w:val="480037BE"/>
    <w:rsid w:val="48013092"/>
    <w:rsid w:val="48052B82"/>
    <w:rsid w:val="48083CD2"/>
    <w:rsid w:val="4809274F"/>
    <w:rsid w:val="480B70B6"/>
    <w:rsid w:val="48160056"/>
    <w:rsid w:val="481849FB"/>
    <w:rsid w:val="481B05F8"/>
    <w:rsid w:val="481C1C7A"/>
    <w:rsid w:val="481D611E"/>
    <w:rsid w:val="48213609"/>
    <w:rsid w:val="48233009"/>
    <w:rsid w:val="48254FD3"/>
    <w:rsid w:val="48255222"/>
    <w:rsid w:val="48260FF4"/>
    <w:rsid w:val="4827660B"/>
    <w:rsid w:val="48284AC3"/>
    <w:rsid w:val="482F7BFF"/>
    <w:rsid w:val="483C6E7E"/>
    <w:rsid w:val="483F70AD"/>
    <w:rsid w:val="48403BBB"/>
    <w:rsid w:val="48425B85"/>
    <w:rsid w:val="484315B6"/>
    <w:rsid w:val="48441FC9"/>
    <w:rsid w:val="484551D9"/>
    <w:rsid w:val="484C6A03"/>
    <w:rsid w:val="48507F78"/>
    <w:rsid w:val="48580F04"/>
    <w:rsid w:val="48594D4F"/>
    <w:rsid w:val="485C71AA"/>
    <w:rsid w:val="485F7708"/>
    <w:rsid w:val="48643D4D"/>
    <w:rsid w:val="4868766A"/>
    <w:rsid w:val="4872684C"/>
    <w:rsid w:val="48757D08"/>
    <w:rsid w:val="48763A80"/>
    <w:rsid w:val="4876582E"/>
    <w:rsid w:val="4880226F"/>
    <w:rsid w:val="48877A3B"/>
    <w:rsid w:val="48883FAF"/>
    <w:rsid w:val="48897310"/>
    <w:rsid w:val="488E32AC"/>
    <w:rsid w:val="489108BA"/>
    <w:rsid w:val="48917155"/>
    <w:rsid w:val="4893572C"/>
    <w:rsid w:val="48952158"/>
    <w:rsid w:val="4896216A"/>
    <w:rsid w:val="48981C49"/>
    <w:rsid w:val="489B34E7"/>
    <w:rsid w:val="48A539AF"/>
    <w:rsid w:val="48AD254F"/>
    <w:rsid w:val="48AE6D76"/>
    <w:rsid w:val="48B14AB8"/>
    <w:rsid w:val="48B573A5"/>
    <w:rsid w:val="48B9571B"/>
    <w:rsid w:val="48BC5937"/>
    <w:rsid w:val="48BF71D5"/>
    <w:rsid w:val="48C03332"/>
    <w:rsid w:val="48C53D36"/>
    <w:rsid w:val="48C82121"/>
    <w:rsid w:val="48C90054"/>
    <w:rsid w:val="48C96827"/>
    <w:rsid w:val="48CC18F2"/>
    <w:rsid w:val="48CD190F"/>
    <w:rsid w:val="48D203BB"/>
    <w:rsid w:val="48D507A7"/>
    <w:rsid w:val="48D74AEE"/>
    <w:rsid w:val="48D8725E"/>
    <w:rsid w:val="48DA7B6B"/>
    <w:rsid w:val="48DE5370"/>
    <w:rsid w:val="48E3604F"/>
    <w:rsid w:val="48E409EA"/>
    <w:rsid w:val="48F12211"/>
    <w:rsid w:val="48FD5F50"/>
    <w:rsid w:val="48FD6997"/>
    <w:rsid w:val="49133879"/>
    <w:rsid w:val="49146B21"/>
    <w:rsid w:val="49180694"/>
    <w:rsid w:val="49290AF3"/>
    <w:rsid w:val="49291B1F"/>
    <w:rsid w:val="492928A1"/>
    <w:rsid w:val="492B03C7"/>
    <w:rsid w:val="492D05E3"/>
    <w:rsid w:val="492E435B"/>
    <w:rsid w:val="493825A7"/>
    <w:rsid w:val="493A2D00"/>
    <w:rsid w:val="493B66E9"/>
    <w:rsid w:val="493D00FA"/>
    <w:rsid w:val="493D6DCF"/>
    <w:rsid w:val="49415E3C"/>
    <w:rsid w:val="49494CF1"/>
    <w:rsid w:val="494A07F9"/>
    <w:rsid w:val="495711BC"/>
    <w:rsid w:val="49627B61"/>
    <w:rsid w:val="496A4538"/>
    <w:rsid w:val="496E4757"/>
    <w:rsid w:val="49771686"/>
    <w:rsid w:val="497E2BEC"/>
    <w:rsid w:val="497F161B"/>
    <w:rsid w:val="49824BCA"/>
    <w:rsid w:val="498A63A3"/>
    <w:rsid w:val="498A6A6C"/>
    <w:rsid w:val="498B355B"/>
    <w:rsid w:val="499279B0"/>
    <w:rsid w:val="499D7DFC"/>
    <w:rsid w:val="49B900C8"/>
    <w:rsid w:val="49BA7027"/>
    <w:rsid w:val="49BC3715"/>
    <w:rsid w:val="49BE1B49"/>
    <w:rsid w:val="49BE56DF"/>
    <w:rsid w:val="49C03205"/>
    <w:rsid w:val="49C16F7D"/>
    <w:rsid w:val="49C8030C"/>
    <w:rsid w:val="49D24CE6"/>
    <w:rsid w:val="49D34921"/>
    <w:rsid w:val="49E20E7A"/>
    <w:rsid w:val="49EA07E6"/>
    <w:rsid w:val="49ED61E6"/>
    <w:rsid w:val="49EF3AEA"/>
    <w:rsid w:val="49EF6D3C"/>
    <w:rsid w:val="49F11610"/>
    <w:rsid w:val="49F20EE5"/>
    <w:rsid w:val="49FD6207"/>
    <w:rsid w:val="49FE0B01"/>
    <w:rsid w:val="4A01737A"/>
    <w:rsid w:val="4A025852"/>
    <w:rsid w:val="4A065506"/>
    <w:rsid w:val="4A070E34"/>
    <w:rsid w:val="4A0D5D1E"/>
    <w:rsid w:val="4A15238D"/>
    <w:rsid w:val="4A1672C9"/>
    <w:rsid w:val="4A17094B"/>
    <w:rsid w:val="4A1A5B45"/>
    <w:rsid w:val="4A217037"/>
    <w:rsid w:val="4A272DBC"/>
    <w:rsid w:val="4A2F4D86"/>
    <w:rsid w:val="4A343357"/>
    <w:rsid w:val="4A386976"/>
    <w:rsid w:val="4A421E6C"/>
    <w:rsid w:val="4A4248E9"/>
    <w:rsid w:val="4A4756D4"/>
    <w:rsid w:val="4A4F6337"/>
    <w:rsid w:val="4A525E27"/>
    <w:rsid w:val="4A5D0FA9"/>
    <w:rsid w:val="4A6348F4"/>
    <w:rsid w:val="4A663457"/>
    <w:rsid w:val="4A673681"/>
    <w:rsid w:val="4A781EA9"/>
    <w:rsid w:val="4A7C274E"/>
    <w:rsid w:val="4A852A8D"/>
    <w:rsid w:val="4A881849"/>
    <w:rsid w:val="4A9B157C"/>
    <w:rsid w:val="4A9E5549"/>
    <w:rsid w:val="4AA76351"/>
    <w:rsid w:val="4AAC5537"/>
    <w:rsid w:val="4AAE37DD"/>
    <w:rsid w:val="4AAF6C81"/>
    <w:rsid w:val="4AAF6DD6"/>
    <w:rsid w:val="4AB80FDD"/>
    <w:rsid w:val="4ABD0B2B"/>
    <w:rsid w:val="4ABD5996"/>
    <w:rsid w:val="4ABF170F"/>
    <w:rsid w:val="4AC43EA8"/>
    <w:rsid w:val="4AC62C10"/>
    <w:rsid w:val="4ACC3E2B"/>
    <w:rsid w:val="4ACE54AE"/>
    <w:rsid w:val="4AD11442"/>
    <w:rsid w:val="4AD666AF"/>
    <w:rsid w:val="4AD84F7B"/>
    <w:rsid w:val="4ADB406F"/>
    <w:rsid w:val="4ADD3943"/>
    <w:rsid w:val="4AE178D7"/>
    <w:rsid w:val="4AE25808"/>
    <w:rsid w:val="4AE41970"/>
    <w:rsid w:val="4AE72A13"/>
    <w:rsid w:val="4AEA6060"/>
    <w:rsid w:val="4AF07B1A"/>
    <w:rsid w:val="4B05411B"/>
    <w:rsid w:val="4B06733D"/>
    <w:rsid w:val="4B075733"/>
    <w:rsid w:val="4B124F2F"/>
    <w:rsid w:val="4B1B45DB"/>
    <w:rsid w:val="4B2C3E54"/>
    <w:rsid w:val="4B2D20CF"/>
    <w:rsid w:val="4B2E419E"/>
    <w:rsid w:val="4B306168"/>
    <w:rsid w:val="4B307E5A"/>
    <w:rsid w:val="4B315D0D"/>
    <w:rsid w:val="4B3F6DB2"/>
    <w:rsid w:val="4B551DB5"/>
    <w:rsid w:val="4B6264D7"/>
    <w:rsid w:val="4B650890"/>
    <w:rsid w:val="4B655726"/>
    <w:rsid w:val="4B683B54"/>
    <w:rsid w:val="4B697584"/>
    <w:rsid w:val="4B6C05C9"/>
    <w:rsid w:val="4B6E0A3F"/>
    <w:rsid w:val="4B6E2FF3"/>
    <w:rsid w:val="4B73455C"/>
    <w:rsid w:val="4B756271"/>
    <w:rsid w:val="4B8313E1"/>
    <w:rsid w:val="4B870ABA"/>
    <w:rsid w:val="4B877EEF"/>
    <w:rsid w:val="4B9318F2"/>
    <w:rsid w:val="4B9A35A1"/>
    <w:rsid w:val="4BA102D4"/>
    <w:rsid w:val="4BA17092"/>
    <w:rsid w:val="4BA601D9"/>
    <w:rsid w:val="4BB02E05"/>
    <w:rsid w:val="4BB32EDC"/>
    <w:rsid w:val="4BB9731F"/>
    <w:rsid w:val="4BC6484B"/>
    <w:rsid w:val="4BC92119"/>
    <w:rsid w:val="4BD40DF7"/>
    <w:rsid w:val="4BD6791F"/>
    <w:rsid w:val="4BD83C57"/>
    <w:rsid w:val="4BD9235C"/>
    <w:rsid w:val="4BDC3790"/>
    <w:rsid w:val="4BDF6C55"/>
    <w:rsid w:val="4BEB208F"/>
    <w:rsid w:val="4BEB26A9"/>
    <w:rsid w:val="4BEB3D65"/>
    <w:rsid w:val="4BEB4A98"/>
    <w:rsid w:val="4BF153EA"/>
    <w:rsid w:val="4BF26204"/>
    <w:rsid w:val="4BF453E8"/>
    <w:rsid w:val="4BF83CB2"/>
    <w:rsid w:val="4BF929FE"/>
    <w:rsid w:val="4BFA09F2"/>
    <w:rsid w:val="4BFF2C70"/>
    <w:rsid w:val="4C0664F2"/>
    <w:rsid w:val="4C066EC9"/>
    <w:rsid w:val="4C07336D"/>
    <w:rsid w:val="4C0A0767"/>
    <w:rsid w:val="4C0A5199"/>
    <w:rsid w:val="4C0D0258"/>
    <w:rsid w:val="4C13685C"/>
    <w:rsid w:val="4C1745D2"/>
    <w:rsid w:val="4C196BFC"/>
    <w:rsid w:val="4C1A05B6"/>
    <w:rsid w:val="4C1D1DF7"/>
    <w:rsid w:val="4C1E2465"/>
    <w:rsid w:val="4C1F718B"/>
    <w:rsid w:val="4C250A5E"/>
    <w:rsid w:val="4C261319"/>
    <w:rsid w:val="4C2C07D9"/>
    <w:rsid w:val="4C35155C"/>
    <w:rsid w:val="4C371297"/>
    <w:rsid w:val="4C3864B8"/>
    <w:rsid w:val="4C3B7704"/>
    <w:rsid w:val="4C463227"/>
    <w:rsid w:val="4C4A325A"/>
    <w:rsid w:val="4C4C034F"/>
    <w:rsid w:val="4C4C23F6"/>
    <w:rsid w:val="4C4C747E"/>
    <w:rsid w:val="4C523EBC"/>
    <w:rsid w:val="4C5372CD"/>
    <w:rsid w:val="4C5868D8"/>
    <w:rsid w:val="4C5B4A74"/>
    <w:rsid w:val="4C5F1086"/>
    <w:rsid w:val="4C621BD7"/>
    <w:rsid w:val="4C6626E9"/>
    <w:rsid w:val="4C6A43DF"/>
    <w:rsid w:val="4C6F4027"/>
    <w:rsid w:val="4C7107E7"/>
    <w:rsid w:val="4C871DB8"/>
    <w:rsid w:val="4C87625C"/>
    <w:rsid w:val="4C895F48"/>
    <w:rsid w:val="4C8E1650"/>
    <w:rsid w:val="4C903E60"/>
    <w:rsid w:val="4C903EFB"/>
    <w:rsid w:val="4C96024D"/>
    <w:rsid w:val="4CAC4F15"/>
    <w:rsid w:val="4CB061D8"/>
    <w:rsid w:val="4CB42DC9"/>
    <w:rsid w:val="4CB5622E"/>
    <w:rsid w:val="4CB6269D"/>
    <w:rsid w:val="4CB93F3C"/>
    <w:rsid w:val="4CBE77A4"/>
    <w:rsid w:val="4CBF0FC4"/>
    <w:rsid w:val="4CC27294"/>
    <w:rsid w:val="4CC56D84"/>
    <w:rsid w:val="4CC625E5"/>
    <w:rsid w:val="4CD0251F"/>
    <w:rsid w:val="4CDD7C2A"/>
    <w:rsid w:val="4CE23492"/>
    <w:rsid w:val="4CED014A"/>
    <w:rsid w:val="4CEE62DB"/>
    <w:rsid w:val="4CF3391B"/>
    <w:rsid w:val="4CFC326E"/>
    <w:rsid w:val="4CFD207A"/>
    <w:rsid w:val="4CFF1232"/>
    <w:rsid w:val="4CFF6762"/>
    <w:rsid w:val="4D012562"/>
    <w:rsid w:val="4D01600E"/>
    <w:rsid w:val="4D0D5098"/>
    <w:rsid w:val="4D16138E"/>
    <w:rsid w:val="4D1B4BF6"/>
    <w:rsid w:val="4D297313"/>
    <w:rsid w:val="4D2D442F"/>
    <w:rsid w:val="4D32758C"/>
    <w:rsid w:val="4D333CEE"/>
    <w:rsid w:val="4D36558C"/>
    <w:rsid w:val="4D3D5DE0"/>
    <w:rsid w:val="4D481411"/>
    <w:rsid w:val="4D4B54DB"/>
    <w:rsid w:val="4D5013FF"/>
    <w:rsid w:val="4D505809"/>
    <w:rsid w:val="4D5123C6"/>
    <w:rsid w:val="4D550743"/>
    <w:rsid w:val="4D5C3245"/>
    <w:rsid w:val="4D652336"/>
    <w:rsid w:val="4D655BCA"/>
    <w:rsid w:val="4D6C0FAE"/>
    <w:rsid w:val="4D7A191D"/>
    <w:rsid w:val="4D7C06A1"/>
    <w:rsid w:val="4D7C2105"/>
    <w:rsid w:val="4D80766B"/>
    <w:rsid w:val="4D8D1F77"/>
    <w:rsid w:val="4D8D7041"/>
    <w:rsid w:val="4D92310A"/>
    <w:rsid w:val="4D9724CF"/>
    <w:rsid w:val="4D9C4A3A"/>
    <w:rsid w:val="4D9F1383"/>
    <w:rsid w:val="4DA53D98"/>
    <w:rsid w:val="4DA6254F"/>
    <w:rsid w:val="4DAB5591"/>
    <w:rsid w:val="4DAC584E"/>
    <w:rsid w:val="4DAD052B"/>
    <w:rsid w:val="4DAE15C6"/>
    <w:rsid w:val="4DC332C4"/>
    <w:rsid w:val="4DC813F1"/>
    <w:rsid w:val="4DCC3A37"/>
    <w:rsid w:val="4DD423EE"/>
    <w:rsid w:val="4DD47F3D"/>
    <w:rsid w:val="4DD92AE7"/>
    <w:rsid w:val="4DD9505C"/>
    <w:rsid w:val="4DD96434"/>
    <w:rsid w:val="4DDA64EC"/>
    <w:rsid w:val="4DDC6134"/>
    <w:rsid w:val="4DE643CB"/>
    <w:rsid w:val="4DEB6377"/>
    <w:rsid w:val="4DF648A0"/>
    <w:rsid w:val="4DF64CC8"/>
    <w:rsid w:val="4DF711BF"/>
    <w:rsid w:val="4DF74D1B"/>
    <w:rsid w:val="4E002252"/>
    <w:rsid w:val="4E0D6374"/>
    <w:rsid w:val="4E0F39C8"/>
    <w:rsid w:val="4E1A397F"/>
    <w:rsid w:val="4E1D1472"/>
    <w:rsid w:val="4E1E04FA"/>
    <w:rsid w:val="4E231FB4"/>
    <w:rsid w:val="4E233D62"/>
    <w:rsid w:val="4E266FB5"/>
    <w:rsid w:val="4E294614"/>
    <w:rsid w:val="4E2A3474"/>
    <w:rsid w:val="4E2B2C17"/>
    <w:rsid w:val="4E2B2EA3"/>
    <w:rsid w:val="4E2C17D9"/>
    <w:rsid w:val="4E30596E"/>
    <w:rsid w:val="4E3913E8"/>
    <w:rsid w:val="4E3C4E24"/>
    <w:rsid w:val="4E3E294A"/>
    <w:rsid w:val="4E402B66"/>
    <w:rsid w:val="4E465CA3"/>
    <w:rsid w:val="4E467A51"/>
    <w:rsid w:val="4E5321F4"/>
    <w:rsid w:val="4E5403C0"/>
    <w:rsid w:val="4E575A4D"/>
    <w:rsid w:val="4E597784"/>
    <w:rsid w:val="4E5C1022"/>
    <w:rsid w:val="4E5D4805"/>
    <w:rsid w:val="4E646E9E"/>
    <w:rsid w:val="4E672392"/>
    <w:rsid w:val="4E68495B"/>
    <w:rsid w:val="4E6D3230"/>
    <w:rsid w:val="4E704ACE"/>
    <w:rsid w:val="4E772300"/>
    <w:rsid w:val="4E7E2070"/>
    <w:rsid w:val="4E830222"/>
    <w:rsid w:val="4E837BCD"/>
    <w:rsid w:val="4E8E4F6F"/>
    <w:rsid w:val="4E8F764A"/>
    <w:rsid w:val="4E984750"/>
    <w:rsid w:val="4E9F5DFB"/>
    <w:rsid w:val="4EA053B3"/>
    <w:rsid w:val="4EA132EC"/>
    <w:rsid w:val="4EA6048D"/>
    <w:rsid w:val="4EAF1F1C"/>
    <w:rsid w:val="4EB578C5"/>
    <w:rsid w:val="4EB65080"/>
    <w:rsid w:val="4EC66490"/>
    <w:rsid w:val="4EC72F49"/>
    <w:rsid w:val="4ECF5C98"/>
    <w:rsid w:val="4EDB288F"/>
    <w:rsid w:val="4EDE5EDB"/>
    <w:rsid w:val="4EE42034"/>
    <w:rsid w:val="4EEC05F8"/>
    <w:rsid w:val="4EED5DC5"/>
    <w:rsid w:val="4EED611E"/>
    <w:rsid w:val="4EF321AE"/>
    <w:rsid w:val="4EF63A71"/>
    <w:rsid w:val="4EF851EF"/>
    <w:rsid w:val="4EF94593"/>
    <w:rsid w:val="4F005970"/>
    <w:rsid w:val="4F006F7C"/>
    <w:rsid w:val="4F045CBA"/>
    <w:rsid w:val="4F056086"/>
    <w:rsid w:val="4F0771E0"/>
    <w:rsid w:val="4F1A33B7"/>
    <w:rsid w:val="4F1D5330"/>
    <w:rsid w:val="4F1F6E11"/>
    <w:rsid w:val="4F2A522D"/>
    <w:rsid w:val="4F2D0618"/>
    <w:rsid w:val="4F2E29BF"/>
    <w:rsid w:val="4F376970"/>
    <w:rsid w:val="4F39082A"/>
    <w:rsid w:val="4F4E581E"/>
    <w:rsid w:val="4F4E7747"/>
    <w:rsid w:val="4F5156B0"/>
    <w:rsid w:val="4F5543EF"/>
    <w:rsid w:val="4F5E7D8F"/>
    <w:rsid w:val="4F5F526E"/>
    <w:rsid w:val="4F60235B"/>
    <w:rsid w:val="4F616E79"/>
    <w:rsid w:val="4F6518B8"/>
    <w:rsid w:val="4F6939F7"/>
    <w:rsid w:val="4F6B598B"/>
    <w:rsid w:val="4F6F433A"/>
    <w:rsid w:val="4F701229"/>
    <w:rsid w:val="4F732EE8"/>
    <w:rsid w:val="4F7A40B2"/>
    <w:rsid w:val="4F840831"/>
    <w:rsid w:val="4F882E25"/>
    <w:rsid w:val="4F8E7901"/>
    <w:rsid w:val="4F9F1B30"/>
    <w:rsid w:val="4F9F566B"/>
    <w:rsid w:val="4FA42C81"/>
    <w:rsid w:val="4FA74664"/>
    <w:rsid w:val="4FA964E9"/>
    <w:rsid w:val="4FAB4338"/>
    <w:rsid w:val="4FB56C3C"/>
    <w:rsid w:val="4FB62076"/>
    <w:rsid w:val="4FBB72C1"/>
    <w:rsid w:val="4FCC21D8"/>
    <w:rsid w:val="4FD10ADB"/>
    <w:rsid w:val="4FD572DE"/>
    <w:rsid w:val="4FD6108E"/>
    <w:rsid w:val="4FD76A30"/>
    <w:rsid w:val="4FD7755D"/>
    <w:rsid w:val="4FE260E9"/>
    <w:rsid w:val="4FE55F09"/>
    <w:rsid w:val="4FE63299"/>
    <w:rsid w:val="4FE70E15"/>
    <w:rsid w:val="4FE90FDC"/>
    <w:rsid w:val="4FEC63D6"/>
    <w:rsid w:val="4FEE4781"/>
    <w:rsid w:val="4FF7796E"/>
    <w:rsid w:val="4FFA4F97"/>
    <w:rsid w:val="50002A81"/>
    <w:rsid w:val="50033E4B"/>
    <w:rsid w:val="500951DA"/>
    <w:rsid w:val="5009749E"/>
    <w:rsid w:val="500A324D"/>
    <w:rsid w:val="500B2B7C"/>
    <w:rsid w:val="50166123"/>
    <w:rsid w:val="501B6F55"/>
    <w:rsid w:val="50236027"/>
    <w:rsid w:val="50252F29"/>
    <w:rsid w:val="503653C0"/>
    <w:rsid w:val="503666B7"/>
    <w:rsid w:val="503A0522"/>
    <w:rsid w:val="503C7D20"/>
    <w:rsid w:val="503F58B9"/>
    <w:rsid w:val="50412BC6"/>
    <w:rsid w:val="50480F03"/>
    <w:rsid w:val="504A7BEA"/>
    <w:rsid w:val="504F5B81"/>
    <w:rsid w:val="5052092F"/>
    <w:rsid w:val="50521922"/>
    <w:rsid w:val="505446A7"/>
    <w:rsid w:val="50545E57"/>
    <w:rsid w:val="505726E4"/>
    <w:rsid w:val="50575F45"/>
    <w:rsid w:val="505A4E4D"/>
    <w:rsid w:val="5060304C"/>
    <w:rsid w:val="50634C89"/>
    <w:rsid w:val="50641AA9"/>
    <w:rsid w:val="50642410"/>
    <w:rsid w:val="50643F67"/>
    <w:rsid w:val="5065603D"/>
    <w:rsid w:val="506643DA"/>
    <w:rsid w:val="50680152"/>
    <w:rsid w:val="506C1442"/>
    <w:rsid w:val="506F403E"/>
    <w:rsid w:val="507156D6"/>
    <w:rsid w:val="5074004C"/>
    <w:rsid w:val="507574A8"/>
    <w:rsid w:val="507847DE"/>
    <w:rsid w:val="50784C00"/>
    <w:rsid w:val="507C3E74"/>
    <w:rsid w:val="507E695D"/>
    <w:rsid w:val="50812FC2"/>
    <w:rsid w:val="50836D3A"/>
    <w:rsid w:val="508555CF"/>
    <w:rsid w:val="508631B3"/>
    <w:rsid w:val="50891BF6"/>
    <w:rsid w:val="508E6828"/>
    <w:rsid w:val="508F7018"/>
    <w:rsid w:val="509727E6"/>
    <w:rsid w:val="50A309A8"/>
    <w:rsid w:val="50AD3E8D"/>
    <w:rsid w:val="50B536B5"/>
    <w:rsid w:val="50B87AB6"/>
    <w:rsid w:val="50BD0B94"/>
    <w:rsid w:val="50BE5FC4"/>
    <w:rsid w:val="50C555A5"/>
    <w:rsid w:val="50C57706"/>
    <w:rsid w:val="50C64ECF"/>
    <w:rsid w:val="50CB189D"/>
    <w:rsid w:val="50D13F4A"/>
    <w:rsid w:val="50D2381E"/>
    <w:rsid w:val="50D628D0"/>
    <w:rsid w:val="50D72910"/>
    <w:rsid w:val="50E443B4"/>
    <w:rsid w:val="50E75423"/>
    <w:rsid w:val="50E817D4"/>
    <w:rsid w:val="50EB0E82"/>
    <w:rsid w:val="50EB78E0"/>
    <w:rsid w:val="50EF4D13"/>
    <w:rsid w:val="50F222B0"/>
    <w:rsid w:val="50F775A2"/>
    <w:rsid w:val="50F87728"/>
    <w:rsid w:val="50FE1046"/>
    <w:rsid w:val="51092FF8"/>
    <w:rsid w:val="51192831"/>
    <w:rsid w:val="511A58F1"/>
    <w:rsid w:val="512027DB"/>
    <w:rsid w:val="512C78D1"/>
    <w:rsid w:val="51361FFF"/>
    <w:rsid w:val="51363878"/>
    <w:rsid w:val="5145344C"/>
    <w:rsid w:val="51491D32"/>
    <w:rsid w:val="51597A9B"/>
    <w:rsid w:val="515E635E"/>
    <w:rsid w:val="51621134"/>
    <w:rsid w:val="5164411A"/>
    <w:rsid w:val="516708EA"/>
    <w:rsid w:val="516F02BB"/>
    <w:rsid w:val="51710061"/>
    <w:rsid w:val="517829CB"/>
    <w:rsid w:val="517E254D"/>
    <w:rsid w:val="51840FBC"/>
    <w:rsid w:val="51861C76"/>
    <w:rsid w:val="51897119"/>
    <w:rsid w:val="51944ACC"/>
    <w:rsid w:val="51984A67"/>
    <w:rsid w:val="519867F1"/>
    <w:rsid w:val="519B6306"/>
    <w:rsid w:val="51A11B6E"/>
    <w:rsid w:val="51A250A0"/>
    <w:rsid w:val="51A5234E"/>
    <w:rsid w:val="51A52CE0"/>
    <w:rsid w:val="51A66DF2"/>
    <w:rsid w:val="51AE6039"/>
    <w:rsid w:val="51B801EA"/>
    <w:rsid w:val="51B81C43"/>
    <w:rsid w:val="51B9794C"/>
    <w:rsid w:val="51BB6F9E"/>
    <w:rsid w:val="51BF2AD6"/>
    <w:rsid w:val="51C15D6C"/>
    <w:rsid w:val="51C724AA"/>
    <w:rsid w:val="51C92E73"/>
    <w:rsid w:val="51CD2963"/>
    <w:rsid w:val="51D43549"/>
    <w:rsid w:val="51D96B8E"/>
    <w:rsid w:val="51E24CAF"/>
    <w:rsid w:val="51E706A8"/>
    <w:rsid w:val="51ED6B61"/>
    <w:rsid w:val="51EF4327"/>
    <w:rsid w:val="51F83758"/>
    <w:rsid w:val="51FE3331"/>
    <w:rsid w:val="5200155A"/>
    <w:rsid w:val="520070DE"/>
    <w:rsid w:val="520420FD"/>
    <w:rsid w:val="52043EAB"/>
    <w:rsid w:val="520677E4"/>
    <w:rsid w:val="522602C5"/>
    <w:rsid w:val="52293911"/>
    <w:rsid w:val="52293E9E"/>
    <w:rsid w:val="522960E9"/>
    <w:rsid w:val="522F3292"/>
    <w:rsid w:val="52346719"/>
    <w:rsid w:val="523C1A67"/>
    <w:rsid w:val="52407119"/>
    <w:rsid w:val="52432C25"/>
    <w:rsid w:val="52456ACC"/>
    <w:rsid w:val="5246001F"/>
    <w:rsid w:val="52471E64"/>
    <w:rsid w:val="524A30FC"/>
    <w:rsid w:val="524F63F4"/>
    <w:rsid w:val="525A1D1D"/>
    <w:rsid w:val="52633E80"/>
    <w:rsid w:val="526A68D5"/>
    <w:rsid w:val="527501A7"/>
    <w:rsid w:val="527A448D"/>
    <w:rsid w:val="527D7680"/>
    <w:rsid w:val="528A54AB"/>
    <w:rsid w:val="528B2995"/>
    <w:rsid w:val="528E2B8B"/>
    <w:rsid w:val="528F1212"/>
    <w:rsid w:val="5291580E"/>
    <w:rsid w:val="529A70F1"/>
    <w:rsid w:val="529C63CD"/>
    <w:rsid w:val="529E1C09"/>
    <w:rsid w:val="52A66D10"/>
    <w:rsid w:val="52AE5729"/>
    <w:rsid w:val="52B37355"/>
    <w:rsid w:val="52B50AE6"/>
    <w:rsid w:val="52B520D9"/>
    <w:rsid w:val="52B6622B"/>
    <w:rsid w:val="52C5188C"/>
    <w:rsid w:val="52CA6EA2"/>
    <w:rsid w:val="52D150EC"/>
    <w:rsid w:val="52D63A99"/>
    <w:rsid w:val="52D946DE"/>
    <w:rsid w:val="52D95288"/>
    <w:rsid w:val="52DB4C0C"/>
    <w:rsid w:val="52DE1016"/>
    <w:rsid w:val="52E228EB"/>
    <w:rsid w:val="52EA3B7F"/>
    <w:rsid w:val="52F01C51"/>
    <w:rsid w:val="52F1442F"/>
    <w:rsid w:val="52F357FD"/>
    <w:rsid w:val="52FE1F30"/>
    <w:rsid w:val="5300320D"/>
    <w:rsid w:val="5305612D"/>
    <w:rsid w:val="531109D3"/>
    <w:rsid w:val="531544BE"/>
    <w:rsid w:val="5319222B"/>
    <w:rsid w:val="531B4B27"/>
    <w:rsid w:val="53230361"/>
    <w:rsid w:val="53265662"/>
    <w:rsid w:val="532963A8"/>
    <w:rsid w:val="532A7941"/>
    <w:rsid w:val="532F31A9"/>
    <w:rsid w:val="53320488"/>
    <w:rsid w:val="5334256E"/>
    <w:rsid w:val="53373E0C"/>
    <w:rsid w:val="53394875"/>
    <w:rsid w:val="53401A71"/>
    <w:rsid w:val="53423E65"/>
    <w:rsid w:val="534A0BC1"/>
    <w:rsid w:val="534A22BA"/>
    <w:rsid w:val="535B6F70"/>
    <w:rsid w:val="536746F1"/>
    <w:rsid w:val="536C0A8D"/>
    <w:rsid w:val="537961D3"/>
    <w:rsid w:val="537C4D56"/>
    <w:rsid w:val="53874D93"/>
    <w:rsid w:val="53902724"/>
    <w:rsid w:val="53906CA0"/>
    <w:rsid w:val="53927BD7"/>
    <w:rsid w:val="5394125E"/>
    <w:rsid w:val="539B1525"/>
    <w:rsid w:val="53A019B1"/>
    <w:rsid w:val="53A06143"/>
    <w:rsid w:val="53A616BE"/>
    <w:rsid w:val="53AC334F"/>
    <w:rsid w:val="53B35B89"/>
    <w:rsid w:val="53B37937"/>
    <w:rsid w:val="53B765F3"/>
    <w:rsid w:val="53BB6386"/>
    <w:rsid w:val="53BD07B5"/>
    <w:rsid w:val="53BE180D"/>
    <w:rsid w:val="53BF0089"/>
    <w:rsid w:val="53C67FC9"/>
    <w:rsid w:val="53C733E2"/>
    <w:rsid w:val="53C96DAD"/>
    <w:rsid w:val="53CA434E"/>
    <w:rsid w:val="53CB7455"/>
    <w:rsid w:val="53CE651E"/>
    <w:rsid w:val="53D61877"/>
    <w:rsid w:val="53DA1367"/>
    <w:rsid w:val="53E846F2"/>
    <w:rsid w:val="53F005F3"/>
    <w:rsid w:val="53F27618"/>
    <w:rsid w:val="53FB30DC"/>
    <w:rsid w:val="53FC24E8"/>
    <w:rsid w:val="540957A8"/>
    <w:rsid w:val="540B0B96"/>
    <w:rsid w:val="541C372E"/>
    <w:rsid w:val="541C54DC"/>
    <w:rsid w:val="541D3002"/>
    <w:rsid w:val="54210D44"/>
    <w:rsid w:val="5422619D"/>
    <w:rsid w:val="54235125"/>
    <w:rsid w:val="54247A89"/>
    <w:rsid w:val="542B1BC3"/>
    <w:rsid w:val="54316FC9"/>
    <w:rsid w:val="54372316"/>
    <w:rsid w:val="543C215C"/>
    <w:rsid w:val="54402211"/>
    <w:rsid w:val="54420CBA"/>
    <w:rsid w:val="54444A33"/>
    <w:rsid w:val="54473AA3"/>
    <w:rsid w:val="5449029B"/>
    <w:rsid w:val="54493DF7"/>
    <w:rsid w:val="544964E4"/>
    <w:rsid w:val="544B5DC1"/>
    <w:rsid w:val="544C54D0"/>
    <w:rsid w:val="545509EE"/>
    <w:rsid w:val="54596730"/>
    <w:rsid w:val="545F7ABE"/>
    <w:rsid w:val="54617393"/>
    <w:rsid w:val="54630975"/>
    <w:rsid w:val="54694499"/>
    <w:rsid w:val="546B0211"/>
    <w:rsid w:val="547075D6"/>
    <w:rsid w:val="5473079B"/>
    <w:rsid w:val="547627FC"/>
    <w:rsid w:val="54774E08"/>
    <w:rsid w:val="547A48F8"/>
    <w:rsid w:val="547C41CC"/>
    <w:rsid w:val="54806253"/>
    <w:rsid w:val="548337AD"/>
    <w:rsid w:val="5483474F"/>
    <w:rsid w:val="54837309"/>
    <w:rsid w:val="54843081"/>
    <w:rsid w:val="548A206F"/>
    <w:rsid w:val="548B440F"/>
    <w:rsid w:val="548E5CAE"/>
    <w:rsid w:val="54901A26"/>
    <w:rsid w:val="54943FAB"/>
    <w:rsid w:val="54A471ED"/>
    <w:rsid w:val="54A656ED"/>
    <w:rsid w:val="54A71DEA"/>
    <w:rsid w:val="54A76646"/>
    <w:rsid w:val="54AA0D3A"/>
    <w:rsid w:val="54AC4E1F"/>
    <w:rsid w:val="54AF45A2"/>
    <w:rsid w:val="54AF6350"/>
    <w:rsid w:val="54B336E4"/>
    <w:rsid w:val="54B716A8"/>
    <w:rsid w:val="54B75204"/>
    <w:rsid w:val="54B85A75"/>
    <w:rsid w:val="54BB1101"/>
    <w:rsid w:val="54BC7B71"/>
    <w:rsid w:val="54C139E0"/>
    <w:rsid w:val="54C1605D"/>
    <w:rsid w:val="54C3004D"/>
    <w:rsid w:val="54C6038B"/>
    <w:rsid w:val="54C66EE1"/>
    <w:rsid w:val="54CA13B9"/>
    <w:rsid w:val="54D44008"/>
    <w:rsid w:val="54D47B64"/>
    <w:rsid w:val="54DE6068"/>
    <w:rsid w:val="54FE3B9E"/>
    <w:rsid w:val="55012924"/>
    <w:rsid w:val="55012D70"/>
    <w:rsid w:val="550146D2"/>
    <w:rsid w:val="550B4728"/>
    <w:rsid w:val="550B6693"/>
    <w:rsid w:val="55101E89"/>
    <w:rsid w:val="55157DB8"/>
    <w:rsid w:val="55172147"/>
    <w:rsid w:val="551A606D"/>
    <w:rsid w:val="55257072"/>
    <w:rsid w:val="552B6EF4"/>
    <w:rsid w:val="552C19B0"/>
    <w:rsid w:val="552D196B"/>
    <w:rsid w:val="552F7491"/>
    <w:rsid w:val="55353065"/>
    <w:rsid w:val="553625CD"/>
    <w:rsid w:val="55364F1F"/>
    <w:rsid w:val="5536613C"/>
    <w:rsid w:val="553766D7"/>
    <w:rsid w:val="553D1B3A"/>
    <w:rsid w:val="555C4FEA"/>
    <w:rsid w:val="55607F0F"/>
    <w:rsid w:val="55630EE8"/>
    <w:rsid w:val="5563538C"/>
    <w:rsid w:val="55651104"/>
    <w:rsid w:val="556A410B"/>
    <w:rsid w:val="55701F1E"/>
    <w:rsid w:val="557249D5"/>
    <w:rsid w:val="557D3323"/>
    <w:rsid w:val="5583158B"/>
    <w:rsid w:val="55874138"/>
    <w:rsid w:val="55886962"/>
    <w:rsid w:val="558A0B6B"/>
    <w:rsid w:val="558C043F"/>
    <w:rsid w:val="55911EF9"/>
    <w:rsid w:val="5592480C"/>
    <w:rsid w:val="55990BE3"/>
    <w:rsid w:val="559B0682"/>
    <w:rsid w:val="55A0038E"/>
    <w:rsid w:val="55A35789"/>
    <w:rsid w:val="55A5408F"/>
    <w:rsid w:val="55A73B0F"/>
    <w:rsid w:val="55A82D9F"/>
    <w:rsid w:val="55AC6CD5"/>
    <w:rsid w:val="55B2521E"/>
    <w:rsid w:val="55BA4A68"/>
    <w:rsid w:val="55C20305"/>
    <w:rsid w:val="55C40091"/>
    <w:rsid w:val="55C925F0"/>
    <w:rsid w:val="55CA71B9"/>
    <w:rsid w:val="55D23347"/>
    <w:rsid w:val="55DB4F23"/>
    <w:rsid w:val="55DC623F"/>
    <w:rsid w:val="55E73338"/>
    <w:rsid w:val="55F37414"/>
    <w:rsid w:val="55F553FF"/>
    <w:rsid w:val="55FD35E8"/>
    <w:rsid w:val="55FF5183"/>
    <w:rsid w:val="56024BA5"/>
    <w:rsid w:val="56065534"/>
    <w:rsid w:val="560E52F8"/>
    <w:rsid w:val="56243888"/>
    <w:rsid w:val="56292132"/>
    <w:rsid w:val="56331C55"/>
    <w:rsid w:val="56352885"/>
    <w:rsid w:val="56360CB5"/>
    <w:rsid w:val="5636205C"/>
    <w:rsid w:val="564E430A"/>
    <w:rsid w:val="56571144"/>
    <w:rsid w:val="565A669E"/>
    <w:rsid w:val="565C42B5"/>
    <w:rsid w:val="5664035C"/>
    <w:rsid w:val="566B4385"/>
    <w:rsid w:val="566E37CC"/>
    <w:rsid w:val="5670326A"/>
    <w:rsid w:val="567535C9"/>
    <w:rsid w:val="56772E9D"/>
    <w:rsid w:val="56786C15"/>
    <w:rsid w:val="567A298E"/>
    <w:rsid w:val="56813D1C"/>
    <w:rsid w:val="5681498F"/>
    <w:rsid w:val="56815ACA"/>
    <w:rsid w:val="56821842"/>
    <w:rsid w:val="56850C1F"/>
    <w:rsid w:val="56856D59"/>
    <w:rsid w:val="568B6949"/>
    <w:rsid w:val="568D40CD"/>
    <w:rsid w:val="5690379E"/>
    <w:rsid w:val="56933C61"/>
    <w:rsid w:val="569357FD"/>
    <w:rsid w:val="569610DD"/>
    <w:rsid w:val="569F0646"/>
    <w:rsid w:val="569F41A2"/>
    <w:rsid w:val="56A27910"/>
    <w:rsid w:val="56A8002D"/>
    <w:rsid w:val="56A87127"/>
    <w:rsid w:val="56A97931"/>
    <w:rsid w:val="56B955FB"/>
    <w:rsid w:val="56BB4315"/>
    <w:rsid w:val="56C84761"/>
    <w:rsid w:val="56CE6835"/>
    <w:rsid w:val="56E20964"/>
    <w:rsid w:val="56E32B2D"/>
    <w:rsid w:val="56E519DC"/>
    <w:rsid w:val="56E55706"/>
    <w:rsid w:val="56EF4EFC"/>
    <w:rsid w:val="56F269C8"/>
    <w:rsid w:val="56F81BB2"/>
    <w:rsid w:val="56FF5453"/>
    <w:rsid w:val="57034309"/>
    <w:rsid w:val="57035FFF"/>
    <w:rsid w:val="570505BB"/>
    <w:rsid w:val="570A5ABF"/>
    <w:rsid w:val="570C319C"/>
    <w:rsid w:val="57123ADC"/>
    <w:rsid w:val="57154464"/>
    <w:rsid w:val="571701DC"/>
    <w:rsid w:val="57177008"/>
    <w:rsid w:val="57193010"/>
    <w:rsid w:val="57194750"/>
    <w:rsid w:val="571C3A45"/>
    <w:rsid w:val="57226CA7"/>
    <w:rsid w:val="57227E9C"/>
    <w:rsid w:val="57245889"/>
    <w:rsid w:val="572D17AE"/>
    <w:rsid w:val="57315650"/>
    <w:rsid w:val="57354949"/>
    <w:rsid w:val="5737104C"/>
    <w:rsid w:val="57374D9A"/>
    <w:rsid w:val="5738362A"/>
    <w:rsid w:val="57392849"/>
    <w:rsid w:val="573963A5"/>
    <w:rsid w:val="573A2EEE"/>
    <w:rsid w:val="5745071F"/>
    <w:rsid w:val="5747236A"/>
    <w:rsid w:val="574F5BC8"/>
    <w:rsid w:val="575337F6"/>
    <w:rsid w:val="57574324"/>
    <w:rsid w:val="57585951"/>
    <w:rsid w:val="575925A3"/>
    <w:rsid w:val="575E10C2"/>
    <w:rsid w:val="57686C8A"/>
    <w:rsid w:val="576B6B0C"/>
    <w:rsid w:val="57783E3B"/>
    <w:rsid w:val="57804190"/>
    <w:rsid w:val="57806D9C"/>
    <w:rsid w:val="57866E42"/>
    <w:rsid w:val="578D7423"/>
    <w:rsid w:val="57914433"/>
    <w:rsid w:val="57A06424"/>
    <w:rsid w:val="57A733A1"/>
    <w:rsid w:val="57A852D8"/>
    <w:rsid w:val="57A859A5"/>
    <w:rsid w:val="57AC4DC9"/>
    <w:rsid w:val="57B04E2D"/>
    <w:rsid w:val="57BC7905"/>
    <w:rsid w:val="57BF681F"/>
    <w:rsid w:val="57CC4A0D"/>
    <w:rsid w:val="57CF0AB7"/>
    <w:rsid w:val="57D207EB"/>
    <w:rsid w:val="57DE3589"/>
    <w:rsid w:val="57E36310"/>
    <w:rsid w:val="57E5652D"/>
    <w:rsid w:val="57E97DCB"/>
    <w:rsid w:val="57EA3100"/>
    <w:rsid w:val="57F81DBC"/>
    <w:rsid w:val="57FA1D13"/>
    <w:rsid w:val="57FB365A"/>
    <w:rsid w:val="57FF7643"/>
    <w:rsid w:val="58050514"/>
    <w:rsid w:val="58054BA6"/>
    <w:rsid w:val="580746F5"/>
    <w:rsid w:val="580764A3"/>
    <w:rsid w:val="580E5A83"/>
    <w:rsid w:val="581356E9"/>
    <w:rsid w:val="58146D58"/>
    <w:rsid w:val="581C0A2A"/>
    <w:rsid w:val="581E2024"/>
    <w:rsid w:val="581E6DB7"/>
    <w:rsid w:val="581F1A3E"/>
    <w:rsid w:val="58207CED"/>
    <w:rsid w:val="582349FF"/>
    <w:rsid w:val="58247055"/>
    <w:rsid w:val="58256929"/>
    <w:rsid w:val="582A64EB"/>
    <w:rsid w:val="582B1442"/>
    <w:rsid w:val="582B3B46"/>
    <w:rsid w:val="582B4E00"/>
    <w:rsid w:val="582C44A8"/>
    <w:rsid w:val="58300C63"/>
    <w:rsid w:val="58313520"/>
    <w:rsid w:val="5833764B"/>
    <w:rsid w:val="583E1337"/>
    <w:rsid w:val="583E1D39"/>
    <w:rsid w:val="583E701A"/>
    <w:rsid w:val="584175DB"/>
    <w:rsid w:val="584274DB"/>
    <w:rsid w:val="584E40D2"/>
    <w:rsid w:val="584E5E80"/>
    <w:rsid w:val="58507E4A"/>
    <w:rsid w:val="585B059D"/>
    <w:rsid w:val="586213D1"/>
    <w:rsid w:val="5862192B"/>
    <w:rsid w:val="586E5A27"/>
    <w:rsid w:val="58763DC9"/>
    <w:rsid w:val="58784ADA"/>
    <w:rsid w:val="587873A1"/>
    <w:rsid w:val="587F1DE9"/>
    <w:rsid w:val="58833C99"/>
    <w:rsid w:val="58877C7F"/>
    <w:rsid w:val="58881209"/>
    <w:rsid w:val="588A378D"/>
    <w:rsid w:val="588B7FFC"/>
    <w:rsid w:val="588C71EF"/>
    <w:rsid w:val="588E2720"/>
    <w:rsid w:val="589C145C"/>
    <w:rsid w:val="589F492D"/>
    <w:rsid w:val="58A847AD"/>
    <w:rsid w:val="58A95B45"/>
    <w:rsid w:val="58B24473"/>
    <w:rsid w:val="58B35EB8"/>
    <w:rsid w:val="58B77EC9"/>
    <w:rsid w:val="58B83A54"/>
    <w:rsid w:val="58B959EF"/>
    <w:rsid w:val="58C47EF0"/>
    <w:rsid w:val="58C60675"/>
    <w:rsid w:val="58C61EBA"/>
    <w:rsid w:val="58C85C32"/>
    <w:rsid w:val="58D179E7"/>
    <w:rsid w:val="58D23939"/>
    <w:rsid w:val="58D31068"/>
    <w:rsid w:val="58D520FD"/>
    <w:rsid w:val="58DC204C"/>
    <w:rsid w:val="58E2019C"/>
    <w:rsid w:val="58E81E30"/>
    <w:rsid w:val="58EB7B73"/>
    <w:rsid w:val="58EE41B7"/>
    <w:rsid w:val="58EE6A61"/>
    <w:rsid w:val="58F04935"/>
    <w:rsid w:val="58F24A5D"/>
    <w:rsid w:val="58F3077A"/>
    <w:rsid w:val="58F55819"/>
    <w:rsid w:val="58FA1B64"/>
    <w:rsid w:val="590E15AE"/>
    <w:rsid w:val="590F5D36"/>
    <w:rsid w:val="59121E81"/>
    <w:rsid w:val="5912522E"/>
    <w:rsid w:val="591C7D2C"/>
    <w:rsid w:val="591E6360"/>
    <w:rsid w:val="592227FB"/>
    <w:rsid w:val="59284AF3"/>
    <w:rsid w:val="59316F6C"/>
    <w:rsid w:val="59365245"/>
    <w:rsid w:val="59374B66"/>
    <w:rsid w:val="593C3A1D"/>
    <w:rsid w:val="594C0011"/>
    <w:rsid w:val="594F3C5E"/>
    <w:rsid w:val="595F1045"/>
    <w:rsid w:val="59691B9D"/>
    <w:rsid w:val="596D4948"/>
    <w:rsid w:val="596F60AE"/>
    <w:rsid w:val="59710078"/>
    <w:rsid w:val="5971108F"/>
    <w:rsid w:val="5971562A"/>
    <w:rsid w:val="59740E6D"/>
    <w:rsid w:val="597610C2"/>
    <w:rsid w:val="597638E0"/>
    <w:rsid w:val="597731B4"/>
    <w:rsid w:val="59796F2C"/>
    <w:rsid w:val="598002BB"/>
    <w:rsid w:val="59897866"/>
    <w:rsid w:val="598F1061"/>
    <w:rsid w:val="599D01F8"/>
    <w:rsid w:val="59A3044D"/>
    <w:rsid w:val="59A34E0C"/>
    <w:rsid w:val="59A7189E"/>
    <w:rsid w:val="59AF0BA0"/>
    <w:rsid w:val="59B47F65"/>
    <w:rsid w:val="59B64375"/>
    <w:rsid w:val="59B66F44"/>
    <w:rsid w:val="59B7213B"/>
    <w:rsid w:val="59B77468"/>
    <w:rsid w:val="59B836A5"/>
    <w:rsid w:val="59B9557B"/>
    <w:rsid w:val="59BC2813"/>
    <w:rsid w:val="59C12681"/>
    <w:rsid w:val="59C66555"/>
    <w:rsid w:val="59CA099D"/>
    <w:rsid w:val="59CB22B3"/>
    <w:rsid w:val="59CE248B"/>
    <w:rsid w:val="59DF551B"/>
    <w:rsid w:val="59DF648B"/>
    <w:rsid w:val="59E10393"/>
    <w:rsid w:val="59E4470E"/>
    <w:rsid w:val="59E85E60"/>
    <w:rsid w:val="59F111B9"/>
    <w:rsid w:val="59F748DD"/>
    <w:rsid w:val="59FB2037"/>
    <w:rsid w:val="59FE3F62"/>
    <w:rsid w:val="5A021175"/>
    <w:rsid w:val="5A062AF6"/>
    <w:rsid w:val="5A0E7F43"/>
    <w:rsid w:val="5A1A2739"/>
    <w:rsid w:val="5A1F7AD4"/>
    <w:rsid w:val="5A20041A"/>
    <w:rsid w:val="5A222083"/>
    <w:rsid w:val="5A290D7A"/>
    <w:rsid w:val="5A2A0227"/>
    <w:rsid w:val="5A2A46CB"/>
    <w:rsid w:val="5A2C4EAE"/>
    <w:rsid w:val="5A321F93"/>
    <w:rsid w:val="5A350349"/>
    <w:rsid w:val="5A3A490E"/>
    <w:rsid w:val="5A3E467A"/>
    <w:rsid w:val="5A3E6C67"/>
    <w:rsid w:val="5A405C9C"/>
    <w:rsid w:val="5A500E9F"/>
    <w:rsid w:val="5A525FCA"/>
    <w:rsid w:val="5A5B12DA"/>
    <w:rsid w:val="5A6116CE"/>
    <w:rsid w:val="5A64198B"/>
    <w:rsid w:val="5A690D4F"/>
    <w:rsid w:val="5A6C083F"/>
    <w:rsid w:val="5A702E86"/>
    <w:rsid w:val="5A7140A7"/>
    <w:rsid w:val="5A736072"/>
    <w:rsid w:val="5A753B98"/>
    <w:rsid w:val="5A7B0BEB"/>
    <w:rsid w:val="5A7C3DF9"/>
    <w:rsid w:val="5A7F36F5"/>
    <w:rsid w:val="5A8B33BB"/>
    <w:rsid w:val="5A946C84"/>
    <w:rsid w:val="5A950680"/>
    <w:rsid w:val="5A9C7DD2"/>
    <w:rsid w:val="5AA12BDF"/>
    <w:rsid w:val="5AA2206C"/>
    <w:rsid w:val="5AA61FA3"/>
    <w:rsid w:val="5AA803FB"/>
    <w:rsid w:val="5AAA6594"/>
    <w:rsid w:val="5AAE3BF1"/>
    <w:rsid w:val="5AB02E22"/>
    <w:rsid w:val="5ABB5323"/>
    <w:rsid w:val="5ABF4E13"/>
    <w:rsid w:val="5AC12F30"/>
    <w:rsid w:val="5AC95C92"/>
    <w:rsid w:val="5ACA241A"/>
    <w:rsid w:val="5ACD3426"/>
    <w:rsid w:val="5ACF7B43"/>
    <w:rsid w:val="5AD04CA5"/>
    <w:rsid w:val="5AD76600"/>
    <w:rsid w:val="5AE14D89"/>
    <w:rsid w:val="5AE26C27"/>
    <w:rsid w:val="5AEA03B7"/>
    <w:rsid w:val="5AEC38F7"/>
    <w:rsid w:val="5AEC6705"/>
    <w:rsid w:val="5AF2343A"/>
    <w:rsid w:val="5AF803E9"/>
    <w:rsid w:val="5AFF7905"/>
    <w:rsid w:val="5B0373F5"/>
    <w:rsid w:val="5B0F573A"/>
    <w:rsid w:val="5B121C57"/>
    <w:rsid w:val="5B136F0D"/>
    <w:rsid w:val="5B144640"/>
    <w:rsid w:val="5B1558C6"/>
    <w:rsid w:val="5B1C4013"/>
    <w:rsid w:val="5B215742"/>
    <w:rsid w:val="5B240E80"/>
    <w:rsid w:val="5B24111A"/>
    <w:rsid w:val="5B286E5C"/>
    <w:rsid w:val="5B2D6220"/>
    <w:rsid w:val="5B334F37"/>
    <w:rsid w:val="5B3A3706"/>
    <w:rsid w:val="5B3C6463"/>
    <w:rsid w:val="5B426ECA"/>
    <w:rsid w:val="5B434D0A"/>
    <w:rsid w:val="5B4517A4"/>
    <w:rsid w:val="5B4701EE"/>
    <w:rsid w:val="5B473E87"/>
    <w:rsid w:val="5B4D68C3"/>
    <w:rsid w:val="5B525C87"/>
    <w:rsid w:val="5B555777"/>
    <w:rsid w:val="5B5639C9"/>
    <w:rsid w:val="5B57504B"/>
    <w:rsid w:val="5B595BE3"/>
    <w:rsid w:val="5B5A2D8E"/>
    <w:rsid w:val="5B5E1BFC"/>
    <w:rsid w:val="5B5F0BBB"/>
    <w:rsid w:val="5B7147EF"/>
    <w:rsid w:val="5B726C58"/>
    <w:rsid w:val="5B7A1979"/>
    <w:rsid w:val="5B7D260A"/>
    <w:rsid w:val="5B8174DA"/>
    <w:rsid w:val="5B822879"/>
    <w:rsid w:val="5B863B83"/>
    <w:rsid w:val="5B8A5421"/>
    <w:rsid w:val="5B8C4006"/>
    <w:rsid w:val="5B8C73EB"/>
    <w:rsid w:val="5B8F6EDB"/>
    <w:rsid w:val="5B920779"/>
    <w:rsid w:val="5B955B74"/>
    <w:rsid w:val="5B97241C"/>
    <w:rsid w:val="5B980BFF"/>
    <w:rsid w:val="5B987C68"/>
    <w:rsid w:val="5B9C19F2"/>
    <w:rsid w:val="5BA06984"/>
    <w:rsid w:val="5BA314B6"/>
    <w:rsid w:val="5BA87F9D"/>
    <w:rsid w:val="5BA90752"/>
    <w:rsid w:val="5BAA20ED"/>
    <w:rsid w:val="5BAA5AC3"/>
    <w:rsid w:val="5BB4249E"/>
    <w:rsid w:val="5BB635C4"/>
    <w:rsid w:val="5BB76E6D"/>
    <w:rsid w:val="5BB97566"/>
    <w:rsid w:val="5BBD09C9"/>
    <w:rsid w:val="5BC174CC"/>
    <w:rsid w:val="5BC44D72"/>
    <w:rsid w:val="5BC621D1"/>
    <w:rsid w:val="5BC6677B"/>
    <w:rsid w:val="5BC87CF7"/>
    <w:rsid w:val="5BCA1CC1"/>
    <w:rsid w:val="5BCA47D6"/>
    <w:rsid w:val="5BD448EE"/>
    <w:rsid w:val="5BD91F04"/>
    <w:rsid w:val="5BD92F2A"/>
    <w:rsid w:val="5BDC151B"/>
    <w:rsid w:val="5BE663CF"/>
    <w:rsid w:val="5BE82147"/>
    <w:rsid w:val="5BE865EB"/>
    <w:rsid w:val="5BEB3B9B"/>
    <w:rsid w:val="5BEC1C38"/>
    <w:rsid w:val="5BEE0DDE"/>
    <w:rsid w:val="5BF074B7"/>
    <w:rsid w:val="5BF44F90"/>
    <w:rsid w:val="5BFB7F45"/>
    <w:rsid w:val="5C011D33"/>
    <w:rsid w:val="5C050186"/>
    <w:rsid w:val="5C076A71"/>
    <w:rsid w:val="5C1005C4"/>
    <w:rsid w:val="5C175905"/>
    <w:rsid w:val="5C1B076F"/>
    <w:rsid w:val="5C1B251D"/>
    <w:rsid w:val="5C1B6F9F"/>
    <w:rsid w:val="5C224E13"/>
    <w:rsid w:val="5C2A2D24"/>
    <w:rsid w:val="5C2A58BE"/>
    <w:rsid w:val="5C2B737F"/>
    <w:rsid w:val="5C2C3286"/>
    <w:rsid w:val="5C3123B4"/>
    <w:rsid w:val="5C313AEE"/>
    <w:rsid w:val="5C343E0A"/>
    <w:rsid w:val="5C374317"/>
    <w:rsid w:val="5C381321"/>
    <w:rsid w:val="5C3F445D"/>
    <w:rsid w:val="5C3F52E9"/>
    <w:rsid w:val="5C5123E2"/>
    <w:rsid w:val="5C514DAE"/>
    <w:rsid w:val="5C55127E"/>
    <w:rsid w:val="5C5703D7"/>
    <w:rsid w:val="5C586EC9"/>
    <w:rsid w:val="5C5B6DBD"/>
    <w:rsid w:val="5C614AA3"/>
    <w:rsid w:val="5C66774A"/>
    <w:rsid w:val="5C69772C"/>
    <w:rsid w:val="5C6B34A4"/>
    <w:rsid w:val="5C747027"/>
    <w:rsid w:val="5C7622B2"/>
    <w:rsid w:val="5C7B5D13"/>
    <w:rsid w:val="5C813F7F"/>
    <w:rsid w:val="5C8C699D"/>
    <w:rsid w:val="5C9B6EDE"/>
    <w:rsid w:val="5C9E2143"/>
    <w:rsid w:val="5CAD3658"/>
    <w:rsid w:val="5CAF5CCC"/>
    <w:rsid w:val="5CB36BF9"/>
    <w:rsid w:val="5CBB0E26"/>
    <w:rsid w:val="5CC348E4"/>
    <w:rsid w:val="5CC71F13"/>
    <w:rsid w:val="5CD106B8"/>
    <w:rsid w:val="5CDA2F33"/>
    <w:rsid w:val="5CDC224C"/>
    <w:rsid w:val="5CDC545C"/>
    <w:rsid w:val="5CE372EF"/>
    <w:rsid w:val="5CF52AD6"/>
    <w:rsid w:val="5CF60894"/>
    <w:rsid w:val="5CFA1B9A"/>
    <w:rsid w:val="5CFB4371"/>
    <w:rsid w:val="5D0B07E3"/>
    <w:rsid w:val="5D110A47"/>
    <w:rsid w:val="5D116641"/>
    <w:rsid w:val="5D126989"/>
    <w:rsid w:val="5D150797"/>
    <w:rsid w:val="5D1A27D4"/>
    <w:rsid w:val="5D1D22C5"/>
    <w:rsid w:val="5D1D4073"/>
    <w:rsid w:val="5D1F0591"/>
    <w:rsid w:val="5D23426E"/>
    <w:rsid w:val="5D324D98"/>
    <w:rsid w:val="5D325D70"/>
    <w:rsid w:val="5D3A6C7B"/>
    <w:rsid w:val="5D3B2024"/>
    <w:rsid w:val="5D3D1A63"/>
    <w:rsid w:val="5D3E333B"/>
    <w:rsid w:val="5D3E4715"/>
    <w:rsid w:val="5D415FB3"/>
    <w:rsid w:val="5D43070F"/>
    <w:rsid w:val="5D467A6D"/>
    <w:rsid w:val="5D477710"/>
    <w:rsid w:val="5D4930BA"/>
    <w:rsid w:val="5D4B206C"/>
    <w:rsid w:val="5D4F3F8F"/>
    <w:rsid w:val="5D504448"/>
    <w:rsid w:val="5D531B54"/>
    <w:rsid w:val="5D557CB0"/>
    <w:rsid w:val="5D5800CE"/>
    <w:rsid w:val="5D5E4DB7"/>
    <w:rsid w:val="5D5F6439"/>
    <w:rsid w:val="5D635BDC"/>
    <w:rsid w:val="5D6503FC"/>
    <w:rsid w:val="5D6972B8"/>
    <w:rsid w:val="5D6A4A5D"/>
    <w:rsid w:val="5D6F4693"/>
    <w:rsid w:val="5D700646"/>
    <w:rsid w:val="5D7430CD"/>
    <w:rsid w:val="5D746CE5"/>
    <w:rsid w:val="5D7A2DC9"/>
    <w:rsid w:val="5D7E4856"/>
    <w:rsid w:val="5D7E79FF"/>
    <w:rsid w:val="5D7F24B7"/>
    <w:rsid w:val="5D804D2D"/>
    <w:rsid w:val="5D820CC7"/>
    <w:rsid w:val="5D831A31"/>
    <w:rsid w:val="5D883BE2"/>
    <w:rsid w:val="5D8939A4"/>
    <w:rsid w:val="5D8F0722"/>
    <w:rsid w:val="5D8F68F3"/>
    <w:rsid w:val="5D964551"/>
    <w:rsid w:val="5D984098"/>
    <w:rsid w:val="5D9A3915"/>
    <w:rsid w:val="5DA1000B"/>
    <w:rsid w:val="5DA21639"/>
    <w:rsid w:val="5DA94C02"/>
    <w:rsid w:val="5DB04606"/>
    <w:rsid w:val="5DB1397E"/>
    <w:rsid w:val="5DB37BA9"/>
    <w:rsid w:val="5DB46785"/>
    <w:rsid w:val="5DBA1B4D"/>
    <w:rsid w:val="5DBA33A7"/>
    <w:rsid w:val="5DBF29FC"/>
    <w:rsid w:val="5DC015CE"/>
    <w:rsid w:val="5DC57C5C"/>
    <w:rsid w:val="5DC67AD7"/>
    <w:rsid w:val="5DCA244C"/>
    <w:rsid w:val="5DF10AEF"/>
    <w:rsid w:val="5DF11787"/>
    <w:rsid w:val="5DF66D9E"/>
    <w:rsid w:val="5DF70D68"/>
    <w:rsid w:val="5DF820E5"/>
    <w:rsid w:val="5DF9063C"/>
    <w:rsid w:val="5E014236"/>
    <w:rsid w:val="5E055233"/>
    <w:rsid w:val="5E084D23"/>
    <w:rsid w:val="5E1709E2"/>
    <w:rsid w:val="5E196737"/>
    <w:rsid w:val="5E1A35F9"/>
    <w:rsid w:val="5E1A64CA"/>
    <w:rsid w:val="5E2356B9"/>
    <w:rsid w:val="5E2D2E8B"/>
    <w:rsid w:val="5E2D6537"/>
    <w:rsid w:val="5E361E6C"/>
    <w:rsid w:val="5E384714"/>
    <w:rsid w:val="5E3D2C1E"/>
    <w:rsid w:val="5E3D49CC"/>
    <w:rsid w:val="5E4044BD"/>
    <w:rsid w:val="5E412F35"/>
    <w:rsid w:val="5E437463"/>
    <w:rsid w:val="5E4A6B29"/>
    <w:rsid w:val="5E570050"/>
    <w:rsid w:val="5E5979B2"/>
    <w:rsid w:val="5E5B5880"/>
    <w:rsid w:val="5E5E642F"/>
    <w:rsid w:val="5E6209A3"/>
    <w:rsid w:val="5E6C1BF7"/>
    <w:rsid w:val="5E6F0AF5"/>
    <w:rsid w:val="5E7F3237"/>
    <w:rsid w:val="5E86179C"/>
    <w:rsid w:val="5E873E9A"/>
    <w:rsid w:val="5E875C48"/>
    <w:rsid w:val="5E8D6E3D"/>
    <w:rsid w:val="5E9345EC"/>
    <w:rsid w:val="5E9C40DF"/>
    <w:rsid w:val="5E9E0708"/>
    <w:rsid w:val="5E9F0076"/>
    <w:rsid w:val="5EA54A7B"/>
    <w:rsid w:val="5EA83C60"/>
    <w:rsid w:val="5EAA7B88"/>
    <w:rsid w:val="5EB76487"/>
    <w:rsid w:val="5EC2182D"/>
    <w:rsid w:val="5EC2226C"/>
    <w:rsid w:val="5ECB10D4"/>
    <w:rsid w:val="5ECD5878"/>
    <w:rsid w:val="5ED86351"/>
    <w:rsid w:val="5EDC2437"/>
    <w:rsid w:val="5EDC554F"/>
    <w:rsid w:val="5EE26B7E"/>
    <w:rsid w:val="5EEC0193"/>
    <w:rsid w:val="5EF546C0"/>
    <w:rsid w:val="5EF552A7"/>
    <w:rsid w:val="5EF96460"/>
    <w:rsid w:val="5F04373C"/>
    <w:rsid w:val="5F0C25F1"/>
    <w:rsid w:val="5F13572D"/>
    <w:rsid w:val="5F15360C"/>
    <w:rsid w:val="5F19785D"/>
    <w:rsid w:val="5F1D36A2"/>
    <w:rsid w:val="5F230066"/>
    <w:rsid w:val="5F293CCA"/>
    <w:rsid w:val="5F2D17B4"/>
    <w:rsid w:val="5F2F712A"/>
    <w:rsid w:val="5F313EB1"/>
    <w:rsid w:val="5F316F30"/>
    <w:rsid w:val="5F320029"/>
    <w:rsid w:val="5F340BDB"/>
    <w:rsid w:val="5F342510"/>
    <w:rsid w:val="5F3538F6"/>
    <w:rsid w:val="5F3E7EB3"/>
    <w:rsid w:val="5F427AFF"/>
    <w:rsid w:val="5F473629"/>
    <w:rsid w:val="5F4B3119"/>
    <w:rsid w:val="5F4D50E3"/>
    <w:rsid w:val="5F4D6E91"/>
    <w:rsid w:val="5F4D6F94"/>
    <w:rsid w:val="5F504441"/>
    <w:rsid w:val="5F510E1B"/>
    <w:rsid w:val="5F5169D9"/>
    <w:rsid w:val="5F5244A8"/>
    <w:rsid w:val="5F561AC9"/>
    <w:rsid w:val="5F5A6D0B"/>
    <w:rsid w:val="5F5B659B"/>
    <w:rsid w:val="5F5F4E16"/>
    <w:rsid w:val="5F6D031F"/>
    <w:rsid w:val="5F72528C"/>
    <w:rsid w:val="5F751F44"/>
    <w:rsid w:val="5F754DA9"/>
    <w:rsid w:val="5F76559D"/>
    <w:rsid w:val="5F7B3581"/>
    <w:rsid w:val="5F8108E9"/>
    <w:rsid w:val="5F8C3288"/>
    <w:rsid w:val="5F910120"/>
    <w:rsid w:val="5F9D71C7"/>
    <w:rsid w:val="5FA41D30"/>
    <w:rsid w:val="5FA44DBA"/>
    <w:rsid w:val="5FA647F3"/>
    <w:rsid w:val="5FB104B5"/>
    <w:rsid w:val="5FBC4017"/>
    <w:rsid w:val="5FBE18F0"/>
    <w:rsid w:val="5FC44C79"/>
    <w:rsid w:val="5FC609F2"/>
    <w:rsid w:val="5FC616BC"/>
    <w:rsid w:val="5FCA16FF"/>
    <w:rsid w:val="5FCF1C34"/>
    <w:rsid w:val="5FD6292A"/>
    <w:rsid w:val="5FDB7F43"/>
    <w:rsid w:val="5FDE5D3B"/>
    <w:rsid w:val="5FE01AB3"/>
    <w:rsid w:val="5FE9791F"/>
    <w:rsid w:val="5FEC2A61"/>
    <w:rsid w:val="5FEE0630"/>
    <w:rsid w:val="5FFD3C4A"/>
    <w:rsid w:val="5FFE1E44"/>
    <w:rsid w:val="60000028"/>
    <w:rsid w:val="60003F04"/>
    <w:rsid w:val="600C0672"/>
    <w:rsid w:val="600C0AFA"/>
    <w:rsid w:val="600D0270"/>
    <w:rsid w:val="600D2ED0"/>
    <w:rsid w:val="600D6620"/>
    <w:rsid w:val="600E2A1E"/>
    <w:rsid w:val="600F05EB"/>
    <w:rsid w:val="601379CB"/>
    <w:rsid w:val="60187E51"/>
    <w:rsid w:val="60193217"/>
    <w:rsid w:val="602120CC"/>
    <w:rsid w:val="60235E44"/>
    <w:rsid w:val="60280F3D"/>
    <w:rsid w:val="602831C3"/>
    <w:rsid w:val="60317C2D"/>
    <w:rsid w:val="603242D9"/>
    <w:rsid w:val="603243B0"/>
    <w:rsid w:val="603616BA"/>
    <w:rsid w:val="603834E8"/>
    <w:rsid w:val="60395F60"/>
    <w:rsid w:val="60410012"/>
    <w:rsid w:val="604C4508"/>
    <w:rsid w:val="605129B1"/>
    <w:rsid w:val="605E0C2A"/>
    <w:rsid w:val="60600E46"/>
    <w:rsid w:val="60641196"/>
    <w:rsid w:val="60685D35"/>
    <w:rsid w:val="60716BAF"/>
    <w:rsid w:val="60734143"/>
    <w:rsid w:val="607448F1"/>
    <w:rsid w:val="60746D32"/>
    <w:rsid w:val="60795A64"/>
    <w:rsid w:val="607C1252"/>
    <w:rsid w:val="607F1857"/>
    <w:rsid w:val="608B716C"/>
    <w:rsid w:val="608E2EE8"/>
    <w:rsid w:val="609B3C2C"/>
    <w:rsid w:val="609C31B0"/>
    <w:rsid w:val="60A5484D"/>
    <w:rsid w:val="60AE7E03"/>
    <w:rsid w:val="60B30F76"/>
    <w:rsid w:val="60BA67A8"/>
    <w:rsid w:val="60BB17CC"/>
    <w:rsid w:val="60BB3DF0"/>
    <w:rsid w:val="60BD3BA3"/>
    <w:rsid w:val="60C07C62"/>
    <w:rsid w:val="60CE2D61"/>
    <w:rsid w:val="60CF248C"/>
    <w:rsid w:val="60D531EA"/>
    <w:rsid w:val="60DE2BCC"/>
    <w:rsid w:val="60DF5E26"/>
    <w:rsid w:val="60E30336"/>
    <w:rsid w:val="60E40217"/>
    <w:rsid w:val="60E73D97"/>
    <w:rsid w:val="60F531EE"/>
    <w:rsid w:val="60F75BEE"/>
    <w:rsid w:val="60FA6BA5"/>
    <w:rsid w:val="60FB3771"/>
    <w:rsid w:val="61027CE4"/>
    <w:rsid w:val="61150776"/>
    <w:rsid w:val="611B0D07"/>
    <w:rsid w:val="611F660B"/>
    <w:rsid w:val="61205FB5"/>
    <w:rsid w:val="61246209"/>
    <w:rsid w:val="612956DC"/>
    <w:rsid w:val="612D68E5"/>
    <w:rsid w:val="612E2CF2"/>
    <w:rsid w:val="6132105B"/>
    <w:rsid w:val="61330309"/>
    <w:rsid w:val="6135123E"/>
    <w:rsid w:val="613534D2"/>
    <w:rsid w:val="61377DF9"/>
    <w:rsid w:val="613972F1"/>
    <w:rsid w:val="613D4CE3"/>
    <w:rsid w:val="613E6C6F"/>
    <w:rsid w:val="61425AE6"/>
    <w:rsid w:val="61474157"/>
    <w:rsid w:val="61495717"/>
    <w:rsid w:val="614C6635"/>
    <w:rsid w:val="61565DA5"/>
    <w:rsid w:val="61606FA1"/>
    <w:rsid w:val="616220FD"/>
    <w:rsid w:val="61640EC6"/>
    <w:rsid w:val="61787FFF"/>
    <w:rsid w:val="6183431C"/>
    <w:rsid w:val="61853AB6"/>
    <w:rsid w:val="61905E88"/>
    <w:rsid w:val="61967070"/>
    <w:rsid w:val="619F23BE"/>
    <w:rsid w:val="61A47007"/>
    <w:rsid w:val="61AB7101"/>
    <w:rsid w:val="61AF385E"/>
    <w:rsid w:val="61AF5169"/>
    <w:rsid w:val="61BD7BD2"/>
    <w:rsid w:val="61C13D17"/>
    <w:rsid w:val="61C176C2"/>
    <w:rsid w:val="61D03E66"/>
    <w:rsid w:val="61D962DB"/>
    <w:rsid w:val="61E26931"/>
    <w:rsid w:val="61E810F3"/>
    <w:rsid w:val="61F45CEA"/>
    <w:rsid w:val="61F77588"/>
    <w:rsid w:val="61FA6102"/>
    <w:rsid w:val="6200643D"/>
    <w:rsid w:val="620238DB"/>
    <w:rsid w:val="62037CDB"/>
    <w:rsid w:val="620A3DD9"/>
    <w:rsid w:val="620B6B90"/>
    <w:rsid w:val="620D3734"/>
    <w:rsid w:val="620D6DAC"/>
    <w:rsid w:val="621243C2"/>
    <w:rsid w:val="621B1062"/>
    <w:rsid w:val="621C2389"/>
    <w:rsid w:val="621E7B63"/>
    <w:rsid w:val="6223037D"/>
    <w:rsid w:val="62284FC2"/>
    <w:rsid w:val="622B6460"/>
    <w:rsid w:val="622E78E9"/>
    <w:rsid w:val="62304C17"/>
    <w:rsid w:val="62461C51"/>
    <w:rsid w:val="624658AC"/>
    <w:rsid w:val="624E1484"/>
    <w:rsid w:val="624E305A"/>
    <w:rsid w:val="624F2F20"/>
    <w:rsid w:val="62534212"/>
    <w:rsid w:val="62541F9E"/>
    <w:rsid w:val="62556A98"/>
    <w:rsid w:val="62572235"/>
    <w:rsid w:val="625723CF"/>
    <w:rsid w:val="62582A4B"/>
    <w:rsid w:val="62586DED"/>
    <w:rsid w:val="625A7FE9"/>
    <w:rsid w:val="625B18C5"/>
    <w:rsid w:val="625F0210"/>
    <w:rsid w:val="62637F9C"/>
    <w:rsid w:val="62652744"/>
    <w:rsid w:val="626841EA"/>
    <w:rsid w:val="626A5FAC"/>
    <w:rsid w:val="626C3AD2"/>
    <w:rsid w:val="627236A3"/>
    <w:rsid w:val="62742987"/>
    <w:rsid w:val="627B6377"/>
    <w:rsid w:val="627C2E7F"/>
    <w:rsid w:val="62864468"/>
    <w:rsid w:val="628A21AA"/>
    <w:rsid w:val="628D74A1"/>
    <w:rsid w:val="628E2C2E"/>
    <w:rsid w:val="62A25746"/>
    <w:rsid w:val="62AA45FB"/>
    <w:rsid w:val="62AD0ABC"/>
    <w:rsid w:val="62AE5E99"/>
    <w:rsid w:val="62AF1C11"/>
    <w:rsid w:val="62B33950"/>
    <w:rsid w:val="62BA2B0C"/>
    <w:rsid w:val="62BA56F9"/>
    <w:rsid w:val="62BB117C"/>
    <w:rsid w:val="62C32E8A"/>
    <w:rsid w:val="62C37E48"/>
    <w:rsid w:val="62C728EC"/>
    <w:rsid w:val="62C83EE5"/>
    <w:rsid w:val="62C90F25"/>
    <w:rsid w:val="62C9266A"/>
    <w:rsid w:val="62D0390F"/>
    <w:rsid w:val="62D60F4C"/>
    <w:rsid w:val="62DB2A06"/>
    <w:rsid w:val="62E06EE1"/>
    <w:rsid w:val="62EE098B"/>
    <w:rsid w:val="62EE2739"/>
    <w:rsid w:val="62EE2D11"/>
    <w:rsid w:val="62F762E7"/>
    <w:rsid w:val="62FB1375"/>
    <w:rsid w:val="62FD297C"/>
    <w:rsid w:val="63052CB0"/>
    <w:rsid w:val="63062B27"/>
    <w:rsid w:val="63071A4D"/>
    <w:rsid w:val="630A1E3D"/>
    <w:rsid w:val="630F445E"/>
    <w:rsid w:val="63100901"/>
    <w:rsid w:val="631029E0"/>
    <w:rsid w:val="631D4DCC"/>
    <w:rsid w:val="631F6787"/>
    <w:rsid w:val="63201300"/>
    <w:rsid w:val="63221A86"/>
    <w:rsid w:val="63252DFA"/>
    <w:rsid w:val="63292D90"/>
    <w:rsid w:val="632E6FDA"/>
    <w:rsid w:val="63316ACA"/>
    <w:rsid w:val="6333639E"/>
    <w:rsid w:val="633B54BB"/>
    <w:rsid w:val="633C0CAB"/>
    <w:rsid w:val="633F11E7"/>
    <w:rsid w:val="63410511"/>
    <w:rsid w:val="63424833"/>
    <w:rsid w:val="634265E1"/>
    <w:rsid w:val="634467FD"/>
    <w:rsid w:val="634A49E6"/>
    <w:rsid w:val="634B362B"/>
    <w:rsid w:val="63522B22"/>
    <w:rsid w:val="63556314"/>
    <w:rsid w:val="635C7EEB"/>
    <w:rsid w:val="635F2CD8"/>
    <w:rsid w:val="6360128C"/>
    <w:rsid w:val="636016C5"/>
    <w:rsid w:val="63655C9E"/>
    <w:rsid w:val="636C756E"/>
    <w:rsid w:val="637013A0"/>
    <w:rsid w:val="63716EC6"/>
    <w:rsid w:val="637D2B47"/>
    <w:rsid w:val="6384641F"/>
    <w:rsid w:val="63894210"/>
    <w:rsid w:val="638D3A9E"/>
    <w:rsid w:val="638E5CCA"/>
    <w:rsid w:val="63974B7F"/>
    <w:rsid w:val="639A7ED2"/>
    <w:rsid w:val="639C3F43"/>
    <w:rsid w:val="639C63EF"/>
    <w:rsid w:val="63A44AAA"/>
    <w:rsid w:val="63AB7DBE"/>
    <w:rsid w:val="63AE3C76"/>
    <w:rsid w:val="63AF16E9"/>
    <w:rsid w:val="63B76FCF"/>
    <w:rsid w:val="63B868A3"/>
    <w:rsid w:val="63C139AA"/>
    <w:rsid w:val="63C30A65"/>
    <w:rsid w:val="63C60FC0"/>
    <w:rsid w:val="63D26A41"/>
    <w:rsid w:val="63D6306E"/>
    <w:rsid w:val="63D731CD"/>
    <w:rsid w:val="63D95197"/>
    <w:rsid w:val="63DD09EF"/>
    <w:rsid w:val="63DD12B5"/>
    <w:rsid w:val="63E00252"/>
    <w:rsid w:val="63E47D47"/>
    <w:rsid w:val="63E82A7D"/>
    <w:rsid w:val="63E82D79"/>
    <w:rsid w:val="63E92F01"/>
    <w:rsid w:val="63FB3761"/>
    <w:rsid w:val="63FC0E86"/>
    <w:rsid w:val="63FD075A"/>
    <w:rsid w:val="640033F1"/>
    <w:rsid w:val="64053454"/>
    <w:rsid w:val="64133021"/>
    <w:rsid w:val="64133C1C"/>
    <w:rsid w:val="64175CC0"/>
    <w:rsid w:val="64284626"/>
    <w:rsid w:val="642A1A86"/>
    <w:rsid w:val="642B0822"/>
    <w:rsid w:val="642B3519"/>
    <w:rsid w:val="642E16DE"/>
    <w:rsid w:val="64334315"/>
    <w:rsid w:val="64393E88"/>
    <w:rsid w:val="643E1FD3"/>
    <w:rsid w:val="6444316B"/>
    <w:rsid w:val="64485E79"/>
    <w:rsid w:val="64490689"/>
    <w:rsid w:val="64502F80"/>
    <w:rsid w:val="645037A2"/>
    <w:rsid w:val="64514B9D"/>
    <w:rsid w:val="64542A70"/>
    <w:rsid w:val="645D4076"/>
    <w:rsid w:val="645D6233"/>
    <w:rsid w:val="64633BD0"/>
    <w:rsid w:val="6465231E"/>
    <w:rsid w:val="64705249"/>
    <w:rsid w:val="64736D66"/>
    <w:rsid w:val="647638CA"/>
    <w:rsid w:val="647F2CAB"/>
    <w:rsid w:val="648105D1"/>
    <w:rsid w:val="64853609"/>
    <w:rsid w:val="648564AF"/>
    <w:rsid w:val="648B4A11"/>
    <w:rsid w:val="649130C1"/>
    <w:rsid w:val="64922DAA"/>
    <w:rsid w:val="64963088"/>
    <w:rsid w:val="64994927"/>
    <w:rsid w:val="649B67E0"/>
    <w:rsid w:val="64A5151D"/>
    <w:rsid w:val="64A532CB"/>
    <w:rsid w:val="64AC465A"/>
    <w:rsid w:val="64B418C6"/>
    <w:rsid w:val="64B67287"/>
    <w:rsid w:val="64BD2B24"/>
    <w:rsid w:val="64BF27EF"/>
    <w:rsid w:val="64C00105"/>
    <w:rsid w:val="64C23723"/>
    <w:rsid w:val="64D450D8"/>
    <w:rsid w:val="64DB76E4"/>
    <w:rsid w:val="64DC4CA7"/>
    <w:rsid w:val="64DF4A2F"/>
    <w:rsid w:val="64E03EED"/>
    <w:rsid w:val="64E648B8"/>
    <w:rsid w:val="64ED07CF"/>
    <w:rsid w:val="64EE6022"/>
    <w:rsid w:val="64F14763"/>
    <w:rsid w:val="64F42451"/>
    <w:rsid w:val="64F721B3"/>
    <w:rsid w:val="65006754"/>
    <w:rsid w:val="65037FF2"/>
    <w:rsid w:val="65085608"/>
    <w:rsid w:val="6509385A"/>
    <w:rsid w:val="6509422A"/>
    <w:rsid w:val="650A75D2"/>
    <w:rsid w:val="650B2060"/>
    <w:rsid w:val="650E2D0C"/>
    <w:rsid w:val="65116048"/>
    <w:rsid w:val="651346D9"/>
    <w:rsid w:val="65176CFE"/>
    <w:rsid w:val="6519710F"/>
    <w:rsid w:val="651D01B8"/>
    <w:rsid w:val="651F307E"/>
    <w:rsid w:val="65271F32"/>
    <w:rsid w:val="652A203A"/>
    <w:rsid w:val="65381AD1"/>
    <w:rsid w:val="65387414"/>
    <w:rsid w:val="653E102A"/>
    <w:rsid w:val="65452144"/>
    <w:rsid w:val="65557B3A"/>
    <w:rsid w:val="65600C51"/>
    <w:rsid w:val="656A1E1F"/>
    <w:rsid w:val="65705687"/>
    <w:rsid w:val="65706519"/>
    <w:rsid w:val="657109DB"/>
    <w:rsid w:val="657607C4"/>
    <w:rsid w:val="65762206"/>
    <w:rsid w:val="657B5DDA"/>
    <w:rsid w:val="657C728C"/>
    <w:rsid w:val="6589790A"/>
    <w:rsid w:val="658F1FE1"/>
    <w:rsid w:val="659375C8"/>
    <w:rsid w:val="6595480D"/>
    <w:rsid w:val="659C3A23"/>
    <w:rsid w:val="659C46CE"/>
    <w:rsid w:val="659E4155"/>
    <w:rsid w:val="65A66168"/>
    <w:rsid w:val="65AA6827"/>
    <w:rsid w:val="65B730D7"/>
    <w:rsid w:val="65C23A09"/>
    <w:rsid w:val="65C427DF"/>
    <w:rsid w:val="65C64CFF"/>
    <w:rsid w:val="65C854C3"/>
    <w:rsid w:val="65CB4FB4"/>
    <w:rsid w:val="65CD03E5"/>
    <w:rsid w:val="65CF1643"/>
    <w:rsid w:val="65D605DE"/>
    <w:rsid w:val="65DB0832"/>
    <w:rsid w:val="65DD6A95"/>
    <w:rsid w:val="65DF45BB"/>
    <w:rsid w:val="65DF6369"/>
    <w:rsid w:val="65E322FD"/>
    <w:rsid w:val="65E46B59"/>
    <w:rsid w:val="65E73470"/>
    <w:rsid w:val="65EA2EBA"/>
    <w:rsid w:val="65ED69F3"/>
    <w:rsid w:val="65F30067"/>
    <w:rsid w:val="65F30899"/>
    <w:rsid w:val="65F51244"/>
    <w:rsid w:val="65F933C5"/>
    <w:rsid w:val="65FF4C5D"/>
    <w:rsid w:val="66012783"/>
    <w:rsid w:val="660969F7"/>
    <w:rsid w:val="66117552"/>
    <w:rsid w:val="6612258E"/>
    <w:rsid w:val="66124991"/>
    <w:rsid w:val="661701F9"/>
    <w:rsid w:val="661B4830"/>
    <w:rsid w:val="662952BC"/>
    <w:rsid w:val="66304E17"/>
    <w:rsid w:val="66342B59"/>
    <w:rsid w:val="66376857"/>
    <w:rsid w:val="66397023"/>
    <w:rsid w:val="663A1575"/>
    <w:rsid w:val="663F505A"/>
    <w:rsid w:val="6641137A"/>
    <w:rsid w:val="664408C2"/>
    <w:rsid w:val="6644740D"/>
    <w:rsid w:val="664B1C51"/>
    <w:rsid w:val="664E5912"/>
    <w:rsid w:val="66521231"/>
    <w:rsid w:val="66522AD2"/>
    <w:rsid w:val="6659210A"/>
    <w:rsid w:val="665A1E94"/>
    <w:rsid w:val="66606C12"/>
    <w:rsid w:val="6663343E"/>
    <w:rsid w:val="66683176"/>
    <w:rsid w:val="666B5E4F"/>
    <w:rsid w:val="666B6E40"/>
    <w:rsid w:val="666F745F"/>
    <w:rsid w:val="667434FE"/>
    <w:rsid w:val="66760A7E"/>
    <w:rsid w:val="668E5451"/>
    <w:rsid w:val="6691443E"/>
    <w:rsid w:val="6692162D"/>
    <w:rsid w:val="66954220"/>
    <w:rsid w:val="66976C44"/>
    <w:rsid w:val="66992C53"/>
    <w:rsid w:val="669E6224"/>
    <w:rsid w:val="66A478E6"/>
    <w:rsid w:val="66A80E51"/>
    <w:rsid w:val="66B14C99"/>
    <w:rsid w:val="66B23D73"/>
    <w:rsid w:val="66B772E6"/>
    <w:rsid w:val="66B90113"/>
    <w:rsid w:val="66B94E0C"/>
    <w:rsid w:val="66BB19E3"/>
    <w:rsid w:val="66C11F13"/>
    <w:rsid w:val="66C75780"/>
    <w:rsid w:val="66D63C10"/>
    <w:rsid w:val="66D66CCB"/>
    <w:rsid w:val="66D849BF"/>
    <w:rsid w:val="66D85754"/>
    <w:rsid w:val="66DA01CE"/>
    <w:rsid w:val="66DE0D17"/>
    <w:rsid w:val="66E329F0"/>
    <w:rsid w:val="66E44C12"/>
    <w:rsid w:val="66E75997"/>
    <w:rsid w:val="66ED4AB6"/>
    <w:rsid w:val="66EE1F2F"/>
    <w:rsid w:val="66EF6A80"/>
    <w:rsid w:val="66F008A7"/>
    <w:rsid w:val="66F44096"/>
    <w:rsid w:val="66F623FD"/>
    <w:rsid w:val="66F66060"/>
    <w:rsid w:val="66F711D4"/>
    <w:rsid w:val="66FE1517"/>
    <w:rsid w:val="66FE4443"/>
    <w:rsid w:val="67006EDF"/>
    <w:rsid w:val="670815C7"/>
    <w:rsid w:val="6712276E"/>
    <w:rsid w:val="6716400D"/>
    <w:rsid w:val="67191D4F"/>
    <w:rsid w:val="67213EB4"/>
    <w:rsid w:val="672500BF"/>
    <w:rsid w:val="67293230"/>
    <w:rsid w:val="672E0A01"/>
    <w:rsid w:val="67386535"/>
    <w:rsid w:val="67406157"/>
    <w:rsid w:val="67426694"/>
    <w:rsid w:val="6743506C"/>
    <w:rsid w:val="67495CB0"/>
    <w:rsid w:val="674A4ABB"/>
    <w:rsid w:val="674A63AC"/>
    <w:rsid w:val="674B03AD"/>
    <w:rsid w:val="674D37A6"/>
    <w:rsid w:val="67515045"/>
    <w:rsid w:val="6751773B"/>
    <w:rsid w:val="675B5EC3"/>
    <w:rsid w:val="676179E5"/>
    <w:rsid w:val="67654F94"/>
    <w:rsid w:val="67670D0C"/>
    <w:rsid w:val="676A497C"/>
    <w:rsid w:val="676B754E"/>
    <w:rsid w:val="676C6322"/>
    <w:rsid w:val="676F196F"/>
    <w:rsid w:val="67702BFA"/>
    <w:rsid w:val="677551D7"/>
    <w:rsid w:val="677A5CD6"/>
    <w:rsid w:val="678343D9"/>
    <w:rsid w:val="67866917"/>
    <w:rsid w:val="678710AA"/>
    <w:rsid w:val="67892A30"/>
    <w:rsid w:val="678A67A9"/>
    <w:rsid w:val="678C2521"/>
    <w:rsid w:val="679E773C"/>
    <w:rsid w:val="67A21D44"/>
    <w:rsid w:val="67AD0D35"/>
    <w:rsid w:val="67B03476"/>
    <w:rsid w:val="67B9616A"/>
    <w:rsid w:val="67BA0E3C"/>
    <w:rsid w:val="67BC2637"/>
    <w:rsid w:val="67C35533"/>
    <w:rsid w:val="67C358C6"/>
    <w:rsid w:val="67C63C85"/>
    <w:rsid w:val="67C8720F"/>
    <w:rsid w:val="67C972D1"/>
    <w:rsid w:val="67CE48E7"/>
    <w:rsid w:val="67D30150"/>
    <w:rsid w:val="67D53EC8"/>
    <w:rsid w:val="67D77C40"/>
    <w:rsid w:val="67DC5256"/>
    <w:rsid w:val="67DD0FCE"/>
    <w:rsid w:val="67E24FCB"/>
    <w:rsid w:val="67F16C3D"/>
    <w:rsid w:val="67F27B8A"/>
    <w:rsid w:val="67F60C79"/>
    <w:rsid w:val="67FB67DD"/>
    <w:rsid w:val="67FC6EC0"/>
    <w:rsid w:val="68024591"/>
    <w:rsid w:val="68051962"/>
    <w:rsid w:val="6807600B"/>
    <w:rsid w:val="6809591F"/>
    <w:rsid w:val="680A3258"/>
    <w:rsid w:val="680A3D77"/>
    <w:rsid w:val="680B3A73"/>
    <w:rsid w:val="681025B5"/>
    <w:rsid w:val="68104F00"/>
    <w:rsid w:val="681360F0"/>
    <w:rsid w:val="68182006"/>
    <w:rsid w:val="681C38A5"/>
    <w:rsid w:val="681D461B"/>
    <w:rsid w:val="68235868"/>
    <w:rsid w:val="68242759"/>
    <w:rsid w:val="68262975"/>
    <w:rsid w:val="682B1D3A"/>
    <w:rsid w:val="682D7860"/>
    <w:rsid w:val="6832131A"/>
    <w:rsid w:val="68330BEE"/>
    <w:rsid w:val="6835126B"/>
    <w:rsid w:val="68425587"/>
    <w:rsid w:val="68444BA9"/>
    <w:rsid w:val="684E06CF"/>
    <w:rsid w:val="684E77D6"/>
    <w:rsid w:val="685079F2"/>
    <w:rsid w:val="685257B7"/>
    <w:rsid w:val="68563069"/>
    <w:rsid w:val="685968A7"/>
    <w:rsid w:val="685C0145"/>
    <w:rsid w:val="68607F3F"/>
    <w:rsid w:val="6861188C"/>
    <w:rsid w:val="686259A6"/>
    <w:rsid w:val="686510E4"/>
    <w:rsid w:val="6865349E"/>
    <w:rsid w:val="68680898"/>
    <w:rsid w:val="68686AEA"/>
    <w:rsid w:val="686B37A2"/>
    <w:rsid w:val="68721717"/>
    <w:rsid w:val="68746216"/>
    <w:rsid w:val="687C4343"/>
    <w:rsid w:val="688A4CB2"/>
    <w:rsid w:val="68900339"/>
    <w:rsid w:val="68907DEF"/>
    <w:rsid w:val="689570F3"/>
    <w:rsid w:val="68975621"/>
    <w:rsid w:val="689B286C"/>
    <w:rsid w:val="689D1121"/>
    <w:rsid w:val="689D2CBF"/>
    <w:rsid w:val="689D73CB"/>
    <w:rsid w:val="68A55B64"/>
    <w:rsid w:val="68A8338A"/>
    <w:rsid w:val="68AA5F56"/>
    <w:rsid w:val="68B17B7B"/>
    <w:rsid w:val="68B90388"/>
    <w:rsid w:val="68C1444C"/>
    <w:rsid w:val="68C469C0"/>
    <w:rsid w:val="68C47A98"/>
    <w:rsid w:val="68C74BD4"/>
    <w:rsid w:val="68CF341B"/>
    <w:rsid w:val="68DC1829"/>
    <w:rsid w:val="68E51EE8"/>
    <w:rsid w:val="68EA2B16"/>
    <w:rsid w:val="68EA74FF"/>
    <w:rsid w:val="68EB6104"/>
    <w:rsid w:val="68EF0FB9"/>
    <w:rsid w:val="68F7105C"/>
    <w:rsid w:val="68F77E6E"/>
    <w:rsid w:val="68FA2CF5"/>
    <w:rsid w:val="68FB5BB0"/>
    <w:rsid w:val="68FB6D8C"/>
    <w:rsid w:val="690507DD"/>
    <w:rsid w:val="69053D8B"/>
    <w:rsid w:val="6910164D"/>
    <w:rsid w:val="6911343A"/>
    <w:rsid w:val="69182726"/>
    <w:rsid w:val="69240516"/>
    <w:rsid w:val="69285748"/>
    <w:rsid w:val="693115D2"/>
    <w:rsid w:val="69332F33"/>
    <w:rsid w:val="69342BF1"/>
    <w:rsid w:val="69434C86"/>
    <w:rsid w:val="69492E5A"/>
    <w:rsid w:val="694C640B"/>
    <w:rsid w:val="694D0D02"/>
    <w:rsid w:val="694F7493"/>
    <w:rsid w:val="6953378C"/>
    <w:rsid w:val="69561038"/>
    <w:rsid w:val="69570B0C"/>
    <w:rsid w:val="695B03FD"/>
    <w:rsid w:val="69612116"/>
    <w:rsid w:val="69623539"/>
    <w:rsid w:val="69651C95"/>
    <w:rsid w:val="696C085C"/>
    <w:rsid w:val="696C260A"/>
    <w:rsid w:val="696D55C7"/>
    <w:rsid w:val="69707B2E"/>
    <w:rsid w:val="697274F4"/>
    <w:rsid w:val="697A3598"/>
    <w:rsid w:val="697D0373"/>
    <w:rsid w:val="698E2580"/>
    <w:rsid w:val="69913C13"/>
    <w:rsid w:val="69A33A64"/>
    <w:rsid w:val="69A47FF6"/>
    <w:rsid w:val="69A801DC"/>
    <w:rsid w:val="69A9560C"/>
    <w:rsid w:val="69B813AB"/>
    <w:rsid w:val="69BF43A3"/>
    <w:rsid w:val="69BF53B0"/>
    <w:rsid w:val="69C239CC"/>
    <w:rsid w:val="69C51AF9"/>
    <w:rsid w:val="69C66078"/>
    <w:rsid w:val="69C746DC"/>
    <w:rsid w:val="69C80ED0"/>
    <w:rsid w:val="69C942A1"/>
    <w:rsid w:val="69D014B3"/>
    <w:rsid w:val="69D61A7C"/>
    <w:rsid w:val="69D65F7C"/>
    <w:rsid w:val="69D90A7E"/>
    <w:rsid w:val="69DA01FA"/>
    <w:rsid w:val="69DB588A"/>
    <w:rsid w:val="69DD7064"/>
    <w:rsid w:val="69DF54F8"/>
    <w:rsid w:val="69E00902"/>
    <w:rsid w:val="69E163AB"/>
    <w:rsid w:val="69E220F9"/>
    <w:rsid w:val="69E77EE2"/>
    <w:rsid w:val="69F22839"/>
    <w:rsid w:val="69F775D4"/>
    <w:rsid w:val="6A002C04"/>
    <w:rsid w:val="6A0126DF"/>
    <w:rsid w:val="6A093829"/>
    <w:rsid w:val="6A09677F"/>
    <w:rsid w:val="6A0E1913"/>
    <w:rsid w:val="6A0E546F"/>
    <w:rsid w:val="6A0E7112"/>
    <w:rsid w:val="6A102F95"/>
    <w:rsid w:val="6A120357"/>
    <w:rsid w:val="6A167BFE"/>
    <w:rsid w:val="6A18009C"/>
    <w:rsid w:val="6A1D1B56"/>
    <w:rsid w:val="6A1F58CE"/>
    <w:rsid w:val="6A2053D6"/>
    <w:rsid w:val="6A206636"/>
    <w:rsid w:val="6A2475FC"/>
    <w:rsid w:val="6A2678F0"/>
    <w:rsid w:val="6A274CA8"/>
    <w:rsid w:val="6A2F6659"/>
    <w:rsid w:val="6A331786"/>
    <w:rsid w:val="6A3D5D54"/>
    <w:rsid w:val="6A484E25"/>
    <w:rsid w:val="6A490F27"/>
    <w:rsid w:val="6A501B96"/>
    <w:rsid w:val="6A503CD9"/>
    <w:rsid w:val="6A513E3A"/>
    <w:rsid w:val="6A5355F2"/>
    <w:rsid w:val="6A660130"/>
    <w:rsid w:val="6A696CF8"/>
    <w:rsid w:val="6A720474"/>
    <w:rsid w:val="6A733537"/>
    <w:rsid w:val="6A7477A0"/>
    <w:rsid w:val="6A7A48B2"/>
    <w:rsid w:val="6A7D3EDE"/>
    <w:rsid w:val="6A8219B9"/>
    <w:rsid w:val="6A9811DC"/>
    <w:rsid w:val="6A983774"/>
    <w:rsid w:val="6A9A6D03"/>
    <w:rsid w:val="6A9D413E"/>
    <w:rsid w:val="6A9D612C"/>
    <w:rsid w:val="6A9F379D"/>
    <w:rsid w:val="6AA04B28"/>
    <w:rsid w:val="6AA1746B"/>
    <w:rsid w:val="6AAC3F04"/>
    <w:rsid w:val="6AAD11FA"/>
    <w:rsid w:val="6ABD6366"/>
    <w:rsid w:val="6AC85105"/>
    <w:rsid w:val="6ACE6A0D"/>
    <w:rsid w:val="6ACF10A2"/>
    <w:rsid w:val="6ACF1409"/>
    <w:rsid w:val="6AD40FE2"/>
    <w:rsid w:val="6ADB3B8F"/>
    <w:rsid w:val="6ADD1729"/>
    <w:rsid w:val="6AE13B26"/>
    <w:rsid w:val="6AE21A77"/>
    <w:rsid w:val="6AE331FD"/>
    <w:rsid w:val="6AE55431"/>
    <w:rsid w:val="6AE56C55"/>
    <w:rsid w:val="6AE6019A"/>
    <w:rsid w:val="6AF0035A"/>
    <w:rsid w:val="6AF1726A"/>
    <w:rsid w:val="6B02453F"/>
    <w:rsid w:val="6B055710"/>
    <w:rsid w:val="6B074744"/>
    <w:rsid w:val="6B092642"/>
    <w:rsid w:val="6B0E73AC"/>
    <w:rsid w:val="6B1747F7"/>
    <w:rsid w:val="6B184D5D"/>
    <w:rsid w:val="6B196DD6"/>
    <w:rsid w:val="6B1E03CD"/>
    <w:rsid w:val="6B1E77CA"/>
    <w:rsid w:val="6B20545A"/>
    <w:rsid w:val="6B20627C"/>
    <w:rsid w:val="6B2114A8"/>
    <w:rsid w:val="6B221F4E"/>
    <w:rsid w:val="6B2C408D"/>
    <w:rsid w:val="6B2D5DC9"/>
    <w:rsid w:val="6B3158B9"/>
    <w:rsid w:val="6B317667"/>
    <w:rsid w:val="6B3215E7"/>
    <w:rsid w:val="6B39476E"/>
    <w:rsid w:val="6B453112"/>
    <w:rsid w:val="6B4612D9"/>
    <w:rsid w:val="6B4725E3"/>
    <w:rsid w:val="6B481605"/>
    <w:rsid w:val="6B4D0219"/>
    <w:rsid w:val="6B54776A"/>
    <w:rsid w:val="6B576D51"/>
    <w:rsid w:val="6B581098"/>
    <w:rsid w:val="6B633598"/>
    <w:rsid w:val="6B6C5990"/>
    <w:rsid w:val="6B6F4633"/>
    <w:rsid w:val="6B7439F8"/>
    <w:rsid w:val="6B772EC7"/>
    <w:rsid w:val="6B7F3982"/>
    <w:rsid w:val="6B813C05"/>
    <w:rsid w:val="6B8606F9"/>
    <w:rsid w:val="6B95409A"/>
    <w:rsid w:val="6B957CCE"/>
    <w:rsid w:val="6B9D7FFD"/>
    <w:rsid w:val="6BA6586B"/>
    <w:rsid w:val="6BA75B7B"/>
    <w:rsid w:val="6BAC32F7"/>
    <w:rsid w:val="6BAF0025"/>
    <w:rsid w:val="6BB362CE"/>
    <w:rsid w:val="6BB414DA"/>
    <w:rsid w:val="6BBC37FD"/>
    <w:rsid w:val="6BC42F95"/>
    <w:rsid w:val="6BCF6E80"/>
    <w:rsid w:val="6BD5099E"/>
    <w:rsid w:val="6BD6303E"/>
    <w:rsid w:val="6BE03A3D"/>
    <w:rsid w:val="6BE560F7"/>
    <w:rsid w:val="6BE97F42"/>
    <w:rsid w:val="6BF15B9A"/>
    <w:rsid w:val="6BF32B6E"/>
    <w:rsid w:val="6BFA5AD8"/>
    <w:rsid w:val="6BFD39ED"/>
    <w:rsid w:val="6C0D7044"/>
    <w:rsid w:val="6C116FC8"/>
    <w:rsid w:val="6C147A2A"/>
    <w:rsid w:val="6C164AAF"/>
    <w:rsid w:val="6C172D01"/>
    <w:rsid w:val="6C1C0317"/>
    <w:rsid w:val="6C1F6CE4"/>
    <w:rsid w:val="6C292A34"/>
    <w:rsid w:val="6C2C7E2E"/>
    <w:rsid w:val="6C35529D"/>
    <w:rsid w:val="6C36613A"/>
    <w:rsid w:val="6C39705B"/>
    <w:rsid w:val="6C3C78A3"/>
    <w:rsid w:val="6C3E20D6"/>
    <w:rsid w:val="6C44776E"/>
    <w:rsid w:val="6C5A7E3D"/>
    <w:rsid w:val="6C5B7691"/>
    <w:rsid w:val="6C5C5F9A"/>
    <w:rsid w:val="6C602D22"/>
    <w:rsid w:val="6C61254C"/>
    <w:rsid w:val="6C66516A"/>
    <w:rsid w:val="6C6677E4"/>
    <w:rsid w:val="6C67530A"/>
    <w:rsid w:val="6C693D1A"/>
    <w:rsid w:val="6C6A134A"/>
    <w:rsid w:val="6C711CE5"/>
    <w:rsid w:val="6C731863"/>
    <w:rsid w:val="6C7432B5"/>
    <w:rsid w:val="6C753544"/>
    <w:rsid w:val="6C762E85"/>
    <w:rsid w:val="6C7A521C"/>
    <w:rsid w:val="6C7F2654"/>
    <w:rsid w:val="6C846F1E"/>
    <w:rsid w:val="6C871BDC"/>
    <w:rsid w:val="6C8970C6"/>
    <w:rsid w:val="6C8C7A34"/>
    <w:rsid w:val="6CA30B30"/>
    <w:rsid w:val="6CA420BB"/>
    <w:rsid w:val="6CA75DA3"/>
    <w:rsid w:val="6CA90223"/>
    <w:rsid w:val="6CAF7C26"/>
    <w:rsid w:val="6CB02730"/>
    <w:rsid w:val="6CB467A2"/>
    <w:rsid w:val="6CB4726D"/>
    <w:rsid w:val="6CB651FA"/>
    <w:rsid w:val="6CC4275D"/>
    <w:rsid w:val="6CC631B8"/>
    <w:rsid w:val="6CD0178A"/>
    <w:rsid w:val="6CD3057C"/>
    <w:rsid w:val="6CD87363"/>
    <w:rsid w:val="6CDF6F30"/>
    <w:rsid w:val="6CE838D0"/>
    <w:rsid w:val="6D003795"/>
    <w:rsid w:val="6D07365B"/>
    <w:rsid w:val="6D0D7C60"/>
    <w:rsid w:val="6D1079B2"/>
    <w:rsid w:val="6D1E00BF"/>
    <w:rsid w:val="6D1E1F12"/>
    <w:rsid w:val="6D295A8C"/>
    <w:rsid w:val="6D3A40EB"/>
    <w:rsid w:val="6D3B007E"/>
    <w:rsid w:val="6D3F3B91"/>
    <w:rsid w:val="6D404BA8"/>
    <w:rsid w:val="6D4A6405"/>
    <w:rsid w:val="6D503C8D"/>
    <w:rsid w:val="6D521B17"/>
    <w:rsid w:val="6D57712D"/>
    <w:rsid w:val="6D5907E2"/>
    <w:rsid w:val="6D6655C2"/>
    <w:rsid w:val="6D667370"/>
    <w:rsid w:val="6D6B64EB"/>
    <w:rsid w:val="6D6D6950"/>
    <w:rsid w:val="6D747CDF"/>
    <w:rsid w:val="6D7F5C09"/>
    <w:rsid w:val="6D855A48"/>
    <w:rsid w:val="6D884230"/>
    <w:rsid w:val="6D8B65DB"/>
    <w:rsid w:val="6D8F4B19"/>
    <w:rsid w:val="6D9914F3"/>
    <w:rsid w:val="6D9B7806"/>
    <w:rsid w:val="6D9F2B8E"/>
    <w:rsid w:val="6DA00AD4"/>
    <w:rsid w:val="6DA06601"/>
    <w:rsid w:val="6DA70468"/>
    <w:rsid w:val="6DBB590E"/>
    <w:rsid w:val="6DC02F24"/>
    <w:rsid w:val="6DC170BD"/>
    <w:rsid w:val="6DCA5B51"/>
    <w:rsid w:val="6DCC7C1C"/>
    <w:rsid w:val="6DCE1FDF"/>
    <w:rsid w:val="6DCE3893"/>
    <w:rsid w:val="6DCF4F15"/>
    <w:rsid w:val="6DD137A9"/>
    <w:rsid w:val="6DD218E2"/>
    <w:rsid w:val="6DD54C21"/>
    <w:rsid w:val="6DD86C80"/>
    <w:rsid w:val="6DDE33AA"/>
    <w:rsid w:val="6DE41DCC"/>
    <w:rsid w:val="6DEF101D"/>
    <w:rsid w:val="6DF1132F"/>
    <w:rsid w:val="6DFB5F1A"/>
    <w:rsid w:val="6E0C71B8"/>
    <w:rsid w:val="6E0E0BE8"/>
    <w:rsid w:val="6E113780"/>
    <w:rsid w:val="6E14501E"/>
    <w:rsid w:val="6E153270"/>
    <w:rsid w:val="6E160C47"/>
    <w:rsid w:val="6E170194"/>
    <w:rsid w:val="6E2144D9"/>
    <w:rsid w:val="6E217E67"/>
    <w:rsid w:val="6E253EC9"/>
    <w:rsid w:val="6E2A4841"/>
    <w:rsid w:val="6E2E221A"/>
    <w:rsid w:val="6E2E60E0"/>
    <w:rsid w:val="6E31797E"/>
    <w:rsid w:val="6E33426E"/>
    <w:rsid w:val="6E380D0C"/>
    <w:rsid w:val="6E392EE2"/>
    <w:rsid w:val="6E3D4575"/>
    <w:rsid w:val="6E402CBC"/>
    <w:rsid w:val="6E495749"/>
    <w:rsid w:val="6E5024FA"/>
    <w:rsid w:val="6E524846"/>
    <w:rsid w:val="6E565A1C"/>
    <w:rsid w:val="6E5A5127"/>
    <w:rsid w:val="6E5B0FAC"/>
    <w:rsid w:val="6E5F403B"/>
    <w:rsid w:val="6E61112C"/>
    <w:rsid w:val="6E621286"/>
    <w:rsid w:val="6E633A4C"/>
    <w:rsid w:val="6E63518D"/>
    <w:rsid w:val="6E6715F2"/>
    <w:rsid w:val="6E6C09B6"/>
    <w:rsid w:val="6E6D6409"/>
    <w:rsid w:val="6E6F7CB6"/>
    <w:rsid w:val="6E787859"/>
    <w:rsid w:val="6E7D2AFC"/>
    <w:rsid w:val="6E805256"/>
    <w:rsid w:val="6E851A78"/>
    <w:rsid w:val="6E866069"/>
    <w:rsid w:val="6E8C1058"/>
    <w:rsid w:val="6E8E5B3F"/>
    <w:rsid w:val="6E9437BA"/>
    <w:rsid w:val="6E971ED7"/>
    <w:rsid w:val="6E9862AC"/>
    <w:rsid w:val="6E997FBF"/>
    <w:rsid w:val="6EA071AC"/>
    <w:rsid w:val="6EA120E5"/>
    <w:rsid w:val="6EA200FA"/>
    <w:rsid w:val="6EA6036C"/>
    <w:rsid w:val="6EA76AEB"/>
    <w:rsid w:val="6EB74CEA"/>
    <w:rsid w:val="6EB8009F"/>
    <w:rsid w:val="6EB8426D"/>
    <w:rsid w:val="6EB94E6D"/>
    <w:rsid w:val="6EBA7973"/>
    <w:rsid w:val="6EBC16D1"/>
    <w:rsid w:val="6EBD2195"/>
    <w:rsid w:val="6EC407F2"/>
    <w:rsid w:val="6ECD2A62"/>
    <w:rsid w:val="6ECD58F9"/>
    <w:rsid w:val="6ED22F0F"/>
    <w:rsid w:val="6ED35F3F"/>
    <w:rsid w:val="6ED368DE"/>
    <w:rsid w:val="6ED677B0"/>
    <w:rsid w:val="6EDA1DC4"/>
    <w:rsid w:val="6EDA4BA5"/>
    <w:rsid w:val="6EF2710D"/>
    <w:rsid w:val="6EF756FF"/>
    <w:rsid w:val="6EF94940"/>
    <w:rsid w:val="6EFB587C"/>
    <w:rsid w:val="6EFF5796"/>
    <w:rsid w:val="6F046E40"/>
    <w:rsid w:val="6F0D3F47"/>
    <w:rsid w:val="6F0D4905"/>
    <w:rsid w:val="6F135B69"/>
    <w:rsid w:val="6F1B32D5"/>
    <w:rsid w:val="6F1D0EF1"/>
    <w:rsid w:val="6F251E67"/>
    <w:rsid w:val="6F282B2F"/>
    <w:rsid w:val="6F3B6D06"/>
    <w:rsid w:val="6F3C65DA"/>
    <w:rsid w:val="6F40431D"/>
    <w:rsid w:val="6F46690E"/>
    <w:rsid w:val="6F495DCE"/>
    <w:rsid w:val="6F520E09"/>
    <w:rsid w:val="6F524EAA"/>
    <w:rsid w:val="6F5675B8"/>
    <w:rsid w:val="6F5A4CB2"/>
    <w:rsid w:val="6F5D091F"/>
    <w:rsid w:val="6F5F7372"/>
    <w:rsid w:val="6F6A09F7"/>
    <w:rsid w:val="6F74751A"/>
    <w:rsid w:val="6F7B6F1E"/>
    <w:rsid w:val="6F7E6739"/>
    <w:rsid w:val="6F801900"/>
    <w:rsid w:val="6F80296B"/>
    <w:rsid w:val="6F836A7E"/>
    <w:rsid w:val="6F8D2201"/>
    <w:rsid w:val="6F8D36C8"/>
    <w:rsid w:val="6F8D5088"/>
    <w:rsid w:val="6F9D5B0D"/>
    <w:rsid w:val="6F9E568A"/>
    <w:rsid w:val="6FA348AB"/>
    <w:rsid w:val="6FA74F6D"/>
    <w:rsid w:val="6FAA7189"/>
    <w:rsid w:val="6FAC3760"/>
    <w:rsid w:val="6FC34F4E"/>
    <w:rsid w:val="6FC84312"/>
    <w:rsid w:val="6FCE400C"/>
    <w:rsid w:val="6FCE69F5"/>
    <w:rsid w:val="6FCF38F2"/>
    <w:rsid w:val="6FCF546B"/>
    <w:rsid w:val="6FD11419"/>
    <w:rsid w:val="6FD121F9"/>
    <w:rsid w:val="6FD24043"/>
    <w:rsid w:val="6FD809F9"/>
    <w:rsid w:val="6FD9236F"/>
    <w:rsid w:val="6FDA4B8B"/>
    <w:rsid w:val="6FDD668F"/>
    <w:rsid w:val="6FE63CCB"/>
    <w:rsid w:val="6FED3D79"/>
    <w:rsid w:val="6FEF5485"/>
    <w:rsid w:val="6FF0069A"/>
    <w:rsid w:val="6FF2313D"/>
    <w:rsid w:val="6FF43359"/>
    <w:rsid w:val="6FF53718"/>
    <w:rsid w:val="6FF60E7F"/>
    <w:rsid w:val="6FF61724"/>
    <w:rsid w:val="6FF774DE"/>
    <w:rsid w:val="6FF946D7"/>
    <w:rsid w:val="6FFA2E4D"/>
    <w:rsid w:val="6FFB1844"/>
    <w:rsid w:val="6FFE457F"/>
    <w:rsid w:val="70075D64"/>
    <w:rsid w:val="70083E48"/>
    <w:rsid w:val="700B6759"/>
    <w:rsid w:val="701B025E"/>
    <w:rsid w:val="701B09B5"/>
    <w:rsid w:val="701D01BA"/>
    <w:rsid w:val="702021F6"/>
    <w:rsid w:val="70205EFC"/>
    <w:rsid w:val="70217BD0"/>
    <w:rsid w:val="70235619"/>
    <w:rsid w:val="702754DC"/>
    <w:rsid w:val="702B09D7"/>
    <w:rsid w:val="703025E3"/>
    <w:rsid w:val="703379DD"/>
    <w:rsid w:val="70374EAE"/>
    <w:rsid w:val="70383246"/>
    <w:rsid w:val="70470DB7"/>
    <w:rsid w:val="704716DB"/>
    <w:rsid w:val="70473489"/>
    <w:rsid w:val="7048330D"/>
    <w:rsid w:val="70495453"/>
    <w:rsid w:val="704C306B"/>
    <w:rsid w:val="7053100C"/>
    <w:rsid w:val="70561208"/>
    <w:rsid w:val="70631305"/>
    <w:rsid w:val="706978A3"/>
    <w:rsid w:val="706E6C67"/>
    <w:rsid w:val="70701351"/>
    <w:rsid w:val="707029DF"/>
    <w:rsid w:val="707B203C"/>
    <w:rsid w:val="707E1281"/>
    <w:rsid w:val="70805E0D"/>
    <w:rsid w:val="708741CD"/>
    <w:rsid w:val="70893AA1"/>
    <w:rsid w:val="709834EB"/>
    <w:rsid w:val="709938F9"/>
    <w:rsid w:val="70996D1F"/>
    <w:rsid w:val="709A7A5C"/>
    <w:rsid w:val="709B37D5"/>
    <w:rsid w:val="709E183E"/>
    <w:rsid w:val="709F2292"/>
    <w:rsid w:val="70A33376"/>
    <w:rsid w:val="70A65252"/>
    <w:rsid w:val="70A70AD8"/>
    <w:rsid w:val="70AC7790"/>
    <w:rsid w:val="70B328CC"/>
    <w:rsid w:val="70B34C55"/>
    <w:rsid w:val="70B84386"/>
    <w:rsid w:val="70B86135"/>
    <w:rsid w:val="70BB7AAC"/>
    <w:rsid w:val="70C66246"/>
    <w:rsid w:val="70C952EF"/>
    <w:rsid w:val="70CD3CD7"/>
    <w:rsid w:val="70CD4847"/>
    <w:rsid w:val="70D016D0"/>
    <w:rsid w:val="70D8231B"/>
    <w:rsid w:val="70DA674F"/>
    <w:rsid w:val="70DE5A9C"/>
    <w:rsid w:val="70E52E58"/>
    <w:rsid w:val="70E64A50"/>
    <w:rsid w:val="70E909E4"/>
    <w:rsid w:val="70EE55EE"/>
    <w:rsid w:val="70EE6035"/>
    <w:rsid w:val="70EE7DA8"/>
    <w:rsid w:val="70F009F4"/>
    <w:rsid w:val="70F35DFF"/>
    <w:rsid w:val="70F57389"/>
    <w:rsid w:val="70F96E79"/>
    <w:rsid w:val="70FF3CD9"/>
    <w:rsid w:val="71015F80"/>
    <w:rsid w:val="71031AA6"/>
    <w:rsid w:val="7106611E"/>
    <w:rsid w:val="71094E9D"/>
    <w:rsid w:val="711517D9"/>
    <w:rsid w:val="71165AFB"/>
    <w:rsid w:val="711A294B"/>
    <w:rsid w:val="711C3816"/>
    <w:rsid w:val="711F7F62"/>
    <w:rsid w:val="71306870"/>
    <w:rsid w:val="71325EE7"/>
    <w:rsid w:val="7137174F"/>
    <w:rsid w:val="713B03B4"/>
    <w:rsid w:val="713B2343"/>
    <w:rsid w:val="713F6CED"/>
    <w:rsid w:val="714169B7"/>
    <w:rsid w:val="71494FDF"/>
    <w:rsid w:val="714A1482"/>
    <w:rsid w:val="71500D3F"/>
    <w:rsid w:val="71501F47"/>
    <w:rsid w:val="71502A5C"/>
    <w:rsid w:val="71535E5D"/>
    <w:rsid w:val="715360ED"/>
    <w:rsid w:val="715E6CDC"/>
    <w:rsid w:val="71630796"/>
    <w:rsid w:val="71641101"/>
    <w:rsid w:val="71694213"/>
    <w:rsid w:val="716D0ABF"/>
    <w:rsid w:val="71722AFC"/>
    <w:rsid w:val="71752FD5"/>
    <w:rsid w:val="7181025E"/>
    <w:rsid w:val="71866233"/>
    <w:rsid w:val="71867FE1"/>
    <w:rsid w:val="71881FAB"/>
    <w:rsid w:val="71896842"/>
    <w:rsid w:val="718D5813"/>
    <w:rsid w:val="71900E5F"/>
    <w:rsid w:val="71917066"/>
    <w:rsid w:val="71AA51EF"/>
    <w:rsid w:val="71AB5063"/>
    <w:rsid w:val="71AD37BF"/>
    <w:rsid w:val="71B22914"/>
    <w:rsid w:val="71C23377"/>
    <w:rsid w:val="71D074AE"/>
    <w:rsid w:val="71D376CA"/>
    <w:rsid w:val="71D95BFA"/>
    <w:rsid w:val="71DD0701"/>
    <w:rsid w:val="71E1203F"/>
    <w:rsid w:val="71E4746C"/>
    <w:rsid w:val="71E60A7F"/>
    <w:rsid w:val="71E74F23"/>
    <w:rsid w:val="71ED62B2"/>
    <w:rsid w:val="71EF202A"/>
    <w:rsid w:val="71EF5B86"/>
    <w:rsid w:val="71F3606C"/>
    <w:rsid w:val="71FA7D7F"/>
    <w:rsid w:val="71FD663D"/>
    <w:rsid w:val="72007D93"/>
    <w:rsid w:val="72021D5D"/>
    <w:rsid w:val="720B7916"/>
    <w:rsid w:val="7214383E"/>
    <w:rsid w:val="72190E55"/>
    <w:rsid w:val="721944F2"/>
    <w:rsid w:val="721A1208"/>
    <w:rsid w:val="722A19BA"/>
    <w:rsid w:val="722D4CFA"/>
    <w:rsid w:val="722F2E10"/>
    <w:rsid w:val="72304B04"/>
    <w:rsid w:val="72331F17"/>
    <w:rsid w:val="72347A3D"/>
    <w:rsid w:val="7238577F"/>
    <w:rsid w:val="723E5BA2"/>
    <w:rsid w:val="724203AC"/>
    <w:rsid w:val="72465B88"/>
    <w:rsid w:val="724D2E4F"/>
    <w:rsid w:val="725974A3"/>
    <w:rsid w:val="725C6D6B"/>
    <w:rsid w:val="726227FC"/>
    <w:rsid w:val="72655E48"/>
    <w:rsid w:val="72661968"/>
    <w:rsid w:val="726E11A1"/>
    <w:rsid w:val="727662A7"/>
    <w:rsid w:val="72766669"/>
    <w:rsid w:val="727B31D3"/>
    <w:rsid w:val="727B50C1"/>
    <w:rsid w:val="727B5660"/>
    <w:rsid w:val="727D3B97"/>
    <w:rsid w:val="7287743F"/>
    <w:rsid w:val="7289122E"/>
    <w:rsid w:val="72922CDD"/>
    <w:rsid w:val="729D7745"/>
    <w:rsid w:val="72A21F6F"/>
    <w:rsid w:val="72A5093A"/>
    <w:rsid w:val="72AD75E9"/>
    <w:rsid w:val="72B017B9"/>
    <w:rsid w:val="72B275D9"/>
    <w:rsid w:val="72BB54A6"/>
    <w:rsid w:val="72C76B03"/>
    <w:rsid w:val="72C83F3E"/>
    <w:rsid w:val="72C94629"/>
    <w:rsid w:val="72C9572E"/>
    <w:rsid w:val="72C963D7"/>
    <w:rsid w:val="72CA4F74"/>
    <w:rsid w:val="72CC6A20"/>
    <w:rsid w:val="72D03C09"/>
    <w:rsid w:val="72D059B7"/>
    <w:rsid w:val="72D134DE"/>
    <w:rsid w:val="72DB610A"/>
    <w:rsid w:val="72DD2263"/>
    <w:rsid w:val="72E27499"/>
    <w:rsid w:val="72E93F43"/>
    <w:rsid w:val="72EC6569"/>
    <w:rsid w:val="72EE408F"/>
    <w:rsid w:val="72F9081A"/>
    <w:rsid w:val="73065738"/>
    <w:rsid w:val="73080A24"/>
    <w:rsid w:val="730C516A"/>
    <w:rsid w:val="730F451A"/>
    <w:rsid w:val="73135417"/>
    <w:rsid w:val="7315786E"/>
    <w:rsid w:val="7318735E"/>
    <w:rsid w:val="731F06ED"/>
    <w:rsid w:val="73220BE8"/>
    <w:rsid w:val="732950C8"/>
    <w:rsid w:val="73347034"/>
    <w:rsid w:val="733648E9"/>
    <w:rsid w:val="733C226B"/>
    <w:rsid w:val="73410663"/>
    <w:rsid w:val="7346211D"/>
    <w:rsid w:val="734A52A0"/>
    <w:rsid w:val="73507274"/>
    <w:rsid w:val="735304F7"/>
    <w:rsid w:val="73565010"/>
    <w:rsid w:val="73577E87"/>
    <w:rsid w:val="735C42C2"/>
    <w:rsid w:val="735D6ED3"/>
    <w:rsid w:val="735F0AE9"/>
    <w:rsid w:val="736A6A05"/>
    <w:rsid w:val="736D3CE1"/>
    <w:rsid w:val="7371482A"/>
    <w:rsid w:val="737427E7"/>
    <w:rsid w:val="73770529"/>
    <w:rsid w:val="737A5923"/>
    <w:rsid w:val="73823836"/>
    <w:rsid w:val="738262EB"/>
    <w:rsid w:val="738E13CF"/>
    <w:rsid w:val="739247DD"/>
    <w:rsid w:val="73945429"/>
    <w:rsid w:val="739629B5"/>
    <w:rsid w:val="73A62BBC"/>
    <w:rsid w:val="73AC7AA8"/>
    <w:rsid w:val="73AD3F4B"/>
    <w:rsid w:val="73AF1A71"/>
    <w:rsid w:val="73B52DFF"/>
    <w:rsid w:val="73BC5E5C"/>
    <w:rsid w:val="73C20D59"/>
    <w:rsid w:val="73C63A24"/>
    <w:rsid w:val="73C779CE"/>
    <w:rsid w:val="73C82B32"/>
    <w:rsid w:val="73CF3EC1"/>
    <w:rsid w:val="73D05340"/>
    <w:rsid w:val="73D56DD9"/>
    <w:rsid w:val="73D634A1"/>
    <w:rsid w:val="73DB2866"/>
    <w:rsid w:val="73DE4104"/>
    <w:rsid w:val="73E060CE"/>
    <w:rsid w:val="73E36CD3"/>
    <w:rsid w:val="73F312B1"/>
    <w:rsid w:val="73F335C7"/>
    <w:rsid w:val="740A3FCD"/>
    <w:rsid w:val="740D2721"/>
    <w:rsid w:val="740D6461"/>
    <w:rsid w:val="74130252"/>
    <w:rsid w:val="74143FCA"/>
    <w:rsid w:val="7423420D"/>
    <w:rsid w:val="7431643C"/>
    <w:rsid w:val="74400593"/>
    <w:rsid w:val="74412FDE"/>
    <w:rsid w:val="74426571"/>
    <w:rsid w:val="74451E40"/>
    <w:rsid w:val="74477EFB"/>
    <w:rsid w:val="74492A7B"/>
    <w:rsid w:val="744A7318"/>
    <w:rsid w:val="744C16C7"/>
    <w:rsid w:val="744F479D"/>
    <w:rsid w:val="7452064E"/>
    <w:rsid w:val="745715FC"/>
    <w:rsid w:val="74573D6D"/>
    <w:rsid w:val="7458144D"/>
    <w:rsid w:val="745A1369"/>
    <w:rsid w:val="74654825"/>
    <w:rsid w:val="746C0D09"/>
    <w:rsid w:val="747131CA"/>
    <w:rsid w:val="74784FD0"/>
    <w:rsid w:val="747A0AEC"/>
    <w:rsid w:val="74832592"/>
    <w:rsid w:val="74842EFD"/>
    <w:rsid w:val="748E2061"/>
    <w:rsid w:val="748F7004"/>
    <w:rsid w:val="749018A2"/>
    <w:rsid w:val="74933719"/>
    <w:rsid w:val="7499002B"/>
    <w:rsid w:val="749D299C"/>
    <w:rsid w:val="749D5D6D"/>
    <w:rsid w:val="74AE5700"/>
    <w:rsid w:val="74B26711"/>
    <w:rsid w:val="74B31D6F"/>
    <w:rsid w:val="74B66E2F"/>
    <w:rsid w:val="74B80DF9"/>
    <w:rsid w:val="74B84955"/>
    <w:rsid w:val="74BB2697"/>
    <w:rsid w:val="74BE502E"/>
    <w:rsid w:val="74BF5CE3"/>
    <w:rsid w:val="74C311FD"/>
    <w:rsid w:val="74DA31E6"/>
    <w:rsid w:val="74DA7304"/>
    <w:rsid w:val="74DD616A"/>
    <w:rsid w:val="74DF1EE2"/>
    <w:rsid w:val="74E41BEE"/>
    <w:rsid w:val="74EA0887"/>
    <w:rsid w:val="74EB6AD9"/>
    <w:rsid w:val="74EE65C9"/>
    <w:rsid w:val="74F31E31"/>
    <w:rsid w:val="74F3598D"/>
    <w:rsid w:val="74F53239"/>
    <w:rsid w:val="74F6722B"/>
    <w:rsid w:val="74F87447"/>
    <w:rsid w:val="74FA6D1C"/>
    <w:rsid w:val="74FC2E1F"/>
    <w:rsid w:val="750951B1"/>
    <w:rsid w:val="750E27C7"/>
    <w:rsid w:val="750F158B"/>
    <w:rsid w:val="75115F4C"/>
    <w:rsid w:val="751616C2"/>
    <w:rsid w:val="75236F40"/>
    <w:rsid w:val="752803DA"/>
    <w:rsid w:val="75295853"/>
    <w:rsid w:val="752B79E2"/>
    <w:rsid w:val="752C0E9F"/>
    <w:rsid w:val="752C70F1"/>
    <w:rsid w:val="752E4C17"/>
    <w:rsid w:val="753D4E5A"/>
    <w:rsid w:val="75454BA1"/>
    <w:rsid w:val="75510906"/>
    <w:rsid w:val="75527CBA"/>
    <w:rsid w:val="755A0990"/>
    <w:rsid w:val="755C27B1"/>
    <w:rsid w:val="75656DE5"/>
    <w:rsid w:val="7569174D"/>
    <w:rsid w:val="756B42C3"/>
    <w:rsid w:val="756D1BE3"/>
    <w:rsid w:val="7572021B"/>
    <w:rsid w:val="75724604"/>
    <w:rsid w:val="75727F66"/>
    <w:rsid w:val="75734D20"/>
    <w:rsid w:val="75743A52"/>
    <w:rsid w:val="75745CF3"/>
    <w:rsid w:val="75792336"/>
    <w:rsid w:val="75792D9E"/>
    <w:rsid w:val="757C4530"/>
    <w:rsid w:val="757E794D"/>
    <w:rsid w:val="757F1118"/>
    <w:rsid w:val="75806DE4"/>
    <w:rsid w:val="75847549"/>
    <w:rsid w:val="758B594C"/>
    <w:rsid w:val="758E3908"/>
    <w:rsid w:val="75902DB7"/>
    <w:rsid w:val="759A0C50"/>
    <w:rsid w:val="759C6025"/>
    <w:rsid w:val="75A373B3"/>
    <w:rsid w:val="75A73E9F"/>
    <w:rsid w:val="75A85309"/>
    <w:rsid w:val="75A86778"/>
    <w:rsid w:val="75A91CB6"/>
    <w:rsid w:val="75B570E6"/>
    <w:rsid w:val="75B74481"/>
    <w:rsid w:val="75BC0475"/>
    <w:rsid w:val="75BF56E5"/>
    <w:rsid w:val="75C15A8B"/>
    <w:rsid w:val="75C54C46"/>
    <w:rsid w:val="75C8432D"/>
    <w:rsid w:val="75C92462"/>
    <w:rsid w:val="75CF3F86"/>
    <w:rsid w:val="75D51537"/>
    <w:rsid w:val="75DA08FB"/>
    <w:rsid w:val="75E27D39"/>
    <w:rsid w:val="75E43145"/>
    <w:rsid w:val="75E6502A"/>
    <w:rsid w:val="75E71622"/>
    <w:rsid w:val="75E8788F"/>
    <w:rsid w:val="75EE5F88"/>
    <w:rsid w:val="75F75951"/>
    <w:rsid w:val="75F96FD3"/>
    <w:rsid w:val="75FB38A6"/>
    <w:rsid w:val="75FC4D15"/>
    <w:rsid w:val="760A0EAA"/>
    <w:rsid w:val="760A7432"/>
    <w:rsid w:val="760B5294"/>
    <w:rsid w:val="760D6F22"/>
    <w:rsid w:val="760D77C7"/>
    <w:rsid w:val="7614205F"/>
    <w:rsid w:val="76171CE3"/>
    <w:rsid w:val="761E6A3A"/>
    <w:rsid w:val="76200A04"/>
    <w:rsid w:val="76225B56"/>
    <w:rsid w:val="762C03BA"/>
    <w:rsid w:val="76312C11"/>
    <w:rsid w:val="76377AFB"/>
    <w:rsid w:val="76387FE8"/>
    <w:rsid w:val="76391AC6"/>
    <w:rsid w:val="763C3364"/>
    <w:rsid w:val="763D1A98"/>
    <w:rsid w:val="76413456"/>
    <w:rsid w:val="76465F91"/>
    <w:rsid w:val="764743CC"/>
    <w:rsid w:val="76535CD6"/>
    <w:rsid w:val="765A22B2"/>
    <w:rsid w:val="765B7BA5"/>
    <w:rsid w:val="765C68EA"/>
    <w:rsid w:val="765F6029"/>
    <w:rsid w:val="76664A58"/>
    <w:rsid w:val="76667535"/>
    <w:rsid w:val="76685B2D"/>
    <w:rsid w:val="766C20CF"/>
    <w:rsid w:val="76762294"/>
    <w:rsid w:val="768353E2"/>
    <w:rsid w:val="76843E38"/>
    <w:rsid w:val="76856555"/>
    <w:rsid w:val="7687529A"/>
    <w:rsid w:val="768947FB"/>
    <w:rsid w:val="768A0573"/>
    <w:rsid w:val="769211D6"/>
    <w:rsid w:val="76922CA3"/>
    <w:rsid w:val="76956575"/>
    <w:rsid w:val="769C27AD"/>
    <w:rsid w:val="769E7B7B"/>
    <w:rsid w:val="76A333E3"/>
    <w:rsid w:val="76A93AD8"/>
    <w:rsid w:val="76AB0F0D"/>
    <w:rsid w:val="76AE4262"/>
    <w:rsid w:val="76AE6010"/>
    <w:rsid w:val="76AF1D88"/>
    <w:rsid w:val="76BA1D3C"/>
    <w:rsid w:val="76BA1F01"/>
    <w:rsid w:val="76C021E7"/>
    <w:rsid w:val="76C56DEE"/>
    <w:rsid w:val="76D66474"/>
    <w:rsid w:val="76DB492B"/>
    <w:rsid w:val="76DC071D"/>
    <w:rsid w:val="76E85FE7"/>
    <w:rsid w:val="76ED4E86"/>
    <w:rsid w:val="76FA4D67"/>
    <w:rsid w:val="77051306"/>
    <w:rsid w:val="770C6338"/>
    <w:rsid w:val="7715608F"/>
    <w:rsid w:val="7722255A"/>
    <w:rsid w:val="772D3258"/>
    <w:rsid w:val="7739139C"/>
    <w:rsid w:val="773B361B"/>
    <w:rsid w:val="773C3B57"/>
    <w:rsid w:val="773F135E"/>
    <w:rsid w:val="774024D3"/>
    <w:rsid w:val="774A385E"/>
    <w:rsid w:val="774B1AB0"/>
    <w:rsid w:val="774B5B49"/>
    <w:rsid w:val="774E15A1"/>
    <w:rsid w:val="77514BED"/>
    <w:rsid w:val="775A5839"/>
    <w:rsid w:val="776479B7"/>
    <w:rsid w:val="776B1EB0"/>
    <w:rsid w:val="776C7C79"/>
    <w:rsid w:val="77714659"/>
    <w:rsid w:val="77736A2E"/>
    <w:rsid w:val="77742CBC"/>
    <w:rsid w:val="77750590"/>
    <w:rsid w:val="777A4144"/>
    <w:rsid w:val="77801A92"/>
    <w:rsid w:val="77804029"/>
    <w:rsid w:val="778356EE"/>
    <w:rsid w:val="7788083A"/>
    <w:rsid w:val="778A2A4B"/>
    <w:rsid w:val="778A3381"/>
    <w:rsid w:val="778C3E77"/>
    <w:rsid w:val="7795314E"/>
    <w:rsid w:val="779A47E6"/>
    <w:rsid w:val="779A4C2A"/>
    <w:rsid w:val="779E42D6"/>
    <w:rsid w:val="77AA71CC"/>
    <w:rsid w:val="77B51331"/>
    <w:rsid w:val="77B5517C"/>
    <w:rsid w:val="77B84C6C"/>
    <w:rsid w:val="77BA4E88"/>
    <w:rsid w:val="77BD5736"/>
    <w:rsid w:val="77C36F78"/>
    <w:rsid w:val="77C67167"/>
    <w:rsid w:val="77C81353"/>
    <w:rsid w:val="77CA3BAE"/>
    <w:rsid w:val="77CE2B3A"/>
    <w:rsid w:val="77D04B5B"/>
    <w:rsid w:val="77D5273D"/>
    <w:rsid w:val="77DC1CF2"/>
    <w:rsid w:val="77E912C9"/>
    <w:rsid w:val="77EA0066"/>
    <w:rsid w:val="77F213BB"/>
    <w:rsid w:val="77F375C8"/>
    <w:rsid w:val="77F65930"/>
    <w:rsid w:val="77FE288F"/>
    <w:rsid w:val="78016613"/>
    <w:rsid w:val="78025B0D"/>
    <w:rsid w:val="78037286"/>
    <w:rsid w:val="780656C2"/>
    <w:rsid w:val="780855EE"/>
    <w:rsid w:val="780A12AC"/>
    <w:rsid w:val="780B14CD"/>
    <w:rsid w:val="780C1CCE"/>
    <w:rsid w:val="780E1044"/>
    <w:rsid w:val="780F68F1"/>
    <w:rsid w:val="781149D8"/>
    <w:rsid w:val="78195C63"/>
    <w:rsid w:val="78252301"/>
    <w:rsid w:val="78293CF7"/>
    <w:rsid w:val="782B4F92"/>
    <w:rsid w:val="783166DA"/>
    <w:rsid w:val="78393FFF"/>
    <w:rsid w:val="783B7D77"/>
    <w:rsid w:val="783C3AEF"/>
    <w:rsid w:val="783C764B"/>
    <w:rsid w:val="783E07CE"/>
    <w:rsid w:val="783E160A"/>
    <w:rsid w:val="7844690F"/>
    <w:rsid w:val="784B3E35"/>
    <w:rsid w:val="784C2545"/>
    <w:rsid w:val="785A2E96"/>
    <w:rsid w:val="786372CE"/>
    <w:rsid w:val="786B1CDE"/>
    <w:rsid w:val="787616F7"/>
    <w:rsid w:val="7877517A"/>
    <w:rsid w:val="787A24A0"/>
    <w:rsid w:val="787C6428"/>
    <w:rsid w:val="787D291D"/>
    <w:rsid w:val="78857244"/>
    <w:rsid w:val="78886B1D"/>
    <w:rsid w:val="788D60F9"/>
    <w:rsid w:val="788E4243"/>
    <w:rsid w:val="789977D4"/>
    <w:rsid w:val="789E5B92"/>
    <w:rsid w:val="78A2654F"/>
    <w:rsid w:val="78AA5DF7"/>
    <w:rsid w:val="78B039E4"/>
    <w:rsid w:val="78B17501"/>
    <w:rsid w:val="78B90C9C"/>
    <w:rsid w:val="78BD3B96"/>
    <w:rsid w:val="78BE62B2"/>
    <w:rsid w:val="78C65FD8"/>
    <w:rsid w:val="78CD792A"/>
    <w:rsid w:val="78D15FE5"/>
    <w:rsid w:val="78DB6E64"/>
    <w:rsid w:val="78DE236F"/>
    <w:rsid w:val="78E35D19"/>
    <w:rsid w:val="78E4434A"/>
    <w:rsid w:val="78EF290F"/>
    <w:rsid w:val="78F07EE2"/>
    <w:rsid w:val="78F46178"/>
    <w:rsid w:val="78F87A16"/>
    <w:rsid w:val="78FF0DA4"/>
    <w:rsid w:val="78FF1919"/>
    <w:rsid w:val="78FF6FF6"/>
    <w:rsid w:val="790939D1"/>
    <w:rsid w:val="790A599B"/>
    <w:rsid w:val="790F50EC"/>
    <w:rsid w:val="79112886"/>
    <w:rsid w:val="791431B6"/>
    <w:rsid w:val="791D747D"/>
    <w:rsid w:val="79205380"/>
    <w:rsid w:val="79220EE9"/>
    <w:rsid w:val="79234935"/>
    <w:rsid w:val="79275B94"/>
    <w:rsid w:val="792E0602"/>
    <w:rsid w:val="79304C01"/>
    <w:rsid w:val="79352A18"/>
    <w:rsid w:val="793A05DA"/>
    <w:rsid w:val="793D5278"/>
    <w:rsid w:val="794762A8"/>
    <w:rsid w:val="79584934"/>
    <w:rsid w:val="79584959"/>
    <w:rsid w:val="79660E24"/>
    <w:rsid w:val="79675271"/>
    <w:rsid w:val="796926C2"/>
    <w:rsid w:val="796B468C"/>
    <w:rsid w:val="796C21B2"/>
    <w:rsid w:val="796C5D0E"/>
    <w:rsid w:val="79724A43"/>
    <w:rsid w:val="79725A1A"/>
    <w:rsid w:val="79792AD3"/>
    <w:rsid w:val="797B1F78"/>
    <w:rsid w:val="797C23BD"/>
    <w:rsid w:val="79860C21"/>
    <w:rsid w:val="798968C0"/>
    <w:rsid w:val="799205A4"/>
    <w:rsid w:val="79991BE5"/>
    <w:rsid w:val="799C2A97"/>
    <w:rsid w:val="799C4845"/>
    <w:rsid w:val="799E3878"/>
    <w:rsid w:val="799E3CB2"/>
    <w:rsid w:val="79A17363"/>
    <w:rsid w:val="79A47B9E"/>
    <w:rsid w:val="79A656C4"/>
    <w:rsid w:val="79AF62F3"/>
    <w:rsid w:val="79B74CB5"/>
    <w:rsid w:val="79B76843"/>
    <w:rsid w:val="79C36276"/>
    <w:rsid w:val="79C478F8"/>
    <w:rsid w:val="79CB5313"/>
    <w:rsid w:val="79CD4BFB"/>
    <w:rsid w:val="79D1203B"/>
    <w:rsid w:val="79D21661"/>
    <w:rsid w:val="79EF1600"/>
    <w:rsid w:val="79F06C21"/>
    <w:rsid w:val="79F521A7"/>
    <w:rsid w:val="79FD0E9B"/>
    <w:rsid w:val="79FE0EAF"/>
    <w:rsid w:val="7A077F60"/>
    <w:rsid w:val="7A08012D"/>
    <w:rsid w:val="7A142600"/>
    <w:rsid w:val="7A1B3A1F"/>
    <w:rsid w:val="7A242AD8"/>
    <w:rsid w:val="7A257429"/>
    <w:rsid w:val="7A266805"/>
    <w:rsid w:val="7A344A7E"/>
    <w:rsid w:val="7A3654AF"/>
    <w:rsid w:val="7A3F01CC"/>
    <w:rsid w:val="7A462A03"/>
    <w:rsid w:val="7A470CEB"/>
    <w:rsid w:val="7A480529"/>
    <w:rsid w:val="7A48568D"/>
    <w:rsid w:val="7A4E2D1A"/>
    <w:rsid w:val="7A4E3589"/>
    <w:rsid w:val="7A4F6522"/>
    <w:rsid w:val="7A5307F8"/>
    <w:rsid w:val="7A550D59"/>
    <w:rsid w:val="7A5944E4"/>
    <w:rsid w:val="7A5A200A"/>
    <w:rsid w:val="7A5E2B5E"/>
    <w:rsid w:val="7A6335B5"/>
    <w:rsid w:val="7A650917"/>
    <w:rsid w:val="7A662944"/>
    <w:rsid w:val="7A680BCB"/>
    <w:rsid w:val="7A685CF9"/>
    <w:rsid w:val="7A7431FD"/>
    <w:rsid w:val="7A795005"/>
    <w:rsid w:val="7A7C2F2B"/>
    <w:rsid w:val="7A85203E"/>
    <w:rsid w:val="7A856D34"/>
    <w:rsid w:val="7A8D0799"/>
    <w:rsid w:val="7A8E3857"/>
    <w:rsid w:val="7A971DD7"/>
    <w:rsid w:val="7A995229"/>
    <w:rsid w:val="7AA31C03"/>
    <w:rsid w:val="7AA62D12"/>
    <w:rsid w:val="7AAA2B69"/>
    <w:rsid w:val="7AAC0AFE"/>
    <w:rsid w:val="7AAF7076"/>
    <w:rsid w:val="7AB71B55"/>
    <w:rsid w:val="7ABB6F4D"/>
    <w:rsid w:val="7AC044C0"/>
    <w:rsid w:val="7AC04563"/>
    <w:rsid w:val="7AC60985"/>
    <w:rsid w:val="7ACA3634"/>
    <w:rsid w:val="7ACF0C4A"/>
    <w:rsid w:val="7AD0694A"/>
    <w:rsid w:val="7AD47ACF"/>
    <w:rsid w:val="7AD710E4"/>
    <w:rsid w:val="7AD93ADB"/>
    <w:rsid w:val="7ADD0CB3"/>
    <w:rsid w:val="7ADF7479"/>
    <w:rsid w:val="7AEE7323"/>
    <w:rsid w:val="7AEF4E49"/>
    <w:rsid w:val="7AF05B67"/>
    <w:rsid w:val="7AF64545"/>
    <w:rsid w:val="7AFE43B5"/>
    <w:rsid w:val="7B0021B8"/>
    <w:rsid w:val="7B002BB2"/>
    <w:rsid w:val="7B0411CE"/>
    <w:rsid w:val="7B092AFD"/>
    <w:rsid w:val="7B0A50DC"/>
    <w:rsid w:val="7B0E7EEC"/>
    <w:rsid w:val="7B110850"/>
    <w:rsid w:val="7B11155A"/>
    <w:rsid w:val="7B130B37"/>
    <w:rsid w:val="7B175E37"/>
    <w:rsid w:val="7B176E50"/>
    <w:rsid w:val="7B1D3764"/>
    <w:rsid w:val="7B203254"/>
    <w:rsid w:val="7B2368A0"/>
    <w:rsid w:val="7B255DFC"/>
    <w:rsid w:val="7B317C6C"/>
    <w:rsid w:val="7B420274"/>
    <w:rsid w:val="7B525B30"/>
    <w:rsid w:val="7B5829EE"/>
    <w:rsid w:val="7B5A2E8F"/>
    <w:rsid w:val="7B5F3D7C"/>
    <w:rsid w:val="7B616B6D"/>
    <w:rsid w:val="7B6216CE"/>
    <w:rsid w:val="7B645959"/>
    <w:rsid w:val="7B6611AD"/>
    <w:rsid w:val="7B740682"/>
    <w:rsid w:val="7B810197"/>
    <w:rsid w:val="7B852963"/>
    <w:rsid w:val="7B860C04"/>
    <w:rsid w:val="7B871525"/>
    <w:rsid w:val="7B8C2698"/>
    <w:rsid w:val="7B8C6B3B"/>
    <w:rsid w:val="7B972862"/>
    <w:rsid w:val="7BA479E1"/>
    <w:rsid w:val="7BA619AB"/>
    <w:rsid w:val="7BAD0CDD"/>
    <w:rsid w:val="7BAE3BC5"/>
    <w:rsid w:val="7BB44A47"/>
    <w:rsid w:val="7BB811CA"/>
    <w:rsid w:val="7BBD1E28"/>
    <w:rsid w:val="7BBF12A6"/>
    <w:rsid w:val="7BC2255D"/>
    <w:rsid w:val="7BC67550"/>
    <w:rsid w:val="7BCD518A"/>
    <w:rsid w:val="7BD34D86"/>
    <w:rsid w:val="7BD517A1"/>
    <w:rsid w:val="7BDF1F28"/>
    <w:rsid w:val="7BE129E3"/>
    <w:rsid w:val="7BEC047A"/>
    <w:rsid w:val="7BF61333"/>
    <w:rsid w:val="7BF87D2D"/>
    <w:rsid w:val="7C045DCD"/>
    <w:rsid w:val="7C0604C2"/>
    <w:rsid w:val="7C0A6613"/>
    <w:rsid w:val="7C0B7C0A"/>
    <w:rsid w:val="7C132BA5"/>
    <w:rsid w:val="7C1A707C"/>
    <w:rsid w:val="7C1E4148"/>
    <w:rsid w:val="7C2B36D1"/>
    <w:rsid w:val="7C2D5C29"/>
    <w:rsid w:val="7C3B62FE"/>
    <w:rsid w:val="7C3C01C5"/>
    <w:rsid w:val="7C43544C"/>
    <w:rsid w:val="7C436D7D"/>
    <w:rsid w:val="7C437F55"/>
    <w:rsid w:val="7C451237"/>
    <w:rsid w:val="7C466CEA"/>
    <w:rsid w:val="7C485F4B"/>
    <w:rsid w:val="7C492EF6"/>
    <w:rsid w:val="7C4A4A2C"/>
    <w:rsid w:val="7C5A6640"/>
    <w:rsid w:val="7C5F55A2"/>
    <w:rsid w:val="7C605FFE"/>
    <w:rsid w:val="7C6743CC"/>
    <w:rsid w:val="7C675BA2"/>
    <w:rsid w:val="7C6F0BE5"/>
    <w:rsid w:val="7C700629"/>
    <w:rsid w:val="7C741AA9"/>
    <w:rsid w:val="7C834708"/>
    <w:rsid w:val="7C907D5E"/>
    <w:rsid w:val="7C950041"/>
    <w:rsid w:val="7C99193D"/>
    <w:rsid w:val="7C9B5288"/>
    <w:rsid w:val="7C9E513F"/>
    <w:rsid w:val="7C9E5F26"/>
    <w:rsid w:val="7CA13F21"/>
    <w:rsid w:val="7CA147AE"/>
    <w:rsid w:val="7CA448AC"/>
    <w:rsid w:val="7CAD4FBB"/>
    <w:rsid w:val="7CB4175F"/>
    <w:rsid w:val="7CB43C54"/>
    <w:rsid w:val="7CB4634A"/>
    <w:rsid w:val="7CB63E70"/>
    <w:rsid w:val="7CB71946"/>
    <w:rsid w:val="7CB843BC"/>
    <w:rsid w:val="7CB93960"/>
    <w:rsid w:val="7CBB7FE9"/>
    <w:rsid w:val="7CC12815"/>
    <w:rsid w:val="7CC320E9"/>
    <w:rsid w:val="7CC61296"/>
    <w:rsid w:val="7CC85951"/>
    <w:rsid w:val="7CD51E1C"/>
    <w:rsid w:val="7CD80CBD"/>
    <w:rsid w:val="7CD97B5E"/>
    <w:rsid w:val="7CDC191A"/>
    <w:rsid w:val="7CDE70DF"/>
    <w:rsid w:val="7CE00EED"/>
    <w:rsid w:val="7CE16A13"/>
    <w:rsid w:val="7CE9270B"/>
    <w:rsid w:val="7CF16C56"/>
    <w:rsid w:val="7D0374A1"/>
    <w:rsid w:val="7D056BA5"/>
    <w:rsid w:val="7D060AB1"/>
    <w:rsid w:val="7D0E0BFB"/>
    <w:rsid w:val="7D0F17D2"/>
    <w:rsid w:val="7D1172F8"/>
    <w:rsid w:val="7D187090"/>
    <w:rsid w:val="7D1A2BDE"/>
    <w:rsid w:val="7D212783"/>
    <w:rsid w:val="7D28197F"/>
    <w:rsid w:val="7D291B63"/>
    <w:rsid w:val="7D2B209F"/>
    <w:rsid w:val="7D2F2D01"/>
    <w:rsid w:val="7D311748"/>
    <w:rsid w:val="7D3134F6"/>
    <w:rsid w:val="7D3A3518"/>
    <w:rsid w:val="7D3B6786"/>
    <w:rsid w:val="7D3E4E7D"/>
    <w:rsid w:val="7D44010E"/>
    <w:rsid w:val="7D48697F"/>
    <w:rsid w:val="7D4B44A2"/>
    <w:rsid w:val="7D511DEB"/>
    <w:rsid w:val="7D516126"/>
    <w:rsid w:val="7D52346D"/>
    <w:rsid w:val="7D545437"/>
    <w:rsid w:val="7D556EC4"/>
    <w:rsid w:val="7D58669A"/>
    <w:rsid w:val="7D5C4FEF"/>
    <w:rsid w:val="7D5D078F"/>
    <w:rsid w:val="7D5D42EC"/>
    <w:rsid w:val="7D5D7134"/>
    <w:rsid w:val="7D6042D6"/>
    <w:rsid w:val="7D6063CC"/>
    <w:rsid w:val="7D6147A8"/>
    <w:rsid w:val="7D6430DA"/>
    <w:rsid w:val="7D6438CC"/>
    <w:rsid w:val="7D6531A0"/>
    <w:rsid w:val="7D697134"/>
    <w:rsid w:val="7D6C47B9"/>
    <w:rsid w:val="7D6F116B"/>
    <w:rsid w:val="7D704299"/>
    <w:rsid w:val="7D711B45"/>
    <w:rsid w:val="7D7C4868"/>
    <w:rsid w:val="7D812A32"/>
    <w:rsid w:val="7D9122DE"/>
    <w:rsid w:val="7D936A99"/>
    <w:rsid w:val="7D943A85"/>
    <w:rsid w:val="7DA42B25"/>
    <w:rsid w:val="7DA65D9B"/>
    <w:rsid w:val="7DB34EF7"/>
    <w:rsid w:val="7DB72CB9"/>
    <w:rsid w:val="7DB92DCC"/>
    <w:rsid w:val="7DBF4FA6"/>
    <w:rsid w:val="7DC205F3"/>
    <w:rsid w:val="7DC425BD"/>
    <w:rsid w:val="7DC46C7B"/>
    <w:rsid w:val="7DC56684"/>
    <w:rsid w:val="7DCC327D"/>
    <w:rsid w:val="7DCD5415"/>
    <w:rsid w:val="7DD1164D"/>
    <w:rsid w:val="7DD50728"/>
    <w:rsid w:val="7DDC0A98"/>
    <w:rsid w:val="7DDD3A81"/>
    <w:rsid w:val="7DDF11B8"/>
    <w:rsid w:val="7DDF6B22"/>
    <w:rsid w:val="7DE50961"/>
    <w:rsid w:val="7DE608EE"/>
    <w:rsid w:val="7DE7145B"/>
    <w:rsid w:val="7DEB790D"/>
    <w:rsid w:val="7DEC2867"/>
    <w:rsid w:val="7DEE0C59"/>
    <w:rsid w:val="7DEF50F8"/>
    <w:rsid w:val="7DEF7BA5"/>
    <w:rsid w:val="7DFD2838"/>
    <w:rsid w:val="7E07338D"/>
    <w:rsid w:val="7E143D55"/>
    <w:rsid w:val="7E161B3A"/>
    <w:rsid w:val="7E2263F5"/>
    <w:rsid w:val="7E284F07"/>
    <w:rsid w:val="7E297B77"/>
    <w:rsid w:val="7E2A2187"/>
    <w:rsid w:val="7E2B263C"/>
    <w:rsid w:val="7E2F494B"/>
    <w:rsid w:val="7E355268"/>
    <w:rsid w:val="7E3A2F3D"/>
    <w:rsid w:val="7E3B104A"/>
    <w:rsid w:val="7E402D12"/>
    <w:rsid w:val="7E404A2E"/>
    <w:rsid w:val="7E410106"/>
    <w:rsid w:val="7E4159BB"/>
    <w:rsid w:val="7E4234E1"/>
    <w:rsid w:val="7E447259"/>
    <w:rsid w:val="7E452A6D"/>
    <w:rsid w:val="7E461224"/>
    <w:rsid w:val="7E5775F0"/>
    <w:rsid w:val="7E5E656D"/>
    <w:rsid w:val="7E6374EE"/>
    <w:rsid w:val="7E641D51"/>
    <w:rsid w:val="7E67747F"/>
    <w:rsid w:val="7E6B5D1B"/>
    <w:rsid w:val="7E6D055E"/>
    <w:rsid w:val="7E6E42D6"/>
    <w:rsid w:val="7E754D4C"/>
    <w:rsid w:val="7E7C2E97"/>
    <w:rsid w:val="7E7D7AB8"/>
    <w:rsid w:val="7E7F29CF"/>
    <w:rsid w:val="7E7F2CF4"/>
    <w:rsid w:val="7E805D42"/>
    <w:rsid w:val="7E834226"/>
    <w:rsid w:val="7E84454C"/>
    <w:rsid w:val="7E92712E"/>
    <w:rsid w:val="7E946B13"/>
    <w:rsid w:val="7E97148B"/>
    <w:rsid w:val="7E9E696A"/>
    <w:rsid w:val="7E9E7CC6"/>
    <w:rsid w:val="7EA0294E"/>
    <w:rsid w:val="7EA03936"/>
    <w:rsid w:val="7EA04D83"/>
    <w:rsid w:val="7EA7580B"/>
    <w:rsid w:val="7EA77F57"/>
    <w:rsid w:val="7EAE305B"/>
    <w:rsid w:val="7EAF4EDB"/>
    <w:rsid w:val="7EB51862"/>
    <w:rsid w:val="7EB64F9D"/>
    <w:rsid w:val="7EBA4217"/>
    <w:rsid w:val="7EBC28EE"/>
    <w:rsid w:val="7EC02D84"/>
    <w:rsid w:val="7EC100F8"/>
    <w:rsid w:val="7EC14D4E"/>
    <w:rsid w:val="7EC87BBE"/>
    <w:rsid w:val="7ED24865"/>
    <w:rsid w:val="7ED357AB"/>
    <w:rsid w:val="7ED93E46"/>
    <w:rsid w:val="7EDC3936"/>
    <w:rsid w:val="7EE2719E"/>
    <w:rsid w:val="7EE55250"/>
    <w:rsid w:val="7EE92F31"/>
    <w:rsid w:val="7EEE01B4"/>
    <w:rsid w:val="7EF42A2E"/>
    <w:rsid w:val="7F010DF1"/>
    <w:rsid w:val="7F017D4A"/>
    <w:rsid w:val="7F0653CD"/>
    <w:rsid w:val="7F0A39CF"/>
    <w:rsid w:val="7F0F1615"/>
    <w:rsid w:val="7F121106"/>
    <w:rsid w:val="7F17496E"/>
    <w:rsid w:val="7F1B4459"/>
    <w:rsid w:val="7F1C2BAD"/>
    <w:rsid w:val="7F22029F"/>
    <w:rsid w:val="7F2257ED"/>
    <w:rsid w:val="7F2D1F8D"/>
    <w:rsid w:val="7F3177DE"/>
    <w:rsid w:val="7F391C08"/>
    <w:rsid w:val="7F3A70EB"/>
    <w:rsid w:val="7F460DAF"/>
    <w:rsid w:val="7F465514"/>
    <w:rsid w:val="7F472C8E"/>
    <w:rsid w:val="7F4734A5"/>
    <w:rsid w:val="7F4B5100"/>
    <w:rsid w:val="7F531E4A"/>
    <w:rsid w:val="7F547970"/>
    <w:rsid w:val="7F5D6825"/>
    <w:rsid w:val="7F64713E"/>
    <w:rsid w:val="7F6A7194"/>
    <w:rsid w:val="7F6E2D98"/>
    <w:rsid w:val="7F7B314F"/>
    <w:rsid w:val="7F7D2A23"/>
    <w:rsid w:val="7F822FDE"/>
    <w:rsid w:val="7F8244DD"/>
    <w:rsid w:val="7F86307E"/>
    <w:rsid w:val="7F874EA6"/>
    <w:rsid w:val="7F8B7E3A"/>
    <w:rsid w:val="7F8E4C30"/>
    <w:rsid w:val="7F8F7AD3"/>
    <w:rsid w:val="7F98785D"/>
    <w:rsid w:val="7F9B0B07"/>
    <w:rsid w:val="7F9C2BAB"/>
    <w:rsid w:val="7F9E5575"/>
    <w:rsid w:val="7F9F6E3D"/>
    <w:rsid w:val="7FA53D28"/>
    <w:rsid w:val="7FB22BB4"/>
    <w:rsid w:val="7FB565D2"/>
    <w:rsid w:val="7FB860D8"/>
    <w:rsid w:val="7FBC6009"/>
    <w:rsid w:val="7FC075D6"/>
    <w:rsid w:val="7FC64B8B"/>
    <w:rsid w:val="7FCF4271"/>
    <w:rsid w:val="7FD12D6F"/>
    <w:rsid w:val="7FDA6241"/>
    <w:rsid w:val="7FDE1F4A"/>
    <w:rsid w:val="7FDE32F6"/>
    <w:rsid w:val="7FE01204"/>
    <w:rsid w:val="7FE432AF"/>
    <w:rsid w:val="7FE5677E"/>
    <w:rsid w:val="7FE7774A"/>
    <w:rsid w:val="7FEA5478"/>
    <w:rsid w:val="7FED119E"/>
    <w:rsid w:val="7FF01447"/>
    <w:rsid w:val="7FF12072"/>
    <w:rsid w:val="7FF52F01"/>
    <w:rsid w:val="7FFB7DEC"/>
    <w:rsid w:val="7FFD58ED"/>
    <w:rsid w:val="7FFF07D7"/>
    <w:rsid w:val="F65F0DB7"/>
    <w:rsid w:val="FB64A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9"/>
    <w:pPr>
      <w:autoSpaceDE w:val="0"/>
      <w:autoSpaceDN w:val="0"/>
      <w:spacing w:before="34"/>
      <w:ind w:right="18"/>
      <w:jc w:val="center"/>
      <w:outlineLvl w:val="0"/>
    </w:pPr>
    <w:rPr>
      <w:rFonts w:ascii="宋体" w:hAnsi="宋体" w:cs="宋体"/>
      <w:b/>
      <w:bCs/>
      <w:kern w:val="0"/>
      <w:sz w:val="32"/>
      <w:szCs w:val="32"/>
      <w:lang w:val="zh-CN"/>
    </w:rPr>
  </w:style>
  <w:style w:type="paragraph" w:styleId="3">
    <w:name w:val="heading 2"/>
    <w:basedOn w:val="1"/>
    <w:next w:val="1"/>
    <w:qFormat/>
    <w:uiPriority w:val="99"/>
    <w:pPr>
      <w:autoSpaceDE w:val="0"/>
      <w:autoSpaceDN w:val="0"/>
      <w:ind w:left="1339"/>
      <w:jc w:val="left"/>
      <w:outlineLvl w:val="1"/>
    </w:pPr>
    <w:rPr>
      <w:rFonts w:ascii="黑体" w:hAnsi="黑体" w:eastAsia="黑体" w:cs="黑体"/>
      <w:kern w:val="0"/>
      <w:sz w:val="32"/>
      <w:szCs w:val="32"/>
      <w:lang w:val="zh-CN"/>
    </w:rPr>
  </w:style>
  <w:style w:type="paragraph" w:styleId="4">
    <w:name w:val="heading 3"/>
    <w:basedOn w:val="1"/>
    <w:next w:val="1"/>
    <w:link w:val="43"/>
    <w:autoRedefine/>
    <w:qFormat/>
    <w:uiPriority w:val="0"/>
    <w:pPr>
      <w:keepNext/>
      <w:keepLines/>
      <w:spacing w:before="260" w:after="260" w:line="412" w:lineRule="auto"/>
      <w:jc w:val="left"/>
      <w:outlineLvl w:val="2"/>
    </w:pPr>
    <w:rPr>
      <w:b/>
      <w:bCs/>
      <w:sz w:val="30"/>
      <w:szCs w:val="30"/>
    </w:rPr>
  </w:style>
  <w:style w:type="paragraph" w:styleId="5">
    <w:name w:val="heading 4"/>
    <w:basedOn w:val="1"/>
    <w:next w:val="1"/>
    <w:autoRedefine/>
    <w:qFormat/>
    <w:uiPriority w:val="99"/>
    <w:pPr>
      <w:autoSpaceDE w:val="0"/>
      <w:autoSpaceDN w:val="0"/>
      <w:ind w:left="703" w:hanging="485"/>
      <w:jc w:val="left"/>
      <w:outlineLvl w:val="3"/>
    </w:pPr>
    <w:rPr>
      <w:rFonts w:ascii="宋体" w:hAnsi="宋体" w:cs="宋体"/>
      <w:b/>
      <w:bCs/>
      <w:kern w:val="0"/>
      <w:sz w:val="24"/>
      <w:lang w:val="zh-CN"/>
    </w:rPr>
  </w:style>
  <w:style w:type="paragraph" w:styleId="6">
    <w:name w:val="heading 5"/>
    <w:basedOn w:val="1"/>
    <w:next w:val="1"/>
    <w:qFormat/>
    <w:uiPriority w:val="99"/>
    <w:pPr>
      <w:autoSpaceDE w:val="0"/>
      <w:autoSpaceDN w:val="0"/>
      <w:spacing w:before="161"/>
      <w:ind w:left="2709"/>
      <w:jc w:val="left"/>
      <w:outlineLvl w:val="4"/>
    </w:pPr>
    <w:rPr>
      <w:rFonts w:ascii="宋体" w:hAnsi="宋体" w:cs="宋体"/>
      <w:kern w:val="0"/>
      <w:sz w:val="24"/>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widowControl/>
      <w:spacing w:before="100" w:beforeAutospacing="1" w:after="100" w:afterAutospacing="1"/>
      <w:jc w:val="left"/>
    </w:pPr>
    <w:rPr>
      <w:rFonts w:ascii="宋体" w:hAnsi="宋体" w:cs="宋体"/>
      <w:kern w:val="0"/>
      <w:sz w:val="24"/>
    </w:rPr>
  </w:style>
  <w:style w:type="paragraph" w:styleId="8">
    <w:name w:val="Body Text 2"/>
    <w:basedOn w:val="1"/>
    <w:next w:val="9"/>
    <w:autoRedefine/>
    <w:unhideWhenUsed/>
    <w:qFormat/>
    <w:uiPriority w:val="99"/>
    <w:pPr>
      <w:widowControl/>
      <w:spacing w:before="100" w:beforeAutospacing="1" w:after="100" w:afterAutospacing="1"/>
      <w:jc w:val="left"/>
    </w:pPr>
    <w:rPr>
      <w:rFonts w:ascii="宋体" w:hAnsi="宋体"/>
      <w:kern w:val="0"/>
      <w:sz w:val="24"/>
    </w:rPr>
  </w:style>
  <w:style w:type="paragraph" w:styleId="9">
    <w:name w:val="Body Text"/>
    <w:basedOn w:val="1"/>
    <w:qFormat/>
    <w:uiPriority w:val="99"/>
    <w:pPr>
      <w:autoSpaceDE w:val="0"/>
      <w:autoSpaceDN w:val="0"/>
      <w:jc w:val="left"/>
    </w:pPr>
    <w:rPr>
      <w:rFonts w:ascii="宋体" w:hAnsi="宋体" w:cs="宋体"/>
      <w:kern w:val="0"/>
      <w:szCs w:val="21"/>
      <w:lang w:val="zh-CN"/>
    </w:rPr>
  </w:style>
  <w:style w:type="paragraph" w:styleId="10">
    <w:name w:val="annotation text"/>
    <w:basedOn w:val="1"/>
    <w:autoRedefine/>
    <w:qFormat/>
    <w:uiPriority w:val="0"/>
    <w:pPr>
      <w:jc w:val="left"/>
    </w:pPr>
  </w:style>
  <w:style w:type="paragraph" w:styleId="11">
    <w:name w:val="Salutation"/>
    <w:basedOn w:val="1"/>
    <w:next w:val="1"/>
    <w:qFormat/>
    <w:uiPriority w:val="0"/>
  </w:style>
  <w:style w:type="paragraph" w:styleId="12">
    <w:name w:val="Body Text Indent"/>
    <w:basedOn w:val="1"/>
    <w:next w:val="13"/>
    <w:unhideWhenUsed/>
    <w:qFormat/>
    <w:uiPriority w:val="99"/>
    <w:pPr>
      <w:autoSpaceDE w:val="0"/>
      <w:autoSpaceDN w:val="0"/>
      <w:spacing w:after="120"/>
      <w:ind w:left="420" w:leftChars="200"/>
      <w:jc w:val="left"/>
    </w:pPr>
    <w:rPr>
      <w:rFonts w:ascii="宋体" w:hAnsi="宋体" w:cs="宋体"/>
      <w:kern w:val="0"/>
      <w:sz w:val="22"/>
      <w:lang w:val="zh-CN"/>
    </w:rPr>
  </w:style>
  <w:style w:type="paragraph" w:styleId="13">
    <w:name w:val="envelope return"/>
    <w:basedOn w:val="1"/>
    <w:qFormat/>
    <w:uiPriority w:val="0"/>
    <w:pPr>
      <w:snapToGrid w:val="0"/>
    </w:pPr>
    <w:rPr>
      <w:rFonts w:ascii="Arial" w:hAnsi="Arial"/>
    </w:rPr>
  </w:style>
  <w:style w:type="paragraph" w:styleId="14">
    <w:name w:val="List 2"/>
    <w:basedOn w:val="1"/>
    <w:qFormat/>
    <w:uiPriority w:val="99"/>
    <w:pPr>
      <w:autoSpaceDE w:val="0"/>
      <w:autoSpaceDN w:val="0"/>
      <w:ind w:left="100" w:leftChars="200" w:hanging="200" w:hangingChars="200"/>
      <w:contextualSpacing/>
      <w:jc w:val="left"/>
    </w:pPr>
    <w:rPr>
      <w:rFonts w:ascii="宋体" w:hAnsi="宋体" w:cs="宋体"/>
      <w:kern w:val="0"/>
      <w:sz w:val="22"/>
      <w:lang w:val="zh-CN"/>
    </w:rPr>
  </w:style>
  <w:style w:type="paragraph" w:styleId="15">
    <w:name w:val="Plain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16">
    <w:name w:val="Date"/>
    <w:basedOn w:val="1"/>
    <w:next w:val="1"/>
    <w:autoRedefine/>
    <w:semiHidden/>
    <w:qFormat/>
    <w:uiPriority w:val="0"/>
    <w:rPr>
      <w:szCs w:val="20"/>
    </w:rPr>
  </w:style>
  <w:style w:type="paragraph" w:styleId="17">
    <w:name w:val="Body Text Indent 2"/>
    <w:basedOn w:val="1"/>
    <w:autoRedefine/>
    <w:qFormat/>
    <w:uiPriority w:val="99"/>
    <w:pPr>
      <w:autoSpaceDE w:val="0"/>
      <w:autoSpaceDN w:val="0"/>
      <w:ind w:firstLine="570"/>
      <w:jc w:val="left"/>
    </w:pPr>
    <w:rPr>
      <w:rFonts w:ascii="宋体" w:hAnsi="宋体" w:cs="宋体"/>
      <w:kern w:val="0"/>
      <w:sz w:val="32"/>
      <w:szCs w:val="32"/>
      <w:lang w:val="zh-CN"/>
    </w:rPr>
  </w:style>
  <w:style w:type="paragraph" w:styleId="18">
    <w:name w:val="Balloon Text"/>
    <w:basedOn w:val="1"/>
    <w:link w:val="44"/>
    <w:autoRedefine/>
    <w:qFormat/>
    <w:uiPriority w:val="0"/>
    <w:rPr>
      <w:sz w:val="18"/>
      <w:szCs w:val="18"/>
    </w:rPr>
  </w:style>
  <w:style w:type="paragraph" w:styleId="19">
    <w:name w:val="footer"/>
    <w:basedOn w:val="1"/>
    <w:autoRedefine/>
    <w:unhideWhenUsed/>
    <w:qFormat/>
    <w:uiPriority w:val="99"/>
    <w:pPr>
      <w:tabs>
        <w:tab w:val="center" w:pos="4153"/>
        <w:tab w:val="right" w:pos="8306"/>
      </w:tabs>
      <w:snapToGrid w:val="0"/>
      <w:jc w:val="left"/>
    </w:pPr>
    <w:rPr>
      <w:sz w:val="18"/>
      <w:szCs w:val="18"/>
    </w:rPr>
  </w:style>
  <w:style w:type="paragraph" w:styleId="20">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99"/>
    <w:pPr>
      <w:autoSpaceDE w:val="0"/>
      <w:autoSpaceDN w:val="0"/>
      <w:spacing w:before="3"/>
      <w:ind w:left="430"/>
      <w:jc w:val="left"/>
    </w:pPr>
    <w:rPr>
      <w:rFonts w:ascii="宋体" w:hAnsi="宋体" w:cs="宋体"/>
      <w:kern w:val="0"/>
      <w:sz w:val="20"/>
      <w:szCs w:val="20"/>
      <w:lang w:val="zh-CN"/>
    </w:rPr>
  </w:style>
  <w:style w:type="paragraph" w:styleId="22">
    <w:name w:val="Message Header"/>
    <w:basedOn w:val="1"/>
    <w:link w:val="42"/>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Normal (Web)"/>
    <w:basedOn w:val="1"/>
    <w:autoRedefine/>
    <w:qFormat/>
    <w:uiPriority w:val="0"/>
    <w:pPr>
      <w:spacing w:before="100" w:beforeAutospacing="1" w:after="100" w:afterAutospacing="1"/>
      <w:jc w:val="left"/>
    </w:pPr>
    <w:rPr>
      <w:kern w:val="0"/>
      <w:sz w:val="24"/>
    </w:rPr>
  </w:style>
  <w:style w:type="paragraph" w:styleId="24">
    <w:name w:val="Body Text First Indent"/>
    <w:basedOn w:val="9"/>
    <w:autoRedefine/>
    <w:qFormat/>
    <w:uiPriority w:val="99"/>
    <w:pPr>
      <w:spacing w:after="120"/>
      <w:ind w:firstLine="420" w:firstLineChars="100"/>
    </w:pPr>
    <w:rPr>
      <w:rFonts w:ascii="Times New Roman" w:hAnsi="Times New Roman"/>
      <w:szCs w:val="20"/>
    </w:rPr>
  </w:style>
  <w:style w:type="paragraph" w:styleId="25">
    <w:name w:val="Body Text First Indent 2"/>
    <w:basedOn w:val="12"/>
    <w:next w:val="24"/>
    <w:autoRedefine/>
    <w:unhideWhenUsed/>
    <w:qFormat/>
    <w:uiPriority w:val="99"/>
    <w:pPr>
      <w:ind w:firstLine="420" w:firstLineChars="2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22"/>
    <w:rPr>
      <w:b/>
      <w:bCs/>
    </w:rPr>
  </w:style>
  <w:style w:type="character" w:styleId="30">
    <w:name w:val="page number"/>
    <w:autoRedefine/>
    <w:qFormat/>
    <w:uiPriority w:val="0"/>
  </w:style>
  <w:style w:type="character" w:styleId="31">
    <w:name w:val="FollowedHyperlink"/>
    <w:autoRedefine/>
    <w:qFormat/>
    <w:uiPriority w:val="0"/>
    <w:rPr>
      <w:color w:val="000000"/>
      <w:u w:val="none"/>
    </w:rPr>
  </w:style>
  <w:style w:type="character" w:styleId="32">
    <w:name w:val="Emphasis"/>
    <w:autoRedefine/>
    <w:qFormat/>
    <w:uiPriority w:val="0"/>
  </w:style>
  <w:style w:type="character" w:styleId="33">
    <w:name w:val="HTML Definition"/>
    <w:autoRedefine/>
    <w:qFormat/>
    <w:uiPriority w:val="0"/>
    <w:rPr>
      <w:i/>
      <w:iCs/>
    </w:rPr>
  </w:style>
  <w:style w:type="character" w:styleId="34">
    <w:name w:val="Hyperlink"/>
    <w:autoRedefine/>
    <w:qFormat/>
    <w:uiPriority w:val="99"/>
    <w:rPr>
      <w:rFonts w:cs="Times New Roman"/>
      <w:color w:val="0000FF"/>
      <w:u w:val="single"/>
    </w:rPr>
  </w:style>
  <w:style w:type="character" w:styleId="35">
    <w:name w:val="HTML Code"/>
    <w:autoRedefine/>
    <w:qFormat/>
    <w:uiPriority w:val="0"/>
    <w:rPr>
      <w:rFonts w:ascii="Consolas" w:hAnsi="Consolas" w:eastAsia="Consolas" w:cs="Consolas"/>
      <w:color w:val="C7254E"/>
      <w:sz w:val="21"/>
      <w:szCs w:val="21"/>
      <w:shd w:val="clear" w:color="auto" w:fill="F9F2F4"/>
    </w:rPr>
  </w:style>
  <w:style w:type="character" w:styleId="36">
    <w:name w:val="annotation reference"/>
    <w:basedOn w:val="28"/>
    <w:qFormat/>
    <w:uiPriority w:val="0"/>
    <w:rPr>
      <w:sz w:val="21"/>
      <w:szCs w:val="21"/>
    </w:rPr>
  </w:style>
  <w:style w:type="character" w:styleId="37">
    <w:name w:val="HTML Keyboard"/>
    <w:autoRedefine/>
    <w:qFormat/>
    <w:uiPriority w:val="0"/>
    <w:rPr>
      <w:rFonts w:hint="default" w:ascii="Consolas" w:hAnsi="Consolas" w:eastAsia="Consolas" w:cs="Consolas"/>
      <w:color w:val="FFFFFF"/>
      <w:sz w:val="21"/>
      <w:szCs w:val="21"/>
      <w:shd w:val="clear" w:color="auto" w:fill="333333"/>
    </w:rPr>
  </w:style>
  <w:style w:type="character" w:styleId="38">
    <w:name w:val="HTML Sample"/>
    <w:autoRedefine/>
    <w:qFormat/>
    <w:uiPriority w:val="0"/>
    <w:rPr>
      <w:rFonts w:hint="default" w:ascii="Consolas" w:hAnsi="Consolas" w:eastAsia="Consolas" w:cs="Consolas"/>
      <w:sz w:val="21"/>
      <w:szCs w:val="21"/>
    </w:rPr>
  </w:style>
  <w:style w:type="paragraph" w:customStyle="1" w:styleId="39">
    <w:name w:val="表格文字"/>
    <w:basedOn w:val="40"/>
    <w:autoRedefine/>
    <w:qFormat/>
    <w:uiPriority w:val="0"/>
    <w:pPr>
      <w:spacing w:before="25" w:after="25"/>
      <w:ind w:firstLine="0"/>
      <w:jc w:val="left"/>
    </w:pPr>
    <w:rPr>
      <w:bCs/>
      <w:spacing w:val="10"/>
      <w:kern w:val="0"/>
      <w:sz w:val="24"/>
    </w:rPr>
  </w:style>
  <w:style w:type="paragraph" w:customStyle="1" w:styleId="40">
    <w:name w:val="表格文字图表文字"/>
    <w:basedOn w:val="1"/>
    <w:autoRedefine/>
    <w:qFormat/>
    <w:uiPriority w:val="0"/>
    <w:pPr>
      <w:snapToGrid w:val="0"/>
      <w:ind w:firstLine="200" w:firstLineChars="200"/>
      <w:jc w:val="center"/>
    </w:pPr>
    <w:rPr>
      <w:color w:val="7030A0"/>
    </w:rPr>
  </w:style>
  <w:style w:type="paragraph" w:customStyle="1" w:styleId="41">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2">
    <w:name w:val="信息标题 Char"/>
    <w:link w:val="22"/>
    <w:autoRedefine/>
    <w:qFormat/>
    <w:uiPriority w:val="0"/>
    <w:rPr>
      <w:rFonts w:ascii="Calibri Light" w:hAnsi="Calibri Light" w:eastAsia="宋体" w:cs="Times New Roman"/>
      <w:kern w:val="2"/>
      <w:sz w:val="24"/>
      <w:szCs w:val="24"/>
      <w:shd w:val="pct20" w:color="auto" w:fill="auto"/>
    </w:rPr>
  </w:style>
  <w:style w:type="character" w:customStyle="1" w:styleId="43">
    <w:name w:val="标题 3 Char"/>
    <w:link w:val="4"/>
    <w:autoRedefine/>
    <w:qFormat/>
    <w:uiPriority w:val="0"/>
    <w:rPr>
      <w:b/>
      <w:bCs/>
      <w:sz w:val="30"/>
      <w:szCs w:val="30"/>
    </w:rPr>
  </w:style>
  <w:style w:type="character" w:customStyle="1" w:styleId="44">
    <w:name w:val="批注框文本 Char"/>
    <w:link w:val="18"/>
    <w:autoRedefine/>
    <w:qFormat/>
    <w:uiPriority w:val="0"/>
    <w:rPr>
      <w:kern w:val="2"/>
      <w:sz w:val="18"/>
      <w:szCs w:val="18"/>
    </w:rPr>
  </w:style>
  <w:style w:type="paragraph" w:customStyle="1" w:styleId="45">
    <w:name w:val="style4"/>
    <w:basedOn w:val="1"/>
    <w:next w:val="46"/>
    <w:autoRedefine/>
    <w:qFormat/>
    <w:uiPriority w:val="0"/>
    <w:pPr>
      <w:widowControl/>
      <w:spacing w:before="280" w:after="280"/>
    </w:pPr>
    <w:rPr>
      <w:sz w:val="18"/>
    </w:rPr>
  </w:style>
  <w:style w:type="paragraph" w:customStyle="1" w:styleId="4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47">
    <w:name w:val="right"/>
    <w:autoRedefine/>
    <w:qFormat/>
    <w:uiPriority w:val="0"/>
    <w:rPr>
      <w:color w:val="999999"/>
    </w:rPr>
  </w:style>
  <w:style w:type="character" w:customStyle="1" w:styleId="48">
    <w:name w:val="blue"/>
    <w:autoRedefine/>
    <w:qFormat/>
    <w:uiPriority w:val="0"/>
    <w:rPr>
      <w:color w:val="0371C6"/>
      <w:sz w:val="21"/>
      <w:szCs w:val="21"/>
    </w:rPr>
  </w:style>
  <w:style w:type="character" w:customStyle="1" w:styleId="49">
    <w:name w:val="item-name1"/>
    <w:autoRedefine/>
    <w:qFormat/>
    <w:uiPriority w:val="0"/>
  </w:style>
  <w:style w:type="character" w:customStyle="1" w:styleId="50">
    <w:name w:val="gb-jt"/>
    <w:autoRedefine/>
    <w:qFormat/>
    <w:uiPriority w:val="0"/>
  </w:style>
  <w:style w:type="character" w:customStyle="1" w:styleId="51">
    <w:name w:val="item-name"/>
    <w:autoRedefine/>
    <w:qFormat/>
    <w:uiPriority w:val="0"/>
  </w:style>
  <w:style w:type="character" w:customStyle="1" w:styleId="52">
    <w:name w:val="hover13"/>
    <w:autoRedefine/>
    <w:qFormat/>
    <w:uiPriority w:val="0"/>
  </w:style>
  <w:style w:type="paragraph" w:customStyle="1" w:styleId="53">
    <w:name w:val="Table Paragraph"/>
    <w:basedOn w:val="1"/>
    <w:autoRedefine/>
    <w:qFormat/>
    <w:uiPriority w:val="99"/>
    <w:pPr>
      <w:autoSpaceDE w:val="0"/>
      <w:autoSpaceDN w:val="0"/>
      <w:jc w:val="left"/>
    </w:pPr>
    <w:rPr>
      <w:rFonts w:ascii="宋体" w:hAnsi="宋体" w:cs="宋体"/>
      <w:kern w:val="0"/>
      <w:sz w:val="22"/>
      <w:lang w:val="zh-CN"/>
    </w:rPr>
  </w:style>
  <w:style w:type="paragraph" w:customStyle="1" w:styleId="54">
    <w:name w:val="No Spacing1"/>
    <w:basedOn w:val="1"/>
    <w:autoRedefine/>
    <w:qFormat/>
    <w:uiPriority w:val="0"/>
    <w:pPr>
      <w:autoSpaceDE w:val="0"/>
      <w:autoSpaceDN w:val="0"/>
      <w:spacing w:line="400" w:lineRule="exact"/>
      <w:jc w:val="left"/>
    </w:pPr>
    <w:rPr>
      <w:rFonts w:ascii="宋体" w:hAnsi="宋体" w:cs="宋体"/>
      <w:kern w:val="0"/>
      <w:sz w:val="24"/>
      <w:lang w:val="zh-CN"/>
    </w:rPr>
  </w:style>
  <w:style w:type="paragraph" w:styleId="55">
    <w:name w:val="List Paragraph"/>
    <w:basedOn w:val="1"/>
    <w:autoRedefine/>
    <w:qFormat/>
    <w:uiPriority w:val="99"/>
    <w:pPr>
      <w:autoSpaceDE w:val="0"/>
      <w:autoSpaceDN w:val="0"/>
      <w:ind w:left="218" w:hanging="529"/>
      <w:jc w:val="left"/>
    </w:pPr>
    <w:rPr>
      <w:rFonts w:ascii="宋体" w:hAnsi="宋体" w:cs="宋体"/>
      <w:kern w:val="0"/>
      <w:sz w:val="22"/>
      <w:lang w:val="zh-CN"/>
    </w:rPr>
  </w:style>
  <w:style w:type="paragraph" w:customStyle="1" w:styleId="56">
    <w:name w:val="样式1"/>
    <w:basedOn w:val="20"/>
    <w:next w:val="5"/>
    <w:autoRedefine/>
    <w:qFormat/>
    <w:uiPriority w:val="0"/>
    <w:pPr>
      <w:tabs>
        <w:tab w:val="left" w:pos="425"/>
      </w:tabs>
      <w:ind w:left="425" w:hanging="425"/>
    </w:pPr>
  </w:style>
  <w:style w:type="character" w:customStyle="1" w:styleId="57">
    <w:name w:val="NormalCharacter"/>
    <w:autoRedefine/>
    <w:qFormat/>
    <w:uiPriority w:val="0"/>
    <w:rPr>
      <w:kern w:val="2"/>
      <w:sz w:val="21"/>
      <w:szCs w:val="22"/>
      <w:lang w:val="en-US" w:eastAsia="zh-CN" w:bidi="ar-SA"/>
    </w:rPr>
  </w:style>
  <w:style w:type="character" w:customStyle="1" w:styleId="58">
    <w:name w:val="fontstyle01"/>
    <w:autoRedefine/>
    <w:qFormat/>
    <w:uiPriority w:val="0"/>
    <w:rPr>
      <w:rFonts w:hint="default" w:ascii="TimesNewRomanPSMT" w:hAnsi="TimesNewRomanPSMT" w:eastAsia="TimesNewRomanPSMT" w:cs="TimesNewRomanPSMT"/>
      <w:color w:val="000000"/>
      <w:sz w:val="20"/>
      <w:szCs w:val="20"/>
    </w:rPr>
  </w:style>
  <w:style w:type="paragraph" w:customStyle="1" w:styleId="59">
    <w:name w:val="正文 A"/>
    <w:autoRedefine/>
    <w:qFormat/>
    <w:uiPriority w:val="0"/>
    <w:pPr>
      <w:widowControl w:val="0"/>
    </w:pPr>
    <w:rPr>
      <w:rFonts w:ascii="Microsoft JhengHei UI Light" w:hAnsi="Microsoft JhengHei UI Light" w:eastAsia="Microsoft JhengHei UI Light" w:cs="Microsoft JhengHei UI Light"/>
      <w:color w:val="000000"/>
      <w:sz w:val="22"/>
      <w:szCs w:val="22"/>
      <w:lang w:val="en-US" w:eastAsia="zh-CN" w:bidi="ar-SA"/>
    </w:rPr>
  </w:style>
  <w:style w:type="paragraph" w:customStyle="1" w:styleId="60">
    <w:name w:val="List Paragraph1"/>
    <w:autoRedefine/>
    <w:qFormat/>
    <w:uiPriority w:val="0"/>
    <w:pPr>
      <w:widowControl w:val="0"/>
      <w:spacing w:line="396" w:lineRule="exact"/>
      <w:ind w:left="1103" w:hanging="567"/>
    </w:pPr>
    <w:rPr>
      <w:rFonts w:ascii="Microsoft JhengHei UI Light" w:hAnsi="Microsoft JhengHei UI Light" w:eastAsia="Microsoft JhengHei UI Light" w:cs="Microsoft JhengHei UI Light"/>
      <w:color w:val="000000"/>
      <w:sz w:val="22"/>
      <w:szCs w:val="22"/>
      <w:lang w:val="en-US" w:eastAsia="zh-CN" w:bidi="ar-SA"/>
    </w:rPr>
  </w:style>
  <w:style w:type="character" w:customStyle="1" w:styleId="61">
    <w:name w:val="font71"/>
    <w:autoRedefine/>
    <w:qFormat/>
    <w:uiPriority w:val="0"/>
    <w:rPr>
      <w:rFonts w:hint="eastAsia" w:ascii="宋体" w:hAnsi="宋体" w:eastAsia="宋体" w:cs="宋体"/>
      <w:color w:val="000000"/>
      <w:sz w:val="24"/>
      <w:szCs w:val="24"/>
      <w:u w:val="none"/>
    </w:rPr>
  </w:style>
  <w:style w:type="character" w:customStyle="1" w:styleId="62">
    <w:name w:val="font31"/>
    <w:autoRedefine/>
    <w:qFormat/>
    <w:uiPriority w:val="0"/>
    <w:rPr>
      <w:rFonts w:hint="eastAsia" w:ascii="宋体" w:hAnsi="宋体" w:eastAsia="宋体" w:cs="宋体"/>
      <w:color w:val="000000"/>
      <w:sz w:val="20"/>
      <w:szCs w:val="20"/>
      <w:u w:val="none"/>
    </w:rPr>
  </w:style>
  <w:style w:type="character" w:customStyle="1" w:styleId="63">
    <w:name w:val="font41"/>
    <w:autoRedefine/>
    <w:qFormat/>
    <w:uiPriority w:val="0"/>
    <w:rPr>
      <w:rFonts w:hint="default" w:ascii="Arial" w:hAnsi="Arial" w:cs="Arial"/>
      <w:color w:val="000000"/>
      <w:sz w:val="20"/>
      <w:szCs w:val="20"/>
      <w:u w:val="none"/>
    </w:rPr>
  </w:style>
  <w:style w:type="character" w:customStyle="1" w:styleId="64">
    <w:name w:val="font81"/>
    <w:autoRedefine/>
    <w:qFormat/>
    <w:uiPriority w:val="0"/>
    <w:rPr>
      <w:rFonts w:hint="default" w:ascii="Arial" w:hAnsi="Arial" w:cs="Arial"/>
      <w:color w:val="FF0000"/>
      <w:sz w:val="20"/>
      <w:szCs w:val="20"/>
      <w:u w:val="none"/>
    </w:rPr>
  </w:style>
  <w:style w:type="character" w:customStyle="1" w:styleId="65">
    <w:name w:val="font112"/>
    <w:autoRedefine/>
    <w:qFormat/>
    <w:uiPriority w:val="0"/>
    <w:rPr>
      <w:rFonts w:hint="eastAsia" w:ascii="宋体" w:hAnsi="宋体" w:eastAsia="宋体" w:cs="宋体"/>
      <w:color w:val="FF0000"/>
      <w:sz w:val="20"/>
      <w:szCs w:val="20"/>
      <w:u w:val="none"/>
    </w:rPr>
  </w:style>
  <w:style w:type="character" w:customStyle="1" w:styleId="66">
    <w:name w:val="font21"/>
    <w:autoRedefine/>
    <w:qFormat/>
    <w:uiPriority w:val="0"/>
    <w:rPr>
      <w:rFonts w:hint="eastAsia" w:ascii="微软雅黑" w:hAnsi="微软雅黑" w:eastAsia="微软雅黑" w:cs="微软雅黑"/>
      <w:color w:val="000000"/>
      <w:sz w:val="22"/>
      <w:szCs w:val="22"/>
      <w:u w:val="none"/>
    </w:rPr>
  </w:style>
  <w:style w:type="character" w:customStyle="1" w:styleId="67">
    <w:name w:val="hover17"/>
    <w:autoRedefine/>
    <w:qFormat/>
    <w:uiPriority w:val="0"/>
  </w:style>
  <w:style w:type="paragraph" w:customStyle="1" w:styleId="68">
    <w:name w:val="无间隔1"/>
    <w:basedOn w:val="1"/>
    <w:autoRedefine/>
    <w:qFormat/>
    <w:uiPriority w:val="99"/>
    <w:pPr>
      <w:spacing w:line="400" w:lineRule="exact"/>
    </w:pPr>
    <w:rPr>
      <w:sz w:val="24"/>
    </w:rPr>
  </w:style>
  <w:style w:type="character" w:customStyle="1" w:styleId="69">
    <w:name w:val="hover12"/>
    <w:autoRedefine/>
    <w:qFormat/>
    <w:uiPriority w:val="0"/>
  </w:style>
  <w:style w:type="character" w:customStyle="1" w:styleId="70">
    <w:name w:val="hover"/>
    <w:autoRedefine/>
    <w:qFormat/>
    <w:uiPriority w:val="0"/>
  </w:style>
  <w:style w:type="character" w:customStyle="1" w:styleId="71">
    <w:name w:val="hover14"/>
    <w:autoRedefine/>
    <w:qFormat/>
    <w:uiPriority w:val="0"/>
  </w:style>
  <w:style w:type="paragraph" w:customStyle="1" w:styleId="72">
    <w:name w:val="正文空2格  1."/>
    <w:basedOn w:val="1"/>
    <w:autoRedefine/>
    <w:qFormat/>
    <w:uiPriority w:val="0"/>
    <w:pPr>
      <w:ind w:firstLine="480" w:firstLineChars="200"/>
    </w:pPr>
    <w:rPr>
      <w:rFonts w:cs="宋体"/>
      <w:sz w:val="28"/>
    </w:rPr>
  </w:style>
  <w:style w:type="paragraph" w:customStyle="1" w:styleId="73">
    <w:name w:val="cjk"/>
    <w:basedOn w:val="1"/>
    <w:autoRedefine/>
    <w:qFormat/>
    <w:uiPriority w:val="0"/>
    <w:pPr>
      <w:widowControl/>
      <w:spacing w:line="480" w:lineRule="auto"/>
      <w:jc w:val="left"/>
    </w:pPr>
    <w:rPr>
      <w:rFonts w:ascii="宋体" w:hAnsi="宋体" w:cs="宋体"/>
      <w:kern w:val="0"/>
      <w:sz w:val="24"/>
    </w:rPr>
  </w:style>
  <w:style w:type="character" w:customStyle="1" w:styleId="74">
    <w:name w:val="hover18"/>
    <w:autoRedefine/>
    <w:qFormat/>
    <w:uiPriority w:val="0"/>
  </w:style>
  <w:style w:type="paragraph" w:customStyle="1" w:styleId="75">
    <w:name w:val="UserStyle_0"/>
    <w:basedOn w:val="1"/>
    <w:autoRedefine/>
    <w:qFormat/>
    <w:uiPriority w:val="0"/>
    <w:pPr>
      <w:ind w:firstLine="570"/>
    </w:pPr>
    <w:rPr>
      <w:rFonts w:eastAsia="仿宋_GB2312"/>
      <w:sz w:val="32"/>
    </w:rPr>
  </w:style>
  <w:style w:type="paragraph" w:customStyle="1" w:styleId="76">
    <w:name w:val="样式 小四 行距: 1.5 倍行距 首行缩进:  2 字符"/>
    <w:basedOn w:val="1"/>
    <w:autoRedefine/>
    <w:qFormat/>
    <w:uiPriority w:val="0"/>
    <w:pPr>
      <w:spacing w:line="360" w:lineRule="auto"/>
      <w:ind w:firstLine="480" w:firstLineChars="200"/>
    </w:pPr>
    <w:rPr>
      <w:rFonts w:ascii="Times New Roman" w:hAnsi="Times New Roman"/>
      <w:sz w:val="24"/>
      <w:szCs w:val="20"/>
    </w:rPr>
  </w:style>
  <w:style w:type="paragraph" w:customStyle="1" w:styleId="77">
    <w:name w:val="_Style 71"/>
    <w:autoRedefine/>
    <w:unhideWhenUsed/>
    <w:qFormat/>
    <w:uiPriority w:val="99"/>
    <w:rPr>
      <w:rFonts w:ascii="Calibri" w:hAnsi="Calibri" w:eastAsia="宋体" w:cs="Times New Roman"/>
      <w:kern w:val="2"/>
      <w:sz w:val="21"/>
      <w:szCs w:val="24"/>
      <w:lang w:val="en-US" w:eastAsia="zh-CN" w:bidi="ar-SA"/>
    </w:rPr>
  </w:style>
  <w:style w:type="character" w:customStyle="1" w:styleId="78">
    <w:name w:val="l_10"/>
    <w:basedOn w:val="28"/>
    <w:autoRedefine/>
    <w:qFormat/>
    <w:uiPriority w:val="0"/>
  </w:style>
  <w:style w:type="character" w:customStyle="1" w:styleId="79">
    <w:name w:val="l_1"/>
    <w:basedOn w:val="28"/>
    <w:autoRedefine/>
    <w:qFormat/>
    <w:uiPriority w:val="0"/>
  </w:style>
  <w:style w:type="character" w:customStyle="1" w:styleId="80">
    <w:name w:val="l_12"/>
    <w:basedOn w:val="28"/>
    <w:autoRedefine/>
    <w:qFormat/>
    <w:uiPriority w:val="0"/>
  </w:style>
  <w:style w:type="character" w:customStyle="1" w:styleId="81">
    <w:name w:val="l_121"/>
    <w:basedOn w:val="28"/>
    <w:autoRedefine/>
    <w:qFormat/>
    <w:uiPriority w:val="0"/>
  </w:style>
  <w:style w:type="character" w:customStyle="1" w:styleId="82">
    <w:name w:val="l_2"/>
    <w:basedOn w:val="28"/>
    <w:autoRedefine/>
    <w:qFormat/>
    <w:uiPriority w:val="0"/>
  </w:style>
  <w:style w:type="character" w:customStyle="1" w:styleId="83">
    <w:name w:val="first-child1"/>
    <w:basedOn w:val="28"/>
    <w:autoRedefine/>
    <w:qFormat/>
    <w:uiPriority w:val="0"/>
  </w:style>
  <w:style w:type="character" w:customStyle="1" w:styleId="84">
    <w:name w:val="l_0"/>
    <w:basedOn w:val="28"/>
    <w:autoRedefine/>
    <w:qFormat/>
    <w:uiPriority w:val="0"/>
  </w:style>
  <w:style w:type="character" w:customStyle="1" w:styleId="85">
    <w:name w:val="l_01"/>
    <w:basedOn w:val="28"/>
    <w:autoRedefine/>
    <w:qFormat/>
    <w:uiPriority w:val="0"/>
  </w:style>
  <w:style w:type="character" w:customStyle="1" w:styleId="86">
    <w:name w:val="icon_cxkcyry"/>
    <w:basedOn w:val="28"/>
    <w:autoRedefine/>
    <w:qFormat/>
    <w:uiPriority w:val="0"/>
  </w:style>
  <w:style w:type="character" w:customStyle="1" w:styleId="87">
    <w:name w:val="l_5"/>
    <w:basedOn w:val="28"/>
    <w:autoRedefine/>
    <w:qFormat/>
    <w:uiPriority w:val="0"/>
  </w:style>
  <w:style w:type="character" w:customStyle="1" w:styleId="88">
    <w:name w:val="l_51"/>
    <w:basedOn w:val="28"/>
    <w:autoRedefine/>
    <w:qFormat/>
    <w:uiPriority w:val="0"/>
  </w:style>
  <w:style w:type="character" w:customStyle="1" w:styleId="89">
    <w:name w:val="icon_dljg"/>
    <w:basedOn w:val="28"/>
    <w:autoRedefine/>
    <w:qFormat/>
    <w:uiPriority w:val="0"/>
  </w:style>
  <w:style w:type="character" w:customStyle="1" w:styleId="90">
    <w:name w:val="icon_cxktbr"/>
    <w:basedOn w:val="28"/>
    <w:autoRedefine/>
    <w:qFormat/>
    <w:uiPriority w:val="0"/>
  </w:style>
  <w:style w:type="character" w:customStyle="1" w:styleId="91">
    <w:name w:val="l_4"/>
    <w:basedOn w:val="28"/>
    <w:autoRedefine/>
    <w:qFormat/>
    <w:uiPriority w:val="0"/>
  </w:style>
  <w:style w:type="character" w:customStyle="1" w:styleId="92">
    <w:name w:val="icon_xglc"/>
    <w:basedOn w:val="28"/>
    <w:autoRedefine/>
    <w:qFormat/>
    <w:uiPriority w:val="0"/>
  </w:style>
  <w:style w:type="character" w:customStyle="1" w:styleId="93">
    <w:name w:val="l_8"/>
    <w:basedOn w:val="28"/>
    <w:autoRedefine/>
    <w:qFormat/>
    <w:uiPriority w:val="0"/>
  </w:style>
  <w:style w:type="character" w:customStyle="1" w:styleId="94">
    <w:name w:val="icon_gzkj"/>
    <w:basedOn w:val="28"/>
    <w:autoRedefine/>
    <w:qFormat/>
    <w:uiPriority w:val="0"/>
  </w:style>
  <w:style w:type="character" w:customStyle="1" w:styleId="95">
    <w:name w:val="l_3"/>
    <w:basedOn w:val="28"/>
    <w:autoRedefine/>
    <w:qFormat/>
    <w:uiPriority w:val="0"/>
  </w:style>
  <w:style w:type="character" w:customStyle="1" w:styleId="96">
    <w:name w:val="l_31"/>
    <w:basedOn w:val="28"/>
    <w:autoRedefine/>
    <w:qFormat/>
    <w:uiPriority w:val="0"/>
  </w:style>
  <w:style w:type="character" w:customStyle="1" w:styleId="97">
    <w:name w:val="layui-laypage-curr"/>
    <w:basedOn w:val="28"/>
    <w:autoRedefine/>
    <w:qFormat/>
    <w:uiPriority w:val="0"/>
  </w:style>
  <w:style w:type="character" w:customStyle="1" w:styleId="98">
    <w:name w:val="color-blue"/>
    <w:autoRedefine/>
    <w:qFormat/>
    <w:uiPriority w:val="0"/>
    <w:rPr>
      <w:color w:val="1890FF"/>
      <w:sz w:val="18"/>
      <w:szCs w:val="18"/>
      <w:bdr w:val="single" w:color="1890FF" w:sz="6" w:space="0"/>
    </w:rPr>
  </w:style>
  <w:style w:type="character" w:customStyle="1" w:styleId="99">
    <w:name w:val="color-yellow"/>
    <w:autoRedefine/>
    <w:qFormat/>
    <w:uiPriority w:val="0"/>
    <w:rPr>
      <w:color w:val="FAAD14"/>
      <w:sz w:val="18"/>
      <w:szCs w:val="18"/>
      <w:bdr w:val="single" w:color="FAAD14" w:sz="6" w:space="0"/>
    </w:rPr>
  </w:style>
  <w:style w:type="character" w:customStyle="1" w:styleId="100">
    <w:name w:val="color-yellow1"/>
    <w:autoRedefine/>
    <w:qFormat/>
    <w:uiPriority w:val="0"/>
    <w:rPr>
      <w:color w:val="FAAD14"/>
      <w:sz w:val="18"/>
      <w:szCs w:val="18"/>
      <w:bdr w:val="single" w:color="FAAD14" w:sz="6" w:space="0"/>
    </w:rPr>
  </w:style>
  <w:style w:type="character" w:customStyle="1" w:styleId="101">
    <w:name w:val="icon_xzry"/>
    <w:basedOn w:val="28"/>
    <w:autoRedefine/>
    <w:qFormat/>
    <w:uiPriority w:val="0"/>
  </w:style>
  <w:style w:type="character" w:customStyle="1" w:styleId="102">
    <w:name w:val="l_7"/>
    <w:basedOn w:val="28"/>
    <w:autoRedefine/>
    <w:qFormat/>
    <w:uiPriority w:val="0"/>
  </w:style>
  <w:style w:type="character" w:customStyle="1" w:styleId="103">
    <w:name w:val="l_6"/>
    <w:basedOn w:val="28"/>
    <w:autoRedefine/>
    <w:qFormat/>
    <w:uiPriority w:val="0"/>
  </w:style>
  <w:style w:type="character" w:customStyle="1" w:styleId="104">
    <w:name w:val="l_61"/>
    <w:basedOn w:val="28"/>
    <w:autoRedefine/>
    <w:qFormat/>
    <w:uiPriority w:val="0"/>
  </w:style>
  <w:style w:type="character" w:customStyle="1" w:styleId="105">
    <w:name w:val="l_9"/>
    <w:basedOn w:val="28"/>
    <w:autoRedefine/>
    <w:qFormat/>
    <w:uiPriority w:val="0"/>
  </w:style>
  <w:style w:type="character" w:customStyle="1" w:styleId="106">
    <w:name w:val="l_91"/>
    <w:basedOn w:val="28"/>
    <w:autoRedefine/>
    <w:qFormat/>
    <w:uiPriority w:val="0"/>
  </w:style>
  <w:style w:type="character" w:customStyle="1" w:styleId="107">
    <w:name w:val="l_11"/>
    <w:basedOn w:val="28"/>
    <w:autoRedefine/>
    <w:qFormat/>
    <w:uiPriority w:val="0"/>
  </w:style>
  <w:style w:type="character" w:customStyle="1" w:styleId="108">
    <w:name w:val="l_111"/>
    <w:basedOn w:val="28"/>
    <w:autoRedefine/>
    <w:qFormat/>
    <w:uiPriority w:val="0"/>
  </w:style>
  <w:style w:type="character" w:customStyle="1" w:styleId="109">
    <w:name w:val="l_13"/>
    <w:basedOn w:val="28"/>
    <w:autoRedefine/>
    <w:qFormat/>
    <w:uiPriority w:val="0"/>
  </w:style>
  <w:style w:type="character" w:customStyle="1" w:styleId="110">
    <w:name w:val="l_131"/>
    <w:basedOn w:val="28"/>
    <w:autoRedefine/>
    <w:qFormat/>
    <w:uiPriority w:val="0"/>
  </w:style>
  <w:style w:type="character" w:customStyle="1" w:styleId="111">
    <w:name w:val="l_14"/>
    <w:basedOn w:val="28"/>
    <w:autoRedefine/>
    <w:qFormat/>
    <w:uiPriority w:val="0"/>
  </w:style>
  <w:style w:type="character" w:customStyle="1" w:styleId="112">
    <w:name w:val="l_141"/>
    <w:basedOn w:val="28"/>
    <w:autoRedefine/>
    <w:qFormat/>
    <w:uiPriority w:val="0"/>
  </w:style>
  <w:style w:type="character" w:customStyle="1" w:styleId="113">
    <w:name w:val="l_15"/>
    <w:basedOn w:val="28"/>
    <w:autoRedefine/>
    <w:qFormat/>
    <w:uiPriority w:val="0"/>
  </w:style>
  <w:style w:type="character" w:customStyle="1" w:styleId="114">
    <w:name w:val="l_151"/>
    <w:basedOn w:val="28"/>
    <w:autoRedefine/>
    <w:qFormat/>
    <w:uiPriority w:val="0"/>
  </w:style>
  <w:style w:type="character" w:customStyle="1" w:styleId="115">
    <w:name w:val="color_cdyy"/>
    <w:autoRedefine/>
    <w:qFormat/>
    <w:uiPriority w:val="0"/>
    <w:rPr>
      <w:color w:val="FFFFFF"/>
      <w:bdr w:val="single" w:color="FFFFFF" w:sz="6" w:space="0"/>
    </w:rPr>
  </w:style>
  <w:style w:type="character" w:customStyle="1" w:styleId="116">
    <w:name w:val="m-text"/>
    <w:basedOn w:val="28"/>
    <w:autoRedefine/>
    <w:qFormat/>
    <w:uiPriority w:val="0"/>
  </w:style>
  <w:style w:type="character" w:customStyle="1" w:styleId="117">
    <w:name w:val="icon_lzrz"/>
    <w:basedOn w:val="28"/>
    <w:autoRedefine/>
    <w:qFormat/>
    <w:uiPriority w:val="0"/>
  </w:style>
  <w:style w:type="paragraph" w:customStyle="1" w:styleId="118">
    <w:name w:val="WPSOffice手动目录 1"/>
    <w:autoRedefine/>
    <w:qFormat/>
    <w:uiPriority w:val="0"/>
    <w:rPr>
      <w:rFonts w:ascii="Times New Roman" w:hAnsi="Times New Roman" w:eastAsia="宋体" w:cs="Times New Roman"/>
      <w:lang w:val="en-US" w:eastAsia="zh-CN" w:bidi="ar-SA"/>
    </w:rPr>
  </w:style>
  <w:style w:type="paragraph" w:customStyle="1" w:styleId="119">
    <w:name w:val="列表段落1"/>
    <w:autoRedefine/>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20">
    <w:name w:val="a_p_3"/>
    <w:basedOn w:val="28"/>
    <w:qFormat/>
    <w:uiPriority w:val="0"/>
    <w:rPr>
      <w:sz w:val="27"/>
      <w:szCs w:val="27"/>
    </w:rPr>
  </w:style>
  <w:style w:type="character" w:customStyle="1" w:styleId="121">
    <w:name w:val="a_p_2"/>
    <w:basedOn w:val="28"/>
    <w:qFormat/>
    <w:uiPriority w:val="0"/>
  </w:style>
  <w:style w:type="character" w:customStyle="1" w:styleId="122">
    <w:name w:val="a_p_21"/>
    <w:basedOn w:val="28"/>
    <w:qFormat/>
    <w:uiPriority w:val="0"/>
    <w:rPr>
      <w:sz w:val="27"/>
      <w:szCs w:val="27"/>
    </w:rPr>
  </w:style>
  <w:style w:type="character" w:customStyle="1" w:styleId="123">
    <w:name w:val="exap"/>
    <w:basedOn w:val="28"/>
    <w:qFormat/>
    <w:uiPriority w:val="0"/>
    <w:rPr>
      <w:sz w:val="27"/>
      <w:szCs w:val="27"/>
    </w:rPr>
  </w:style>
  <w:style w:type="character" w:customStyle="1" w:styleId="124">
    <w:name w:val="ul_li_a_1"/>
    <w:basedOn w:val="28"/>
    <w:qFormat/>
    <w:uiPriority w:val="0"/>
    <w:rPr>
      <w:b/>
      <w:bCs/>
      <w:color w:val="FFFFFF"/>
    </w:rPr>
  </w:style>
  <w:style w:type="character" w:customStyle="1" w:styleId="125">
    <w:name w:val="a_p_1"/>
    <w:basedOn w:val="28"/>
    <w:qFormat/>
    <w:uiPriority w:val="0"/>
    <w:rPr>
      <w:sz w:val="27"/>
      <w:szCs w:val="27"/>
    </w:rPr>
  </w:style>
  <w:style w:type="paragraph" w:customStyle="1" w:styleId="12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374</Words>
  <Characters>511</Characters>
  <Lines>239</Lines>
  <Paragraphs>67</Paragraphs>
  <TotalTime>0</TotalTime>
  <ScaleCrop>false</ScaleCrop>
  <LinksUpToDate>false</LinksUpToDate>
  <CharactersWithSpaces>540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2020-12-04T11:33:00Z</dcterms:created>
  <dc:creator>Administrator</dc:creator>
  <cp:lastModifiedBy>琉璃雨</cp:lastModifiedBy>
  <cp:lastPrinted>2023-07-07T11:38:00Z</cp:lastPrinted>
  <dcterms:modified xsi:type="dcterms:W3CDTF">2026-07-02T06:49:40Z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17928434E31E4E95BD0F41B5AEDAE858_13</vt:lpwstr>
  </property>
  <property fmtid="{D5CDD505-2E9C-101B-9397-08002B2CF9AE}" pid="4" name="KSOTemplateDocerSaveRecord">
    <vt:lpwstr>eyJoZGlkIjoiOWJmZDYyZGE2ZDk4MDUxNGYwNDc1NDk3NTkxNzI0MWUiLCJ1c2VySWQiOiIzNzgwMTU5MzEifQ==</vt:lpwstr>
  </property>
</Properties>
</file>