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1398">
      <w:pPr>
        <w:pStyle w:val="5"/>
        <w:jc w:val="center"/>
        <w:rPr>
          <w:rFonts w:hint="eastAsia" w:ascii="宋体" w:hAnsi="宋体" w:eastAsia="宋体" w:cs="宋体"/>
          <w:b/>
          <w:bCs/>
          <w:sz w:val="52"/>
          <w:szCs w:val="52"/>
          <w:shd w:val="clear" w:color="auto" w:fill="FFFFFF"/>
          <w:lang w:eastAsia="zh-CN"/>
        </w:rPr>
        <w:sectPr>
          <w:headerReference r:id="rId6" w:type="first"/>
          <w:footerReference r:id="rId8" w:type="first"/>
          <w:headerReference r:id="rId5" w:type="default"/>
          <w:footerReference r:id="rId7" w:type="default"/>
          <w:pgSz w:w="11905" w:h="16838"/>
          <w:pgMar w:top="1440" w:right="1083" w:bottom="1440" w:left="1083" w:header="850" w:footer="850" w:gutter="0"/>
          <w:pgNumType w:start="1"/>
          <w:cols w:space="0" w:num="1"/>
          <w:titlePg/>
          <w:rtlGutter w:val="0"/>
          <w:docGrid w:linePitch="317" w:charSpace="0"/>
        </w:sectPr>
      </w:pPr>
      <w:bookmarkStart w:id="0" w:name="_Toc190614710"/>
      <w:r>
        <w:rPr>
          <w:rFonts w:hint="eastAsia" w:ascii="宋体" w:hAnsi="宋体" w:eastAsia="宋体" w:cs="宋体"/>
          <w:b/>
          <w:bCs/>
          <w:sz w:val="52"/>
          <w:szCs w:val="52"/>
          <w:shd w:val="clear" w:color="auto" w:fill="FFFFFF"/>
          <w:lang w:eastAsia="zh-CN"/>
        </w:rPr>
        <w:drawing>
          <wp:anchor distT="0" distB="0" distL="114300" distR="114300" simplePos="0" relativeHeight="251661312" behindDoc="1" locked="0" layoutInCell="1" allowOverlap="1">
            <wp:simplePos x="0" y="0"/>
            <wp:positionH relativeFrom="column">
              <wp:posOffset>-433705</wp:posOffset>
            </wp:positionH>
            <wp:positionV relativeFrom="paragraph">
              <wp:posOffset>-508000</wp:posOffset>
            </wp:positionV>
            <wp:extent cx="6966585" cy="9987280"/>
            <wp:effectExtent l="0" t="0" r="0" b="0"/>
            <wp:wrapTight wrapText="bothSides">
              <wp:wrapPolygon>
                <wp:start x="0" y="0"/>
                <wp:lineTo x="0" y="21548"/>
                <wp:lineTo x="21559" y="21548"/>
                <wp:lineTo x="21559" y="0"/>
                <wp:lineTo x="0" y="0"/>
              </wp:wrapPolygon>
            </wp:wrapTight>
            <wp:docPr id="4" name="图片 4" descr="83c8816368f449da5c0df9e6c9e5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c8816368f449da5c0df9e6c9e5b790"/>
                    <pic:cNvPicPr>
                      <a:picLocks noChangeAspect="1"/>
                    </pic:cNvPicPr>
                  </pic:nvPicPr>
                  <pic:blipFill>
                    <a:blip r:embed="rId15"/>
                    <a:stretch>
                      <a:fillRect/>
                    </a:stretch>
                  </pic:blipFill>
                  <pic:spPr>
                    <a:xfrm>
                      <a:off x="0" y="0"/>
                      <a:ext cx="6966585" cy="9987280"/>
                    </a:xfrm>
                    <a:prstGeom prst="rect">
                      <a:avLst/>
                    </a:prstGeom>
                  </pic:spPr>
                </pic:pic>
              </a:graphicData>
            </a:graphic>
          </wp:anchor>
        </w:drawing>
      </w:r>
    </w:p>
    <w:p w14:paraId="027B7322">
      <w:pPr>
        <w:pStyle w:val="5"/>
        <w:jc w:val="center"/>
        <w:rPr>
          <w:rFonts w:hint="eastAsia" w:ascii="宋体" w:hAnsi="宋体" w:eastAsia="宋体" w:cs="宋体"/>
          <w:b/>
          <w:bCs/>
          <w:sz w:val="52"/>
          <w:szCs w:val="52"/>
          <w:shd w:val="clear" w:color="auto" w:fill="FFFFFF"/>
        </w:rPr>
      </w:pPr>
      <w:r>
        <w:rPr>
          <w:rFonts w:ascii="宋体" w:hAnsi="宋体" w:cs="宋体"/>
          <w:szCs w:val="28"/>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85090</wp:posOffset>
                </wp:positionV>
                <wp:extent cx="1894840" cy="716915"/>
                <wp:effectExtent l="6350" t="6350" r="22860" b="19685"/>
                <wp:wrapNone/>
                <wp:docPr id="5" name="文本框 5"/>
                <wp:cNvGraphicFramePr/>
                <a:graphic xmlns:a="http://schemas.openxmlformats.org/drawingml/2006/main">
                  <a:graphicData uri="http://schemas.microsoft.com/office/word/2010/wordprocessingShape">
                    <wps:wsp>
                      <wps:cNvSpPr txBox="1"/>
                      <wps:spPr>
                        <a:xfrm>
                          <a:off x="814705" y="786765"/>
                          <a:ext cx="1903730" cy="727075"/>
                        </a:xfrm>
                        <a:prstGeom prst="rect">
                          <a:avLst/>
                        </a:prstGeom>
                        <a:solidFill>
                          <a:srgbClr val="FFFFFF">
                            <a:alpha val="85001"/>
                          </a:srgbClr>
                        </a:solidFill>
                        <a:ln w="12700" cap="flat" cmpd="sng">
                          <a:solidFill>
                            <a:srgbClr val="00B050"/>
                          </a:solidFill>
                          <a:prstDash val="solid"/>
                          <a:miter/>
                          <a:headEnd type="none" w="med" len="med"/>
                          <a:tailEnd type="none" w="med" len="med"/>
                        </a:ln>
                        <a:effectLst/>
                      </wps:spPr>
                      <wps:txbx>
                        <w:txbxContent>
                          <w:p w14:paraId="011351DA">
                            <w:pPr>
                              <w:autoSpaceDE w:val="0"/>
                              <w:autoSpaceDN w:val="0"/>
                              <w:spacing w:line="240" w:lineRule="auto"/>
                              <w:jc w:val="left"/>
                              <w:rPr>
                                <w:rFonts w:hint="eastAsia" w:ascii="宋体" w:hAnsi="宋体" w:eastAsia="宋体" w:cs="宋体"/>
                                <w:sz w:val="24"/>
                              </w:rPr>
                            </w:pPr>
                            <w:r>
                              <w:rPr>
                                <w:rFonts w:hint="eastAsia" w:ascii="宋体" w:hAnsi="宋体" w:eastAsia="宋体" w:cs="宋体"/>
                                <w:sz w:val="24"/>
                              </w:rPr>
                              <w:t>投标报价前请认真阅读，如递交投标文件即视为认可本文件的所有条款。</w:t>
                            </w:r>
                          </w:p>
                        </w:txbxContent>
                      </wps:txbx>
                      <wps:bodyPr wrap="square" upright="1"/>
                    </wps:wsp>
                  </a:graphicData>
                </a:graphic>
              </wp:anchor>
            </w:drawing>
          </mc:Choice>
          <mc:Fallback>
            <w:pict>
              <v:shape id="_x0000_s1026" o:spid="_x0000_s1026" o:spt="202" type="#_x0000_t202" style="position:absolute;left:0pt;margin-left:-2.7pt;margin-top:6.7pt;height:56.45pt;width:149.2pt;z-index:251659264;mso-width-relative:page;mso-height-relative:page;" fillcolor="#FFFFFF" filled="t" stroked="t" coordsize="21600,21600" o:gfxdata="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YW309MAAAAJAQAADwAAAAAAAAABACAAAAAiAAAAZHJzL2Rvd25yZXYu&#10;eG1sUEsBAhQAFAAAAAgAh07iQIIE3jI5AgAAfgQAAA4AAAAAAAAAAQAgAAAAIgEAAGRycy9lMm9E&#10;b2MueG1sUEsFBgAAAAAGAAYAWQEAAM0FAAAAAA==&#10;">
                <v:fill on="t" opacity="55706f" focussize="0,0"/>
                <v:stroke weight="1pt" color="#00B050" joinstyle="miter"/>
                <v:imagedata o:title=""/>
                <o:lock v:ext="edit" aspectratio="f"/>
                <v:textbox>
                  <w:txbxContent>
                    <w:p w14:paraId="011351DA">
                      <w:pPr>
                        <w:autoSpaceDE w:val="0"/>
                        <w:autoSpaceDN w:val="0"/>
                        <w:spacing w:line="240" w:lineRule="auto"/>
                        <w:jc w:val="left"/>
                        <w:rPr>
                          <w:rFonts w:hint="eastAsia" w:ascii="宋体" w:hAnsi="宋体" w:eastAsia="宋体" w:cs="宋体"/>
                          <w:sz w:val="24"/>
                        </w:rPr>
                      </w:pPr>
                      <w:r>
                        <w:rPr>
                          <w:rFonts w:hint="eastAsia" w:ascii="宋体" w:hAnsi="宋体" w:eastAsia="宋体" w:cs="宋体"/>
                          <w:sz w:val="24"/>
                        </w:rPr>
                        <w:t>投标报价前请认真阅读，如递交投标文件即视为认可本文件的所有条款。</w:t>
                      </w:r>
                    </w:p>
                  </w:txbxContent>
                </v:textbox>
              </v:shape>
            </w:pict>
          </mc:Fallback>
        </mc:AlternateContent>
      </w:r>
      <w:r>
        <w:rPr>
          <w:rFonts w:hint="eastAsia" w:ascii="宋体" w:hAnsi="宋体" w:eastAsia="宋体" w:cs="宋体"/>
          <w:b/>
          <w:bCs/>
          <w:sz w:val="52"/>
          <w:szCs w:val="52"/>
          <w:shd w:val="clear" w:color="auto" w:fill="FFFFFF"/>
        </w:rPr>
        <w:t> </w:t>
      </w:r>
    </w:p>
    <w:p w14:paraId="54FCA363">
      <w:pPr>
        <w:pStyle w:val="5"/>
        <w:spacing w:line="240" w:lineRule="auto"/>
        <w:ind w:firstLine="0" w:firstLineChars="0"/>
        <w:jc w:val="center"/>
        <w:rPr>
          <w:rFonts w:hint="eastAsia" w:ascii="宋体" w:hAnsi="宋体" w:eastAsia="宋体" w:cs="宋体"/>
          <w:b/>
          <w:bCs/>
          <w:sz w:val="52"/>
          <w:szCs w:val="52"/>
          <w:shd w:val="clear" w:color="auto" w:fill="FFFFFF"/>
        </w:rPr>
      </w:pPr>
    </w:p>
    <w:p w14:paraId="7B14FB1A">
      <w:pPr>
        <w:pStyle w:val="5"/>
        <w:ind w:firstLine="0" w:firstLineChars="0"/>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平顶山市夕阳红老年公寓关于采购</w:t>
      </w:r>
    </w:p>
    <w:p w14:paraId="6EF20D74">
      <w:pPr>
        <w:pStyle w:val="5"/>
        <w:ind w:firstLine="0" w:firstLineChars="0"/>
        <w:jc w:val="center"/>
        <w:rPr>
          <w:rFonts w:hint="eastAsia" w:ascii="宋体" w:hAnsi="宋体" w:eastAsia="宋体" w:cs="宋体"/>
          <w:b/>
          <w:bCs/>
          <w:sz w:val="52"/>
          <w:szCs w:val="52"/>
          <w:shd w:val="clear" w:color="auto" w:fill="FFFFFF"/>
        </w:rPr>
      </w:pPr>
      <w:r>
        <w:rPr>
          <w:rFonts w:hint="eastAsia" w:ascii="宋体" w:hAnsi="宋体" w:eastAsia="宋体" w:cs="宋体"/>
          <w:b/>
          <w:bCs/>
          <w:sz w:val="44"/>
          <w:szCs w:val="44"/>
          <w:shd w:val="clear" w:color="auto" w:fill="FFFFFF"/>
        </w:rPr>
        <w:t>照料护理服务项目</w:t>
      </w:r>
    </w:p>
    <w:p w14:paraId="56FB0277">
      <w:pPr>
        <w:pStyle w:val="6"/>
      </w:pPr>
    </w:p>
    <w:p w14:paraId="769A7BA6">
      <w:pPr>
        <w:pStyle w:val="33"/>
        <w:spacing w:line="360" w:lineRule="auto"/>
        <w:jc w:val="center"/>
        <w:rPr>
          <w:rFonts w:hint="eastAsia" w:hAnsi="宋体"/>
          <w:b/>
          <w:bCs/>
          <w:color w:val="auto"/>
          <w:sz w:val="84"/>
          <w:szCs w:val="84"/>
        </w:rPr>
      </w:pPr>
      <w:r>
        <w:rPr>
          <w:rFonts w:hint="eastAsia" w:ascii="黑体" w:hAnsi="黑体" w:eastAsia="黑体" w:cs="Times New Roman"/>
          <w:b/>
          <w:bCs/>
          <w:color w:val="auto"/>
          <w:sz w:val="84"/>
          <w:szCs w:val="84"/>
        </w:rPr>
        <w:drawing>
          <wp:anchor distT="0" distB="0" distL="114300" distR="114300" simplePos="0" relativeHeight="251660288" behindDoc="1" locked="0" layoutInCell="1" allowOverlap="1">
            <wp:simplePos x="0" y="0"/>
            <wp:positionH relativeFrom="column">
              <wp:posOffset>2301875</wp:posOffset>
            </wp:positionH>
            <wp:positionV relativeFrom="paragraph">
              <wp:posOffset>831215</wp:posOffset>
            </wp:positionV>
            <wp:extent cx="1544320" cy="1596390"/>
            <wp:effectExtent l="0" t="0" r="17780" b="3810"/>
            <wp:wrapTight wrapText="bothSides">
              <wp:wrapPolygon>
                <wp:start x="0" y="0"/>
                <wp:lineTo x="0" y="21394"/>
                <wp:lineTo x="21316" y="21394"/>
                <wp:lineTo x="21316" y="0"/>
                <wp:lineTo x="0" y="0"/>
              </wp:wrapPolygon>
            </wp:wrapTight>
            <wp:docPr id="6" name="图片 7" descr="eee6f52d907ff72fb9eac73d0e1d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eee6f52d907ff72fb9eac73d0e1d961"/>
                    <pic:cNvPicPr>
                      <a:picLocks noChangeAspect="1"/>
                    </pic:cNvPicPr>
                  </pic:nvPicPr>
                  <pic:blipFill>
                    <a:blip r:embed="rId16"/>
                    <a:stretch>
                      <a:fillRect/>
                    </a:stretch>
                  </pic:blipFill>
                  <pic:spPr>
                    <a:xfrm>
                      <a:off x="0" y="0"/>
                      <a:ext cx="1544320" cy="1596390"/>
                    </a:xfrm>
                    <a:prstGeom prst="rect">
                      <a:avLst/>
                    </a:prstGeom>
                    <a:noFill/>
                    <a:ln>
                      <a:noFill/>
                    </a:ln>
                  </pic:spPr>
                </pic:pic>
              </a:graphicData>
            </a:graphic>
          </wp:anchor>
        </w:drawing>
      </w:r>
      <w:r>
        <w:rPr>
          <w:rFonts w:hint="eastAsia" w:hAnsi="宋体"/>
          <w:b/>
          <w:bCs/>
          <w:color w:val="auto"/>
          <w:sz w:val="84"/>
          <w:szCs w:val="84"/>
        </w:rPr>
        <w:t>招标文件</w:t>
      </w:r>
    </w:p>
    <w:p w14:paraId="1F868924">
      <w:pPr>
        <w:pStyle w:val="33"/>
        <w:spacing w:line="480" w:lineRule="auto"/>
        <w:rPr>
          <w:rFonts w:hint="eastAsia" w:ascii="黑体" w:hAnsi="黑体" w:eastAsia="黑体" w:cs="Times New Roman"/>
          <w:color w:val="auto"/>
          <w:sz w:val="44"/>
          <w:szCs w:val="44"/>
        </w:rPr>
      </w:pPr>
      <w:r>
        <w:rPr>
          <w:rFonts w:hint="eastAsia" w:ascii="黑体" w:hAnsi="黑体" w:eastAsia="黑体" w:cs="Times New Roman"/>
          <w:b/>
          <w:bCs/>
          <w:color w:val="auto"/>
          <w:sz w:val="96"/>
          <w:szCs w:val="96"/>
        </w:rPr>
        <w:t xml:space="preserve"> </w:t>
      </w:r>
      <w:r>
        <w:rPr>
          <w:rFonts w:hint="eastAsia" w:ascii="黑体" w:hAnsi="黑体" w:eastAsia="黑体" w:cs="Times New Roman"/>
          <w:b/>
          <w:bCs/>
          <w:color w:val="auto"/>
          <w:sz w:val="96"/>
          <w:szCs w:val="96"/>
        </w:rPr>
        <w:tab/>
      </w:r>
    </w:p>
    <w:p w14:paraId="0747EB0B">
      <w:pPr>
        <w:pStyle w:val="33"/>
        <w:jc w:val="center"/>
        <w:rPr>
          <w:rFonts w:hint="eastAsia" w:ascii="黑体" w:hAnsi="黑体" w:eastAsia="黑体" w:cs="Times New Roman"/>
          <w:color w:val="auto"/>
          <w:sz w:val="44"/>
          <w:szCs w:val="44"/>
        </w:rPr>
      </w:pPr>
    </w:p>
    <w:p w14:paraId="6D10CAFA"/>
    <w:p w14:paraId="3847CBB0">
      <w:pPr>
        <w:pStyle w:val="37"/>
      </w:pPr>
    </w:p>
    <w:p w14:paraId="355DE3F3"/>
    <w:p w14:paraId="6DFE9FEA">
      <w:pPr>
        <w:pStyle w:val="33"/>
        <w:rPr>
          <w:color w:val="auto"/>
        </w:rPr>
      </w:pPr>
    </w:p>
    <w:p w14:paraId="5C49CE84">
      <w:pPr>
        <w:pStyle w:val="37"/>
      </w:pPr>
    </w:p>
    <w:p w14:paraId="16847732"/>
    <w:p w14:paraId="72DD7973">
      <w:pPr>
        <w:ind w:firstLine="2249" w:firstLineChars="700"/>
        <w:rPr>
          <w:b/>
          <w:bCs/>
          <w:sz w:val="32"/>
          <w:szCs w:val="32"/>
        </w:rPr>
      </w:pPr>
    </w:p>
    <w:p w14:paraId="35892B23">
      <w:pPr>
        <w:ind w:firstLine="2249" w:firstLineChars="700"/>
        <w:rPr>
          <w:rFonts w:hint="eastAsia" w:ascii="宋体" w:hAnsi="宋体" w:eastAsia="宋体" w:cs="宋体"/>
          <w:b/>
          <w:bCs/>
          <w:sz w:val="32"/>
          <w:szCs w:val="32"/>
        </w:rPr>
      </w:pPr>
      <w:r>
        <w:rPr>
          <w:rFonts w:hint="eastAsia" w:ascii="宋体" w:hAnsi="宋体" w:eastAsia="宋体" w:cs="宋体"/>
          <w:b/>
          <w:bCs/>
          <w:sz w:val="32"/>
          <w:szCs w:val="32"/>
        </w:rPr>
        <w:t>采 购 人：平顶山市夕阳红老年公寓</w:t>
      </w:r>
    </w:p>
    <w:p w14:paraId="6A48A904">
      <w:pPr>
        <w:ind w:firstLine="2249" w:firstLineChars="700"/>
        <w:rPr>
          <w:rFonts w:hint="eastAsia" w:ascii="宋体" w:hAnsi="宋体" w:eastAsia="宋体" w:cs="宋体"/>
          <w:b/>
          <w:bCs/>
          <w:sz w:val="32"/>
          <w:szCs w:val="32"/>
        </w:rPr>
      </w:pPr>
      <w:r>
        <w:rPr>
          <w:rFonts w:hint="eastAsia" w:ascii="宋体" w:hAnsi="宋体" w:eastAsia="宋体" w:cs="宋体"/>
          <w:b/>
          <w:bCs/>
          <w:sz w:val="32"/>
          <w:szCs w:val="32"/>
        </w:rPr>
        <w:t>代理机构：河南龙华工程咨询有限公司</w:t>
      </w:r>
    </w:p>
    <w:p w14:paraId="0088ED5A">
      <w:pPr>
        <w:ind w:firstLine="2249" w:firstLineChars="700"/>
        <w:rPr>
          <w:rFonts w:hint="eastAsia" w:ascii="宋体" w:hAnsi="宋体" w:eastAsia="宋体" w:cs="宋体"/>
          <w:b/>
          <w:bCs/>
          <w:sz w:val="32"/>
          <w:szCs w:val="32"/>
        </w:rPr>
      </w:pPr>
      <w:r>
        <w:rPr>
          <w:rFonts w:hint="eastAsia" w:ascii="宋体" w:hAnsi="宋体" w:eastAsia="宋体" w:cs="宋体"/>
          <w:b/>
          <w:bCs/>
          <w:sz w:val="32"/>
          <w:szCs w:val="32"/>
        </w:rPr>
        <w:t>日    期：二〇二六年</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月</w:t>
      </w:r>
    </w:p>
    <w:p w14:paraId="20064294">
      <w:pPr>
        <w:ind w:firstLine="2249" w:firstLineChars="700"/>
        <w:rPr>
          <w:rFonts w:hint="eastAsia" w:ascii="宋体" w:hAnsi="宋体" w:eastAsia="宋体" w:cs="宋体"/>
          <w:b/>
          <w:bCs/>
          <w:sz w:val="32"/>
          <w:szCs w:val="32"/>
        </w:rPr>
        <w:sectPr>
          <w:pgSz w:w="11905" w:h="16838"/>
          <w:pgMar w:top="1440" w:right="1083" w:bottom="1440" w:left="1083" w:header="850" w:footer="850" w:gutter="0"/>
          <w:pgNumType w:start="1"/>
          <w:cols w:space="0" w:num="1"/>
          <w:titlePg/>
          <w:rtlGutter w:val="0"/>
          <w:docGrid w:linePitch="317" w:charSpace="0"/>
        </w:sectPr>
      </w:pPr>
    </w:p>
    <w:p w14:paraId="2B34FA0A">
      <w:pPr>
        <w:spacing w:before="120" w:beforeLines="50" w:line="480" w:lineRule="auto"/>
        <w:jc w:val="center"/>
        <w:rPr>
          <w:rFonts w:hint="eastAsia" w:ascii="宋体" w:hAnsi="宋体" w:eastAsia="宋体" w:cs="宋体"/>
        </w:rPr>
      </w:pPr>
      <w:r>
        <w:rPr>
          <w:rFonts w:hint="eastAsia" w:ascii="宋体" w:hAnsi="宋体" w:eastAsia="宋体" w:cs="宋体"/>
          <w:b/>
          <w:sz w:val="44"/>
          <w:szCs w:val="32"/>
        </w:rPr>
        <w:t>目   录</w:t>
      </w:r>
      <w:bookmarkEnd w:id="0"/>
    </w:p>
    <w:p w14:paraId="17D2EFEB">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bookmarkStart w:id="1" w:name="_Toc27608"/>
      <w:bookmarkStart w:id="207" w:name="_GoBack"/>
      <w:bookmarkEnd w:id="207"/>
      <w:r>
        <w:rPr>
          <w:rFonts w:hint="eastAsia" w:asciiTheme="minorEastAsia" w:hAnsiTheme="minorEastAsia" w:eastAsiaTheme="minorEastAsia" w:cstheme="minorEastAsia"/>
          <w:sz w:val="24"/>
          <w:szCs w:val="24"/>
          <w:u w:val="none"/>
          <w:shd w:val="clear" w:color="auto" w:fill="auto"/>
        </w:rPr>
        <w:t>第一章 招标公告</w:t>
      </w:r>
      <w:r>
        <w:rPr>
          <w:rFonts w:hint="eastAsia" w:asciiTheme="minorEastAsia" w:hAnsiTheme="minorEastAsia" w:eastAsiaTheme="minorEastAsia" w:cstheme="minorEastAsia"/>
          <w:sz w:val="24"/>
          <w:szCs w:val="24"/>
          <w:u w:val="none"/>
          <w:shd w:val="clear" w:color="auto" w:fill="auto"/>
        </w:rPr>
        <w:tab/>
      </w:r>
    </w:p>
    <w:p w14:paraId="6A5AEE1D">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第二章  供应商须知</w:t>
      </w:r>
    </w:p>
    <w:p w14:paraId="0E36BB2B">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第三章  评标办法</w:t>
      </w:r>
    </w:p>
    <w:p w14:paraId="111841FA">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第四章 合同条款及格式</w:t>
      </w:r>
    </w:p>
    <w:p w14:paraId="68363CC7">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第五章 服务内容及要求</w:t>
      </w:r>
      <w:r>
        <w:rPr>
          <w:rFonts w:hint="eastAsia" w:asciiTheme="minorEastAsia" w:hAnsiTheme="minorEastAsia" w:eastAsiaTheme="minorEastAsia" w:cstheme="minorEastAsia"/>
          <w:sz w:val="24"/>
          <w:szCs w:val="24"/>
          <w:u w:val="none"/>
          <w:shd w:val="clear" w:color="auto" w:fill="auto"/>
        </w:rPr>
        <w:tab/>
      </w:r>
    </w:p>
    <w:p w14:paraId="07DF5CFC">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第六章  投标文件格式</w:t>
      </w:r>
      <w:r>
        <w:rPr>
          <w:rFonts w:hint="eastAsia" w:asciiTheme="minorEastAsia" w:hAnsiTheme="minorEastAsia" w:eastAsiaTheme="minorEastAsia" w:cstheme="minorEastAsia"/>
          <w:sz w:val="24"/>
          <w:szCs w:val="24"/>
          <w:u w:val="none"/>
          <w:shd w:val="clear" w:color="auto" w:fill="auto"/>
        </w:rPr>
        <w:tab/>
      </w:r>
    </w:p>
    <w:p w14:paraId="74E20DEA">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一、投标函及投标函附录</w:t>
      </w:r>
      <w:r>
        <w:rPr>
          <w:rFonts w:hint="eastAsia" w:asciiTheme="minorEastAsia" w:hAnsiTheme="minorEastAsia" w:eastAsiaTheme="minorEastAsia" w:cstheme="minorEastAsia"/>
          <w:sz w:val="24"/>
          <w:szCs w:val="24"/>
          <w:u w:val="none"/>
          <w:shd w:val="clear" w:color="auto" w:fill="auto"/>
        </w:rPr>
        <w:tab/>
      </w:r>
    </w:p>
    <w:p w14:paraId="36C23056">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二、法定代表人身份证明、法定代表人授权委托书</w:t>
      </w:r>
      <w:r>
        <w:rPr>
          <w:rFonts w:hint="eastAsia" w:asciiTheme="minorEastAsia" w:hAnsiTheme="minorEastAsia" w:eastAsiaTheme="minorEastAsia" w:cstheme="minorEastAsia"/>
          <w:sz w:val="24"/>
          <w:szCs w:val="24"/>
          <w:u w:val="none"/>
          <w:shd w:val="clear" w:color="auto" w:fill="auto"/>
        </w:rPr>
        <w:tab/>
      </w:r>
    </w:p>
    <w:p w14:paraId="6987815B">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三、 资格证明材料</w:t>
      </w:r>
      <w:r>
        <w:rPr>
          <w:rFonts w:hint="eastAsia" w:asciiTheme="minorEastAsia" w:hAnsiTheme="minorEastAsia" w:eastAsiaTheme="minorEastAsia" w:cstheme="minorEastAsia"/>
          <w:sz w:val="24"/>
          <w:szCs w:val="24"/>
          <w:u w:val="none"/>
          <w:shd w:val="clear" w:color="auto" w:fill="auto"/>
        </w:rPr>
        <w:tab/>
      </w:r>
    </w:p>
    <w:p w14:paraId="0B5ECE78">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四、技术部分</w:t>
      </w:r>
      <w:r>
        <w:rPr>
          <w:rFonts w:hint="eastAsia" w:asciiTheme="minorEastAsia" w:hAnsiTheme="minorEastAsia" w:eastAsiaTheme="minorEastAsia" w:cstheme="minorEastAsia"/>
          <w:sz w:val="24"/>
          <w:szCs w:val="24"/>
          <w:u w:val="none"/>
          <w:shd w:val="clear" w:color="auto" w:fill="auto"/>
        </w:rPr>
        <w:tab/>
      </w:r>
    </w:p>
    <w:p w14:paraId="52908261">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五、商务部分</w:t>
      </w:r>
      <w:r>
        <w:rPr>
          <w:rFonts w:hint="eastAsia" w:asciiTheme="minorEastAsia" w:hAnsiTheme="minorEastAsia" w:eastAsiaTheme="minorEastAsia" w:cstheme="minorEastAsia"/>
          <w:sz w:val="24"/>
          <w:szCs w:val="24"/>
          <w:u w:val="none"/>
          <w:shd w:val="clear" w:color="auto" w:fill="auto"/>
        </w:rPr>
        <w:tab/>
      </w:r>
    </w:p>
    <w:p w14:paraId="75AD281A">
      <w:pPr>
        <w:spacing w:line="360" w:lineRule="auto"/>
        <w:ind w:firstLine="480" w:firstLineChars="200"/>
        <w:rPr>
          <w:rFonts w:hint="eastAsia" w:asciiTheme="minorEastAsia" w:hAnsiTheme="minorEastAsia" w:eastAsiaTheme="minorEastAsia" w:cstheme="minorEastAsia"/>
          <w:sz w:val="24"/>
          <w:szCs w:val="24"/>
          <w:u w:val="none"/>
          <w:shd w:val="clear" w:color="auto" w:fill="auto"/>
        </w:rPr>
      </w:pPr>
      <w:r>
        <w:rPr>
          <w:rFonts w:hint="eastAsia" w:asciiTheme="minorEastAsia" w:hAnsiTheme="minorEastAsia" w:eastAsiaTheme="minorEastAsia" w:cstheme="minorEastAsia"/>
          <w:sz w:val="24"/>
          <w:szCs w:val="24"/>
          <w:u w:val="none"/>
          <w:shd w:val="clear" w:color="auto" w:fill="auto"/>
        </w:rPr>
        <w:t>六、其他资料</w:t>
      </w:r>
      <w:r>
        <w:rPr>
          <w:rFonts w:hint="eastAsia" w:asciiTheme="minorEastAsia" w:hAnsiTheme="minorEastAsia" w:eastAsiaTheme="minorEastAsia" w:cstheme="minorEastAsia"/>
          <w:sz w:val="24"/>
          <w:szCs w:val="24"/>
          <w:u w:val="none"/>
          <w:shd w:val="clear" w:color="auto" w:fill="auto"/>
        </w:rPr>
        <w:tab/>
      </w:r>
    </w:p>
    <w:p w14:paraId="77CE2251">
      <w:pPr>
        <w:spacing w:line="360" w:lineRule="auto"/>
        <w:ind w:firstLine="480" w:firstLineChars="200"/>
        <w:rPr>
          <w:u w:val="none"/>
          <w:shd w:val="clear" w:color="auto" w:fill="auto"/>
        </w:rPr>
      </w:pPr>
      <w:r>
        <w:rPr>
          <w:rFonts w:hint="eastAsia" w:asciiTheme="minorEastAsia" w:hAnsiTheme="minorEastAsia" w:eastAsiaTheme="minorEastAsia" w:cstheme="minorEastAsia"/>
          <w:sz w:val="24"/>
          <w:szCs w:val="24"/>
          <w:u w:val="none"/>
          <w:shd w:val="clear" w:color="auto" w:fill="auto"/>
        </w:rPr>
        <w:t>七、政府采购政策</w:t>
      </w:r>
      <w:r>
        <w:rPr>
          <w:rFonts w:hint="eastAsia"/>
          <w:u w:val="none"/>
          <w:shd w:val="clear" w:color="auto" w:fill="auto"/>
        </w:rPr>
        <w:tab/>
      </w:r>
    </w:p>
    <w:p w14:paraId="65515ADD"/>
    <w:p w14:paraId="02C26989"/>
    <w:p w14:paraId="77576E7B"/>
    <w:p w14:paraId="703649FD"/>
    <w:p w14:paraId="6DC14FA4"/>
    <w:p w14:paraId="2C19339A"/>
    <w:p w14:paraId="5DDD5982"/>
    <w:p w14:paraId="0FBFC3C5">
      <w:pPr>
        <w:pStyle w:val="2"/>
        <w:spacing w:beforeLines="0" w:afterLines="0" w:line="480" w:lineRule="auto"/>
        <w:jc w:val="center"/>
        <w:rPr>
          <w:rStyle w:val="39"/>
          <w:rFonts w:hint="eastAsia" w:ascii="宋体" w:hAnsi="宋体" w:cs="宋体"/>
          <w:b/>
          <w:bCs/>
        </w:rPr>
        <w:sectPr>
          <w:pgSz w:w="11905" w:h="16838"/>
          <w:pgMar w:top="1440" w:right="1083" w:bottom="1440" w:left="1083" w:header="850" w:footer="850" w:gutter="0"/>
          <w:cols w:space="0" w:num="1"/>
          <w:titlePg/>
          <w:rtlGutter w:val="0"/>
          <w:docGrid w:linePitch="317" w:charSpace="0"/>
        </w:sectPr>
      </w:pPr>
    </w:p>
    <w:p w14:paraId="4AC6137D">
      <w:pPr>
        <w:pStyle w:val="2"/>
        <w:numPr>
          <w:ilvl w:val="0"/>
          <w:numId w:val="3"/>
        </w:numPr>
        <w:spacing w:beforeLines="0" w:afterLines="0" w:line="480" w:lineRule="auto"/>
        <w:jc w:val="center"/>
        <w:rPr>
          <w:rStyle w:val="39"/>
          <w:rFonts w:hint="eastAsia" w:ascii="宋体" w:hAnsi="宋体" w:cs="宋体"/>
          <w:b/>
          <w:bCs/>
        </w:rPr>
      </w:pPr>
      <w:r>
        <w:rPr>
          <w:rStyle w:val="39"/>
          <w:rFonts w:hint="eastAsia" w:ascii="宋体" w:hAnsi="宋体" w:cs="宋体"/>
          <w:b/>
          <w:bCs/>
        </w:rPr>
        <w:t xml:space="preserve"> </w:t>
      </w:r>
      <w:bookmarkStart w:id="2" w:name="_Toc15403"/>
      <w:r>
        <w:rPr>
          <w:rStyle w:val="39"/>
          <w:rFonts w:hint="eastAsia" w:ascii="宋体" w:hAnsi="宋体" w:cs="宋体"/>
          <w:b/>
          <w:bCs/>
        </w:rPr>
        <w:t>招标公告</w:t>
      </w:r>
      <w:bookmarkEnd w:id="1"/>
      <w:bookmarkEnd w:id="2"/>
    </w:p>
    <w:p w14:paraId="4D9F70B5">
      <w:pPr>
        <w:spacing w:line="500" w:lineRule="exact"/>
        <w:jc w:val="center"/>
        <w:rPr>
          <w:rFonts w:hint="eastAsia" w:ascii="宋体" w:hAnsi="宋体" w:eastAsia="宋体" w:cs="宋体"/>
          <w:b/>
          <w:kern w:val="0"/>
          <w:sz w:val="30"/>
          <w:szCs w:val="30"/>
        </w:rPr>
      </w:pPr>
      <w:bookmarkStart w:id="3" w:name="_Toc515899551"/>
      <w:bookmarkStart w:id="4" w:name="_Toc435272774"/>
      <w:bookmarkStart w:id="5" w:name="_Toc411857595"/>
      <w:bookmarkStart w:id="6" w:name="_Toc19234"/>
      <w:r>
        <w:rPr>
          <w:rFonts w:hint="eastAsia" w:ascii="宋体" w:hAnsi="宋体" w:eastAsia="宋体" w:cs="宋体"/>
          <w:b/>
          <w:kern w:val="0"/>
          <w:sz w:val="30"/>
          <w:szCs w:val="30"/>
        </w:rPr>
        <w:t>【平公资采2026328号】平顶山市夕阳红老年公寓关于</w:t>
      </w:r>
    </w:p>
    <w:p w14:paraId="28FE1FF7">
      <w:pPr>
        <w:spacing w:line="500" w:lineRule="exact"/>
        <w:jc w:val="center"/>
        <w:rPr>
          <w:rFonts w:hint="eastAsia" w:ascii="宋体" w:hAnsi="宋体" w:eastAsia="宋体" w:cs="宋体"/>
          <w:b/>
          <w:szCs w:val="21"/>
        </w:rPr>
      </w:pPr>
      <w:r>
        <w:rPr>
          <w:rFonts w:hint="eastAsia" w:ascii="宋体" w:hAnsi="宋体" w:eastAsia="宋体" w:cs="宋体"/>
          <w:b/>
          <w:kern w:val="0"/>
          <w:sz w:val="30"/>
          <w:szCs w:val="30"/>
        </w:rPr>
        <w:t>采购照料护理服务项目-公开招标公告</w:t>
      </w:r>
      <w:bookmarkEnd w:id="3"/>
      <w:bookmarkEnd w:id="4"/>
      <w:bookmarkEnd w:id="5"/>
      <w:bookmarkEnd w:id="6"/>
    </w:p>
    <w:p w14:paraId="5D5B8D24">
      <w:pPr>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项目概况</w:t>
      </w:r>
    </w:p>
    <w:p w14:paraId="1C4287A8">
      <w:pPr>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u w:val="single"/>
          <w:shd w:val="clear" w:color="auto" w:fill="FFFFFF"/>
        </w:rPr>
        <w:t>平顶山市夕阳红老年公寓关于采购照料护理服务项目</w:t>
      </w:r>
      <w:r>
        <w:rPr>
          <w:rFonts w:hint="eastAsia" w:ascii="宋体" w:hAnsi="宋体" w:eastAsia="宋体" w:cs="宋体"/>
          <w:color w:val="auto"/>
          <w:szCs w:val="21"/>
          <w:shd w:val="clear" w:color="auto" w:fill="FFFFFF"/>
        </w:rPr>
        <w:t>招标项目的潜在投标人应在《全国公共资源交易平台（河南省·平顶山市）</w:t>
      </w:r>
      <w:r>
        <w:rPr>
          <w:rFonts w:hint="eastAsia" w:ascii="宋体" w:hAnsi="宋体" w:eastAsia="宋体" w:cs="宋体"/>
          <w:b/>
          <w:bCs/>
          <w:color w:val="auto"/>
          <w:szCs w:val="21"/>
          <w:u w:val="single"/>
          <w:shd w:val="clear" w:color="auto" w:fill="FFFFFF"/>
        </w:rPr>
        <w:fldChar w:fldCharType="begin"/>
      </w:r>
      <w:r>
        <w:rPr>
          <w:rFonts w:hint="eastAsia" w:ascii="宋体" w:hAnsi="宋体" w:eastAsia="宋体" w:cs="宋体"/>
          <w:b/>
          <w:bCs/>
          <w:color w:val="auto"/>
          <w:szCs w:val="21"/>
          <w:u w:val="single"/>
          <w:shd w:val="clear" w:color="auto" w:fill="FFFFFF"/>
        </w:rPr>
        <w:instrText xml:space="preserve"> HYPERLINK "http://www.pdsggzy.com/）获取招标文件，并于2024年04月29日09时00分（北京时间）前递交投标文件。http:/ggzy.pds.gov.cn/" </w:instrText>
      </w:r>
      <w:r>
        <w:rPr>
          <w:rFonts w:hint="eastAsia" w:ascii="宋体" w:hAnsi="宋体" w:eastAsia="宋体" w:cs="宋体"/>
          <w:b/>
          <w:bCs/>
          <w:color w:val="auto"/>
          <w:szCs w:val="21"/>
          <w:u w:val="single"/>
          <w:shd w:val="clear" w:color="auto" w:fill="FFFFFF"/>
        </w:rPr>
        <w:fldChar w:fldCharType="separate"/>
      </w:r>
      <w:r>
        <w:rPr>
          <w:rStyle w:val="29"/>
          <w:rFonts w:hint="eastAsia" w:ascii="宋体" w:hAnsi="宋体" w:eastAsia="宋体" w:cs="宋体"/>
          <w:color w:val="auto"/>
          <w:szCs w:val="21"/>
          <w:shd w:val="clear" w:color="auto" w:fill="FFFFFF"/>
        </w:rPr>
        <w:t>获取招标文件，并于</w:t>
      </w:r>
      <w:r>
        <w:rPr>
          <w:rStyle w:val="29"/>
          <w:rFonts w:hint="eastAsia" w:ascii="宋体" w:hAnsi="宋体" w:eastAsia="宋体" w:cs="宋体"/>
          <w:b/>
          <w:bCs/>
          <w:color w:val="auto"/>
          <w:szCs w:val="21"/>
          <w:shd w:val="clear" w:color="auto" w:fill="FFFFFF"/>
        </w:rPr>
        <w:t>2026年</w:t>
      </w:r>
      <w:r>
        <w:rPr>
          <w:rStyle w:val="29"/>
          <w:rFonts w:hint="eastAsia" w:ascii="宋体" w:hAnsi="宋体" w:eastAsia="宋体" w:cs="宋体"/>
          <w:b/>
          <w:bCs/>
          <w:color w:val="auto"/>
          <w:szCs w:val="21"/>
          <w:shd w:val="clear" w:color="auto" w:fill="FFFFFF"/>
          <w:lang w:val="en-US" w:eastAsia="zh-CN"/>
        </w:rPr>
        <w:t>5</w:t>
      </w:r>
      <w:r>
        <w:rPr>
          <w:rStyle w:val="29"/>
          <w:rFonts w:hint="eastAsia" w:ascii="宋体" w:hAnsi="宋体" w:eastAsia="宋体" w:cs="宋体"/>
          <w:b/>
          <w:bCs/>
          <w:color w:val="auto"/>
          <w:szCs w:val="21"/>
          <w:shd w:val="clear" w:color="auto" w:fill="FFFFFF"/>
        </w:rPr>
        <w:t>月</w:t>
      </w:r>
      <w:r>
        <w:rPr>
          <w:rStyle w:val="29"/>
          <w:rFonts w:hint="eastAsia" w:ascii="宋体" w:hAnsi="宋体" w:eastAsia="宋体" w:cs="宋体"/>
          <w:b/>
          <w:bCs/>
          <w:color w:val="auto"/>
          <w:szCs w:val="21"/>
          <w:shd w:val="clear" w:color="auto" w:fill="FFFFFF"/>
          <w:lang w:val="en-US" w:eastAsia="zh-CN"/>
        </w:rPr>
        <w:t>19</w:t>
      </w:r>
      <w:r>
        <w:rPr>
          <w:rStyle w:val="29"/>
          <w:rFonts w:hint="eastAsia" w:ascii="宋体" w:hAnsi="宋体" w:eastAsia="宋体" w:cs="宋体"/>
          <w:b/>
          <w:bCs/>
          <w:color w:val="auto"/>
          <w:szCs w:val="21"/>
          <w:shd w:val="clear" w:color="auto" w:fill="FFFFFF"/>
        </w:rPr>
        <w:t>日09时00分</w:t>
      </w:r>
      <w:r>
        <w:rPr>
          <w:rStyle w:val="29"/>
          <w:rFonts w:hint="eastAsia" w:ascii="宋体" w:hAnsi="宋体" w:eastAsia="宋体" w:cs="宋体"/>
          <w:color w:val="auto"/>
          <w:szCs w:val="21"/>
          <w:shd w:val="clear" w:color="auto" w:fill="FFFFFF"/>
        </w:rPr>
        <w:t>（北京时间）前递交投标文件</w:t>
      </w:r>
      <w:r>
        <w:rPr>
          <w:rStyle w:val="29"/>
          <w:rFonts w:hint="eastAsia" w:ascii="宋体" w:hAnsi="宋体" w:eastAsia="宋体" w:cs="宋体"/>
          <w:bCs/>
          <w:color w:val="auto"/>
          <w:szCs w:val="21"/>
        </w:rPr>
        <w:t>。</w:t>
      </w:r>
      <w:r>
        <w:rPr>
          <w:rFonts w:hint="eastAsia" w:ascii="宋体" w:hAnsi="宋体" w:eastAsia="宋体" w:cs="宋体"/>
          <w:b/>
          <w:bCs/>
          <w:color w:val="auto"/>
          <w:szCs w:val="21"/>
          <w:u w:val="single"/>
          <w:shd w:val="clear" w:color="auto" w:fill="FFFFFF"/>
        </w:rPr>
        <w:fldChar w:fldCharType="end"/>
      </w:r>
      <w:r>
        <w:rPr>
          <w:rFonts w:hint="eastAsia" w:ascii="宋体" w:hAnsi="宋体" w:eastAsia="宋体" w:cs="宋体"/>
          <w:bCs/>
          <w:color w:val="auto"/>
          <w:szCs w:val="21"/>
        </w:rPr>
        <w:t xml:space="preserve">  </w:t>
      </w:r>
    </w:p>
    <w:p w14:paraId="3F5AE8E3">
      <w:pPr>
        <w:rPr>
          <w:rFonts w:hint="eastAsia" w:ascii="宋体" w:hAnsi="宋体" w:eastAsia="宋体" w:cs="宋体"/>
          <w:bCs/>
          <w:color w:val="auto"/>
          <w:szCs w:val="21"/>
        </w:rPr>
      </w:pPr>
      <w:r>
        <w:rPr>
          <w:rFonts w:hint="eastAsia" w:ascii="宋体" w:hAnsi="宋体" w:eastAsia="宋体" w:cs="宋体"/>
          <w:b/>
          <w:bCs/>
          <w:color w:val="auto"/>
          <w:szCs w:val="21"/>
        </w:rPr>
        <w:t>一、项目基本情况</w:t>
      </w:r>
    </w:p>
    <w:p w14:paraId="1DA5106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1、项目编号：</w:t>
      </w:r>
      <w:r>
        <w:rPr>
          <w:rFonts w:hint="eastAsia" w:ascii="宋体" w:hAnsi="宋体" w:eastAsia="宋体" w:cs="宋体"/>
          <w:color w:val="auto"/>
          <w:szCs w:val="21"/>
          <w:lang w:eastAsia="zh-CN"/>
        </w:rPr>
        <w:t>平采招标-2026-57</w:t>
      </w:r>
      <w:r>
        <w:rPr>
          <w:rFonts w:hint="eastAsia" w:ascii="宋体" w:hAnsi="宋体" w:eastAsia="宋体" w:cs="宋体"/>
          <w:color w:val="auto"/>
          <w:szCs w:val="21"/>
        </w:rPr>
        <w:t xml:space="preserve">  </w:t>
      </w:r>
    </w:p>
    <w:p w14:paraId="6073F5C5">
      <w:pPr>
        <w:ind w:left="450"/>
        <w:rPr>
          <w:rFonts w:hint="eastAsia" w:ascii="宋体" w:hAnsi="宋体" w:eastAsia="宋体" w:cs="宋体"/>
          <w:szCs w:val="21"/>
        </w:rPr>
      </w:pPr>
      <w:r>
        <w:rPr>
          <w:rFonts w:hint="eastAsia" w:ascii="宋体" w:hAnsi="宋体" w:eastAsia="宋体" w:cs="宋体"/>
          <w:szCs w:val="21"/>
        </w:rPr>
        <w:t>2、项目名称：平顶山市夕阳红老年公寓关于采购照料护理服务项目</w:t>
      </w:r>
    </w:p>
    <w:p w14:paraId="5BA86E0A">
      <w:pPr>
        <w:ind w:left="450"/>
        <w:rPr>
          <w:rFonts w:hint="eastAsia" w:ascii="宋体" w:hAnsi="宋体" w:eastAsia="宋体" w:cs="宋体"/>
          <w:szCs w:val="21"/>
        </w:rPr>
      </w:pPr>
      <w:r>
        <w:rPr>
          <w:rFonts w:hint="eastAsia" w:ascii="宋体" w:hAnsi="宋体" w:eastAsia="宋体" w:cs="宋体"/>
          <w:szCs w:val="21"/>
        </w:rPr>
        <w:t>3、采购方式：公开招标</w:t>
      </w:r>
    </w:p>
    <w:p w14:paraId="67926FEA">
      <w:pPr>
        <w:ind w:left="450"/>
        <w:rPr>
          <w:rFonts w:hint="eastAsia" w:ascii="宋体" w:hAnsi="宋体" w:eastAsia="宋体" w:cs="宋体"/>
          <w:szCs w:val="21"/>
        </w:rPr>
      </w:pPr>
      <w:r>
        <w:rPr>
          <w:rFonts w:hint="eastAsia" w:ascii="宋体" w:hAnsi="宋体" w:eastAsia="宋体" w:cs="宋体"/>
          <w:szCs w:val="21"/>
        </w:rPr>
        <w:t>4、预算金额：2600000</w:t>
      </w:r>
      <w:r>
        <w:rPr>
          <w:rFonts w:hint="eastAsia" w:ascii="宋体" w:hAnsi="宋体" w:eastAsia="宋体" w:cs="宋体"/>
          <w:szCs w:val="21"/>
          <w:lang w:val="en-US" w:eastAsia="zh-CN"/>
        </w:rPr>
        <w:t>.00</w:t>
      </w:r>
      <w:r>
        <w:rPr>
          <w:rFonts w:hint="eastAsia" w:ascii="宋体" w:hAnsi="宋体" w:eastAsia="宋体" w:cs="宋体"/>
          <w:szCs w:val="21"/>
        </w:rPr>
        <w:t>元   最高限价：2600000</w:t>
      </w:r>
      <w:r>
        <w:rPr>
          <w:rFonts w:hint="eastAsia" w:ascii="宋体" w:hAnsi="宋体" w:eastAsia="宋体" w:cs="宋体"/>
          <w:szCs w:val="21"/>
          <w:lang w:val="en-US" w:eastAsia="zh-CN"/>
        </w:rPr>
        <w:t>.00</w:t>
      </w:r>
      <w:r>
        <w:rPr>
          <w:rFonts w:hint="eastAsia" w:ascii="宋体" w:hAnsi="宋体" w:eastAsia="宋体" w:cs="宋体"/>
          <w:szCs w:val="21"/>
        </w:rPr>
        <w:t>元</w:t>
      </w:r>
    </w:p>
    <w:tbl>
      <w:tblPr>
        <w:tblStyle w:val="24"/>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85"/>
        <w:gridCol w:w="1056"/>
        <w:gridCol w:w="1338"/>
        <w:gridCol w:w="1287"/>
        <w:gridCol w:w="1588"/>
        <w:gridCol w:w="2473"/>
      </w:tblGrid>
      <w:tr w14:paraId="5CB3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7DC4EA1">
            <w:pPr>
              <w:pStyle w:val="22"/>
              <w:kinsoku w:val="0"/>
              <w:overflowPunct w:val="0"/>
              <w:autoSpaceDE w:val="0"/>
              <w:autoSpaceDN w:val="0"/>
              <w:adjustRightInd w:val="0"/>
              <w:snapToGrid w:val="0"/>
              <w:spacing w:line="300" w:lineRule="exact"/>
              <w:ind w:firstLine="0" w:firstLineChars="0"/>
              <w:jc w:val="center"/>
              <w:rPr>
                <w:rFonts w:hint="eastAsia" w:ascii="宋体" w:hAnsi="宋体" w:cs="宋体"/>
                <w:kern w:val="0"/>
                <w:szCs w:val="21"/>
              </w:rPr>
            </w:pPr>
            <w:r>
              <w:rPr>
                <w:rFonts w:hint="eastAsia" w:ascii="宋体" w:hAnsi="宋体" w:cs="宋体"/>
                <w:kern w:val="0"/>
                <w:szCs w:val="21"/>
              </w:rPr>
              <w:t>序号</w:t>
            </w:r>
          </w:p>
        </w:tc>
        <w:tc>
          <w:tcPr>
            <w:tcW w:w="745" w:type="pct"/>
            <w:tcBorders>
              <w:top w:val="single" w:color="auto" w:sz="4" w:space="0"/>
              <w:left w:val="nil"/>
              <w:bottom w:val="single" w:color="auto" w:sz="4" w:space="0"/>
              <w:right w:val="single" w:color="auto" w:sz="4" w:space="0"/>
            </w:tcBorders>
            <w:vAlign w:val="center"/>
          </w:tcPr>
          <w:p w14:paraId="59C16289">
            <w:pPr>
              <w:pStyle w:val="22"/>
              <w:kinsoku w:val="0"/>
              <w:overflowPunct w:val="0"/>
              <w:autoSpaceDE w:val="0"/>
              <w:autoSpaceDN w:val="0"/>
              <w:adjustRightInd w:val="0"/>
              <w:snapToGrid w:val="0"/>
              <w:spacing w:line="300" w:lineRule="exact"/>
              <w:ind w:firstLine="0" w:firstLineChars="0"/>
              <w:jc w:val="center"/>
              <w:rPr>
                <w:rFonts w:hint="eastAsia" w:ascii="宋体" w:hAnsi="宋体" w:cs="宋体"/>
                <w:kern w:val="0"/>
                <w:szCs w:val="21"/>
              </w:rPr>
            </w:pPr>
            <w:r>
              <w:rPr>
                <w:rFonts w:hint="eastAsia" w:ascii="宋体" w:hAnsi="宋体" w:cs="宋体"/>
                <w:kern w:val="0"/>
                <w:szCs w:val="21"/>
              </w:rPr>
              <w:t>包号</w:t>
            </w:r>
          </w:p>
        </w:tc>
        <w:tc>
          <w:tcPr>
            <w:tcW w:w="530" w:type="pct"/>
            <w:tcBorders>
              <w:top w:val="single" w:color="auto" w:sz="4" w:space="0"/>
              <w:left w:val="nil"/>
              <w:bottom w:val="single" w:color="auto" w:sz="4" w:space="0"/>
              <w:right w:val="single" w:color="auto" w:sz="4" w:space="0"/>
            </w:tcBorders>
            <w:vAlign w:val="center"/>
          </w:tcPr>
          <w:p w14:paraId="6AEDF8E9">
            <w:pPr>
              <w:pStyle w:val="22"/>
              <w:kinsoku w:val="0"/>
              <w:overflowPunct w:val="0"/>
              <w:autoSpaceDE w:val="0"/>
              <w:autoSpaceDN w:val="0"/>
              <w:adjustRightInd w:val="0"/>
              <w:snapToGrid w:val="0"/>
              <w:spacing w:line="300" w:lineRule="exact"/>
              <w:ind w:firstLine="0" w:firstLineChars="0"/>
              <w:jc w:val="center"/>
              <w:rPr>
                <w:rFonts w:hint="eastAsia" w:ascii="宋体" w:hAnsi="宋体" w:cs="宋体"/>
                <w:kern w:val="0"/>
                <w:szCs w:val="21"/>
              </w:rPr>
            </w:pPr>
            <w:r>
              <w:rPr>
                <w:rFonts w:hint="eastAsia" w:ascii="宋体" w:hAnsi="宋体" w:cs="宋体"/>
                <w:kern w:val="0"/>
                <w:szCs w:val="21"/>
              </w:rPr>
              <w:t>包名称</w:t>
            </w:r>
          </w:p>
        </w:tc>
        <w:tc>
          <w:tcPr>
            <w:tcW w:w="671" w:type="pct"/>
            <w:tcBorders>
              <w:top w:val="single" w:color="auto" w:sz="4" w:space="0"/>
              <w:left w:val="nil"/>
              <w:bottom w:val="single" w:color="auto" w:sz="4" w:space="0"/>
              <w:right w:val="single" w:color="auto" w:sz="4" w:space="0"/>
            </w:tcBorders>
            <w:vAlign w:val="center"/>
          </w:tcPr>
          <w:p w14:paraId="4672E600">
            <w:pPr>
              <w:pStyle w:val="22"/>
              <w:kinsoku w:val="0"/>
              <w:overflowPunct w:val="0"/>
              <w:autoSpaceDE w:val="0"/>
              <w:autoSpaceDN w:val="0"/>
              <w:adjustRightInd w:val="0"/>
              <w:snapToGrid w:val="0"/>
              <w:spacing w:line="300" w:lineRule="exact"/>
              <w:ind w:firstLine="0" w:firstLineChars="0"/>
              <w:jc w:val="center"/>
              <w:rPr>
                <w:rFonts w:hint="eastAsia" w:ascii="宋体" w:hAnsi="宋体" w:cs="宋体"/>
                <w:kern w:val="0"/>
                <w:szCs w:val="21"/>
              </w:rPr>
            </w:pPr>
            <w:r>
              <w:rPr>
                <w:rFonts w:hint="eastAsia" w:ascii="宋体" w:hAnsi="宋体" w:cs="宋体"/>
                <w:kern w:val="0"/>
                <w:szCs w:val="21"/>
              </w:rPr>
              <w:t>包预算(元）</w:t>
            </w:r>
          </w:p>
        </w:tc>
        <w:tc>
          <w:tcPr>
            <w:tcW w:w="646" w:type="pct"/>
            <w:tcBorders>
              <w:top w:val="single" w:color="auto" w:sz="4" w:space="0"/>
              <w:left w:val="nil"/>
              <w:bottom w:val="single" w:color="auto" w:sz="4" w:space="0"/>
              <w:right w:val="single" w:color="auto" w:sz="4" w:space="0"/>
            </w:tcBorders>
            <w:vAlign w:val="center"/>
          </w:tcPr>
          <w:p w14:paraId="40EE6272">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包最高限价</w:t>
            </w:r>
          </w:p>
          <w:p w14:paraId="14437E17">
            <w:pPr>
              <w:kinsoku w:val="0"/>
              <w:overflowPunct w:val="0"/>
              <w:autoSpaceDE w:val="0"/>
              <w:autoSpaceDN w:val="0"/>
              <w:adjustRightInd w:val="0"/>
              <w:snapToGrid w:val="0"/>
              <w:spacing w:line="300" w:lineRule="exact"/>
              <w:jc w:val="center"/>
              <w:rPr>
                <w:rFonts w:hint="eastAsia" w:ascii="宋体" w:hAnsi="宋体" w:eastAsia="宋体" w:cs="宋体"/>
                <w:kern w:val="0"/>
                <w:szCs w:val="21"/>
              </w:rPr>
            </w:pPr>
            <w:r>
              <w:rPr>
                <w:rFonts w:hint="eastAsia" w:ascii="宋体" w:hAnsi="宋体" w:eastAsia="宋体" w:cs="宋体"/>
                <w:szCs w:val="21"/>
              </w:rPr>
              <w:t>（元）</w:t>
            </w:r>
          </w:p>
        </w:tc>
        <w:tc>
          <w:tcPr>
            <w:tcW w:w="797" w:type="pct"/>
            <w:tcBorders>
              <w:top w:val="single" w:color="auto" w:sz="4" w:space="0"/>
              <w:left w:val="single" w:color="auto" w:sz="4" w:space="0"/>
              <w:bottom w:val="single" w:color="auto" w:sz="4" w:space="0"/>
              <w:right w:val="single" w:color="auto" w:sz="4" w:space="0"/>
            </w:tcBorders>
            <w:vAlign w:val="center"/>
          </w:tcPr>
          <w:p w14:paraId="7C49078D">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是否专门面向中小企业</w:t>
            </w:r>
          </w:p>
        </w:tc>
        <w:tc>
          <w:tcPr>
            <w:tcW w:w="1241" w:type="pct"/>
            <w:tcBorders>
              <w:top w:val="single" w:color="auto" w:sz="4" w:space="0"/>
              <w:left w:val="single" w:color="auto" w:sz="4" w:space="0"/>
              <w:bottom w:val="single" w:color="auto" w:sz="4" w:space="0"/>
              <w:right w:val="single" w:color="auto" w:sz="4" w:space="0"/>
            </w:tcBorders>
            <w:vAlign w:val="center"/>
          </w:tcPr>
          <w:p w14:paraId="18B3AC34">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采购预留</w:t>
            </w:r>
          </w:p>
          <w:p w14:paraId="3FE203A8">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金额（元）</w:t>
            </w:r>
          </w:p>
        </w:tc>
      </w:tr>
      <w:tr w14:paraId="67BF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67" w:type="pct"/>
            <w:tcBorders>
              <w:top w:val="nil"/>
              <w:left w:val="single" w:color="auto" w:sz="4" w:space="0"/>
              <w:right w:val="single" w:color="auto" w:sz="4" w:space="0"/>
            </w:tcBorders>
            <w:vAlign w:val="center"/>
          </w:tcPr>
          <w:p w14:paraId="6056D11E">
            <w:pPr>
              <w:pStyle w:val="22"/>
              <w:kinsoku w:val="0"/>
              <w:overflowPunct w:val="0"/>
              <w:autoSpaceDE w:val="0"/>
              <w:autoSpaceDN w:val="0"/>
              <w:adjustRightInd w:val="0"/>
              <w:snapToGrid w:val="0"/>
              <w:spacing w:line="300" w:lineRule="exact"/>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pct"/>
            <w:tcBorders>
              <w:top w:val="nil"/>
              <w:left w:val="nil"/>
              <w:right w:val="single" w:color="auto" w:sz="4" w:space="0"/>
            </w:tcBorders>
            <w:vAlign w:val="center"/>
          </w:tcPr>
          <w:p w14:paraId="7DA16893">
            <w:pPr>
              <w:pStyle w:val="22"/>
              <w:kinsoku w:val="0"/>
              <w:overflowPunct w:val="0"/>
              <w:autoSpaceDE w:val="0"/>
              <w:autoSpaceDN w:val="0"/>
              <w:adjustRightInd w:val="0"/>
              <w:snapToGrid w:val="0"/>
              <w:spacing w:line="300" w:lineRule="exact"/>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rPr>
              <w:t>平公资采2026328号</w:t>
            </w:r>
            <w:r>
              <w:rPr>
                <w:rFonts w:hint="eastAsia" w:ascii="宋体" w:hAnsi="宋体" w:cs="宋体"/>
                <w:kern w:val="0"/>
                <w:szCs w:val="21"/>
                <w:lang w:val="en-US" w:eastAsia="zh-CN"/>
              </w:rPr>
              <w:t>-1</w:t>
            </w:r>
          </w:p>
        </w:tc>
        <w:tc>
          <w:tcPr>
            <w:tcW w:w="530" w:type="pct"/>
            <w:tcBorders>
              <w:top w:val="single" w:color="auto" w:sz="4" w:space="0"/>
              <w:left w:val="nil"/>
              <w:right w:val="single" w:color="auto" w:sz="4" w:space="0"/>
            </w:tcBorders>
            <w:vAlign w:val="center"/>
          </w:tcPr>
          <w:p w14:paraId="3435D932">
            <w:pPr>
              <w:pStyle w:val="21"/>
              <w:widowControl/>
              <w:spacing w:beforeAutospacing="0" w:afterAutospacing="0" w:line="320" w:lineRule="exact"/>
              <w:jc w:val="center"/>
              <w:textAlignment w:val="baseline"/>
              <w:rPr>
                <w:rFonts w:hint="eastAsia" w:eastAsia="宋体" w:cs="宋体"/>
                <w:color w:val="auto"/>
                <w:kern w:val="0"/>
                <w:szCs w:val="21"/>
              </w:rPr>
            </w:pPr>
            <w:r>
              <w:rPr>
                <w:rFonts w:hint="eastAsia" w:eastAsia="宋体" w:cs="宋体"/>
                <w:color w:val="auto"/>
                <w:szCs w:val="21"/>
              </w:rPr>
              <w:t>第一标段</w:t>
            </w:r>
          </w:p>
        </w:tc>
        <w:tc>
          <w:tcPr>
            <w:tcW w:w="671" w:type="pct"/>
            <w:tcBorders>
              <w:top w:val="nil"/>
              <w:left w:val="nil"/>
              <w:right w:val="single" w:color="auto" w:sz="4" w:space="0"/>
            </w:tcBorders>
            <w:vAlign w:val="center"/>
          </w:tcPr>
          <w:p w14:paraId="10DA2E81">
            <w:pPr>
              <w:kinsoku w:val="0"/>
              <w:overflowPunct w:val="0"/>
              <w:autoSpaceDE w:val="0"/>
              <w:autoSpaceDN w:val="0"/>
              <w:adjustRightInd w:val="0"/>
              <w:snapToGrid w:val="0"/>
              <w:spacing w:line="320" w:lineRule="exact"/>
              <w:jc w:val="center"/>
              <w:rPr>
                <w:rFonts w:hint="eastAsia" w:ascii="宋体" w:hAnsi="宋体" w:eastAsia="宋体" w:cs="宋体"/>
                <w:kern w:val="0"/>
                <w:szCs w:val="21"/>
              </w:rPr>
            </w:pPr>
            <w:r>
              <w:rPr>
                <w:rFonts w:hint="eastAsia" w:ascii="宋体" w:hAnsi="宋体" w:cs="宋体"/>
                <w:kern w:val="0"/>
                <w:shd w:val="clear" w:color="auto" w:fill="FFFFFF"/>
              </w:rPr>
              <w:t>2600000</w:t>
            </w:r>
          </w:p>
        </w:tc>
        <w:tc>
          <w:tcPr>
            <w:tcW w:w="646" w:type="pct"/>
            <w:tcBorders>
              <w:top w:val="nil"/>
              <w:left w:val="nil"/>
              <w:right w:val="single" w:color="auto" w:sz="4" w:space="0"/>
            </w:tcBorders>
            <w:vAlign w:val="center"/>
          </w:tcPr>
          <w:p w14:paraId="1D36CE73">
            <w:pPr>
              <w:kinsoku w:val="0"/>
              <w:overflowPunct w:val="0"/>
              <w:autoSpaceDE w:val="0"/>
              <w:autoSpaceDN w:val="0"/>
              <w:adjustRightInd w:val="0"/>
              <w:snapToGrid w:val="0"/>
              <w:spacing w:line="320" w:lineRule="exact"/>
              <w:jc w:val="center"/>
              <w:rPr>
                <w:rFonts w:hint="eastAsia" w:ascii="宋体" w:hAnsi="宋体" w:eastAsia="宋体" w:cs="宋体"/>
                <w:kern w:val="0"/>
                <w:szCs w:val="21"/>
              </w:rPr>
            </w:pPr>
            <w:r>
              <w:rPr>
                <w:rFonts w:hint="eastAsia" w:ascii="宋体" w:hAnsi="宋体" w:eastAsia="宋体" w:cs="宋体"/>
                <w:szCs w:val="21"/>
              </w:rPr>
              <w:t>2600000</w:t>
            </w:r>
          </w:p>
        </w:tc>
        <w:tc>
          <w:tcPr>
            <w:tcW w:w="797" w:type="pct"/>
            <w:tcBorders>
              <w:top w:val="nil"/>
              <w:left w:val="single" w:color="auto" w:sz="4" w:space="0"/>
              <w:right w:val="single" w:color="auto" w:sz="4" w:space="0"/>
            </w:tcBorders>
            <w:vAlign w:val="center"/>
          </w:tcPr>
          <w:p w14:paraId="5A9AE579">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是</w:t>
            </w:r>
          </w:p>
        </w:tc>
        <w:tc>
          <w:tcPr>
            <w:tcW w:w="1241" w:type="pct"/>
            <w:tcBorders>
              <w:top w:val="nil"/>
              <w:left w:val="single" w:color="auto" w:sz="4" w:space="0"/>
              <w:right w:val="single" w:color="auto" w:sz="4" w:space="0"/>
            </w:tcBorders>
            <w:vAlign w:val="center"/>
          </w:tcPr>
          <w:p w14:paraId="036228AE">
            <w:pPr>
              <w:kinsoku w:val="0"/>
              <w:overflowPunct w:val="0"/>
              <w:autoSpaceDE w:val="0"/>
              <w:autoSpaceDN w:val="0"/>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2600000 ，其中小微企业采购金额：2600000</w:t>
            </w:r>
          </w:p>
        </w:tc>
      </w:tr>
    </w:tbl>
    <w:p w14:paraId="300F950F">
      <w:pPr>
        <w:keepNext w:val="0"/>
        <w:keepLines w:val="0"/>
        <w:pageBreakBefore w:val="0"/>
        <w:widowControl w:val="0"/>
        <w:kinsoku w:val="0"/>
        <w:wordWrap/>
        <w:overflowPunct w:val="0"/>
        <w:topLinePunct w:val="0"/>
        <w:autoSpaceDE w:val="0"/>
        <w:autoSpaceDN w:val="0"/>
        <w:bidi w:val="0"/>
        <w:adjustRightInd w:val="0"/>
        <w:snapToGrid w:val="0"/>
        <w:spacing w:before="157" w:beforeLines="50"/>
        <w:ind w:firstLine="420" w:firstLineChars="200"/>
        <w:textAlignment w:val="auto"/>
        <w:rPr>
          <w:rFonts w:hint="eastAsia" w:ascii="宋体" w:hAnsi="宋体" w:eastAsia="宋体" w:cs="宋体"/>
          <w:szCs w:val="21"/>
        </w:rPr>
      </w:pPr>
      <w:r>
        <w:rPr>
          <w:rFonts w:hint="eastAsia" w:ascii="宋体" w:hAnsi="宋体" w:eastAsia="宋体" w:cs="宋体"/>
          <w:szCs w:val="21"/>
        </w:rPr>
        <w:t>5、采购需求（包括但不限于标的的名称、数量、简要技术需求或服务要求等）</w:t>
      </w:r>
    </w:p>
    <w:p w14:paraId="60D6406E">
      <w:pPr>
        <w:kinsoku w:val="0"/>
        <w:overflowPunct w:val="0"/>
        <w:autoSpaceDE w:val="0"/>
        <w:autoSpaceDN w:val="0"/>
        <w:adjustRightInd w:val="0"/>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5.1服务内容：夕阳红老年公寓约170名受助人员（主要救助人群为老年人、残疾人、精神病人等）提供生活照料、安全看护、医疗、康复等基础服务；提供文化娱乐、精神支持、社会功能提升等服务</w:t>
      </w:r>
      <w:r>
        <w:rPr>
          <w:rFonts w:hint="eastAsia" w:ascii="宋体" w:hAnsi="宋体" w:eastAsia="宋体" w:cs="宋体"/>
          <w:szCs w:val="21"/>
          <w:lang w:eastAsia="zh-CN"/>
        </w:rPr>
        <w:t>；</w:t>
      </w:r>
      <w:r>
        <w:rPr>
          <w:rFonts w:hint="eastAsia" w:ascii="宋体" w:hAnsi="宋体" w:eastAsia="宋体" w:cs="宋体"/>
          <w:szCs w:val="21"/>
        </w:rPr>
        <w:t>公寓内护理人员进行综合管理服务；为配备的相关护理人员提供培训督导；以及为全公寓院民提供养教服务</w:t>
      </w:r>
      <w:r>
        <w:rPr>
          <w:rFonts w:hint="eastAsia" w:ascii="宋体" w:hAnsi="宋体" w:eastAsia="宋体" w:cs="宋体"/>
          <w:szCs w:val="21"/>
          <w:lang w:eastAsia="zh-CN"/>
        </w:rPr>
        <w:t>。</w:t>
      </w:r>
      <w:r>
        <w:rPr>
          <w:rFonts w:hint="eastAsia" w:ascii="宋体" w:hAnsi="宋体" w:eastAsia="宋体" w:cs="宋体"/>
          <w:szCs w:val="21"/>
        </w:rPr>
        <w:t>具体详见招标文件</w:t>
      </w:r>
      <w:r>
        <w:rPr>
          <w:rFonts w:hint="eastAsia" w:ascii="宋体" w:hAnsi="宋体" w:eastAsia="宋体" w:cs="宋体"/>
          <w:szCs w:val="21"/>
          <w:lang w:eastAsia="zh-CN"/>
        </w:rPr>
        <w:t>。</w:t>
      </w:r>
    </w:p>
    <w:p w14:paraId="1672AFF4">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5.2资金来源：财政资金，已落实。</w:t>
      </w:r>
    </w:p>
    <w:p w14:paraId="48D4DE02">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5.3服务期限：自合同签订之日起一年</w:t>
      </w:r>
    </w:p>
    <w:p w14:paraId="2955DFAD">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5.4服务地点：采购人指定地点</w:t>
      </w:r>
    </w:p>
    <w:p w14:paraId="5E72A75E">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5.5服务要求：合格，符合国家、行业相关规范要求。</w:t>
      </w:r>
    </w:p>
    <w:p w14:paraId="6F8BB1D7">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6、合同履行期限：自合同签订之日起一年</w:t>
      </w:r>
    </w:p>
    <w:p w14:paraId="5D326623">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7、本项目是否接受联合体投标：否</w:t>
      </w:r>
    </w:p>
    <w:p w14:paraId="71852F3E">
      <w:pPr>
        <w:kinsoku w:val="0"/>
        <w:overflowPunct w:val="0"/>
        <w:autoSpaceDE w:val="0"/>
        <w:autoSpaceDN w:val="0"/>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8、是否接受进口产品：否</w:t>
      </w:r>
    </w:p>
    <w:p w14:paraId="1D725842">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9、是否专门面向中小企业：是</w:t>
      </w:r>
    </w:p>
    <w:p w14:paraId="46B0A3D5">
      <w:pPr>
        <w:rPr>
          <w:rFonts w:hint="eastAsia" w:ascii="宋体" w:hAnsi="宋体" w:eastAsia="宋体" w:cs="宋体"/>
          <w:b/>
          <w:bCs/>
          <w:szCs w:val="21"/>
        </w:rPr>
      </w:pPr>
      <w:r>
        <w:rPr>
          <w:rFonts w:hint="eastAsia" w:ascii="宋体" w:hAnsi="宋体" w:eastAsia="宋体" w:cs="宋体"/>
          <w:b/>
          <w:bCs/>
          <w:szCs w:val="21"/>
        </w:rPr>
        <w:t>二、申请人资格要求</w:t>
      </w:r>
    </w:p>
    <w:p w14:paraId="018A03A4">
      <w:pPr>
        <w:ind w:firstLine="420" w:firstLineChars="200"/>
        <w:rPr>
          <w:rFonts w:hint="eastAsia" w:ascii="宋体" w:hAnsi="宋体" w:eastAsia="宋体" w:cs="宋体"/>
          <w:szCs w:val="21"/>
          <w:lang w:eastAsia="zh-CN"/>
        </w:rPr>
      </w:pPr>
      <w:r>
        <w:rPr>
          <w:rFonts w:hint="eastAsia" w:ascii="宋体" w:hAnsi="宋体" w:eastAsia="宋体" w:cs="宋体"/>
          <w:szCs w:val="21"/>
        </w:rPr>
        <w:t>1、满足《中华人民共和国政府采购法》第二十二条规定</w:t>
      </w:r>
      <w:r>
        <w:rPr>
          <w:rFonts w:hint="eastAsia" w:ascii="宋体" w:hAnsi="宋体" w:eastAsia="宋体" w:cs="宋体"/>
          <w:szCs w:val="21"/>
          <w:lang w:eastAsia="zh-CN"/>
        </w:rPr>
        <w:t>；</w:t>
      </w:r>
    </w:p>
    <w:p w14:paraId="26BA5537">
      <w:pPr>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w:t>
      </w:r>
    </w:p>
    <w:p w14:paraId="5563E005">
      <w:pPr>
        <w:ind w:firstLine="420" w:firstLineChars="200"/>
        <w:rPr>
          <w:rFonts w:hint="eastAsia" w:ascii="宋体" w:hAnsi="宋体" w:eastAsia="宋体" w:cs="宋体"/>
          <w:szCs w:val="21"/>
        </w:rPr>
      </w:pPr>
      <w:r>
        <w:rPr>
          <w:rFonts w:hint="eastAsia" w:ascii="宋体" w:hAnsi="宋体" w:eastAsia="宋体" w:cs="宋体"/>
          <w:szCs w:val="21"/>
        </w:rPr>
        <w:t>本项目专门面向中小微企业采购，供应商应为中小微企业（监狱企业、残疾人福利性单位视同小微企业），须符合国务院批准的中小企业划型标准中其他未列明行业对应的中小企业划分标准。</w:t>
      </w:r>
    </w:p>
    <w:p w14:paraId="7395F844">
      <w:pPr>
        <w:ind w:left="420" w:leftChars="200"/>
        <w:rPr>
          <w:rFonts w:hint="eastAsia" w:ascii="宋体" w:hAnsi="宋体" w:eastAsia="宋体" w:cs="宋体"/>
        </w:rPr>
      </w:pPr>
      <w:r>
        <w:rPr>
          <w:rFonts w:hint="eastAsia" w:ascii="宋体" w:hAnsi="宋体" w:eastAsia="宋体" w:cs="宋体"/>
        </w:rPr>
        <w:t>3、本项目的特定资格要求：</w:t>
      </w:r>
    </w:p>
    <w:p w14:paraId="5B624622">
      <w:pPr>
        <w:ind w:left="420" w:leftChars="200"/>
        <w:rPr>
          <w:rFonts w:hint="eastAsia" w:ascii="宋体" w:hAnsi="宋体" w:eastAsia="宋体" w:cs="宋体"/>
        </w:rPr>
      </w:pPr>
      <w:r>
        <w:rPr>
          <w:rFonts w:hint="eastAsia" w:ascii="宋体" w:hAnsi="宋体" w:eastAsia="宋体" w:cs="宋体"/>
        </w:rPr>
        <w:t>3.1满足《中华人民共和国政府采购法》第二十二条规定；</w:t>
      </w:r>
    </w:p>
    <w:p w14:paraId="642962E3">
      <w:pPr>
        <w:ind w:left="420" w:leftChars="200"/>
        <w:rPr>
          <w:rFonts w:hint="eastAsia" w:ascii="宋体" w:hAnsi="宋体" w:eastAsia="宋体" w:cs="宋体"/>
        </w:rPr>
      </w:pPr>
      <w:r>
        <w:rPr>
          <w:rFonts w:hint="eastAsia" w:ascii="宋体" w:hAnsi="宋体" w:eastAsia="宋体" w:cs="宋体"/>
        </w:rPr>
        <w:t>3.1.1供应商具有独立承担民事责任的能力（提供法人或其他组织的有效的营业执照等证明文件）；</w:t>
      </w:r>
      <w:r>
        <w:rPr>
          <w:rFonts w:hint="eastAsia" w:ascii="宋体" w:hAnsi="宋体" w:eastAsia="宋体" w:cs="宋体"/>
        </w:rPr>
        <w:br w:type="textWrapping"/>
      </w:r>
      <w:r>
        <w:rPr>
          <w:rFonts w:hint="eastAsia" w:ascii="宋体" w:hAnsi="宋体" w:eastAsia="宋体" w:cs="宋体"/>
        </w:rPr>
        <w:t>3.1.2供应商具有良好的商业信誉和健全的财务会计制度（提供承诺函）；</w:t>
      </w:r>
      <w:r>
        <w:rPr>
          <w:rFonts w:hint="eastAsia" w:ascii="宋体" w:hAnsi="宋体" w:eastAsia="宋体" w:cs="宋体"/>
        </w:rPr>
        <w:br w:type="textWrapping"/>
      </w:r>
      <w:r>
        <w:rPr>
          <w:rFonts w:hint="eastAsia" w:ascii="宋体" w:hAnsi="宋体" w:eastAsia="宋体" w:cs="宋体"/>
        </w:rPr>
        <w:t>3.1.3供应商具备履行合同所必需的设备和专业技术能力（提供承诺函）；</w:t>
      </w:r>
    </w:p>
    <w:p w14:paraId="22C384D2">
      <w:pPr>
        <w:ind w:left="420" w:leftChars="200"/>
        <w:rPr>
          <w:rFonts w:hint="eastAsia" w:ascii="宋体" w:hAnsi="宋体" w:eastAsia="宋体" w:cs="宋体"/>
        </w:rPr>
      </w:pPr>
      <w:r>
        <w:rPr>
          <w:rFonts w:hint="eastAsia" w:ascii="宋体" w:hAnsi="宋体" w:eastAsia="宋体" w:cs="宋体"/>
        </w:rPr>
        <w:t>3.1.4供应商具有依法缴纳税收和社会保障资金的良好记录（提供承诺函）；</w:t>
      </w:r>
    </w:p>
    <w:p w14:paraId="41CB2469">
      <w:pPr>
        <w:ind w:left="420" w:leftChars="200"/>
        <w:rPr>
          <w:rFonts w:hint="eastAsia" w:ascii="宋体" w:hAnsi="宋体" w:eastAsia="宋体" w:cs="宋体"/>
        </w:rPr>
      </w:pPr>
      <w:r>
        <w:rPr>
          <w:rFonts w:hint="eastAsia" w:ascii="宋体" w:hAnsi="宋体" w:eastAsia="宋体" w:cs="宋体"/>
        </w:rPr>
        <w:t>3.1.5参加政府采购活动前三年内，在经营活</w:t>
      </w:r>
      <w:r>
        <w:rPr>
          <w:rFonts w:hint="eastAsia" w:ascii="宋体" w:hAnsi="宋体" w:eastAsia="宋体" w:cs="宋体"/>
          <w:szCs w:val="21"/>
        </w:rPr>
        <w:t>动中没有重大违法记录(提供承诺函)</w:t>
      </w:r>
      <w:r>
        <w:rPr>
          <w:rFonts w:hint="eastAsia" w:ascii="宋体" w:hAnsi="宋体" w:eastAsia="宋体" w:cs="宋体"/>
        </w:rPr>
        <w:t>；</w:t>
      </w:r>
    </w:p>
    <w:p w14:paraId="2940ABDC">
      <w:pPr>
        <w:ind w:left="420" w:leftChars="200"/>
        <w:rPr>
          <w:rFonts w:hint="eastAsia" w:ascii="宋体" w:hAnsi="宋体" w:eastAsia="宋体" w:cs="宋体"/>
          <w:szCs w:val="21"/>
        </w:rPr>
      </w:pPr>
      <w:r>
        <w:rPr>
          <w:rFonts w:hint="eastAsia" w:ascii="宋体" w:hAnsi="宋体" w:eastAsia="宋体" w:cs="宋体"/>
        </w:rPr>
        <w:t>3.1.6法律、行政法规规定的其他条件（提供承诺函)</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3.2信誉要求：供应商须未列入“信用中国”网站的“重大税收违法失信主体”、“中国执行信息公开</w:t>
      </w:r>
    </w:p>
    <w:p w14:paraId="2ABD4B9B">
      <w:pPr>
        <w:adjustRightInd w:val="0"/>
        <w:snapToGrid w:val="0"/>
        <w:ind w:left="420" w:hanging="420" w:hangingChars="200"/>
        <w:rPr>
          <w:rFonts w:hint="eastAsia" w:ascii="宋体" w:hAnsi="宋体" w:eastAsia="宋体" w:cs="宋体"/>
          <w:szCs w:val="21"/>
        </w:rPr>
      </w:pPr>
      <w:r>
        <w:rPr>
          <w:rFonts w:hint="eastAsia" w:ascii="宋体" w:hAnsi="宋体" w:eastAsia="宋体" w:cs="宋体"/>
          <w:szCs w:val="21"/>
        </w:rPr>
        <w:t>网”的“</w:t>
      </w:r>
      <w:r>
        <w:rPr>
          <w:rFonts w:hint="eastAsia" w:ascii="宋体" w:hAnsi="宋体" w:eastAsia="宋体" w:cs="宋体"/>
          <w:szCs w:val="21"/>
          <w:lang w:eastAsia="zh-CN"/>
        </w:rPr>
        <w:t>失信被执行人</w:t>
      </w:r>
      <w:r>
        <w:rPr>
          <w:rFonts w:hint="eastAsia" w:ascii="宋体" w:hAnsi="宋体" w:eastAsia="宋体" w:cs="宋体"/>
          <w:szCs w:val="21"/>
        </w:rPr>
        <w:t>”和“中国政府采购”网站的“政府采购严重违法失信行为记录名单”</w:t>
      </w:r>
      <w:r>
        <w:rPr>
          <w:rFonts w:hint="eastAsia" w:ascii="宋体" w:hAnsi="宋体" w:eastAsia="宋体" w:cs="宋体"/>
          <w:szCs w:val="21"/>
          <w:lang w:eastAsia="zh-CN"/>
        </w:rPr>
        <w:t>。</w:t>
      </w:r>
      <w:r>
        <w:rPr>
          <w:rFonts w:hint="eastAsia" w:ascii="宋体" w:hAnsi="宋体" w:eastAsia="宋体" w:cs="宋体"/>
          <w:szCs w:val="21"/>
        </w:rPr>
        <w:t>查询</w:t>
      </w:r>
    </w:p>
    <w:p w14:paraId="1B840AB5">
      <w:pPr>
        <w:adjustRightInd w:val="0"/>
        <w:snapToGrid w:val="0"/>
        <w:ind w:left="420" w:hanging="420" w:hangingChars="200"/>
        <w:rPr>
          <w:rFonts w:hint="eastAsia" w:ascii="宋体" w:hAnsi="宋体" w:eastAsia="宋体" w:cs="宋体"/>
          <w:szCs w:val="21"/>
        </w:rPr>
      </w:pPr>
      <w:r>
        <w:rPr>
          <w:rFonts w:hint="eastAsia" w:ascii="宋体" w:hAnsi="宋体" w:eastAsia="宋体" w:cs="宋体"/>
          <w:szCs w:val="21"/>
        </w:rPr>
        <w:t>时间为自公告发布之日后，如有不良情况，按无效标处理（执行财库【2016】125号文）</w:t>
      </w:r>
      <w:r>
        <w:rPr>
          <w:rFonts w:hint="eastAsia" w:ascii="宋体" w:hAnsi="宋体" w:eastAsia="宋体" w:cs="宋体"/>
          <w:spacing w:val="-6"/>
          <w:szCs w:val="21"/>
        </w:rPr>
        <w:t>。</w:t>
      </w:r>
      <w:r>
        <w:rPr>
          <w:rFonts w:hint="eastAsia" w:ascii="宋体" w:hAnsi="宋体" w:eastAsia="宋体" w:cs="宋体"/>
          <w:szCs w:val="21"/>
        </w:rPr>
        <w:t>开标结束后采购</w:t>
      </w:r>
    </w:p>
    <w:p w14:paraId="66654297">
      <w:pPr>
        <w:adjustRightInd w:val="0"/>
        <w:snapToGrid w:val="0"/>
        <w:ind w:left="420" w:hanging="420" w:hangingChars="200"/>
        <w:rPr>
          <w:rFonts w:hint="eastAsia" w:ascii="宋体" w:hAnsi="宋体" w:eastAsia="宋体" w:cs="宋体"/>
          <w:szCs w:val="21"/>
        </w:rPr>
      </w:pPr>
      <w:r>
        <w:rPr>
          <w:rFonts w:hint="eastAsia" w:ascii="宋体" w:hAnsi="宋体" w:eastAsia="宋体" w:cs="宋体"/>
          <w:szCs w:val="21"/>
        </w:rPr>
        <w:t>人和代理机构即时查询信用结果作为最终资格审查依据，查询结果同汇总资料留档保存；</w:t>
      </w:r>
    </w:p>
    <w:p w14:paraId="55B881BB">
      <w:pPr>
        <w:ind w:firstLine="420" w:firstLineChars="200"/>
        <w:rPr>
          <w:rFonts w:hint="eastAsia" w:ascii="宋体" w:hAnsi="宋体" w:eastAsia="宋体" w:cs="宋体"/>
        </w:rPr>
      </w:pPr>
      <w:r>
        <w:rPr>
          <w:rFonts w:hint="eastAsia" w:ascii="宋体" w:hAnsi="宋体" w:eastAsia="宋体" w:cs="宋体"/>
        </w:rPr>
        <w:t>3.3单位负责人为同一人或者存在直接控股、</w:t>
      </w:r>
      <w:r>
        <w:rPr>
          <w:rFonts w:hint="eastAsia" w:ascii="宋体" w:hAnsi="宋体" w:eastAsia="宋体" w:cs="宋体"/>
          <w:lang w:val="en-US" w:eastAsia="zh-CN"/>
        </w:rPr>
        <w:t xml:space="preserve"> </w:t>
      </w:r>
      <w:r>
        <w:rPr>
          <w:rFonts w:hint="eastAsia" w:ascii="宋体" w:hAnsi="宋体" w:eastAsia="宋体" w:cs="宋体"/>
        </w:rPr>
        <w:t>管理关系的不同供应商，不得参加同一合同项下的政府采购活动（提供承诺函）。</w:t>
      </w:r>
    </w:p>
    <w:p w14:paraId="756D72D9">
      <w:pPr>
        <w:ind w:firstLine="420" w:firstLineChars="200"/>
        <w:rPr>
          <w:rFonts w:hint="eastAsia" w:ascii="宋体" w:hAnsi="宋体" w:eastAsia="宋体" w:cs="宋体"/>
        </w:rPr>
      </w:pPr>
      <w:r>
        <w:rPr>
          <w:rFonts w:hint="eastAsia" w:ascii="宋体" w:hAnsi="宋体" w:eastAsia="宋体" w:cs="宋体"/>
        </w:rPr>
        <w:t>备注：如</w:t>
      </w:r>
      <w:r>
        <w:rPr>
          <w:rFonts w:hint="eastAsia" w:ascii="宋体" w:hAnsi="宋体" w:eastAsia="宋体" w:cs="宋体"/>
          <w:lang w:val="en-US" w:eastAsia="zh-CN"/>
        </w:rPr>
        <w:t>供应商</w:t>
      </w:r>
      <w:r>
        <w:rPr>
          <w:rFonts w:hint="eastAsia" w:ascii="宋体" w:hAnsi="宋体" w:eastAsia="宋体" w:cs="宋体"/>
        </w:rPr>
        <w:t>为新成立企业，可提供注册后的相关证明材料。采购人有权在签订合同前要求中标</w:t>
      </w:r>
      <w:r>
        <w:rPr>
          <w:rFonts w:hint="eastAsia" w:ascii="宋体" w:hAnsi="宋体" w:eastAsia="宋体" w:cs="宋体"/>
          <w:lang w:val="en-US" w:eastAsia="zh-CN"/>
        </w:rPr>
        <w:t>供应商</w:t>
      </w:r>
      <w:r>
        <w:rPr>
          <w:rFonts w:hint="eastAsia" w:ascii="宋体" w:hAnsi="宋体" w:eastAsia="宋体" w:cs="宋体"/>
        </w:rPr>
        <w:t>提供相关证明材料以核实中标</w:t>
      </w:r>
      <w:r>
        <w:rPr>
          <w:rFonts w:hint="eastAsia" w:ascii="宋体" w:hAnsi="宋体" w:eastAsia="宋体" w:cs="宋体"/>
          <w:lang w:val="en-US" w:eastAsia="zh-CN"/>
        </w:rPr>
        <w:t>供应商</w:t>
      </w:r>
      <w:r>
        <w:rPr>
          <w:rFonts w:hint="eastAsia" w:ascii="宋体" w:hAnsi="宋体" w:eastAsia="宋体" w:cs="宋体"/>
        </w:rPr>
        <w:t>承诺事项的真实性，如有虚假承担相应法律责任。</w:t>
      </w:r>
    </w:p>
    <w:p w14:paraId="2255CBD6">
      <w:pPr>
        <w:rPr>
          <w:rFonts w:hint="eastAsia" w:ascii="宋体" w:hAnsi="宋体" w:eastAsia="宋体" w:cs="宋体"/>
          <w:b/>
          <w:bCs/>
          <w:szCs w:val="21"/>
        </w:rPr>
      </w:pPr>
      <w:r>
        <w:rPr>
          <w:rFonts w:hint="eastAsia" w:ascii="宋体" w:hAnsi="宋体" w:eastAsia="宋体" w:cs="宋体"/>
          <w:b/>
          <w:bCs/>
          <w:szCs w:val="21"/>
        </w:rPr>
        <w:t>三、获取招标文件</w:t>
      </w:r>
    </w:p>
    <w:p w14:paraId="50798F9B">
      <w:pPr>
        <w:ind w:firstLine="420" w:firstLineChars="200"/>
        <w:rPr>
          <w:rFonts w:hint="eastAsia" w:ascii="宋体" w:hAnsi="宋体" w:eastAsia="宋体" w:cs="宋体"/>
          <w:szCs w:val="21"/>
        </w:rPr>
      </w:pPr>
      <w:r>
        <w:rPr>
          <w:rFonts w:hint="eastAsia" w:ascii="宋体" w:hAnsi="宋体" w:eastAsia="宋体" w:cs="宋体"/>
          <w:bCs/>
          <w:szCs w:val="21"/>
        </w:rPr>
        <w:t>1、时间</w:t>
      </w:r>
      <w:r>
        <w:rPr>
          <w:rFonts w:hint="eastAsia" w:ascii="宋体" w:hAnsi="宋体" w:eastAsia="宋体" w:cs="宋体"/>
          <w:bCs/>
          <w:color w:val="auto"/>
          <w:szCs w:val="21"/>
        </w:rPr>
        <w:t>：20</w:t>
      </w:r>
      <w:r>
        <w:rPr>
          <w:rFonts w:hint="eastAsia" w:ascii="宋体" w:hAnsi="宋体" w:eastAsia="宋体" w:cs="宋体"/>
          <w:color w:val="auto"/>
          <w:szCs w:val="21"/>
        </w:rPr>
        <w:t>26年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29</w:t>
      </w:r>
      <w:r>
        <w:rPr>
          <w:rFonts w:hint="eastAsia" w:ascii="宋体" w:hAnsi="宋体" w:eastAsia="宋体" w:cs="宋体"/>
          <w:color w:val="auto"/>
          <w:szCs w:val="21"/>
        </w:rPr>
        <w:t>日至2026年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18</w:t>
      </w:r>
      <w:r>
        <w:rPr>
          <w:rFonts w:hint="eastAsia" w:ascii="宋体" w:hAnsi="宋体" w:eastAsia="宋体" w:cs="宋体"/>
          <w:color w:val="auto"/>
          <w:szCs w:val="21"/>
        </w:rPr>
        <w:t>日，每天</w:t>
      </w:r>
      <w:r>
        <w:rPr>
          <w:rFonts w:hint="eastAsia" w:ascii="宋体" w:hAnsi="宋体" w:eastAsia="宋体" w:cs="宋体"/>
          <w:szCs w:val="21"/>
        </w:rPr>
        <w:t>上午00：00至12:00，下午12:00至23:59 （北京时间，法定节假日除外）。</w:t>
      </w:r>
    </w:p>
    <w:p w14:paraId="6287165B">
      <w:pPr>
        <w:ind w:firstLine="420" w:firstLineChars="200"/>
        <w:rPr>
          <w:rFonts w:hint="eastAsia" w:ascii="宋体" w:hAnsi="宋体" w:eastAsia="宋体" w:cs="宋体"/>
          <w:bCs/>
          <w:szCs w:val="21"/>
        </w:rPr>
      </w:pPr>
      <w:r>
        <w:rPr>
          <w:rFonts w:hint="eastAsia" w:ascii="宋体" w:hAnsi="宋体" w:eastAsia="宋体" w:cs="宋体"/>
          <w:bCs/>
          <w:szCs w:val="21"/>
        </w:rPr>
        <w:t>2、地点：</w:t>
      </w:r>
      <w:r>
        <w:rPr>
          <w:rFonts w:ascii="å¾®è½¯é›…é»‘" w:hAnsi="å¾®è½¯é›…é»‘" w:eastAsia="å¾®è½¯é›…é»‘" w:cs="å¾®è½¯é›…é»‘"/>
          <w:i w:val="0"/>
          <w:iCs w:val="0"/>
          <w:caps w:val="0"/>
          <w:color w:val="000000"/>
          <w:spacing w:val="0"/>
          <w:sz w:val="18"/>
          <w:szCs w:val="18"/>
          <w:shd w:val="clear" w:fill="FFFFFF"/>
        </w:rPr>
        <w:t>《全国公共资源交易平台（河南省·平顶山市）》</w:t>
      </w:r>
    </w:p>
    <w:p w14:paraId="73719438">
      <w:pPr>
        <w:wordWrap w:val="0"/>
        <w:ind w:firstLine="420" w:firstLineChars="200"/>
        <w:rPr>
          <w:rFonts w:hint="eastAsia" w:ascii="宋体" w:hAnsi="宋体" w:eastAsia="宋体" w:cs="宋体"/>
          <w:bCs/>
          <w:szCs w:val="21"/>
        </w:rPr>
      </w:pPr>
      <w:r>
        <w:rPr>
          <w:rFonts w:hint="eastAsia" w:ascii="宋体" w:hAnsi="宋体" w:eastAsia="宋体" w:cs="宋体"/>
          <w:bCs/>
          <w:szCs w:val="21"/>
        </w:rPr>
        <w:t>3、方式：潜在投标人需凭CA数字证书通过全国公共资源交易平台系统进行下载</w:t>
      </w:r>
    </w:p>
    <w:p w14:paraId="67502F83">
      <w:pPr>
        <w:wordWrap w:val="0"/>
        <w:ind w:firstLine="420" w:firstLineChars="200"/>
        <w:rPr>
          <w:rFonts w:hint="eastAsia" w:ascii="宋体" w:hAnsi="宋体" w:eastAsia="宋体" w:cs="宋体"/>
          <w:bCs/>
          <w:szCs w:val="21"/>
        </w:rPr>
      </w:pPr>
      <w:r>
        <w:rPr>
          <w:rFonts w:hint="eastAsia" w:ascii="宋体" w:hAnsi="宋体" w:eastAsia="宋体" w:cs="宋体"/>
          <w:bCs/>
          <w:szCs w:val="21"/>
        </w:rPr>
        <w:t>4.售价：0元</w:t>
      </w:r>
    </w:p>
    <w:p w14:paraId="0A3BA882">
      <w:pPr>
        <w:rPr>
          <w:rFonts w:hint="eastAsia" w:ascii="宋体" w:hAnsi="宋体" w:eastAsia="宋体" w:cs="宋体"/>
          <w:b/>
          <w:bCs/>
          <w:szCs w:val="21"/>
        </w:rPr>
      </w:pPr>
      <w:r>
        <w:rPr>
          <w:rFonts w:hint="eastAsia" w:ascii="宋体" w:hAnsi="宋体" w:eastAsia="宋体" w:cs="宋体"/>
          <w:b/>
          <w:bCs/>
          <w:szCs w:val="21"/>
        </w:rPr>
        <w:t>四、投标截止时间及地点</w:t>
      </w:r>
    </w:p>
    <w:p w14:paraId="2DBC36A1">
      <w:pPr>
        <w:ind w:firstLine="420" w:firstLineChars="200"/>
        <w:rPr>
          <w:rFonts w:hint="eastAsia" w:ascii="宋体" w:hAnsi="宋体" w:eastAsia="宋体" w:cs="宋体"/>
          <w:color w:val="auto"/>
          <w:szCs w:val="21"/>
        </w:rPr>
      </w:pPr>
      <w:r>
        <w:rPr>
          <w:rFonts w:hint="eastAsia" w:ascii="宋体" w:hAnsi="宋体" w:eastAsia="宋体" w:cs="宋体"/>
          <w:szCs w:val="21"/>
        </w:rPr>
        <w:t>1、</w:t>
      </w:r>
      <w:r>
        <w:rPr>
          <w:rFonts w:hint="eastAsia" w:ascii="宋体" w:hAnsi="宋体" w:eastAsia="宋体" w:cs="宋体"/>
          <w:color w:val="auto"/>
          <w:szCs w:val="21"/>
        </w:rPr>
        <w:t>时间：2026年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19</w:t>
      </w:r>
      <w:r>
        <w:rPr>
          <w:rFonts w:hint="eastAsia" w:ascii="宋体" w:hAnsi="宋体" w:eastAsia="宋体" w:cs="宋体"/>
          <w:color w:val="auto"/>
          <w:szCs w:val="21"/>
        </w:rPr>
        <w:t>日9点00分（北京时间）</w:t>
      </w:r>
    </w:p>
    <w:p w14:paraId="2888893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ascii="å¾®è½¯é›…é»‘" w:hAnsi="å¾®è½¯é›…é»‘" w:eastAsia="å¾®è½¯é›…é»‘" w:cs="å¾®è½¯é›…é»‘"/>
          <w:i w:val="0"/>
          <w:iCs w:val="0"/>
          <w:caps w:val="0"/>
          <w:color w:val="auto"/>
          <w:spacing w:val="0"/>
          <w:sz w:val="18"/>
          <w:szCs w:val="18"/>
          <w:shd w:val="clear" w:fill="FFFFFF"/>
        </w:rPr>
        <w:t>《全国公共资源交易平台(河南省.平顶山市)》电子交易系统</w:t>
      </w:r>
    </w:p>
    <w:p w14:paraId="1903FA50">
      <w:pPr>
        <w:rPr>
          <w:rFonts w:hint="eastAsia" w:ascii="宋体" w:hAnsi="宋体" w:eastAsia="宋体" w:cs="宋体"/>
          <w:b/>
          <w:bCs/>
          <w:color w:val="auto"/>
          <w:szCs w:val="21"/>
        </w:rPr>
      </w:pPr>
      <w:r>
        <w:rPr>
          <w:rFonts w:hint="eastAsia" w:ascii="宋体" w:hAnsi="宋体" w:eastAsia="宋体" w:cs="宋体"/>
          <w:b/>
          <w:bCs/>
          <w:color w:val="auto"/>
          <w:szCs w:val="21"/>
        </w:rPr>
        <w:t>五、开标时间及地点</w:t>
      </w:r>
    </w:p>
    <w:p w14:paraId="48A69CEA">
      <w:pPr>
        <w:ind w:firstLine="420" w:firstLineChars="200"/>
        <w:rPr>
          <w:rFonts w:hint="eastAsia" w:ascii="宋体" w:hAnsi="宋体" w:eastAsia="宋体" w:cs="宋体"/>
          <w:szCs w:val="21"/>
        </w:rPr>
      </w:pPr>
      <w:r>
        <w:rPr>
          <w:rFonts w:hint="eastAsia" w:ascii="宋体" w:hAnsi="宋体" w:eastAsia="宋体" w:cs="宋体"/>
          <w:color w:val="auto"/>
          <w:szCs w:val="21"/>
        </w:rPr>
        <w:t>1、时间：2026年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19</w:t>
      </w:r>
      <w:r>
        <w:rPr>
          <w:rFonts w:hint="eastAsia" w:ascii="宋体" w:hAnsi="宋体" w:eastAsia="宋体" w:cs="宋体"/>
          <w:color w:val="auto"/>
          <w:szCs w:val="21"/>
        </w:rPr>
        <w:t>日9点00分（</w:t>
      </w:r>
      <w:r>
        <w:rPr>
          <w:rFonts w:hint="eastAsia" w:ascii="宋体" w:hAnsi="宋体" w:eastAsia="宋体" w:cs="宋体"/>
          <w:szCs w:val="21"/>
        </w:rPr>
        <w:t>北京时间）</w:t>
      </w:r>
    </w:p>
    <w:p w14:paraId="3ADE8C48">
      <w:pPr>
        <w:rPr>
          <w:rFonts w:hint="eastAsia" w:ascii="宋体" w:hAnsi="宋体" w:eastAsia="宋体" w:cs="宋体"/>
          <w:szCs w:val="21"/>
        </w:rPr>
      </w:pPr>
      <w:r>
        <w:rPr>
          <w:rFonts w:hint="eastAsia" w:ascii="宋体" w:hAnsi="宋体" w:eastAsia="宋体" w:cs="宋体"/>
          <w:szCs w:val="21"/>
        </w:rPr>
        <w:t xml:space="preserve">    2、地点：</w:t>
      </w:r>
      <w:r>
        <w:rPr>
          <w:rFonts w:ascii="å¾®è½¯é›…é»‘" w:hAnsi="å¾®è½¯é›…é»‘" w:eastAsia="å¾®è½¯é›…é»‘" w:cs="å¾®è½¯é›…é»‘"/>
          <w:i w:val="0"/>
          <w:iCs w:val="0"/>
          <w:caps w:val="0"/>
          <w:color w:val="000000"/>
          <w:spacing w:val="0"/>
          <w:sz w:val="18"/>
          <w:szCs w:val="18"/>
          <w:shd w:val="clear" w:fill="FFFFFF"/>
        </w:rPr>
        <w:t>《全国公共资源交易平台(河南省.平顶山市)》电子交易系统</w:t>
      </w:r>
    </w:p>
    <w:p w14:paraId="06B886BE">
      <w:pPr>
        <w:rPr>
          <w:rFonts w:hint="eastAsia" w:ascii="宋体" w:hAnsi="宋体" w:eastAsia="宋体" w:cs="宋体"/>
          <w:b/>
          <w:bCs/>
          <w:szCs w:val="21"/>
        </w:rPr>
      </w:pPr>
      <w:r>
        <w:rPr>
          <w:rFonts w:hint="eastAsia" w:ascii="宋体" w:hAnsi="宋体" w:eastAsia="宋体" w:cs="宋体"/>
          <w:b/>
          <w:bCs/>
          <w:szCs w:val="21"/>
        </w:rPr>
        <w:t>六、发布公告的媒介及招标公告期限</w:t>
      </w:r>
    </w:p>
    <w:p w14:paraId="7015DFAB">
      <w:pPr>
        <w:ind w:firstLine="420" w:firstLineChars="200"/>
        <w:rPr>
          <w:rFonts w:hint="eastAsia" w:ascii="宋体" w:hAnsi="宋体" w:eastAsia="宋体" w:cs="宋体"/>
          <w:szCs w:val="21"/>
        </w:rPr>
      </w:pPr>
      <w:r>
        <w:rPr>
          <w:rFonts w:hint="eastAsia" w:ascii="宋体" w:hAnsi="宋体" w:eastAsia="宋体" w:cs="宋体"/>
          <w:szCs w:val="21"/>
        </w:rPr>
        <w:t>本次招标公告在</w:t>
      </w:r>
      <w:r>
        <w:rPr>
          <w:rFonts w:hint="eastAsia" w:ascii="宋体" w:hAnsi="宋体" w:eastAsia="宋体" w:cs="宋体"/>
        </w:rPr>
        <w:t>《河南省政府采购网》《平顶山市政府采购网》《全国公共资源交易平台（河南省·平顶山市）》</w:t>
      </w:r>
      <w:r>
        <w:rPr>
          <w:rFonts w:hint="eastAsia" w:ascii="宋体" w:hAnsi="宋体" w:eastAsia="宋体" w:cs="宋体"/>
          <w:szCs w:val="21"/>
        </w:rPr>
        <w:t>上发布，招标公告期限为五个工作日。</w:t>
      </w:r>
    </w:p>
    <w:p w14:paraId="12328940">
      <w:pPr>
        <w:rPr>
          <w:rFonts w:hint="eastAsia" w:ascii="宋体" w:hAnsi="宋体" w:eastAsia="宋体" w:cs="宋体"/>
          <w:b/>
          <w:bCs/>
          <w:szCs w:val="21"/>
        </w:rPr>
      </w:pPr>
      <w:r>
        <w:rPr>
          <w:rFonts w:hint="eastAsia" w:ascii="宋体" w:hAnsi="宋体" w:eastAsia="宋体" w:cs="宋体"/>
          <w:b/>
          <w:bCs/>
          <w:szCs w:val="21"/>
        </w:rPr>
        <w:t>七、其他补充事宜</w:t>
      </w:r>
    </w:p>
    <w:p w14:paraId="37C825E8">
      <w:pPr>
        <w:adjustRightInd w:val="0"/>
        <w:snapToGrid w:val="0"/>
        <w:ind w:left="0" w:leftChars="0" w:firstLine="42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val="en-US" w:eastAsia="zh-CN"/>
        </w:rPr>
        <w:t>1.</w:t>
      </w:r>
      <w:r>
        <w:rPr>
          <w:rFonts w:hint="eastAsia" w:ascii="宋体" w:hAnsi="宋体" w:eastAsia="宋体" w:cs="宋体"/>
          <w:kern w:val="0"/>
          <w:shd w:val="clear" w:color="auto" w:fill="FFFFFF"/>
        </w:rPr>
        <w:t>平顶山市公共资源交易中心全面实行在线“不见面”开标，供应商远程在线解密投标文件，不再到开标现场，供应商开标前应仔细阅读招标文件中《“不见面”开标注意事项及操作流程》。</w:t>
      </w:r>
      <w:r>
        <w:rPr>
          <w:rFonts w:hint="eastAsia" w:ascii="宋体" w:hAnsi="宋体" w:eastAsia="宋体" w:cs="宋体"/>
          <w:kern w:val="0"/>
          <w:shd w:val="clear" w:color="auto" w:fill="FFFFFF"/>
        </w:rPr>
        <w:br w:type="textWrapping"/>
      </w:r>
      <w:r>
        <w:rPr>
          <w:rFonts w:hint="eastAsia" w:ascii="宋体" w:hAnsi="宋体" w:eastAsia="宋体" w:cs="宋体"/>
          <w:kern w:val="0"/>
          <w:shd w:val="clear" w:color="auto" w:fill="FFFFFF"/>
          <w:lang w:val="en-US" w:eastAsia="zh-CN"/>
        </w:rPr>
        <w:t xml:space="preserve">    2.</w:t>
      </w:r>
      <w:r>
        <w:rPr>
          <w:rFonts w:hint="eastAsia" w:ascii="宋体" w:hAnsi="宋体" w:eastAsia="宋体" w:cs="宋体"/>
          <w:kern w:val="0"/>
          <w:shd w:val="clear" w:color="auto" w:fill="FFFFFF"/>
        </w:rPr>
        <w:t>投标人或其他利害关系人对本次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r>
        <w:rPr>
          <w:rFonts w:hint="eastAsia" w:ascii="宋体" w:hAnsi="宋体" w:eastAsia="宋体" w:cs="宋体"/>
          <w:kern w:val="0"/>
          <w:shd w:val="clear" w:color="auto" w:fill="FFFFFF"/>
        </w:rPr>
        <w:br w:type="textWrapping"/>
      </w:r>
      <w:r>
        <w:rPr>
          <w:rFonts w:hint="eastAsia" w:ascii="宋体" w:hAnsi="宋体" w:eastAsia="宋体" w:cs="宋体"/>
          <w:kern w:val="0"/>
          <w:shd w:val="clear" w:color="auto" w:fill="FFFFFF"/>
          <w:lang w:val="en-US" w:eastAsia="zh-CN"/>
        </w:rPr>
        <w:t xml:space="preserve">    3.</w:t>
      </w:r>
      <w:r>
        <w:rPr>
          <w:rFonts w:hint="eastAsia" w:ascii="宋体" w:hAnsi="宋体" w:eastAsia="宋体" w:cs="宋体"/>
          <w:kern w:val="0"/>
          <w:shd w:val="clear" w:color="auto" w:fill="FFFFFF"/>
        </w:rPr>
        <w:t>监督单位：平顶山市财政局</w:t>
      </w:r>
      <w:r>
        <w:rPr>
          <w:rFonts w:hint="eastAsia" w:ascii="宋体" w:hAnsi="宋体" w:eastAsia="宋体" w:cs="宋体"/>
          <w:kern w:val="0"/>
          <w:shd w:val="clear" w:color="auto" w:fill="FFFFFF"/>
          <w:lang w:val="en-US" w:eastAsia="zh-CN"/>
        </w:rPr>
        <w:t xml:space="preserve">  </w:t>
      </w:r>
      <w:r>
        <w:rPr>
          <w:rFonts w:hint="eastAsia" w:ascii="宋体" w:hAnsi="宋体" w:eastAsia="宋体" w:cs="宋体"/>
          <w:kern w:val="0"/>
          <w:shd w:val="clear" w:color="auto" w:fill="FFFFFF"/>
        </w:rPr>
        <w:t>联系电话：0375-2627595</w:t>
      </w:r>
    </w:p>
    <w:p w14:paraId="3E1F3693">
      <w:pPr>
        <w:adjustRightInd w:val="0"/>
        <w:snapToGrid w:val="0"/>
        <w:ind w:left="0" w:leftChars="0" w:firstLine="420" w:firstLineChars="200"/>
        <w:rPr>
          <w:rFonts w:hint="default" w:ascii="宋体" w:hAnsi="宋体" w:eastAsia="宋体" w:cs="宋体"/>
          <w:kern w:val="0"/>
          <w:shd w:val="clear" w:color="auto" w:fill="FFFFFF"/>
          <w:lang w:val="en-US" w:eastAsia="zh-CN"/>
        </w:rPr>
      </w:pPr>
      <w:r>
        <w:rPr>
          <w:rFonts w:hint="eastAsia" w:ascii="宋体" w:hAnsi="宋体" w:eastAsia="宋体" w:cs="宋体"/>
          <w:kern w:val="0"/>
          <w:shd w:val="clear" w:color="auto" w:fill="FFFFFF"/>
          <w:lang w:val="en-US" w:eastAsia="zh-CN"/>
        </w:rPr>
        <w:t>4.该公告已同步至“平顶山市公共资源交易中心微信公众号”，可通过公众号中的服务栏目进行查阅。</w:t>
      </w:r>
    </w:p>
    <w:p w14:paraId="1462FDF7">
      <w:pPr>
        <w:rPr>
          <w:rFonts w:hint="eastAsia" w:ascii="宋体" w:hAnsi="宋体" w:eastAsia="宋体" w:cs="宋体"/>
          <w:b/>
          <w:bCs/>
          <w:szCs w:val="21"/>
        </w:rPr>
      </w:pPr>
      <w:r>
        <w:rPr>
          <w:rFonts w:hint="eastAsia" w:ascii="宋体" w:hAnsi="宋体" w:eastAsia="宋体" w:cs="宋体"/>
          <w:b/>
          <w:bCs/>
          <w:szCs w:val="21"/>
        </w:rPr>
        <w:t>八、凡对本次采购提出询问，请按以下方式联系：</w:t>
      </w:r>
    </w:p>
    <w:p w14:paraId="34B5A78D">
      <w:pPr>
        <w:ind w:firstLine="420" w:firstLineChars="200"/>
        <w:rPr>
          <w:rFonts w:hint="eastAsia"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采购人信息</w:t>
      </w:r>
    </w:p>
    <w:p w14:paraId="37E99641">
      <w:pPr>
        <w:ind w:firstLine="420" w:firstLineChars="200"/>
        <w:rPr>
          <w:rFonts w:hint="eastAsia" w:ascii="宋体" w:hAnsi="宋体" w:eastAsia="宋体" w:cs="宋体"/>
          <w:szCs w:val="21"/>
          <w:lang w:val="zh-CN"/>
        </w:rPr>
      </w:pPr>
      <w:r>
        <w:rPr>
          <w:rFonts w:hint="eastAsia" w:ascii="宋体" w:hAnsi="宋体" w:eastAsia="宋体" w:cs="宋体"/>
          <w:szCs w:val="21"/>
        </w:rPr>
        <w:t>名称：</w:t>
      </w:r>
      <w:r>
        <w:rPr>
          <w:rFonts w:hint="eastAsia" w:ascii="宋体" w:hAnsi="宋体" w:eastAsia="宋体" w:cs="宋体"/>
          <w:szCs w:val="21"/>
          <w:lang w:val="zh-CN"/>
        </w:rPr>
        <w:t>平顶山市夕阳红老年公寓</w:t>
      </w:r>
    </w:p>
    <w:p w14:paraId="173600C6">
      <w:pPr>
        <w:ind w:firstLine="420" w:firstLineChars="200"/>
        <w:rPr>
          <w:rFonts w:hint="eastAsia" w:ascii="宋体" w:hAnsi="宋体" w:eastAsia="宋体" w:cs="宋体"/>
          <w:szCs w:val="21"/>
        </w:rPr>
      </w:pPr>
      <w:r>
        <w:rPr>
          <w:rFonts w:hint="eastAsia" w:ascii="宋体" w:hAnsi="宋体" w:eastAsia="宋体" w:cs="宋体"/>
          <w:szCs w:val="21"/>
          <w:lang w:val="zh-CN"/>
        </w:rPr>
        <w:t>地址：</w:t>
      </w:r>
      <w:r>
        <w:rPr>
          <w:rFonts w:hint="eastAsia" w:ascii="宋体" w:hAnsi="宋体" w:eastAsia="宋体" w:cs="宋体"/>
          <w:szCs w:val="21"/>
        </w:rPr>
        <w:t>平顶山市湛河区北渡街道</w:t>
      </w:r>
    </w:p>
    <w:p w14:paraId="0DC87883">
      <w:pPr>
        <w:ind w:firstLine="420" w:firstLineChars="200"/>
        <w:rPr>
          <w:rFonts w:hint="eastAsia" w:ascii="宋体" w:hAnsi="宋体" w:eastAsia="宋体" w:cs="宋体"/>
          <w:color w:val="0000FF"/>
          <w:szCs w:val="21"/>
          <w:lang w:val="zh-CN"/>
        </w:rPr>
      </w:pPr>
      <w:r>
        <w:rPr>
          <w:rFonts w:hint="eastAsia" w:ascii="宋体" w:hAnsi="宋体" w:eastAsia="宋体" w:cs="宋体"/>
          <w:szCs w:val="21"/>
          <w:lang w:val="zh-CN"/>
        </w:rPr>
        <w:t>联系</w:t>
      </w:r>
      <w:r>
        <w:rPr>
          <w:rFonts w:hint="eastAsia" w:ascii="宋体" w:hAnsi="宋体" w:eastAsia="宋体" w:cs="宋体"/>
          <w:szCs w:val="21"/>
        </w:rPr>
        <w:t>人</w:t>
      </w:r>
      <w:r>
        <w:rPr>
          <w:rFonts w:hint="eastAsia" w:ascii="宋体" w:hAnsi="宋体" w:eastAsia="宋体" w:cs="宋体"/>
          <w:szCs w:val="21"/>
          <w:lang w:val="zh-CN"/>
        </w:rPr>
        <w:t xml:space="preserve">：夏阳利  </w:t>
      </w:r>
    </w:p>
    <w:p w14:paraId="5EC3DF21">
      <w:pPr>
        <w:ind w:firstLine="420" w:firstLineChars="200"/>
        <w:rPr>
          <w:rFonts w:hint="eastAsia" w:ascii="宋体" w:hAnsi="宋体" w:eastAsia="宋体" w:cs="宋体"/>
          <w:szCs w:val="21"/>
        </w:rPr>
      </w:pPr>
      <w:r>
        <w:rPr>
          <w:rFonts w:hint="eastAsia" w:ascii="宋体" w:hAnsi="宋体" w:eastAsia="宋体" w:cs="宋体"/>
          <w:szCs w:val="21"/>
        </w:rPr>
        <w:t xml:space="preserve">联系方式：0375-4151222  </w:t>
      </w:r>
    </w:p>
    <w:p w14:paraId="1B53CEE8">
      <w:pPr>
        <w:ind w:firstLine="420" w:firstLineChars="200"/>
        <w:rPr>
          <w:rFonts w:hint="eastAsia" w:ascii="宋体" w:hAnsi="宋体" w:eastAsia="宋体" w:cs="宋体"/>
          <w:szCs w:val="21"/>
        </w:rPr>
      </w:pPr>
      <w:r>
        <w:rPr>
          <w:rFonts w:hint="eastAsia" w:ascii="宋体" w:hAnsi="宋体" w:eastAsia="宋体" w:cs="宋体"/>
          <w:szCs w:val="21"/>
        </w:rPr>
        <w:t>2、采购代理机构信息（如有）</w:t>
      </w:r>
    </w:p>
    <w:p w14:paraId="79354C8E">
      <w:pPr>
        <w:ind w:firstLine="420" w:firstLineChars="200"/>
        <w:rPr>
          <w:rFonts w:hint="eastAsia" w:ascii="宋体" w:hAnsi="宋体" w:eastAsia="宋体" w:cs="宋体"/>
          <w:szCs w:val="21"/>
        </w:rPr>
      </w:pPr>
      <w:r>
        <w:rPr>
          <w:rFonts w:hint="eastAsia" w:ascii="宋体" w:hAnsi="宋体" w:eastAsia="宋体" w:cs="宋体"/>
          <w:szCs w:val="21"/>
        </w:rPr>
        <w:t xml:space="preserve">名称：河南龙华工程咨询有限公司 </w:t>
      </w:r>
    </w:p>
    <w:p w14:paraId="0CC6DF39">
      <w:pPr>
        <w:pStyle w:val="40"/>
        <w:ind w:firstLine="420"/>
        <w:rPr>
          <w:rFonts w:hint="eastAsia" w:eastAsia="宋体" w:cs="宋体"/>
        </w:rPr>
      </w:pPr>
      <w:r>
        <w:rPr>
          <w:rFonts w:hint="eastAsia" w:eastAsia="宋体" w:cs="宋体"/>
          <w:szCs w:val="21"/>
        </w:rPr>
        <w:t>地址：郑州市农业路37号</w:t>
      </w:r>
    </w:p>
    <w:p w14:paraId="446E3618">
      <w:pPr>
        <w:ind w:firstLine="420" w:firstLineChars="200"/>
        <w:rPr>
          <w:rFonts w:hint="eastAsia" w:ascii="宋体" w:hAnsi="宋体" w:eastAsia="宋体" w:cs="宋体"/>
          <w:szCs w:val="21"/>
        </w:rPr>
      </w:pPr>
      <w:r>
        <w:rPr>
          <w:rFonts w:hint="eastAsia" w:ascii="宋体" w:hAnsi="宋体" w:eastAsia="宋体" w:cs="宋体"/>
          <w:szCs w:val="21"/>
        </w:rPr>
        <w:t>联系人：张闪 徐蕊 常丽娟</w:t>
      </w:r>
    </w:p>
    <w:p w14:paraId="531E0CE3">
      <w:pPr>
        <w:ind w:firstLine="420" w:firstLineChars="200"/>
        <w:rPr>
          <w:rFonts w:hint="eastAsia" w:ascii="宋体" w:hAnsi="宋体" w:eastAsia="宋体" w:cs="宋体"/>
          <w:szCs w:val="21"/>
        </w:rPr>
      </w:pPr>
      <w:r>
        <w:rPr>
          <w:rFonts w:hint="eastAsia" w:ascii="宋体" w:hAnsi="宋体" w:eastAsia="宋体" w:cs="宋体"/>
          <w:szCs w:val="21"/>
        </w:rPr>
        <w:t>联系方式：0371-60926170</w:t>
      </w:r>
    </w:p>
    <w:p w14:paraId="42E135F5">
      <w:pPr>
        <w:ind w:firstLine="420" w:firstLineChars="200"/>
        <w:rPr>
          <w:rFonts w:hint="eastAsia" w:ascii="宋体" w:hAnsi="宋体" w:eastAsia="宋体" w:cs="宋体"/>
        </w:rPr>
      </w:pPr>
      <w:r>
        <w:rPr>
          <w:rFonts w:hint="eastAsia" w:ascii="宋体" w:hAnsi="宋体" w:eastAsia="宋体" w:cs="宋体"/>
        </w:rPr>
        <w:t>3、项目联系方式</w:t>
      </w:r>
    </w:p>
    <w:p w14:paraId="54DFDB82">
      <w:pPr>
        <w:ind w:firstLine="420" w:firstLineChars="200"/>
        <w:rPr>
          <w:rFonts w:hint="eastAsia" w:ascii="宋体" w:hAnsi="宋体" w:eastAsia="宋体" w:cs="宋体"/>
        </w:rPr>
      </w:pPr>
      <w:r>
        <w:rPr>
          <w:rFonts w:hint="eastAsia" w:ascii="宋体" w:hAnsi="宋体" w:eastAsia="宋体" w:cs="宋体"/>
        </w:rPr>
        <w:t>项目联系人：</w:t>
      </w:r>
      <w:r>
        <w:rPr>
          <w:rFonts w:hint="eastAsia" w:ascii="宋体" w:hAnsi="宋体" w:eastAsia="宋体" w:cs="宋体"/>
          <w:szCs w:val="21"/>
        </w:rPr>
        <w:t>张闪 徐蕊 常丽娟</w:t>
      </w:r>
    </w:p>
    <w:p w14:paraId="2AF4EC76">
      <w:pPr>
        <w:ind w:firstLine="420" w:firstLineChars="200"/>
        <w:rPr>
          <w:rFonts w:hint="eastAsia" w:ascii="宋体" w:hAnsi="宋体" w:eastAsia="宋体" w:cs="宋体"/>
          <w:szCs w:val="21"/>
        </w:rPr>
      </w:pPr>
      <w:r>
        <w:rPr>
          <w:rFonts w:hint="eastAsia" w:ascii="宋体" w:hAnsi="宋体" w:eastAsia="宋体" w:cs="宋体"/>
        </w:rPr>
        <w:t>联系方式：</w:t>
      </w:r>
      <w:r>
        <w:rPr>
          <w:rFonts w:hint="eastAsia" w:ascii="宋体" w:hAnsi="宋体" w:eastAsia="宋体" w:cs="宋体"/>
          <w:szCs w:val="21"/>
        </w:rPr>
        <w:t>0371-60926170</w:t>
      </w:r>
    </w:p>
    <w:p w14:paraId="1120235E">
      <w:pPr>
        <w:spacing w:line="420" w:lineRule="exact"/>
        <w:jc w:val="center"/>
      </w:pPr>
    </w:p>
    <w:p w14:paraId="18F97EFA">
      <w:pPr>
        <w:spacing w:line="420" w:lineRule="exact"/>
        <w:jc w:val="center"/>
        <w:rPr>
          <w:rFonts w:hint="eastAsia" w:ascii="华文中宋" w:hAnsi="华文中宋" w:eastAsia="华文中宋" w:cs="华文中宋"/>
          <w:b/>
          <w:bCs/>
        </w:rPr>
      </w:pPr>
    </w:p>
    <w:p w14:paraId="36890EA5">
      <w:pPr>
        <w:spacing w:line="420" w:lineRule="exact"/>
        <w:rPr>
          <w:rFonts w:hint="eastAsia" w:ascii="华文中宋" w:hAnsi="华文中宋" w:eastAsia="华文中宋" w:cs="华文中宋"/>
          <w:b/>
          <w:bCs/>
        </w:rPr>
      </w:pPr>
    </w:p>
    <w:p w14:paraId="430390E8">
      <w:pPr>
        <w:spacing w:line="420" w:lineRule="exact"/>
        <w:rPr>
          <w:rFonts w:hint="eastAsia" w:ascii="华文中宋" w:hAnsi="华文中宋" w:eastAsia="华文中宋" w:cs="华文中宋"/>
          <w:b/>
          <w:bCs/>
        </w:rPr>
      </w:pPr>
    </w:p>
    <w:p w14:paraId="7ADADA43">
      <w:pPr>
        <w:spacing w:line="420" w:lineRule="exact"/>
        <w:rPr>
          <w:rFonts w:hint="eastAsia" w:ascii="华文中宋" w:hAnsi="华文中宋" w:eastAsia="华文中宋" w:cs="华文中宋"/>
          <w:b/>
          <w:bCs/>
        </w:rPr>
      </w:pPr>
    </w:p>
    <w:p w14:paraId="38F42F35">
      <w:pPr>
        <w:spacing w:line="420" w:lineRule="exact"/>
        <w:rPr>
          <w:rFonts w:hint="eastAsia" w:ascii="华文中宋" w:hAnsi="华文中宋" w:eastAsia="华文中宋" w:cs="华文中宋"/>
          <w:b/>
          <w:bCs/>
        </w:rPr>
      </w:pPr>
    </w:p>
    <w:p w14:paraId="0AC3C944">
      <w:pPr>
        <w:spacing w:line="420" w:lineRule="exact"/>
        <w:rPr>
          <w:rFonts w:hint="eastAsia" w:ascii="华文中宋" w:hAnsi="华文中宋" w:eastAsia="华文中宋" w:cs="华文中宋"/>
          <w:b/>
          <w:bCs/>
        </w:rPr>
      </w:pPr>
    </w:p>
    <w:p w14:paraId="140CF459">
      <w:pPr>
        <w:spacing w:line="420" w:lineRule="exact"/>
        <w:rPr>
          <w:rFonts w:hint="eastAsia" w:ascii="华文中宋" w:hAnsi="华文中宋" w:eastAsia="华文中宋" w:cs="华文中宋"/>
          <w:b/>
          <w:bCs/>
        </w:rPr>
      </w:pPr>
    </w:p>
    <w:p w14:paraId="5006A81D">
      <w:pPr>
        <w:spacing w:line="420" w:lineRule="exact"/>
        <w:rPr>
          <w:rFonts w:hint="eastAsia" w:ascii="华文中宋" w:hAnsi="华文中宋" w:eastAsia="华文中宋" w:cs="华文中宋"/>
          <w:b/>
          <w:bCs/>
        </w:rPr>
      </w:pPr>
    </w:p>
    <w:p w14:paraId="2A6C39B4">
      <w:pPr>
        <w:spacing w:line="420" w:lineRule="exact"/>
        <w:rPr>
          <w:rFonts w:hint="eastAsia" w:ascii="华文中宋" w:hAnsi="华文中宋" w:eastAsia="华文中宋" w:cs="华文中宋"/>
          <w:b/>
          <w:bCs/>
        </w:rPr>
      </w:pPr>
    </w:p>
    <w:p w14:paraId="14EE67B7">
      <w:pPr>
        <w:spacing w:line="420" w:lineRule="exact"/>
        <w:rPr>
          <w:rFonts w:hint="eastAsia" w:ascii="华文中宋" w:hAnsi="华文中宋" w:eastAsia="华文中宋" w:cs="华文中宋"/>
          <w:b/>
          <w:bCs/>
        </w:rPr>
      </w:pPr>
    </w:p>
    <w:p w14:paraId="190D893C">
      <w:pPr>
        <w:spacing w:line="420" w:lineRule="exact"/>
        <w:rPr>
          <w:rFonts w:hint="eastAsia" w:ascii="华文中宋" w:hAnsi="华文中宋" w:eastAsia="华文中宋" w:cs="华文中宋"/>
          <w:b/>
          <w:bCs/>
        </w:rPr>
      </w:pPr>
    </w:p>
    <w:p w14:paraId="37568DA7">
      <w:pPr>
        <w:pStyle w:val="2"/>
        <w:spacing w:beforeLines="0" w:afterLines="0" w:line="480" w:lineRule="auto"/>
        <w:jc w:val="center"/>
        <w:rPr>
          <w:rStyle w:val="39"/>
          <w:rFonts w:hint="eastAsia" w:ascii="宋体" w:hAnsi="宋体" w:cs="宋体"/>
          <w:b/>
          <w:bCs/>
        </w:rPr>
      </w:pPr>
      <w:bookmarkStart w:id="7" w:name="_Toc28231"/>
      <w:r>
        <w:rPr>
          <w:rStyle w:val="39"/>
          <w:rFonts w:hint="eastAsia" w:ascii="宋体" w:hAnsi="宋体" w:cs="宋体"/>
          <w:b/>
          <w:bCs/>
        </w:rPr>
        <w:t>第二章  供应商须知</w:t>
      </w:r>
      <w:bookmarkEnd w:id="7"/>
    </w:p>
    <w:p w14:paraId="0E8504C1">
      <w:pPr>
        <w:pStyle w:val="2"/>
        <w:spacing w:beforeLines="0" w:afterLines="0"/>
        <w:jc w:val="center"/>
        <w:rPr>
          <w:rFonts w:hint="eastAsia" w:ascii="华文中宋" w:hAnsi="华文中宋" w:eastAsia="华文中宋" w:cs="华文中宋"/>
          <w:sz w:val="24"/>
          <w:szCs w:val="24"/>
        </w:rPr>
      </w:pPr>
      <w:bookmarkStart w:id="8" w:name="_Toc17656"/>
      <w:bookmarkStart w:id="9" w:name="_Toc9793"/>
      <w:bookmarkStart w:id="10" w:name="_Toc20001"/>
      <w:bookmarkStart w:id="11" w:name="_Toc13304"/>
      <w:bookmarkStart w:id="12" w:name="_Toc244942566"/>
      <w:bookmarkStart w:id="13" w:name="_Toc25124"/>
      <w:bookmarkStart w:id="14" w:name="_Toc5497"/>
      <w:r>
        <w:rPr>
          <w:rFonts w:hint="eastAsia" w:ascii="华文中宋" w:hAnsi="华文中宋" w:eastAsia="华文中宋" w:cs="华文中宋"/>
          <w:sz w:val="24"/>
          <w:szCs w:val="24"/>
        </w:rPr>
        <w:t>供应商须知前附表</w:t>
      </w:r>
      <w:bookmarkEnd w:id="8"/>
      <w:bookmarkEnd w:id="9"/>
      <w:bookmarkEnd w:id="10"/>
      <w:bookmarkEnd w:id="11"/>
      <w:bookmarkEnd w:id="12"/>
      <w:bookmarkEnd w:id="13"/>
      <w:bookmarkEnd w:id="14"/>
    </w:p>
    <w:tbl>
      <w:tblPr>
        <w:tblStyle w:val="24"/>
        <w:tblpPr w:leftFromText="180" w:rightFromText="180" w:vertAnchor="text" w:tblpXSpec="center" w:tblpY="1"/>
        <w:tblOverlap w:val="never"/>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624"/>
        <w:gridCol w:w="7472"/>
      </w:tblGrid>
      <w:tr w14:paraId="7D78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01425B9">
            <w:pPr>
              <w:snapToGrid w:val="0"/>
              <w:spacing w:line="320" w:lineRule="exact"/>
              <w:jc w:val="center"/>
              <w:rPr>
                <w:rFonts w:hint="eastAsia" w:ascii="宋体" w:hAnsi="宋体" w:eastAsia="宋体" w:cs="宋体"/>
                <w:b/>
                <w:bCs/>
                <w:kern w:val="0"/>
                <w:sz w:val="21"/>
                <w:szCs w:val="21"/>
              </w:rPr>
            </w:pPr>
            <w:bookmarkStart w:id="15" w:name="_Toc413941322"/>
            <w:r>
              <w:rPr>
                <w:rFonts w:hint="eastAsia" w:ascii="宋体" w:hAnsi="宋体" w:eastAsia="宋体" w:cs="宋体"/>
                <w:b/>
                <w:bCs/>
                <w:kern w:val="0"/>
                <w:sz w:val="21"/>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3FF7FA3B">
            <w:pPr>
              <w:snapToGrid w:val="0"/>
              <w:spacing w:line="32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7472" w:type="dxa"/>
            <w:tcBorders>
              <w:top w:val="single" w:color="auto" w:sz="4" w:space="0"/>
              <w:left w:val="single" w:color="auto" w:sz="4" w:space="0"/>
              <w:bottom w:val="single" w:color="auto" w:sz="4" w:space="0"/>
              <w:right w:val="single" w:color="auto" w:sz="4" w:space="0"/>
            </w:tcBorders>
            <w:vAlign w:val="center"/>
          </w:tcPr>
          <w:p w14:paraId="274782FA">
            <w:pPr>
              <w:snapToGrid w:val="0"/>
              <w:spacing w:line="32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内容</w:t>
            </w:r>
          </w:p>
        </w:tc>
      </w:tr>
      <w:tr w14:paraId="6B5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F05A54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14:paraId="66A23B3B">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采购人</w:t>
            </w:r>
          </w:p>
        </w:tc>
        <w:tc>
          <w:tcPr>
            <w:tcW w:w="7472" w:type="dxa"/>
            <w:tcBorders>
              <w:top w:val="single" w:color="auto" w:sz="4" w:space="0"/>
              <w:left w:val="single" w:color="auto" w:sz="4" w:space="0"/>
              <w:bottom w:val="single" w:color="auto" w:sz="4" w:space="0"/>
              <w:right w:val="single" w:color="auto" w:sz="4" w:space="0"/>
            </w:tcBorders>
            <w:vAlign w:val="center"/>
          </w:tcPr>
          <w:p w14:paraId="78C7273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采购人：</w:t>
            </w:r>
            <w:r>
              <w:rPr>
                <w:rFonts w:hint="eastAsia" w:ascii="宋体" w:hAnsi="宋体" w:eastAsia="宋体" w:cs="宋体"/>
                <w:sz w:val="21"/>
                <w:szCs w:val="21"/>
                <w:lang w:val="zh-CN"/>
              </w:rPr>
              <w:t>平顶山市夕阳红老年公寓</w:t>
            </w:r>
          </w:p>
          <w:p w14:paraId="0B394314">
            <w:pPr>
              <w:autoSpaceDE w:val="0"/>
              <w:autoSpaceDN w:val="0"/>
              <w:adjustRightInd w:val="0"/>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地址：平顶山市湛河区北渡街道</w:t>
            </w:r>
          </w:p>
          <w:p w14:paraId="2ECF09BE">
            <w:pPr>
              <w:autoSpaceDE w:val="0"/>
              <w:autoSpaceDN w:val="0"/>
              <w:adjustRightInd w:val="0"/>
              <w:snapToGrid w:val="0"/>
              <w:spacing w:line="320" w:lineRule="exact"/>
              <w:jc w:val="left"/>
              <w:rPr>
                <w:rFonts w:hint="eastAsia" w:ascii="宋体" w:hAnsi="宋体" w:eastAsia="宋体" w:cs="宋体"/>
                <w:color w:val="0000FF"/>
                <w:sz w:val="21"/>
                <w:szCs w:val="21"/>
              </w:rPr>
            </w:pPr>
            <w:r>
              <w:rPr>
                <w:rFonts w:hint="eastAsia" w:ascii="宋体" w:hAnsi="宋体" w:eastAsia="宋体" w:cs="宋体"/>
                <w:sz w:val="21"/>
                <w:szCs w:val="21"/>
              </w:rPr>
              <w:t>联系人：</w:t>
            </w:r>
            <w:r>
              <w:rPr>
                <w:rFonts w:hint="eastAsia" w:ascii="宋体" w:hAnsi="宋体" w:eastAsia="宋体" w:cs="宋体"/>
                <w:sz w:val="21"/>
                <w:szCs w:val="21"/>
                <w:lang w:val="zh-CN"/>
              </w:rPr>
              <w:t xml:space="preserve">夏阳利  </w:t>
            </w:r>
          </w:p>
          <w:p w14:paraId="57B58FB2">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sz w:val="21"/>
                <w:szCs w:val="21"/>
              </w:rPr>
              <w:t xml:space="preserve">联系电话：0375-4151222   </w:t>
            </w:r>
          </w:p>
        </w:tc>
      </w:tr>
      <w:tr w14:paraId="054C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6F6EDC4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14:paraId="0B06B4D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采购代理机构</w:t>
            </w:r>
          </w:p>
        </w:tc>
        <w:tc>
          <w:tcPr>
            <w:tcW w:w="7472" w:type="dxa"/>
            <w:tcBorders>
              <w:top w:val="single" w:color="auto" w:sz="4" w:space="0"/>
              <w:left w:val="single" w:color="auto" w:sz="4" w:space="0"/>
              <w:bottom w:val="single" w:color="auto" w:sz="4" w:space="0"/>
              <w:right w:val="single" w:color="auto" w:sz="4" w:space="0"/>
            </w:tcBorders>
            <w:vAlign w:val="center"/>
          </w:tcPr>
          <w:p w14:paraId="1B5381FB">
            <w:pPr>
              <w:snapToGrid w:val="0"/>
              <w:spacing w:line="320" w:lineRule="exact"/>
              <w:jc w:val="left"/>
              <w:rPr>
                <w:rFonts w:hint="eastAsia" w:ascii="宋体" w:hAnsi="宋体" w:eastAsia="宋体" w:cs="宋体"/>
                <w:sz w:val="21"/>
                <w:szCs w:val="21"/>
              </w:rPr>
            </w:pPr>
            <w:r>
              <w:rPr>
                <w:rFonts w:hint="eastAsia" w:ascii="宋体" w:hAnsi="宋体" w:eastAsia="宋体" w:cs="宋体"/>
                <w:kern w:val="0"/>
                <w:sz w:val="21"/>
                <w:szCs w:val="21"/>
              </w:rPr>
              <w:t>代理机构：</w:t>
            </w:r>
            <w:r>
              <w:rPr>
                <w:rFonts w:hint="eastAsia" w:ascii="宋体" w:hAnsi="宋体" w:eastAsia="宋体" w:cs="宋体"/>
                <w:sz w:val="21"/>
                <w:szCs w:val="21"/>
              </w:rPr>
              <w:t xml:space="preserve">河南龙华工程咨询有限公司 </w:t>
            </w:r>
          </w:p>
          <w:p w14:paraId="6DAE3BAB">
            <w:pPr>
              <w:pStyle w:val="40"/>
              <w:snapToGrid w:val="0"/>
              <w:spacing w:line="32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地址：郑州市农业路37号</w:t>
            </w:r>
          </w:p>
          <w:p w14:paraId="503405E2">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联系人：张闪 徐蕊 常丽娟</w:t>
            </w:r>
          </w:p>
          <w:p w14:paraId="76D28531">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sz w:val="21"/>
                <w:szCs w:val="21"/>
              </w:rPr>
              <w:t>联系电话：0371-60926170</w:t>
            </w:r>
          </w:p>
        </w:tc>
      </w:tr>
      <w:tr w14:paraId="1BAA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5" w:type="dxa"/>
            <w:tcBorders>
              <w:top w:val="single" w:color="auto" w:sz="4" w:space="0"/>
              <w:left w:val="single" w:color="auto" w:sz="4" w:space="0"/>
              <w:bottom w:val="single" w:color="auto" w:sz="4" w:space="0"/>
              <w:right w:val="single" w:color="auto" w:sz="4" w:space="0"/>
            </w:tcBorders>
            <w:vAlign w:val="center"/>
          </w:tcPr>
          <w:p w14:paraId="674A509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14:paraId="2901862C">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7472" w:type="dxa"/>
            <w:tcBorders>
              <w:top w:val="single" w:color="auto" w:sz="4" w:space="0"/>
              <w:left w:val="single" w:color="auto" w:sz="4" w:space="0"/>
              <w:bottom w:val="single" w:color="auto" w:sz="4" w:space="0"/>
              <w:right w:val="single" w:color="auto" w:sz="4" w:space="0"/>
            </w:tcBorders>
            <w:vAlign w:val="center"/>
          </w:tcPr>
          <w:p w14:paraId="3A850201">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10"/>
                <w:sz w:val="21"/>
                <w:szCs w:val="21"/>
              </w:rPr>
              <w:t>平顶山市夕阳红老年公寓关于采购照料护理服务项目</w:t>
            </w:r>
          </w:p>
        </w:tc>
      </w:tr>
      <w:tr w14:paraId="736D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5" w:type="dxa"/>
            <w:tcBorders>
              <w:top w:val="single" w:color="auto" w:sz="4" w:space="0"/>
              <w:left w:val="single" w:color="auto" w:sz="4" w:space="0"/>
              <w:bottom w:val="single" w:color="auto" w:sz="4" w:space="0"/>
              <w:right w:val="single" w:color="auto" w:sz="4" w:space="0"/>
            </w:tcBorders>
            <w:vAlign w:val="center"/>
          </w:tcPr>
          <w:p w14:paraId="7CCDB00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14:paraId="79E8020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资金来源及落实情况</w:t>
            </w:r>
          </w:p>
        </w:tc>
        <w:tc>
          <w:tcPr>
            <w:tcW w:w="7472" w:type="dxa"/>
            <w:tcBorders>
              <w:top w:val="single" w:color="auto" w:sz="4" w:space="0"/>
              <w:left w:val="single" w:color="auto" w:sz="4" w:space="0"/>
              <w:bottom w:val="single" w:color="auto" w:sz="4" w:space="0"/>
              <w:right w:val="single" w:color="auto" w:sz="4" w:space="0"/>
            </w:tcBorders>
            <w:vAlign w:val="center"/>
          </w:tcPr>
          <w:p w14:paraId="54A25A40">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财政资金，已落实。</w:t>
            </w:r>
          </w:p>
        </w:tc>
      </w:tr>
      <w:tr w14:paraId="3797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65" w:type="dxa"/>
            <w:tcBorders>
              <w:top w:val="single" w:color="auto" w:sz="4" w:space="0"/>
              <w:left w:val="single" w:color="auto" w:sz="4" w:space="0"/>
              <w:bottom w:val="single" w:color="auto" w:sz="4" w:space="0"/>
              <w:right w:val="single" w:color="auto" w:sz="4" w:space="0"/>
            </w:tcBorders>
            <w:vAlign w:val="center"/>
          </w:tcPr>
          <w:p w14:paraId="3B9A8A08">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0" w:type="auto"/>
            <w:tcBorders>
              <w:top w:val="single" w:color="auto" w:sz="4" w:space="0"/>
              <w:left w:val="single" w:color="auto" w:sz="4" w:space="0"/>
              <w:bottom w:val="single" w:color="auto" w:sz="4" w:space="0"/>
              <w:right w:val="single" w:color="auto" w:sz="4" w:space="0"/>
            </w:tcBorders>
            <w:vAlign w:val="center"/>
          </w:tcPr>
          <w:p w14:paraId="32AE19C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服务内容</w:t>
            </w:r>
          </w:p>
        </w:tc>
        <w:tc>
          <w:tcPr>
            <w:tcW w:w="7472" w:type="dxa"/>
            <w:tcBorders>
              <w:top w:val="single" w:color="auto" w:sz="4" w:space="0"/>
              <w:left w:val="single" w:color="auto" w:sz="4" w:space="0"/>
              <w:bottom w:val="single" w:color="auto" w:sz="4" w:space="0"/>
              <w:right w:val="single" w:color="auto" w:sz="4" w:space="0"/>
            </w:tcBorders>
            <w:vAlign w:val="center"/>
          </w:tcPr>
          <w:p w14:paraId="5C1F4B45">
            <w:pPr>
              <w:adjustRightInd w:val="0"/>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夕阳红老年公寓约170名受助人员（主要救助人群为老年人、残疾人、精神病人等）提供生活照料、安全看护、医疗、康复等基础服务；提供文化娱乐、精神支持、社会功能提升等服务；公寓内护理人员进行综合管理服务；为配备的相关护理人员提供培训督导；以及为全公寓院民提供养教服务</w:t>
            </w:r>
            <w:r>
              <w:rPr>
                <w:rFonts w:hint="eastAsia" w:ascii="宋体" w:hAnsi="宋体" w:eastAsia="宋体" w:cs="宋体"/>
                <w:sz w:val="21"/>
                <w:szCs w:val="21"/>
                <w:lang w:eastAsia="zh-CN"/>
              </w:rPr>
              <w:t>。</w:t>
            </w:r>
            <w:r>
              <w:rPr>
                <w:rFonts w:hint="eastAsia" w:ascii="宋体" w:hAnsi="宋体" w:eastAsia="宋体" w:cs="宋体"/>
                <w:sz w:val="21"/>
                <w:szCs w:val="21"/>
              </w:rPr>
              <w:t>具体详见招标文件</w:t>
            </w:r>
            <w:r>
              <w:rPr>
                <w:rFonts w:hint="eastAsia" w:ascii="宋体" w:hAnsi="宋体" w:eastAsia="宋体" w:cs="宋体"/>
                <w:sz w:val="21"/>
                <w:szCs w:val="21"/>
                <w:lang w:eastAsia="zh-CN"/>
              </w:rPr>
              <w:t>。</w:t>
            </w:r>
          </w:p>
        </w:tc>
      </w:tr>
      <w:tr w14:paraId="0359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80EA48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0" w:type="auto"/>
            <w:tcBorders>
              <w:top w:val="single" w:color="auto" w:sz="4" w:space="0"/>
              <w:left w:val="single" w:color="auto" w:sz="4" w:space="0"/>
              <w:bottom w:val="single" w:color="auto" w:sz="4" w:space="0"/>
              <w:right w:val="single" w:color="auto" w:sz="4" w:space="0"/>
            </w:tcBorders>
            <w:vAlign w:val="center"/>
          </w:tcPr>
          <w:p w14:paraId="74CBC24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采购方式</w:t>
            </w:r>
          </w:p>
        </w:tc>
        <w:tc>
          <w:tcPr>
            <w:tcW w:w="7472" w:type="dxa"/>
            <w:tcBorders>
              <w:top w:val="single" w:color="auto" w:sz="4" w:space="0"/>
              <w:left w:val="single" w:color="auto" w:sz="4" w:space="0"/>
              <w:bottom w:val="single" w:color="auto" w:sz="4" w:space="0"/>
              <w:right w:val="single" w:color="auto" w:sz="4" w:space="0"/>
            </w:tcBorders>
            <w:vAlign w:val="center"/>
          </w:tcPr>
          <w:p w14:paraId="47EA5206">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公开招标</w:t>
            </w:r>
          </w:p>
        </w:tc>
      </w:tr>
      <w:tr w14:paraId="73F4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0079159">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0" w:type="auto"/>
            <w:tcBorders>
              <w:top w:val="single" w:color="auto" w:sz="4" w:space="0"/>
              <w:left w:val="single" w:color="auto" w:sz="4" w:space="0"/>
              <w:bottom w:val="single" w:color="auto" w:sz="4" w:space="0"/>
              <w:right w:val="single" w:color="auto" w:sz="4" w:space="0"/>
            </w:tcBorders>
            <w:vAlign w:val="center"/>
          </w:tcPr>
          <w:p w14:paraId="5D5FCEE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采购项目属性</w:t>
            </w:r>
          </w:p>
        </w:tc>
        <w:tc>
          <w:tcPr>
            <w:tcW w:w="7472" w:type="dxa"/>
            <w:tcBorders>
              <w:top w:val="single" w:color="auto" w:sz="4" w:space="0"/>
              <w:left w:val="single" w:color="auto" w:sz="4" w:space="0"/>
              <w:bottom w:val="single" w:color="auto" w:sz="4" w:space="0"/>
              <w:right w:val="single" w:color="auto" w:sz="4" w:space="0"/>
            </w:tcBorders>
            <w:vAlign w:val="center"/>
          </w:tcPr>
          <w:p w14:paraId="3F928B3A">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□货物       ☑服务       □工程</w:t>
            </w:r>
          </w:p>
        </w:tc>
      </w:tr>
      <w:tr w14:paraId="28E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767766E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0" w:type="auto"/>
            <w:tcBorders>
              <w:top w:val="single" w:color="auto" w:sz="4" w:space="0"/>
              <w:left w:val="single" w:color="auto" w:sz="4" w:space="0"/>
              <w:bottom w:val="single" w:color="auto" w:sz="4" w:space="0"/>
              <w:right w:val="single" w:color="auto" w:sz="4" w:space="0"/>
            </w:tcBorders>
            <w:vAlign w:val="center"/>
          </w:tcPr>
          <w:p w14:paraId="5DB4BBA9">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合同履行期限</w:t>
            </w:r>
          </w:p>
        </w:tc>
        <w:tc>
          <w:tcPr>
            <w:tcW w:w="7472" w:type="dxa"/>
            <w:tcBorders>
              <w:top w:val="single" w:color="auto" w:sz="4" w:space="0"/>
              <w:left w:val="single" w:color="auto" w:sz="4" w:space="0"/>
              <w:bottom w:val="single" w:color="auto" w:sz="4" w:space="0"/>
              <w:right w:val="single" w:color="auto" w:sz="4" w:space="0"/>
            </w:tcBorders>
            <w:vAlign w:val="center"/>
          </w:tcPr>
          <w:p w14:paraId="79901E54">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同服务期限</w:t>
            </w:r>
          </w:p>
        </w:tc>
      </w:tr>
      <w:tr w14:paraId="1B17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794A991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0" w:type="auto"/>
            <w:tcBorders>
              <w:top w:val="single" w:color="auto" w:sz="4" w:space="0"/>
              <w:left w:val="single" w:color="auto" w:sz="4" w:space="0"/>
              <w:bottom w:val="single" w:color="auto" w:sz="4" w:space="0"/>
              <w:right w:val="single" w:color="auto" w:sz="4" w:space="0"/>
            </w:tcBorders>
            <w:vAlign w:val="center"/>
          </w:tcPr>
          <w:p w14:paraId="3DDF2E31">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7472" w:type="dxa"/>
            <w:tcBorders>
              <w:top w:val="single" w:color="auto" w:sz="4" w:space="0"/>
              <w:left w:val="single" w:color="auto" w:sz="4" w:space="0"/>
              <w:bottom w:val="single" w:color="auto" w:sz="4" w:space="0"/>
              <w:right w:val="single" w:color="auto" w:sz="4" w:space="0"/>
            </w:tcBorders>
            <w:vAlign w:val="center"/>
          </w:tcPr>
          <w:p w14:paraId="35FBE1F2">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自合同签订之日起一年</w:t>
            </w:r>
          </w:p>
        </w:tc>
      </w:tr>
      <w:tr w14:paraId="6CC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7D1610F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0" w:type="auto"/>
            <w:tcBorders>
              <w:top w:val="single" w:color="auto" w:sz="4" w:space="0"/>
              <w:left w:val="single" w:color="auto" w:sz="4" w:space="0"/>
              <w:bottom w:val="single" w:color="auto" w:sz="4" w:space="0"/>
              <w:right w:val="single" w:color="auto" w:sz="4" w:space="0"/>
            </w:tcBorders>
            <w:vAlign w:val="center"/>
          </w:tcPr>
          <w:p w14:paraId="52951264">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项目地点</w:t>
            </w:r>
          </w:p>
        </w:tc>
        <w:tc>
          <w:tcPr>
            <w:tcW w:w="7472" w:type="dxa"/>
            <w:tcBorders>
              <w:top w:val="single" w:color="auto" w:sz="4" w:space="0"/>
              <w:left w:val="single" w:color="auto" w:sz="4" w:space="0"/>
              <w:bottom w:val="single" w:color="auto" w:sz="4" w:space="0"/>
              <w:right w:val="single" w:color="auto" w:sz="4" w:space="0"/>
            </w:tcBorders>
            <w:vAlign w:val="center"/>
          </w:tcPr>
          <w:p w14:paraId="3BEF778C">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采购人指定地点</w:t>
            </w:r>
          </w:p>
        </w:tc>
      </w:tr>
      <w:tr w14:paraId="17B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BACDB86">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0" w:type="auto"/>
            <w:tcBorders>
              <w:top w:val="single" w:color="auto" w:sz="4" w:space="0"/>
              <w:left w:val="single" w:color="auto" w:sz="4" w:space="0"/>
              <w:bottom w:val="single" w:color="auto" w:sz="4" w:space="0"/>
              <w:right w:val="single" w:color="auto" w:sz="4" w:space="0"/>
            </w:tcBorders>
            <w:vAlign w:val="center"/>
          </w:tcPr>
          <w:p w14:paraId="516E73C7">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72" w:type="dxa"/>
            <w:tcBorders>
              <w:top w:val="single" w:color="auto" w:sz="4" w:space="0"/>
              <w:left w:val="single" w:color="auto" w:sz="4" w:space="0"/>
              <w:bottom w:val="single" w:color="auto" w:sz="4" w:space="0"/>
              <w:right w:val="single" w:color="auto" w:sz="4" w:space="0"/>
            </w:tcBorders>
            <w:vAlign w:val="center"/>
          </w:tcPr>
          <w:p w14:paraId="155C79CE">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合格，符合国家、行业相关规范要求</w:t>
            </w:r>
          </w:p>
        </w:tc>
      </w:tr>
      <w:tr w14:paraId="1246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343DCD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0" w:type="auto"/>
            <w:tcBorders>
              <w:top w:val="single" w:color="auto" w:sz="4" w:space="0"/>
              <w:left w:val="single" w:color="auto" w:sz="4" w:space="0"/>
              <w:bottom w:val="single" w:color="auto" w:sz="4" w:space="0"/>
              <w:right w:val="single" w:color="auto" w:sz="4" w:space="0"/>
            </w:tcBorders>
            <w:vAlign w:val="center"/>
          </w:tcPr>
          <w:p w14:paraId="1D7BED5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供应商资格</w:t>
            </w:r>
          </w:p>
          <w:p w14:paraId="364BDB4C">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要求</w:t>
            </w:r>
          </w:p>
        </w:tc>
        <w:tc>
          <w:tcPr>
            <w:tcW w:w="7472" w:type="dxa"/>
            <w:tcBorders>
              <w:top w:val="single" w:color="auto" w:sz="4" w:space="0"/>
              <w:left w:val="single" w:color="auto" w:sz="4" w:space="0"/>
              <w:bottom w:val="single" w:color="auto" w:sz="4" w:space="0"/>
              <w:right w:val="single" w:color="auto" w:sz="4" w:space="0"/>
            </w:tcBorders>
            <w:vAlign w:val="center"/>
          </w:tcPr>
          <w:p w14:paraId="1728C628">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详见招标公告“</w:t>
            </w:r>
            <w:r>
              <w:rPr>
                <w:rFonts w:hint="eastAsia" w:ascii="宋体" w:hAnsi="宋体" w:eastAsia="宋体" w:cs="宋体"/>
                <w:bCs/>
                <w:sz w:val="21"/>
                <w:szCs w:val="21"/>
              </w:rPr>
              <w:t>二、申请人资格要求</w:t>
            </w:r>
            <w:r>
              <w:rPr>
                <w:rFonts w:hint="eastAsia" w:ascii="宋体" w:hAnsi="宋体" w:eastAsia="宋体" w:cs="宋体"/>
                <w:kern w:val="0"/>
                <w:sz w:val="21"/>
                <w:szCs w:val="21"/>
              </w:rPr>
              <w:t>”</w:t>
            </w:r>
          </w:p>
        </w:tc>
      </w:tr>
      <w:tr w14:paraId="0DDF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3D803B5A">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0" w:type="auto"/>
            <w:tcBorders>
              <w:top w:val="single" w:color="auto" w:sz="4" w:space="0"/>
              <w:left w:val="single" w:color="auto" w:sz="4" w:space="0"/>
              <w:bottom w:val="single" w:color="auto" w:sz="4" w:space="0"/>
              <w:right w:val="single" w:color="auto" w:sz="4" w:space="0"/>
            </w:tcBorders>
            <w:vAlign w:val="center"/>
          </w:tcPr>
          <w:p w14:paraId="7B71C0D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是否接受联合体投标</w:t>
            </w:r>
          </w:p>
        </w:tc>
        <w:tc>
          <w:tcPr>
            <w:tcW w:w="7472" w:type="dxa"/>
            <w:tcBorders>
              <w:top w:val="single" w:color="auto" w:sz="4" w:space="0"/>
              <w:left w:val="single" w:color="auto" w:sz="4" w:space="0"/>
              <w:bottom w:val="single" w:color="auto" w:sz="4" w:space="0"/>
              <w:right w:val="single" w:color="auto" w:sz="4" w:space="0"/>
            </w:tcBorders>
            <w:vAlign w:val="center"/>
          </w:tcPr>
          <w:p w14:paraId="55FED297">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☑不接受</w:t>
            </w:r>
          </w:p>
          <w:p w14:paraId="2BE1BB68">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□接受</w:t>
            </w:r>
          </w:p>
        </w:tc>
      </w:tr>
      <w:tr w14:paraId="0CD6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9021C3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0" w:type="auto"/>
            <w:tcBorders>
              <w:top w:val="single" w:color="auto" w:sz="4" w:space="0"/>
              <w:left w:val="single" w:color="auto" w:sz="4" w:space="0"/>
              <w:bottom w:val="single" w:color="auto" w:sz="4" w:space="0"/>
              <w:right w:val="single" w:color="auto" w:sz="4" w:space="0"/>
            </w:tcBorders>
            <w:vAlign w:val="center"/>
          </w:tcPr>
          <w:p w14:paraId="710049E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踏勘现场及</w:t>
            </w:r>
          </w:p>
          <w:p w14:paraId="3321304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答疑</w:t>
            </w:r>
          </w:p>
        </w:tc>
        <w:tc>
          <w:tcPr>
            <w:tcW w:w="7472" w:type="dxa"/>
            <w:tcBorders>
              <w:top w:val="single" w:color="auto" w:sz="4" w:space="0"/>
              <w:left w:val="single" w:color="auto" w:sz="4" w:space="0"/>
              <w:bottom w:val="single" w:color="auto" w:sz="4" w:space="0"/>
              <w:right w:val="single" w:color="auto" w:sz="4" w:space="0"/>
            </w:tcBorders>
            <w:vAlign w:val="center"/>
          </w:tcPr>
          <w:p w14:paraId="1B455D7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☑不组织</w:t>
            </w:r>
          </w:p>
          <w:p w14:paraId="4F1FAA5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□组织</w:t>
            </w:r>
          </w:p>
        </w:tc>
      </w:tr>
      <w:tr w14:paraId="4C3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B2CA9A5">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0" w:type="auto"/>
            <w:tcBorders>
              <w:top w:val="single" w:color="auto" w:sz="4" w:space="0"/>
              <w:left w:val="single" w:color="auto" w:sz="4" w:space="0"/>
              <w:bottom w:val="single" w:color="auto" w:sz="4" w:space="0"/>
              <w:right w:val="single" w:color="auto" w:sz="4" w:space="0"/>
            </w:tcBorders>
            <w:vAlign w:val="center"/>
          </w:tcPr>
          <w:p w14:paraId="6B74DC0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投标预备会</w:t>
            </w:r>
          </w:p>
        </w:tc>
        <w:tc>
          <w:tcPr>
            <w:tcW w:w="7472" w:type="dxa"/>
            <w:tcBorders>
              <w:top w:val="single" w:color="auto" w:sz="4" w:space="0"/>
              <w:left w:val="single" w:color="auto" w:sz="4" w:space="0"/>
              <w:bottom w:val="single" w:color="auto" w:sz="4" w:space="0"/>
              <w:right w:val="single" w:color="auto" w:sz="4" w:space="0"/>
            </w:tcBorders>
            <w:vAlign w:val="center"/>
          </w:tcPr>
          <w:p w14:paraId="7D2913FC">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☑不召开</w:t>
            </w:r>
          </w:p>
          <w:p w14:paraId="2BF0B40B">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□召开</w:t>
            </w:r>
          </w:p>
        </w:tc>
      </w:tr>
      <w:tr w14:paraId="2F38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33887F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0" w:type="auto"/>
            <w:tcBorders>
              <w:top w:val="single" w:color="auto" w:sz="4" w:space="0"/>
              <w:left w:val="single" w:color="auto" w:sz="4" w:space="0"/>
              <w:bottom w:val="single" w:color="auto" w:sz="4" w:space="0"/>
              <w:right w:val="single" w:color="auto" w:sz="4" w:space="0"/>
            </w:tcBorders>
            <w:vAlign w:val="center"/>
          </w:tcPr>
          <w:p w14:paraId="7AC3D46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标段划分</w:t>
            </w:r>
          </w:p>
        </w:tc>
        <w:tc>
          <w:tcPr>
            <w:tcW w:w="7472" w:type="dxa"/>
            <w:tcBorders>
              <w:top w:val="single" w:color="auto" w:sz="4" w:space="0"/>
              <w:left w:val="single" w:color="auto" w:sz="4" w:space="0"/>
              <w:bottom w:val="single" w:color="auto" w:sz="4" w:space="0"/>
              <w:right w:val="single" w:color="auto" w:sz="4" w:space="0"/>
            </w:tcBorders>
            <w:vAlign w:val="center"/>
          </w:tcPr>
          <w:p w14:paraId="45B79768">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本项目共一个标段</w:t>
            </w:r>
          </w:p>
        </w:tc>
      </w:tr>
      <w:tr w14:paraId="2517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D430B0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0" w:type="auto"/>
            <w:tcBorders>
              <w:top w:val="single" w:color="auto" w:sz="4" w:space="0"/>
              <w:left w:val="single" w:color="auto" w:sz="4" w:space="0"/>
              <w:bottom w:val="single" w:color="auto" w:sz="4" w:space="0"/>
              <w:right w:val="single" w:color="auto" w:sz="4" w:space="0"/>
            </w:tcBorders>
            <w:vAlign w:val="center"/>
          </w:tcPr>
          <w:p w14:paraId="300BF1C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构成招标文件的其他材料</w:t>
            </w:r>
          </w:p>
        </w:tc>
        <w:tc>
          <w:tcPr>
            <w:tcW w:w="7472" w:type="dxa"/>
            <w:tcBorders>
              <w:top w:val="single" w:color="auto" w:sz="4" w:space="0"/>
              <w:left w:val="single" w:color="auto" w:sz="4" w:space="0"/>
              <w:bottom w:val="single" w:color="auto" w:sz="4" w:space="0"/>
              <w:right w:val="single" w:color="auto" w:sz="4" w:space="0"/>
            </w:tcBorders>
            <w:vAlign w:val="center"/>
          </w:tcPr>
          <w:p w14:paraId="55472307">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与本项目有关的解答、澄清、修改与补充等</w:t>
            </w:r>
          </w:p>
        </w:tc>
      </w:tr>
      <w:tr w14:paraId="2785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7287CD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0" w:type="auto"/>
            <w:tcBorders>
              <w:top w:val="single" w:color="auto" w:sz="4" w:space="0"/>
              <w:left w:val="single" w:color="auto" w:sz="4" w:space="0"/>
              <w:bottom w:val="single" w:color="auto" w:sz="4" w:space="0"/>
              <w:right w:val="single" w:color="auto" w:sz="4" w:space="0"/>
            </w:tcBorders>
            <w:vAlign w:val="center"/>
          </w:tcPr>
          <w:p w14:paraId="07497D7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供应商要求澄清招标文件的截止时间</w:t>
            </w:r>
          </w:p>
        </w:tc>
        <w:tc>
          <w:tcPr>
            <w:tcW w:w="7472" w:type="dxa"/>
            <w:tcBorders>
              <w:top w:val="single" w:color="auto" w:sz="4" w:space="0"/>
              <w:left w:val="single" w:color="auto" w:sz="4" w:space="0"/>
              <w:bottom w:val="single" w:color="auto" w:sz="4" w:space="0"/>
              <w:right w:val="single" w:color="auto" w:sz="4" w:space="0"/>
            </w:tcBorders>
            <w:vAlign w:val="center"/>
          </w:tcPr>
          <w:p w14:paraId="295E739B">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按招标文件规定的投标文件截止时间10日前</w:t>
            </w:r>
          </w:p>
        </w:tc>
      </w:tr>
      <w:tr w14:paraId="0019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FF3CF0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0" w:type="auto"/>
            <w:tcBorders>
              <w:top w:val="single" w:color="auto" w:sz="4" w:space="0"/>
              <w:left w:val="single" w:color="auto" w:sz="4" w:space="0"/>
              <w:bottom w:val="single" w:color="auto" w:sz="4" w:space="0"/>
              <w:right w:val="single" w:color="auto" w:sz="4" w:space="0"/>
            </w:tcBorders>
            <w:vAlign w:val="center"/>
          </w:tcPr>
          <w:p w14:paraId="575916E1">
            <w:pPr>
              <w:autoSpaceDE w:val="0"/>
              <w:autoSpaceDN w:val="0"/>
              <w:adjustRightInd w:val="0"/>
              <w:snapToGrid w:val="0"/>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投标截止时间</w:t>
            </w:r>
          </w:p>
        </w:tc>
        <w:tc>
          <w:tcPr>
            <w:tcW w:w="7472" w:type="dxa"/>
            <w:tcBorders>
              <w:top w:val="single" w:color="auto" w:sz="4" w:space="0"/>
              <w:left w:val="single" w:color="auto" w:sz="4" w:space="0"/>
              <w:bottom w:val="single" w:color="auto" w:sz="4" w:space="0"/>
              <w:right w:val="single" w:color="auto" w:sz="4" w:space="0"/>
            </w:tcBorders>
            <w:vAlign w:val="center"/>
          </w:tcPr>
          <w:p w14:paraId="0FCF9473">
            <w:pPr>
              <w:autoSpaceDE w:val="0"/>
              <w:autoSpaceDN w:val="0"/>
              <w:adjustRightInd w:val="0"/>
              <w:snapToGrid w:val="0"/>
              <w:spacing w:line="320" w:lineRule="exact"/>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2026年</w:t>
            </w: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月</w:t>
            </w:r>
            <w:r>
              <w:rPr>
                <w:rFonts w:hint="eastAsia" w:ascii="宋体" w:hAnsi="宋体" w:eastAsia="宋体" w:cs="宋体"/>
                <w:b/>
                <w:bCs/>
                <w:color w:val="auto"/>
                <w:kern w:val="0"/>
                <w:sz w:val="21"/>
                <w:szCs w:val="21"/>
                <w:lang w:val="en-US" w:eastAsia="zh-CN"/>
              </w:rPr>
              <w:t>19</w:t>
            </w:r>
            <w:r>
              <w:rPr>
                <w:rFonts w:hint="eastAsia" w:ascii="宋体" w:hAnsi="宋体" w:eastAsia="宋体" w:cs="宋体"/>
                <w:b/>
                <w:bCs/>
                <w:color w:val="auto"/>
                <w:kern w:val="0"/>
                <w:sz w:val="21"/>
                <w:szCs w:val="21"/>
              </w:rPr>
              <w:t>日9时00分（北京时间）</w:t>
            </w:r>
          </w:p>
          <w:p w14:paraId="297ECA08">
            <w:pPr>
              <w:autoSpaceDE w:val="0"/>
              <w:autoSpaceDN w:val="0"/>
              <w:adjustRightInd w:val="0"/>
              <w:snapToGrid w:val="0"/>
              <w:spacing w:line="32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注：全面实行在线“不见面”开标，供应商远程在线解密投标文件，不再到开标现场，供应商开标前应仔细阅读《“不见面”开标注意事项及操作流程》。</w:t>
            </w:r>
          </w:p>
        </w:tc>
      </w:tr>
      <w:tr w14:paraId="264F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6AC306AB">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0" w:type="auto"/>
            <w:tcBorders>
              <w:top w:val="single" w:color="auto" w:sz="4" w:space="0"/>
              <w:left w:val="single" w:color="auto" w:sz="4" w:space="0"/>
              <w:bottom w:val="single" w:color="auto" w:sz="4" w:space="0"/>
              <w:right w:val="single" w:color="auto" w:sz="4" w:space="0"/>
            </w:tcBorders>
            <w:vAlign w:val="center"/>
          </w:tcPr>
          <w:p w14:paraId="56E3C183">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响应文件</w:t>
            </w:r>
          </w:p>
          <w:p w14:paraId="7A839B93">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电子版</w:t>
            </w:r>
          </w:p>
        </w:tc>
        <w:tc>
          <w:tcPr>
            <w:tcW w:w="7472" w:type="dxa"/>
            <w:tcBorders>
              <w:top w:val="single" w:color="auto" w:sz="4" w:space="0"/>
              <w:left w:val="single" w:color="auto" w:sz="4" w:space="0"/>
              <w:bottom w:val="single" w:color="auto" w:sz="4" w:space="0"/>
              <w:right w:val="single" w:color="auto" w:sz="4" w:space="0"/>
            </w:tcBorders>
            <w:vAlign w:val="center"/>
          </w:tcPr>
          <w:p w14:paraId="25F44034">
            <w:pPr>
              <w:autoSpaceDE w:val="0"/>
              <w:autoSpaceDN w:val="0"/>
              <w:adjustRightInd w:val="0"/>
              <w:snapToGrid w:val="0"/>
              <w:spacing w:line="320"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加密版投标文件1份（.file格式），并按规定进行上传。</w:t>
            </w:r>
          </w:p>
        </w:tc>
      </w:tr>
      <w:tr w14:paraId="1913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5F044E43">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0" w:type="auto"/>
            <w:tcBorders>
              <w:top w:val="single" w:color="auto" w:sz="4" w:space="0"/>
              <w:left w:val="single" w:color="auto" w:sz="4" w:space="0"/>
              <w:bottom w:val="single" w:color="auto" w:sz="4" w:space="0"/>
              <w:right w:val="single" w:color="auto" w:sz="4" w:space="0"/>
            </w:tcBorders>
            <w:vAlign w:val="center"/>
          </w:tcPr>
          <w:p w14:paraId="433B580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7472" w:type="dxa"/>
            <w:tcBorders>
              <w:top w:val="single" w:color="auto" w:sz="4" w:space="0"/>
              <w:left w:val="single" w:color="auto" w:sz="4" w:space="0"/>
              <w:bottom w:val="single" w:color="auto" w:sz="4" w:space="0"/>
              <w:right w:val="single" w:color="auto" w:sz="4" w:space="0"/>
            </w:tcBorders>
            <w:vAlign w:val="center"/>
          </w:tcPr>
          <w:p w14:paraId="56ABD4E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投标截止之日起60个日历天</w:t>
            </w:r>
          </w:p>
        </w:tc>
      </w:tr>
      <w:tr w14:paraId="1809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restart"/>
            <w:tcBorders>
              <w:top w:val="single" w:color="auto" w:sz="4" w:space="0"/>
              <w:left w:val="single" w:color="auto" w:sz="4" w:space="0"/>
              <w:right w:val="single" w:color="auto" w:sz="4" w:space="0"/>
            </w:tcBorders>
            <w:vAlign w:val="center"/>
          </w:tcPr>
          <w:p w14:paraId="2857FF3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14:paraId="52E6251D">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7472" w:type="dxa"/>
            <w:tcBorders>
              <w:top w:val="single" w:color="auto" w:sz="4" w:space="0"/>
              <w:left w:val="single" w:color="auto" w:sz="4" w:space="0"/>
              <w:bottom w:val="single" w:color="auto" w:sz="4" w:space="0"/>
              <w:right w:val="single" w:color="auto" w:sz="4" w:space="0"/>
            </w:tcBorders>
            <w:vAlign w:val="center"/>
          </w:tcPr>
          <w:p w14:paraId="622A9E5A">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不收取</w:t>
            </w:r>
          </w:p>
        </w:tc>
      </w:tr>
      <w:tr w14:paraId="074C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continue"/>
            <w:tcBorders>
              <w:left w:val="single" w:color="auto" w:sz="4" w:space="0"/>
              <w:right w:val="single" w:color="auto" w:sz="4" w:space="0"/>
            </w:tcBorders>
            <w:vAlign w:val="center"/>
          </w:tcPr>
          <w:p w14:paraId="4C1EFC93">
            <w:pPr>
              <w:autoSpaceDE w:val="0"/>
              <w:autoSpaceDN w:val="0"/>
              <w:adjustRightInd w:val="0"/>
              <w:snapToGrid w:val="0"/>
              <w:spacing w:line="320" w:lineRule="exact"/>
              <w:jc w:val="center"/>
              <w:rPr>
                <w:rFonts w:hint="eastAsia" w:ascii="宋体" w:hAnsi="宋体" w:eastAsia="宋体" w:cs="宋体"/>
                <w:kern w:val="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BCC6EE3">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履约保证金</w:t>
            </w:r>
          </w:p>
        </w:tc>
        <w:tc>
          <w:tcPr>
            <w:tcW w:w="7472" w:type="dxa"/>
            <w:tcBorders>
              <w:top w:val="single" w:color="auto" w:sz="4" w:space="0"/>
              <w:left w:val="single" w:color="auto" w:sz="4" w:space="0"/>
              <w:bottom w:val="single" w:color="auto" w:sz="4" w:space="0"/>
              <w:right w:val="single" w:color="auto" w:sz="4" w:space="0"/>
            </w:tcBorders>
            <w:vAlign w:val="center"/>
          </w:tcPr>
          <w:p w14:paraId="4CC6F25A">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不收取</w:t>
            </w:r>
          </w:p>
        </w:tc>
      </w:tr>
      <w:tr w14:paraId="788A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continue"/>
            <w:tcBorders>
              <w:left w:val="single" w:color="auto" w:sz="4" w:space="0"/>
              <w:right w:val="single" w:color="auto" w:sz="4" w:space="0"/>
            </w:tcBorders>
            <w:vAlign w:val="center"/>
          </w:tcPr>
          <w:p w14:paraId="112CB246">
            <w:pPr>
              <w:autoSpaceDE w:val="0"/>
              <w:autoSpaceDN w:val="0"/>
              <w:adjustRightInd w:val="0"/>
              <w:snapToGrid w:val="0"/>
              <w:spacing w:line="320" w:lineRule="exact"/>
              <w:jc w:val="center"/>
              <w:rPr>
                <w:rFonts w:hint="eastAsia" w:ascii="宋体" w:hAnsi="宋体" w:eastAsia="宋体" w:cs="宋体"/>
                <w:kern w:val="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ABFF26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质量保证金</w:t>
            </w:r>
          </w:p>
        </w:tc>
        <w:tc>
          <w:tcPr>
            <w:tcW w:w="7472" w:type="dxa"/>
            <w:tcBorders>
              <w:top w:val="single" w:color="auto" w:sz="4" w:space="0"/>
              <w:left w:val="single" w:color="auto" w:sz="4" w:space="0"/>
              <w:bottom w:val="single" w:color="auto" w:sz="4" w:space="0"/>
              <w:right w:val="single" w:color="auto" w:sz="4" w:space="0"/>
            </w:tcBorders>
            <w:vAlign w:val="center"/>
          </w:tcPr>
          <w:p w14:paraId="30C45F5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不收取</w:t>
            </w:r>
          </w:p>
        </w:tc>
      </w:tr>
      <w:tr w14:paraId="78F7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continue"/>
            <w:tcBorders>
              <w:left w:val="single" w:color="auto" w:sz="4" w:space="0"/>
              <w:bottom w:val="single" w:color="auto" w:sz="4" w:space="0"/>
              <w:right w:val="single" w:color="auto" w:sz="4" w:space="0"/>
            </w:tcBorders>
            <w:vAlign w:val="center"/>
          </w:tcPr>
          <w:p w14:paraId="77C421CC">
            <w:pPr>
              <w:autoSpaceDE w:val="0"/>
              <w:autoSpaceDN w:val="0"/>
              <w:adjustRightInd w:val="0"/>
              <w:snapToGrid w:val="0"/>
              <w:spacing w:line="320" w:lineRule="exact"/>
              <w:jc w:val="center"/>
              <w:rPr>
                <w:rFonts w:hint="eastAsia" w:ascii="宋体" w:hAnsi="宋体" w:eastAsia="宋体" w:cs="宋体"/>
                <w:kern w:val="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A51881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招标文件费用</w:t>
            </w:r>
          </w:p>
        </w:tc>
        <w:tc>
          <w:tcPr>
            <w:tcW w:w="7472" w:type="dxa"/>
            <w:tcBorders>
              <w:top w:val="single" w:color="auto" w:sz="4" w:space="0"/>
              <w:left w:val="single" w:color="auto" w:sz="4" w:space="0"/>
              <w:bottom w:val="single" w:color="auto" w:sz="4" w:space="0"/>
              <w:right w:val="single" w:color="auto" w:sz="4" w:space="0"/>
            </w:tcBorders>
            <w:vAlign w:val="center"/>
          </w:tcPr>
          <w:p w14:paraId="64DFCE3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不收取</w:t>
            </w:r>
          </w:p>
        </w:tc>
      </w:tr>
      <w:tr w14:paraId="1E5A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253DE9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0" w:type="auto"/>
            <w:tcBorders>
              <w:top w:val="single" w:color="auto" w:sz="4" w:space="0"/>
              <w:left w:val="single" w:color="auto" w:sz="4" w:space="0"/>
              <w:bottom w:val="single" w:color="auto" w:sz="4" w:space="0"/>
              <w:right w:val="single" w:color="auto" w:sz="4" w:space="0"/>
            </w:tcBorders>
            <w:vAlign w:val="center"/>
          </w:tcPr>
          <w:p w14:paraId="268F0BD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签字或盖章</w:t>
            </w:r>
          </w:p>
          <w:p w14:paraId="58C7024A">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要求</w:t>
            </w:r>
          </w:p>
        </w:tc>
        <w:tc>
          <w:tcPr>
            <w:tcW w:w="7472" w:type="dxa"/>
            <w:tcBorders>
              <w:top w:val="single" w:color="auto" w:sz="4" w:space="0"/>
              <w:left w:val="single" w:color="auto" w:sz="4" w:space="0"/>
              <w:bottom w:val="single" w:color="auto" w:sz="4" w:space="0"/>
              <w:right w:val="single" w:color="auto" w:sz="4" w:space="0"/>
            </w:tcBorders>
            <w:vAlign w:val="center"/>
          </w:tcPr>
          <w:p w14:paraId="65AFA506">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投标文件应按招标文件要求加盖单位公章、签字、盖章。投标文件中的各类证书及企业相关证明资料复印件须加盖供应商电子印章。若被授权代理人签字或盖章的，投标文件中应附法定代表人有效授权委托书。</w:t>
            </w:r>
          </w:p>
        </w:tc>
      </w:tr>
      <w:tr w14:paraId="68A7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DEBBD7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0" w:type="auto"/>
            <w:tcBorders>
              <w:top w:val="single" w:color="auto" w:sz="4" w:space="0"/>
              <w:left w:val="single" w:color="auto" w:sz="4" w:space="0"/>
              <w:bottom w:val="single" w:color="auto" w:sz="4" w:space="0"/>
              <w:right w:val="single" w:color="auto" w:sz="4" w:space="0"/>
            </w:tcBorders>
            <w:vAlign w:val="center"/>
          </w:tcPr>
          <w:p w14:paraId="77CF49CD">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递交投标文件</w:t>
            </w:r>
          </w:p>
          <w:p w14:paraId="664F2EB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地点</w:t>
            </w:r>
          </w:p>
        </w:tc>
        <w:tc>
          <w:tcPr>
            <w:tcW w:w="7472" w:type="dxa"/>
            <w:tcBorders>
              <w:top w:val="single" w:color="auto" w:sz="4" w:space="0"/>
              <w:left w:val="single" w:color="auto" w:sz="4" w:space="0"/>
              <w:bottom w:val="single" w:color="auto" w:sz="4" w:space="0"/>
              <w:right w:val="single" w:color="auto" w:sz="4" w:space="0"/>
            </w:tcBorders>
            <w:vAlign w:val="center"/>
          </w:tcPr>
          <w:p w14:paraId="06BF0177">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平顶山市公共资源交易中心电子交易系统</w:t>
            </w:r>
          </w:p>
        </w:tc>
      </w:tr>
      <w:tr w14:paraId="488B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A27595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0" w:type="auto"/>
            <w:tcBorders>
              <w:top w:val="single" w:color="auto" w:sz="4" w:space="0"/>
              <w:left w:val="single" w:color="auto" w:sz="4" w:space="0"/>
              <w:bottom w:val="single" w:color="auto" w:sz="4" w:space="0"/>
              <w:right w:val="single" w:color="auto" w:sz="4" w:space="0"/>
            </w:tcBorders>
            <w:vAlign w:val="center"/>
          </w:tcPr>
          <w:p w14:paraId="229A5258">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开标时间和</w:t>
            </w:r>
          </w:p>
          <w:p w14:paraId="1555AC4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地点</w:t>
            </w:r>
          </w:p>
        </w:tc>
        <w:tc>
          <w:tcPr>
            <w:tcW w:w="7472" w:type="dxa"/>
            <w:tcBorders>
              <w:top w:val="single" w:color="auto" w:sz="4" w:space="0"/>
              <w:left w:val="single" w:color="auto" w:sz="4" w:space="0"/>
              <w:bottom w:val="single" w:color="auto" w:sz="4" w:space="0"/>
              <w:right w:val="single" w:color="auto" w:sz="4" w:space="0"/>
            </w:tcBorders>
            <w:vAlign w:val="center"/>
          </w:tcPr>
          <w:p w14:paraId="12BDC22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开标时间：同投标截止时间</w:t>
            </w:r>
          </w:p>
          <w:p w14:paraId="14CE4722">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开标地点：平顶山市公共资源交易中心</w:t>
            </w:r>
          </w:p>
        </w:tc>
      </w:tr>
      <w:tr w14:paraId="381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314250D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0" w:type="auto"/>
            <w:tcBorders>
              <w:top w:val="single" w:color="auto" w:sz="4" w:space="0"/>
              <w:left w:val="single" w:color="auto" w:sz="4" w:space="0"/>
              <w:bottom w:val="single" w:color="auto" w:sz="4" w:space="0"/>
              <w:right w:val="single" w:color="auto" w:sz="4" w:space="0"/>
            </w:tcBorders>
            <w:vAlign w:val="center"/>
          </w:tcPr>
          <w:p w14:paraId="5825110A">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开标程序</w:t>
            </w:r>
          </w:p>
        </w:tc>
        <w:tc>
          <w:tcPr>
            <w:tcW w:w="7472" w:type="dxa"/>
            <w:tcBorders>
              <w:top w:val="single" w:color="auto" w:sz="4" w:space="0"/>
              <w:left w:val="single" w:color="auto" w:sz="4" w:space="0"/>
              <w:bottom w:val="single" w:color="auto" w:sz="4" w:space="0"/>
              <w:right w:val="single" w:color="auto" w:sz="4" w:space="0"/>
            </w:tcBorders>
            <w:vAlign w:val="center"/>
          </w:tcPr>
          <w:p w14:paraId="210B95E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（1）电子化投标文件采用双重加密方式。开标时，首先由供应商使用 CA 证书，在规定时间内对其电子化投标文件进行首次解密，供应商解密完成后，再由</w:t>
            </w:r>
            <w:r>
              <w:rPr>
                <w:rFonts w:hint="eastAsia" w:ascii="宋体" w:hAnsi="宋体" w:eastAsia="宋体" w:cs="宋体"/>
                <w:kern w:val="0"/>
                <w:sz w:val="21"/>
                <w:szCs w:val="21"/>
                <w:lang w:eastAsia="zh-CN"/>
              </w:rPr>
              <w:t>代理机构</w:t>
            </w:r>
            <w:r>
              <w:rPr>
                <w:rFonts w:hint="eastAsia" w:ascii="宋体" w:hAnsi="宋体" w:eastAsia="宋体" w:cs="宋体"/>
                <w:kern w:val="0"/>
                <w:sz w:val="21"/>
                <w:szCs w:val="21"/>
              </w:rPr>
              <w:t>使用 CA 证书对投标文件进行再次解密。</w:t>
            </w:r>
          </w:p>
          <w:p w14:paraId="5482C6F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（2）待所有供应商投标文件解密完成后，由</w:t>
            </w:r>
            <w:r>
              <w:rPr>
                <w:rFonts w:hint="eastAsia" w:ascii="宋体" w:hAnsi="宋体" w:eastAsia="宋体" w:cs="宋体"/>
                <w:kern w:val="0"/>
                <w:sz w:val="21"/>
                <w:szCs w:val="21"/>
                <w:lang w:eastAsia="zh-CN"/>
              </w:rPr>
              <w:t>代理机构</w:t>
            </w:r>
            <w:r>
              <w:rPr>
                <w:rFonts w:hint="eastAsia" w:ascii="宋体" w:hAnsi="宋体" w:eastAsia="宋体" w:cs="宋体"/>
                <w:kern w:val="0"/>
                <w:sz w:val="21"/>
                <w:szCs w:val="21"/>
              </w:rPr>
              <w:t>操作，对所有已解密投标文件进行唱标。</w:t>
            </w:r>
          </w:p>
        </w:tc>
      </w:tr>
      <w:tr w14:paraId="1668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598EDBC">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0" w:type="auto"/>
            <w:tcBorders>
              <w:top w:val="single" w:color="auto" w:sz="4" w:space="0"/>
              <w:left w:val="single" w:color="auto" w:sz="4" w:space="0"/>
              <w:bottom w:val="single" w:color="auto" w:sz="4" w:space="0"/>
              <w:right w:val="single" w:color="auto" w:sz="4" w:space="0"/>
            </w:tcBorders>
            <w:vAlign w:val="center"/>
          </w:tcPr>
          <w:p w14:paraId="76E5147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评标委员会的</w:t>
            </w:r>
          </w:p>
          <w:p w14:paraId="4D5025C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组建</w:t>
            </w:r>
          </w:p>
        </w:tc>
        <w:tc>
          <w:tcPr>
            <w:tcW w:w="7472" w:type="dxa"/>
            <w:tcBorders>
              <w:top w:val="single" w:color="auto" w:sz="4" w:space="0"/>
              <w:left w:val="single" w:color="auto" w:sz="4" w:space="0"/>
              <w:bottom w:val="single" w:color="auto" w:sz="4" w:space="0"/>
              <w:right w:val="single" w:color="auto" w:sz="4" w:space="0"/>
            </w:tcBorders>
            <w:vAlign w:val="center"/>
          </w:tcPr>
          <w:p w14:paraId="16C519E2">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评标委员会构成：由采购人代表及相关技术、经济专家5人以上单数组成。</w:t>
            </w:r>
          </w:p>
          <w:p w14:paraId="227EB27E">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在</w:t>
            </w:r>
            <w:r>
              <w:rPr>
                <w:rFonts w:hint="eastAsia" w:ascii="宋体" w:hAnsi="宋体" w:eastAsia="宋体" w:cs="宋体"/>
                <w:kern w:val="0"/>
                <w:sz w:val="21"/>
                <w:szCs w:val="21"/>
                <w:lang w:val="en-US" w:eastAsia="zh-CN"/>
              </w:rPr>
              <w:t>监督部门</w:t>
            </w:r>
            <w:r>
              <w:rPr>
                <w:rFonts w:hint="eastAsia" w:ascii="宋体" w:hAnsi="宋体" w:eastAsia="宋体" w:cs="宋体"/>
                <w:kern w:val="0"/>
                <w:sz w:val="21"/>
                <w:szCs w:val="21"/>
              </w:rPr>
              <w:t>的监督下，从评标专家库中随机抽取，评标委员会中具有技术经济方面的专家不少于2/3。</w:t>
            </w:r>
          </w:p>
          <w:p w14:paraId="719258DF">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注：“上述规定为一组评标专家组成方式，根据项目标包数量和评标工作量，可由多组专家完成评审，但一个标包只能由一组专家评审”。</w:t>
            </w:r>
          </w:p>
        </w:tc>
      </w:tr>
      <w:tr w14:paraId="7365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3D2BECBB">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0" w:type="auto"/>
            <w:tcBorders>
              <w:top w:val="single" w:color="auto" w:sz="4" w:space="0"/>
              <w:left w:val="single" w:color="auto" w:sz="4" w:space="0"/>
              <w:bottom w:val="single" w:color="auto" w:sz="4" w:space="0"/>
              <w:right w:val="single" w:color="auto" w:sz="4" w:space="0"/>
            </w:tcBorders>
            <w:vAlign w:val="center"/>
          </w:tcPr>
          <w:p w14:paraId="59259D3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是否授权评标</w:t>
            </w:r>
          </w:p>
          <w:p w14:paraId="130C6A26">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委会确定成交</w:t>
            </w:r>
          </w:p>
          <w:p w14:paraId="5E50E54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供应商</w:t>
            </w:r>
          </w:p>
        </w:tc>
        <w:tc>
          <w:tcPr>
            <w:tcW w:w="7472" w:type="dxa"/>
            <w:tcBorders>
              <w:top w:val="single" w:color="auto" w:sz="4" w:space="0"/>
              <w:left w:val="single" w:color="auto" w:sz="4" w:space="0"/>
              <w:bottom w:val="single" w:color="auto" w:sz="4" w:space="0"/>
              <w:right w:val="single" w:color="auto" w:sz="4" w:space="0"/>
            </w:tcBorders>
            <w:vAlign w:val="center"/>
          </w:tcPr>
          <w:p w14:paraId="6077EA51">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否，由评标委员会按供应商最后得分高低推荐前1-3名为</w:t>
            </w:r>
            <w:r>
              <w:rPr>
                <w:rFonts w:hint="eastAsia" w:ascii="宋体" w:hAnsi="宋体" w:eastAsia="宋体" w:cs="宋体"/>
                <w:kern w:val="0"/>
                <w:sz w:val="21"/>
                <w:szCs w:val="21"/>
                <w:lang w:eastAsia="zh-CN"/>
              </w:rPr>
              <w:t>中标候选人</w:t>
            </w:r>
            <w:r>
              <w:rPr>
                <w:rFonts w:hint="eastAsia" w:ascii="宋体" w:hAnsi="宋体" w:eastAsia="宋体" w:cs="宋体"/>
                <w:kern w:val="0"/>
                <w:sz w:val="21"/>
                <w:szCs w:val="21"/>
              </w:rPr>
              <w:t>。若排名第一的</w:t>
            </w:r>
            <w:r>
              <w:rPr>
                <w:rFonts w:hint="eastAsia" w:ascii="宋体" w:hAnsi="宋体" w:eastAsia="宋体" w:cs="宋体"/>
                <w:kern w:val="0"/>
                <w:sz w:val="21"/>
                <w:szCs w:val="21"/>
                <w:lang w:eastAsia="zh-CN"/>
              </w:rPr>
              <w:t>中标候选人</w:t>
            </w:r>
            <w:r>
              <w:rPr>
                <w:rFonts w:hint="eastAsia" w:ascii="宋体" w:hAnsi="宋体" w:eastAsia="宋体" w:cs="宋体"/>
                <w:kern w:val="0"/>
                <w:sz w:val="21"/>
                <w:szCs w:val="21"/>
              </w:rPr>
              <w:t>放弃中标、因不可抗力提出不能履行合同，招标人可以确定第二</w:t>
            </w:r>
            <w:r>
              <w:rPr>
                <w:rFonts w:hint="eastAsia" w:ascii="宋体" w:hAnsi="宋体" w:eastAsia="宋体" w:cs="宋体"/>
                <w:kern w:val="0"/>
                <w:sz w:val="21"/>
                <w:szCs w:val="21"/>
                <w:lang w:eastAsia="zh-CN"/>
              </w:rPr>
              <w:t>中标候选人</w:t>
            </w:r>
            <w:r>
              <w:rPr>
                <w:rFonts w:hint="eastAsia" w:ascii="宋体" w:hAnsi="宋体" w:eastAsia="宋体" w:cs="宋体"/>
                <w:kern w:val="0"/>
                <w:sz w:val="21"/>
                <w:szCs w:val="21"/>
              </w:rPr>
              <w:t>为成交供应商；依此类推。当所有</w:t>
            </w:r>
            <w:r>
              <w:rPr>
                <w:rFonts w:hint="eastAsia" w:ascii="宋体" w:hAnsi="宋体" w:eastAsia="宋体" w:cs="宋体"/>
                <w:kern w:val="0"/>
                <w:sz w:val="21"/>
                <w:szCs w:val="21"/>
                <w:lang w:eastAsia="zh-CN"/>
              </w:rPr>
              <w:t>中标候选人</w:t>
            </w:r>
            <w:r>
              <w:rPr>
                <w:rFonts w:hint="eastAsia" w:ascii="宋体" w:hAnsi="宋体" w:eastAsia="宋体" w:cs="宋体"/>
                <w:kern w:val="0"/>
                <w:sz w:val="21"/>
                <w:szCs w:val="21"/>
              </w:rPr>
              <w:t>因上述原因不能签订合同的，采购人将依法重新招标。</w:t>
            </w:r>
          </w:p>
        </w:tc>
      </w:tr>
      <w:tr w14:paraId="16F0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9BD8A89">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0" w:type="auto"/>
            <w:tcBorders>
              <w:top w:val="single" w:color="auto" w:sz="4" w:space="0"/>
              <w:left w:val="single" w:color="auto" w:sz="4" w:space="0"/>
              <w:bottom w:val="single" w:color="auto" w:sz="4" w:space="0"/>
              <w:right w:val="single" w:color="auto" w:sz="4" w:space="0"/>
            </w:tcBorders>
            <w:vAlign w:val="center"/>
          </w:tcPr>
          <w:p w14:paraId="4778619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接收质疑函的方式和联系方式</w:t>
            </w:r>
          </w:p>
        </w:tc>
        <w:tc>
          <w:tcPr>
            <w:tcW w:w="7472" w:type="dxa"/>
            <w:tcBorders>
              <w:top w:val="single" w:color="auto" w:sz="4" w:space="0"/>
              <w:left w:val="single" w:color="auto" w:sz="4" w:space="0"/>
              <w:bottom w:val="single" w:color="auto" w:sz="4" w:space="0"/>
              <w:right w:val="single" w:color="auto" w:sz="4" w:space="0"/>
            </w:tcBorders>
            <w:vAlign w:val="center"/>
          </w:tcPr>
          <w:p w14:paraId="7044C40E">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质疑函应在平顶山市公共资源交易系统中接收，质疑函的格式和内容应当符合相关法律法规的要求。联系方式如下：</w:t>
            </w:r>
          </w:p>
          <w:p w14:paraId="19224400">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联系人：张闪 徐蕊 常丽娟 联系电话：0371-60926170</w:t>
            </w:r>
          </w:p>
          <w:p w14:paraId="529771AA">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对供应商提出的质疑，采购人、采购代理机构应当依法及时答复和处理，不得推诿扯皮故意刁难，须进行实质性回应。</w:t>
            </w:r>
          </w:p>
        </w:tc>
      </w:tr>
      <w:tr w14:paraId="1E1A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1881ECC">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0" w:type="auto"/>
            <w:tcBorders>
              <w:top w:val="single" w:color="auto" w:sz="4" w:space="0"/>
              <w:left w:val="single" w:color="auto" w:sz="4" w:space="0"/>
              <w:bottom w:val="single" w:color="auto" w:sz="4" w:space="0"/>
              <w:right w:val="single" w:color="auto" w:sz="4" w:space="0"/>
            </w:tcBorders>
            <w:vAlign w:val="center"/>
          </w:tcPr>
          <w:p w14:paraId="7E122C8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最高投标限价</w:t>
            </w:r>
          </w:p>
        </w:tc>
        <w:tc>
          <w:tcPr>
            <w:tcW w:w="7472" w:type="dxa"/>
            <w:tcBorders>
              <w:top w:val="single" w:color="auto" w:sz="4" w:space="0"/>
              <w:left w:val="single" w:color="auto" w:sz="4" w:space="0"/>
              <w:bottom w:val="single" w:color="auto" w:sz="4" w:space="0"/>
              <w:right w:val="single" w:color="auto" w:sz="4" w:space="0"/>
            </w:tcBorders>
            <w:vAlign w:val="center"/>
          </w:tcPr>
          <w:p w14:paraId="1A44497C">
            <w:pPr>
              <w:autoSpaceDE w:val="0"/>
              <w:autoSpaceDN w:val="0"/>
              <w:adjustRightInd w:val="0"/>
              <w:snapToGrid w:val="0"/>
              <w:spacing w:line="32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最高限价：</w:t>
            </w:r>
            <w:r>
              <w:rPr>
                <w:rFonts w:hint="eastAsia" w:ascii="宋体" w:hAnsi="宋体" w:eastAsia="宋体" w:cs="宋体"/>
                <w:b/>
                <w:bCs/>
                <w:sz w:val="21"/>
                <w:szCs w:val="21"/>
              </w:rPr>
              <w:t>2600000元</w:t>
            </w:r>
          </w:p>
          <w:p w14:paraId="48C3E44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注：超出最高限价按无效标处理。</w:t>
            </w:r>
          </w:p>
        </w:tc>
      </w:tr>
      <w:tr w14:paraId="027E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6EE497D8">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0" w:type="auto"/>
            <w:tcBorders>
              <w:top w:val="single" w:color="auto" w:sz="4" w:space="0"/>
              <w:left w:val="single" w:color="auto" w:sz="4" w:space="0"/>
              <w:bottom w:val="single" w:color="auto" w:sz="4" w:space="0"/>
              <w:right w:val="single" w:color="auto" w:sz="4" w:space="0"/>
            </w:tcBorders>
            <w:vAlign w:val="center"/>
          </w:tcPr>
          <w:p w14:paraId="077ABF6A">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招标代理</w:t>
            </w:r>
          </w:p>
          <w:p w14:paraId="52A22CDC">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服务费</w:t>
            </w:r>
          </w:p>
        </w:tc>
        <w:tc>
          <w:tcPr>
            <w:tcW w:w="7472" w:type="dxa"/>
            <w:tcBorders>
              <w:top w:val="single" w:color="auto" w:sz="4" w:space="0"/>
              <w:left w:val="single" w:color="auto" w:sz="4" w:space="0"/>
              <w:bottom w:val="single" w:color="auto" w:sz="4" w:space="0"/>
              <w:right w:val="single" w:color="auto" w:sz="4" w:space="0"/>
            </w:tcBorders>
            <w:vAlign w:val="center"/>
          </w:tcPr>
          <w:p w14:paraId="329FC346">
            <w:pPr>
              <w:autoSpaceDE w:val="0"/>
              <w:autoSpaceDN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zh-CN"/>
              </w:rPr>
              <w:t>本项目招标代理服务费以中标价为计算基数，参考豫招协【2023】002号文规定向中标</w:t>
            </w:r>
            <w:r>
              <w:rPr>
                <w:rFonts w:hint="eastAsia" w:ascii="宋体" w:hAnsi="宋体" w:eastAsia="宋体" w:cs="宋体"/>
                <w:kern w:val="0"/>
                <w:sz w:val="21"/>
                <w:szCs w:val="21"/>
              </w:rPr>
              <w:t>人</w:t>
            </w:r>
            <w:r>
              <w:rPr>
                <w:rFonts w:hint="eastAsia" w:ascii="宋体" w:hAnsi="宋体" w:eastAsia="宋体" w:cs="宋体"/>
                <w:kern w:val="0"/>
                <w:sz w:val="21"/>
                <w:szCs w:val="21"/>
                <w:lang w:val="zh-CN"/>
              </w:rPr>
              <w:t>收取，中标</w:t>
            </w:r>
            <w:r>
              <w:rPr>
                <w:rFonts w:hint="eastAsia" w:ascii="宋体" w:hAnsi="宋体" w:eastAsia="宋体" w:cs="宋体"/>
                <w:kern w:val="0"/>
                <w:sz w:val="21"/>
                <w:szCs w:val="21"/>
              </w:rPr>
              <w:t>人</w:t>
            </w:r>
            <w:r>
              <w:rPr>
                <w:rFonts w:hint="eastAsia" w:ascii="宋体" w:hAnsi="宋体" w:eastAsia="宋体" w:cs="宋体"/>
                <w:kern w:val="0"/>
                <w:sz w:val="21"/>
                <w:szCs w:val="21"/>
                <w:lang w:val="zh-CN"/>
              </w:rPr>
              <w:t>在领取中标通知书时以转账方式向采购代理机构缴纳</w:t>
            </w:r>
            <w:r>
              <w:rPr>
                <w:rFonts w:hint="eastAsia" w:ascii="宋体" w:hAnsi="宋体" w:eastAsia="宋体" w:cs="宋体"/>
                <w:kern w:val="0"/>
                <w:sz w:val="21"/>
                <w:szCs w:val="21"/>
              </w:rPr>
              <w:t>。此费用由供应商综合考虑到投标报价中，不再单独列项。招标代理服务费缴纳：</w:t>
            </w:r>
          </w:p>
          <w:p w14:paraId="3613159E">
            <w:pPr>
              <w:autoSpaceDE w:val="0"/>
              <w:autoSpaceDN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开户名称：河南龙华工程咨询有限公司</w:t>
            </w:r>
          </w:p>
          <w:p w14:paraId="1531294A">
            <w:pPr>
              <w:autoSpaceDE w:val="0"/>
              <w:autoSpaceDN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账    号：4110  6020  0010  2520  04800</w:t>
            </w:r>
          </w:p>
          <w:p w14:paraId="1A09BC06">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 户 行：交通银行郑州分行政二街支行</w:t>
            </w:r>
          </w:p>
        </w:tc>
      </w:tr>
      <w:tr w14:paraId="7097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5C060FA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0" w:type="auto"/>
            <w:tcBorders>
              <w:top w:val="single" w:color="auto" w:sz="4" w:space="0"/>
              <w:left w:val="single" w:color="auto" w:sz="4" w:space="0"/>
              <w:bottom w:val="single" w:color="auto" w:sz="4" w:space="0"/>
              <w:right w:val="single" w:color="auto" w:sz="4" w:space="0"/>
            </w:tcBorders>
            <w:vAlign w:val="center"/>
          </w:tcPr>
          <w:p w14:paraId="6F927AAA">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付款方式</w:t>
            </w:r>
          </w:p>
        </w:tc>
        <w:tc>
          <w:tcPr>
            <w:tcW w:w="7472" w:type="dxa"/>
            <w:tcBorders>
              <w:top w:val="single" w:color="auto" w:sz="4" w:space="0"/>
              <w:left w:val="single" w:color="auto" w:sz="4" w:space="0"/>
              <w:bottom w:val="single" w:color="auto" w:sz="4" w:space="0"/>
              <w:right w:val="single" w:color="auto" w:sz="4" w:space="0"/>
            </w:tcBorders>
            <w:vAlign w:val="center"/>
          </w:tcPr>
          <w:p w14:paraId="6178C12B">
            <w:pPr>
              <w:snapToGrid w:val="0"/>
              <w:spacing w:line="320" w:lineRule="exact"/>
              <w:jc w:val="left"/>
              <w:rPr>
                <w:rFonts w:hint="eastAsia" w:ascii="宋体" w:hAnsi="宋体" w:eastAsia="宋体" w:cs="宋体"/>
                <w:color w:val="FF0000"/>
                <w:sz w:val="21"/>
                <w:szCs w:val="21"/>
              </w:rPr>
            </w:pPr>
            <w:r>
              <w:rPr>
                <w:rFonts w:hint="eastAsia" w:ascii="宋体" w:hAnsi="宋体" w:eastAsia="宋体" w:cs="宋体"/>
                <w:sz w:val="21"/>
                <w:szCs w:val="21"/>
                <w:lang w:eastAsia="zh-CN"/>
              </w:rPr>
              <w:t>按月支付，每月底支付本月费用</w:t>
            </w:r>
            <w:r>
              <w:rPr>
                <w:rFonts w:hint="eastAsia" w:ascii="宋体" w:hAnsi="宋体" w:eastAsia="宋体" w:cs="宋体"/>
                <w:sz w:val="21"/>
                <w:szCs w:val="21"/>
              </w:rPr>
              <w:t>。</w:t>
            </w:r>
          </w:p>
        </w:tc>
      </w:tr>
      <w:tr w14:paraId="6E43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7F329EA2">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0" w:type="auto"/>
            <w:tcBorders>
              <w:top w:val="single" w:color="auto" w:sz="4" w:space="0"/>
              <w:left w:val="single" w:color="auto" w:sz="4" w:space="0"/>
              <w:bottom w:val="single" w:color="auto" w:sz="4" w:space="0"/>
              <w:right w:val="single" w:color="auto" w:sz="4" w:space="0"/>
            </w:tcBorders>
            <w:vAlign w:val="center"/>
          </w:tcPr>
          <w:p w14:paraId="53FCB43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政采领域优化营商环境相关政策</w:t>
            </w:r>
          </w:p>
        </w:tc>
        <w:tc>
          <w:tcPr>
            <w:tcW w:w="7472" w:type="dxa"/>
            <w:tcBorders>
              <w:top w:val="single" w:color="auto" w:sz="4" w:space="0"/>
              <w:left w:val="single" w:color="auto" w:sz="4" w:space="0"/>
              <w:bottom w:val="single" w:color="auto" w:sz="4" w:space="0"/>
              <w:right w:val="single" w:color="auto" w:sz="4" w:space="0"/>
            </w:tcBorders>
            <w:vAlign w:val="center"/>
          </w:tcPr>
          <w:p w14:paraId="209BB76B">
            <w:pPr>
              <w:autoSpaceDE w:val="0"/>
              <w:autoSpaceDN w:val="0"/>
              <w:adjustRightInd w:val="0"/>
              <w:snapToGrid w:val="0"/>
              <w:spacing w:line="3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一、落实四个“一日办”精神：</w:t>
            </w:r>
          </w:p>
          <w:p w14:paraId="10D8583E">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按照《平顶山市财政局关于压减政府采购各环节时限进一步优化政府采购营商环境的通知》（平财购〔2021〕34号）通知，落实四个“一日办”精神：</w:t>
            </w:r>
          </w:p>
          <w:p w14:paraId="56BE0A3B">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（1）在评审结束后1日内确定采购结果，同时对中标单位发出中标或成交通知书，并在网上进行公告；</w:t>
            </w:r>
          </w:p>
          <w:p w14:paraId="539B4CC1">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（2）中标或成交通知书发出后，1日内与中标或成交供应商签订合同，合同签订当日完成合同备案工作；</w:t>
            </w:r>
          </w:p>
          <w:p w14:paraId="07DC615B">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（3）政府采购项目供应商履约完成后，采购人应在供应商提出验收申请1个工作日内完成验收，同时在平顶山市政府采购网发布验收结果公告；</w:t>
            </w:r>
          </w:p>
          <w:p w14:paraId="2C8FA05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（4）验收合格具备付款条件的项目，采购人要在1个工作日内按照合同约定支付项目资金。</w:t>
            </w:r>
          </w:p>
          <w:p w14:paraId="1D074A5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注：签合同需法定代表人携带本人身份证（如为授权委托人，则携带法定代表人授权委托书及本人身份证）、单位公章、合同纸质版本一式六份及合同电子版。</w:t>
            </w:r>
          </w:p>
          <w:p w14:paraId="3BBB43BF">
            <w:pPr>
              <w:autoSpaceDE w:val="0"/>
              <w:autoSpaceDN w:val="0"/>
              <w:adjustRightInd w:val="0"/>
              <w:snapToGrid w:val="0"/>
              <w:spacing w:line="3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二、维护企业在政府采购活动中的知情权</w:t>
            </w:r>
          </w:p>
          <w:p w14:paraId="1A22B7F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40F7BCA5">
            <w:pPr>
              <w:autoSpaceDE w:val="0"/>
              <w:autoSpaceDN w:val="0"/>
              <w:adjustRightInd w:val="0"/>
              <w:snapToGrid w:val="0"/>
              <w:spacing w:line="3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三、提供中小企业声明函格式</w:t>
            </w:r>
          </w:p>
          <w:p w14:paraId="7B0CD7D6">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在采购文件中，采购代理机构应按照财政部、工信部印发的《政府采购促进中小企业发展管理办法》的通知精神（财库〔2020〕46号）提供中小企业声明函格式。</w:t>
            </w:r>
          </w:p>
          <w:p w14:paraId="36C11B0A">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根据《政府采购促进中小企业发展管理办法》（财库〔2020〕46号）第四条：在政府采购活动中，供应商提供的货物、工程或者服务符合下列情形的，享受本办法规定的中小企业扶持政策：</w:t>
            </w:r>
          </w:p>
          <w:p w14:paraId="2937107F">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（一）在货物采购项目中，货物由中小企业制造，即货物由中小企业生产且使用该中小企业商号或者注册商标；</w:t>
            </w:r>
          </w:p>
          <w:p w14:paraId="4080A503">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（二）在工程采购项目中，工程由中小企业承建，即工程施工单位为中小企业；</w:t>
            </w:r>
          </w:p>
          <w:p w14:paraId="22474BDE">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（三）在服务采购项目中，服务由中小企业承接，即提供服务的人员为中小企业依照《中华人民共和国劳动合同法》订立劳动合同的从业人员。</w:t>
            </w:r>
          </w:p>
          <w:p w14:paraId="24364D15">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在货物采购项目中，供应商提供的货物既有中小企业制造货物，也有大型企业制造货物的，不享受本办法规定的中小企业扶持政策。</w:t>
            </w:r>
          </w:p>
          <w:p w14:paraId="5237D267">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以联合体形式参加政府采购活动，联合体各方均为中小企业的，联合体视同中小企业。其中，联合体各方均为小微企业的，联合体视同小微企业。</w:t>
            </w:r>
          </w:p>
          <w:p w14:paraId="428FA6F7">
            <w:pPr>
              <w:autoSpaceDE w:val="0"/>
              <w:autoSpaceDN w:val="0"/>
              <w:adjustRightInd w:val="0"/>
              <w:snapToGrid w:val="0"/>
              <w:spacing w:line="3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四、推广政府采购合同融资</w:t>
            </w:r>
          </w:p>
          <w:p w14:paraId="1C051AA3">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要求采购人和代理机构将“政府采购合同融资告知函”写入招标文件，鼓励中标供应商凭借采购合同申请贷款，助力解决中小企业融资难、融资贵的问题。</w:t>
            </w:r>
          </w:p>
          <w:p w14:paraId="0ADBAEF1">
            <w:pPr>
              <w:autoSpaceDE w:val="0"/>
              <w:autoSpaceDN w:val="0"/>
              <w:adjustRightInd w:val="0"/>
              <w:snapToGrid w:val="0"/>
              <w:spacing w:line="3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五、落实价格评审优惠政策</w:t>
            </w:r>
          </w:p>
          <w:p w14:paraId="28D31138">
            <w:pPr>
              <w:autoSpaceDE w:val="0"/>
              <w:autoSpaceDN w:val="0"/>
              <w:adjustRightInd w:val="0"/>
              <w:snapToGrid w:val="0"/>
              <w:spacing w:line="320"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（1）执行财政部、工业和信息化部关于印发《政府采购促进中小企业发展暂行办法》的通知（财库〔2020〕46号）</w:t>
            </w:r>
            <w:r>
              <w:rPr>
                <w:rFonts w:hint="eastAsia" w:ascii="宋体" w:hAnsi="宋体" w:eastAsia="宋体" w:cs="宋体"/>
                <w:b/>
                <w:bCs/>
                <w:kern w:val="0"/>
                <w:sz w:val="21"/>
                <w:szCs w:val="21"/>
              </w:rPr>
              <w:t>，本项目为专门面向中小企业采购，不再执行价格评审优惠的扶持政策。</w:t>
            </w:r>
          </w:p>
          <w:p w14:paraId="444857A0">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根据财政部、司法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14:paraId="26567D81">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p w14:paraId="5F197250">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说明：不符合上述适用情形的供应商无须提供上述声明函件。</w:t>
            </w:r>
          </w:p>
        </w:tc>
      </w:tr>
      <w:tr w14:paraId="4106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5F825C3">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0" w:type="auto"/>
            <w:tcBorders>
              <w:top w:val="single" w:color="auto" w:sz="4" w:space="0"/>
              <w:left w:val="single" w:color="auto" w:sz="4" w:space="0"/>
              <w:bottom w:val="single" w:color="auto" w:sz="4" w:space="0"/>
              <w:right w:val="single" w:color="auto" w:sz="4" w:space="0"/>
            </w:tcBorders>
            <w:vAlign w:val="center"/>
          </w:tcPr>
          <w:p w14:paraId="1A35D920">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本项目所属</w:t>
            </w:r>
          </w:p>
          <w:p w14:paraId="3BCD7D16">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行业</w:t>
            </w:r>
          </w:p>
        </w:tc>
        <w:tc>
          <w:tcPr>
            <w:tcW w:w="7472" w:type="dxa"/>
            <w:tcBorders>
              <w:top w:val="single" w:color="auto" w:sz="4" w:space="0"/>
              <w:left w:val="single" w:color="auto" w:sz="4" w:space="0"/>
              <w:bottom w:val="single" w:color="auto" w:sz="4" w:space="0"/>
              <w:right w:val="single" w:color="auto" w:sz="4" w:space="0"/>
            </w:tcBorders>
            <w:vAlign w:val="center"/>
          </w:tcPr>
          <w:p w14:paraId="55448743">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其他未列明行业</w:t>
            </w:r>
            <w:r>
              <w:rPr>
                <w:rFonts w:hint="eastAsia" w:ascii="宋体" w:hAnsi="宋体" w:eastAsia="宋体" w:cs="宋体"/>
                <w:kern w:val="0"/>
                <w:sz w:val="21"/>
                <w:szCs w:val="21"/>
              </w:rPr>
              <w:t>（行业属性划分参照关于印发中小企业划型标准规定的通知(工信部联企业〔2011〕300号) ）</w:t>
            </w:r>
          </w:p>
        </w:tc>
      </w:tr>
      <w:tr w14:paraId="6DAA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E3F2C28">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0" w:type="auto"/>
            <w:tcBorders>
              <w:top w:val="single" w:color="auto" w:sz="4" w:space="0"/>
              <w:left w:val="single" w:color="auto" w:sz="4" w:space="0"/>
              <w:bottom w:val="single" w:color="auto" w:sz="4" w:space="0"/>
              <w:right w:val="single" w:color="auto" w:sz="4" w:space="0"/>
            </w:tcBorders>
            <w:vAlign w:val="center"/>
          </w:tcPr>
          <w:p w14:paraId="4A073D16">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防范供应商串通投标促进政府采购公平</w:t>
            </w:r>
          </w:p>
          <w:p w14:paraId="788DC947">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竞争</w:t>
            </w:r>
          </w:p>
        </w:tc>
        <w:tc>
          <w:tcPr>
            <w:tcW w:w="7472" w:type="dxa"/>
            <w:tcBorders>
              <w:top w:val="single" w:color="auto" w:sz="4" w:space="0"/>
              <w:left w:val="single" w:color="auto" w:sz="4" w:space="0"/>
              <w:bottom w:val="single" w:color="auto" w:sz="4" w:space="0"/>
              <w:right w:val="single" w:color="auto" w:sz="4" w:space="0"/>
            </w:tcBorders>
            <w:vAlign w:val="center"/>
          </w:tcPr>
          <w:p w14:paraId="726FA552">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1、有下列情形之一的，视为供应商相互串通投标：</w:t>
            </w:r>
          </w:p>
          <w:p w14:paraId="402636CC">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（1）不同供应商的投标文件由同一单位或者个人编制：</w:t>
            </w:r>
          </w:p>
          <w:p w14:paraId="1510FB4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（2）不同供应商委托同一单位或者个人办理投标事宜：</w:t>
            </w:r>
          </w:p>
          <w:p w14:paraId="47841A4C">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（3）不同供应商的投标文件载明的项目管理成员或者联系人员为同一人；</w:t>
            </w:r>
          </w:p>
          <w:p w14:paraId="31F1B11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（4）不同供应商的投标文件异常一致或者投标报价呈规律性差异；</w:t>
            </w:r>
          </w:p>
          <w:p w14:paraId="2023DD9B">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（5）不同供应商的投标文件相互混装：</w:t>
            </w:r>
          </w:p>
          <w:p w14:paraId="1AF94EC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（6）不同供应商的投标保证金从同一单位或者个人的账户转出。</w:t>
            </w:r>
          </w:p>
          <w:p w14:paraId="694F654E">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2、有下列情形之一的，属于提供虚假材料谋取中标的行为：</w:t>
            </w:r>
          </w:p>
          <w:p w14:paraId="25EE52B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（1）使用伪造、变造的许可证件：</w:t>
            </w:r>
          </w:p>
          <w:p w14:paraId="42E7966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（2）提供虚假的财务状况或者业绩；</w:t>
            </w:r>
          </w:p>
          <w:p w14:paraId="49821DE0">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（3）提供虚假的项目负责人或者主要技术人员简历、劳动关系证明：</w:t>
            </w:r>
          </w:p>
          <w:p w14:paraId="1FC0EB26">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（4）提供虚假的信用状况；</w:t>
            </w:r>
          </w:p>
          <w:p w14:paraId="4709E34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（5）其他弄虚作假的行为。</w:t>
            </w:r>
          </w:p>
          <w:p w14:paraId="6161DA49">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3、参与同一个标段（包）的供应商存在下列情形之一的，其投标（响应）文件无效：</w:t>
            </w:r>
          </w:p>
          <w:p w14:paraId="02001025">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（1）不同供应商的电子投标（响应）文件上传计算机的网卡MC地址、CPU序列号和硬盘序列号等硬件信息相同的：</w:t>
            </w:r>
          </w:p>
          <w:p w14:paraId="577804F3">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（2）不同供应商的投标（响应）文件由同一电子设备编制、打印加密或者上传：</w:t>
            </w:r>
          </w:p>
          <w:p w14:paraId="3262D03F">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（3）不同供应商的投标（响应）文件由同一电子设备打印、复印；</w:t>
            </w:r>
          </w:p>
          <w:p w14:paraId="13DBD5EF">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（4）不同供应商的投标（响应）文件由同一人送达或者分发，或者不同供应商联系人为同一人或不同联系人的联系电话一致的：</w:t>
            </w:r>
          </w:p>
          <w:p w14:paraId="73AAEB84">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（5）不同供应商的投标（响应）文件的内容存在两处以上细节错误一致；</w:t>
            </w:r>
          </w:p>
          <w:p w14:paraId="7F1A21E8">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（6）不同供应商的法定代表人、委托代理人、项目经理、项目负责人等由同一个单位缴纳社会保险或者领取报酬的：</w:t>
            </w:r>
          </w:p>
          <w:p w14:paraId="2893C455">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（7）不同供应商投标（响应）文件中法定代表人或者负责人签字出自同一人之手：</w:t>
            </w:r>
          </w:p>
          <w:p w14:paraId="47DFBEE1">
            <w:pPr>
              <w:autoSpaceDE w:val="0"/>
              <w:autoSpaceDN w:val="0"/>
              <w:adjustRightInd w:val="0"/>
              <w:snapToGrid w:val="0"/>
              <w:spacing w:line="320"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（8）其他涉嫌串通的情形</w:t>
            </w:r>
          </w:p>
        </w:tc>
      </w:tr>
      <w:tr w14:paraId="00A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65" w:type="dxa"/>
            <w:tcBorders>
              <w:top w:val="single" w:color="auto" w:sz="4" w:space="0"/>
              <w:left w:val="single" w:color="auto" w:sz="4" w:space="0"/>
              <w:bottom w:val="single" w:color="auto" w:sz="4" w:space="0"/>
              <w:right w:val="single" w:color="auto" w:sz="4" w:space="0"/>
            </w:tcBorders>
            <w:vAlign w:val="center"/>
          </w:tcPr>
          <w:p w14:paraId="4507349E">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0" w:type="auto"/>
            <w:tcBorders>
              <w:top w:val="single" w:color="auto" w:sz="4" w:space="0"/>
              <w:left w:val="single" w:color="auto" w:sz="4" w:space="0"/>
              <w:bottom w:val="single" w:color="auto" w:sz="4" w:space="0"/>
              <w:right w:val="single" w:color="auto" w:sz="4" w:space="0"/>
            </w:tcBorders>
            <w:vAlign w:val="center"/>
          </w:tcPr>
          <w:p w14:paraId="407A713B">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资格审查</w:t>
            </w:r>
          </w:p>
        </w:tc>
        <w:tc>
          <w:tcPr>
            <w:tcW w:w="7472" w:type="dxa"/>
            <w:tcBorders>
              <w:top w:val="single" w:color="auto" w:sz="4" w:space="0"/>
              <w:left w:val="single" w:color="auto" w:sz="4" w:space="0"/>
              <w:bottom w:val="single" w:color="auto" w:sz="4" w:space="0"/>
              <w:right w:val="single" w:color="auto" w:sz="4" w:space="0"/>
            </w:tcBorders>
            <w:vAlign w:val="center"/>
          </w:tcPr>
          <w:p w14:paraId="3456CA7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sz w:val="21"/>
                <w:szCs w:val="21"/>
              </w:rPr>
              <w:t>按照财政部87号令—《政府采购货物和服务招标投标管理办法》第四十四条：“公开招标采购项目开标结束后，采购人或者采购代理机构应当依法对供应商的资格进行审查。</w:t>
            </w:r>
          </w:p>
        </w:tc>
      </w:tr>
      <w:tr w14:paraId="5BCD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3790C04">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0" w:type="auto"/>
            <w:tcBorders>
              <w:top w:val="single" w:color="auto" w:sz="4" w:space="0"/>
              <w:left w:val="single" w:color="auto" w:sz="4" w:space="0"/>
              <w:bottom w:val="single" w:color="auto" w:sz="4" w:space="0"/>
              <w:right w:val="single" w:color="auto" w:sz="4" w:space="0"/>
            </w:tcBorders>
            <w:vAlign w:val="center"/>
          </w:tcPr>
          <w:p w14:paraId="55CEB405">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合同签订方式</w:t>
            </w:r>
          </w:p>
        </w:tc>
        <w:tc>
          <w:tcPr>
            <w:tcW w:w="7472" w:type="dxa"/>
            <w:tcBorders>
              <w:top w:val="single" w:color="auto" w:sz="4" w:space="0"/>
              <w:left w:val="single" w:color="auto" w:sz="4" w:space="0"/>
              <w:bottom w:val="single" w:color="auto" w:sz="4" w:space="0"/>
              <w:right w:val="single" w:color="auto" w:sz="4" w:space="0"/>
            </w:tcBorders>
            <w:vAlign w:val="center"/>
          </w:tcPr>
          <w:p w14:paraId="75DCFC7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根据采购人要求进行合同签订。按照平公管办【2022】8号文件规定，平顶山市公共资源交易中心电子交易系统已实行合同在线签订。具体流程：</w:t>
            </w:r>
          </w:p>
          <w:p w14:paraId="39CF2BBD">
            <w:pPr>
              <w:autoSpaceDE w:val="0"/>
              <w:autoSpaceDN w:val="0"/>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招标人（采购人）与中标人（供应商）利用平顶山公共资源交易平台“合同在线签订模块”，将电子合同推送至对方进行审核，经双方确认均无异议通过后，进行在线签章，完成合同签订并公示。</w:t>
            </w:r>
          </w:p>
        </w:tc>
      </w:tr>
      <w:tr w14:paraId="7C3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246B0B1">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0" w:type="auto"/>
            <w:tcBorders>
              <w:top w:val="single" w:color="auto" w:sz="4" w:space="0"/>
              <w:left w:val="single" w:color="auto" w:sz="4" w:space="0"/>
              <w:bottom w:val="single" w:color="auto" w:sz="4" w:space="0"/>
              <w:right w:val="single" w:color="auto" w:sz="4" w:space="0"/>
            </w:tcBorders>
            <w:vAlign w:val="center"/>
          </w:tcPr>
          <w:p w14:paraId="6CF52820">
            <w:pPr>
              <w:autoSpaceDE w:val="0"/>
              <w:autoSpaceDN w:val="0"/>
              <w:adjustRightInd w:val="0"/>
              <w:snapToGrid w:val="0"/>
              <w:spacing w:line="32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特别注意</w:t>
            </w:r>
          </w:p>
          <w:p w14:paraId="14114BD1">
            <w:pPr>
              <w:autoSpaceDE w:val="0"/>
              <w:autoSpaceDN w:val="0"/>
              <w:adjustRightInd w:val="0"/>
              <w:snapToGrid w:val="0"/>
              <w:spacing w:line="32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“四方信用评价”须知（采购人、代理机构、本项目评审专家、本项目中标供应商）</w:t>
            </w:r>
          </w:p>
        </w:tc>
        <w:tc>
          <w:tcPr>
            <w:tcW w:w="7472" w:type="dxa"/>
            <w:tcBorders>
              <w:top w:val="single" w:color="auto" w:sz="4" w:space="0"/>
              <w:left w:val="single" w:color="auto" w:sz="4" w:space="0"/>
              <w:bottom w:val="single" w:color="auto" w:sz="4" w:space="0"/>
              <w:right w:val="single" w:color="auto" w:sz="4" w:space="0"/>
            </w:tcBorders>
            <w:vAlign w:val="center"/>
          </w:tcPr>
          <w:p w14:paraId="7696429A">
            <w:pPr>
              <w:pStyle w:val="22"/>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sz w:val="21"/>
                <w:szCs w:val="21"/>
              </w:rPr>
              <w:t>《河南省政府采购网》目前已增加“四方信用评价”功能。请本项目采购人、代理机构、本项目评审专家、本项目中标供应商，按照评价时间节点按时完成评价工作。</w:t>
            </w:r>
          </w:p>
          <w:p w14:paraId="7D85F831">
            <w:pPr>
              <w:pStyle w:val="22"/>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rPr>
                <w:rFonts w:hint="eastAsia" w:ascii="宋体" w:hAnsi="宋体" w:eastAsia="宋体" w:cs="宋体"/>
                <w:b w:val="0"/>
                <w:bCs w:val="0"/>
                <w:snapToGrid w:val="0"/>
                <w:color w:val="auto"/>
                <w:sz w:val="21"/>
                <w:szCs w:val="21"/>
              </w:rPr>
            </w:pPr>
            <w:r>
              <w:rPr>
                <w:rFonts w:hint="eastAsia" w:ascii="宋体" w:hAnsi="宋体" w:eastAsia="宋体" w:cs="宋体"/>
                <w:b w:val="0"/>
                <w:bCs w:val="0"/>
                <w:snapToGrid w:val="0"/>
                <w:color w:val="auto"/>
                <w:sz w:val="21"/>
                <w:szCs w:val="21"/>
              </w:rPr>
              <w:t>时间节点在评审结束后的5个工作日内。如果超期未评价，系统会默认超期不让评价。注：请各方注意时间，避免因超期未评价影响自身信用！</w:t>
            </w:r>
          </w:p>
          <w:p w14:paraId="178F5F86">
            <w:pPr>
              <w:pStyle w:val="22"/>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rPr>
                <w:rFonts w:hint="eastAsia" w:ascii="宋体" w:hAnsi="宋体" w:eastAsia="宋体" w:cs="宋体"/>
                <w:b w:val="0"/>
                <w:bCs w:val="0"/>
                <w:snapToGrid w:val="0"/>
                <w:color w:val="auto"/>
                <w:sz w:val="21"/>
                <w:szCs w:val="21"/>
              </w:rPr>
            </w:pPr>
            <w:r>
              <w:rPr>
                <w:rFonts w:hint="eastAsia" w:ascii="宋体" w:hAnsi="宋体" w:eastAsia="宋体" w:cs="宋体"/>
                <w:b w:val="0"/>
                <w:bCs w:val="0"/>
                <w:snapToGrid w:val="0"/>
                <w:color w:val="auto"/>
                <w:sz w:val="21"/>
                <w:szCs w:val="21"/>
              </w:rPr>
              <w:t>1.采购人、采购代理机构应当在评审工作结束后的5个工作日内对评审专家进行评价。</w:t>
            </w:r>
          </w:p>
          <w:p w14:paraId="7250448F">
            <w:pPr>
              <w:pStyle w:val="22"/>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rPr>
                <w:rFonts w:hint="eastAsia" w:ascii="宋体" w:hAnsi="宋体" w:eastAsia="宋体" w:cs="宋体"/>
                <w:b w:val="0"/>
                <w:bCs w:val="0"/>
                <w:snapToGrid w:val="0"/>
                <w:color w:val="auto"/>
                <w:sz w:val="21"/>
                <w:szCs w:val="21"/>
              </w:rPr>
            </w:pPr>
            <w:r>
              <w:rPr>
                <w:rFonts w:hint="eastAsia" w:ascii="宋体" w:hAnsi="宋体" w:eastAsia="宋体" w:cs="宋体"/>
                <w:b w:val="0"/>
                <w:bCs w:val="0"/>
                <w:snapToGrid w:val="0"/>
                <w:color w:val="auto"/>
                <w:sz w:val="21"/>
                <w:szCs w:val="21"/>
              </w:rPr>
              <w:t>2.采购人、评审专家、供应商应当在评审工作结束后的5个工作日内对代理机构进行评价。</w:t>
            </w:r>
          </w:p>
          <w:p w14:paraId="0C631A96">
            <w:pPr>
              <w:pStyle w:val="22"/>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rPr>
                <w:rFonts w:hint="eastAsia" w:ascii="宋体" w:hAnsi="宋体" w:eastAsia="宋体" w:cs="宋体"/>
                <w:b w:val="0"/>
                <w:bCs w:val="0"/>
                <w:snapToGrid w:val="0"/>
                <w:color w:val="auto"/>
                <w:sz w:val="21"/>
                <w:szCs w:val="21"/>
              </w:rPr>
            </w:pPr>
            <w:r>
              <w:rPr>
                <w:rFonts w:hint="eastAsia" w:ascii="宋体" w:hAnsi="宋体" w:eastAsia="宋体" w:cs="宋体"/>
                <w:b w:val="0"/>
                <w:bCs w:val="0"/>
                <w:snapToGrid w:val="0"/>
                <w:color w:val="auto"/>
                <w:sz w:val="21"/>
                <w:szCs w:val="21"/>
              </w:rPr>
              <w:t>3.采购人应当在合同履约完成后对中标供应商进行评价。</w:t>
            </w:r>
          </w:p>
          <w:p w14:paraId="50FFB10D">
            <w:pPr>
              <w:keepNext w:val="0"/>
              <w:keepLines w:val="0"/>
              <w:pageBreakBefore w:val="0"/>
              <w:widowControl w:val="0"/>
              <w:kinsoku/>
              <w:wordWrap/>
              <w:overflowPunct/>
              <w:topLinePunct w:val="0"/>
              <w:autoSpaceDE/>
              <w:autoSpaceDN/>
              <w:bidi w:val="0"/>
              <w:snapToGrid w:val="0"/>
              <w:spacing w:line="320" w:lineRule="exact"/>
              <w:jc w:val="left"/>
              <w:textAlignment w:val="top"/>
              <w:rPr>
                <w:rFonts w:hint="eastAsia" w:ascii="宋体" w:hAnsi="宋体" w:eastAsia="宋体" w:cs="宋体"/>
                <w:b w:val="0"/>
                <w:bCs w:val="0"/>
                <w:color w:val="auto"/>
                <w:kern w:val="0"/>
                <w:sz w:val="21"/>
                <w:szCs w:val="21"/>
              </w:rPr>
            </w:pPr>
            <w:r>
              <w:rPr>
                <w:rFonts w:hint="eastAsia" w:ascii="宋体" w:hAnsi="宋体" w:eastAsia="宋体" w:cs="宋体"/>
                <w:b w:val="0"/>
                <w:bCs w:val="0"/>
                <w:snapToGrid w:val="0"/>
                <w:color w:val="auto"/>
                <w:sz w:val="21"/>
                <w:szCs w:val="21"/>
              </w:rPr>
              <w:t>4.中标供应商应当在合同履约完成后对采购人进行评价。</w:t>
            </w:r>
          </w:p>
        </w:tc>
      </w:tr>
      <w:tr w14:paraId="0B6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10618DAB">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0" w:type="auto"/>
            <w:tcBorders>
              <w:top w:val="single" w:color="auto" w:sz="4" w:space="0"/>
              <w:left w:val="single" w:color="auto" w:sz="4" w:space="0"/>
              <w:bottom w:val="single" w:color="auto" w:sz="4" w:space="0"/>
              <w:right w:val="single" w:color="auto" w:sz="4" w:space="0"/>
            </w:tcBorders>
            <w:vAlign w:val="center"/>
          </w:tcPr>
          <w:p w14:paraId="098489C1">
            <w:pPr>
              <w:snapToGrid w:val="0"/>
              <w:spacing w:line="320" w:lineRule="exact"/>
              <w:jc w:val="center"/>
              <w:rPr>
                <w:rFonts w:hint="eastAsia" w:ascii="宋体" w:hAnsi="宋体" w:eastAsia="宋体" w:cs="宋体"/>
                <w:b w:val="0"/>
                <w:bCs w:val="0"/>
                <w:kern w:val="0"/>
                <w:sz w:val="21"/>
                <w:szCs w:val="21"/>
              </w:rPr>
            </w:pPr>
            <w:r>
              <w:rPr>
                <w:rFonts w:hint="eastAsia" w:ascii="宋体" w:hAnsi="宋体" w:eastAsia="宋体" w:cs="宋体"/>
                <w:b w:val="0"/>
                <w:bCs w:val="0"/>
                <w:sz w:val="21"/>
                <w:szCs w:val="21"/>
              </w:rPr>
              <w:t>“不见面”开标注意事项</w:t>
            </w:r>
          </w:p>
        </w:tc>
        <w:tc>
          <w:tcPr>
            <w:tcW w:w="7472" w:type="dxa"/>
            <w:tcBorders>
              <w:top w:val="single" w:color="auto" w:sz="4" w:space="0"/>
              <w:left w:val="single" w:color="auto" w:sz="4" w:space="0"/>
              <w:bottom w:val="single" w:color="auto" w:sz="4" w:space="0"/>
              <w:right w:val="single" w:color="auto" w:sz="4" w:space="0"/>
            </w:tcBorders>
            <w:vAlign w:val="center"/>
          </w:tcPr>
          <w:p w14:paraId="3CA5602B">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F672E29">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2、如出现投标人的电子投标文件无法解密的情况，投标人应及时联系招标人（代理机构）进行说明。投标文件解密异常，按以下步骤进行处理：</w:t>
            </w:r>
          </w:p>
          <w:p w14:paraId="24629AE3">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（1）如果是投标文件自身问题导致投标文件无法解密的，该投标文件将不予接收、解密。</w:t>
            </w:r>
          </w:p>
          <w:p w14:paraId="75DCAE95">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（2）如果是电子化交易系统问题造成投标文件无法解密的，将由技术人员进行排查处理。如短时间内问题无法解决的，将由招标人（代理机构）联系监督部门申请暂停开标，待问题解决后继续开标。</w:t>
            </w:r>
          </w:p>
          <w:p w14:paraId="2E228C35">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3、所有投标文件解密完成后，由招标人（代理机构）操作，对开标结果进行公示。</w:t>
            </w:r>
          </w:p>
          <w:p w14:paraId="7E698D50">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4、投标人应保证在开标期间电话、电脑、网络等能够正常使用，投标人因停电、电脑病毒、网络堵塞等原因，未在规定的解密时间内对投标文件进行解密的，其投标文件不予接收。</w:t>
            </w:r>
          </w:p>
          <w:p w14:paraId="325F41E1">
            <w:pPr>
              <w:snapToGrid w:val="0"/>
              <w:spacing w:line="320" w:lineRule="exact"/>
              <w:jc w:val="left"/>
              <w:rPr>
                <w:rFonts w:hint="eastAsia" w:ascii="宋体" w:hAnsi="宋体" w:eastAsia="宋体" w:cs="宋体"/>
                <w:snapToGrid w:val="0"/>
                <w:sz w:val="21"/>
                <w:szCs w:val="21"/>
              </w:rPr>
            </w:pPr>
            <w:r>
              <w:rPr>
                <w:rFonts w:hint="eastAsia" w:ascii="宋体" w:hAnsi="宋体" w:eastAsia="宋体" w:cs="宋体"/>
                <w:sz w:val="21"/>
                <w:szCs w:val="21"/>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14:paraId="2472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30A390F">
            <w:pPr>
              <w:autoSpaceDE w:val="0"/>
              <w:autoSpaceDN w:val="0"/>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1624" w:type="dxa"/>
            <w:tcBorders>
              <w:top w:val="single" w:color="auto" w:sz="4" w:space="0"/>
              <w:left w:val="single" w:color="auto" w:sz="4" w:space="0"/>
              <w:bottom w:val="single" w:color="auto" w:sz="4" w:space="0"/>
              <w:right w:val="single" w:color="auto" w:sz="4" w:space="0"/>
            </w:tcBorders>
            <w:vAlign w:val="center"/>
          </w:tcPr>
          <w:p w14:paraId="7A3BCE23">
            <w:pPr>
              <w:snapToGrid w:val="0"/>
              <w:spacing w:line="320" w:lineRule="exact"/>
              <w:jc w:val="center"/>
              <w:rPr>
                <w:rFonts w:hint="eastAsia" w:ascii="宋体" w:hAnsi="宋体" w:eastAsia="宋体" w:cs="宋体"/>
                <w:b w:val="0"/>
                <w:bCs w:val="0"/>
                <w:kern w:val="0"/>
                <w:sz w:val="21"/>
                <w:szCs w:val="21"/>
              </w:rPr>
            </w:pPr>
            <w:r>
              <w:rPr>
                <w:rFonts w:hint="eastAsia" w:ascii="宋体" w:hAnsi="宋体" w:eastAsia="宋体" w:cs="宋体"/>
                <w:b w:val="0"/>
                <w:bCs w:val="0"/>
                <w:sz w:val="21"/>
                <w:szCs w:val="21"/>
              </w:rPr>
              <w:t>全流程电子化交易注意事项</w:t>
            </w:r>
          </w:p>
        </w:tc>
        <w:tc>
          <w:tcPr>
            <w:tcW w:w="7472" w:type="dxa"/>
            <w:tcBorders>
              <w:top w:val="single" w:color="auto" w:sz="4" w:space="0"/>
              <w:left w:val="single" w:color="auto" w:sz="4" w:space="0"/>
              <w:bottom w:val="single" w:color="auto" w:sz="4" w:space="0"/>
              <w:right w:val="single" w:color="auto" w:sz="4" w:space="0"/>
            </w:tcBorders>
            <w:vAlign w:val="center"/>
          </w:tcPr>
          <w:p w14:paraId="635FFED0">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本项目为全流程电子化交易项目，请认真阅读采购文件，并注意以下事项。</w:t>
            </w:r>
          </w:p>
          <w:p w14:paraId="74BF5331">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1.供应商应按采购文件规定编制、提交电子投标文件。</w:t>
            </w:r>
          </w:p>
          <w:p w14:paraId="6AE772A3">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2.本项目供应商不用再提供纸质投标文件。</w:t>
            </w:r>
          </w:p>
          <w:p w14:paraId="4C25D086">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3.电子文件下载、制作、提交期间和开标（电子投标文件的解密）环节，供应商须使用CA数字证书（证书须在有效期内）。</w:t>
            </w:r>
          </w:p>
          <w:p w14:paraId="61BD8184">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4.电子投标文件的制作</w:t>
            </w:r>
          </w:p>
          <w:p w14:paraId="3E1E80D1">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4.1供应商登录《全国公共资源交易平台(河南省▪平顶山市)》公共资源交易系统（http://221.176.192.166:8080/ggzy/）下载“平顶山投标文件制作系统”，按采购文件要求制作电子投标文件。</w:t>
            </w:r>
          </w:p>
          <w:p w14:paraId="33409FED">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电子投标文件的制作，参考《全国公共资源交易平台(河南省▪平顶山市)》公共资源交易系统——组件下载——交易系统操作手册（投标人、供应商）。</w:t>
            </w:r>
          </w:p>
          <w:p w14:paraId="5144244F">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4.2供应商须将采购文件要求的资质、业绩、荣誉及相关人员证明材料等资料原件扫描件（或图片）制作到所提交的电子投标文件中。</w:t>
            </w:r>
          </w:p>
          <w:p w14:paraId="3E31C30A">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4.3供应商对同一项目多个标包进行投标的，应分别下载所投标包的采购文件，按标包制作电子投标文件，并按采购文件要求在相应位置加盖供应商电子印章和法人电子印章。</w:t>
            </w:r>
          </w:p>
          <w:p w14:paraId="16143665">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一个标包对应生成一个文件夹（xxxx项目xx标包）, 其中包含2个文件和1个文件夹。后缀名为“.file”的文件用于电子投标使用，名称为“备份”的文件夹使用电子介质存储，供开标现场备用。</w:t>
            </w:r>
          </w:p>
          <w:p w14:paraId="2077796A">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5.加密电子投标文件的提交</w:t>
            </w:r>
          </w:p>
          <w:p w14:paraId="22799E3E">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5.1加密电子投标文件应在采购文件规定的投标截止时间（开标时间）之前成功提交至《全国公共资源交易平台(河南省▪平顶山市)》公共资源交易系统（http://221.176.192.166:8080/ggzy/）。</w:t>
            </w:r>
          </w:p>
          <w:p w14:paraId="2EB875FC">
            <w:pPr>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供应商应充分考虑并预留技术处理和上传数据所需时间。</w:t>
            </w:r>
          </w:p>
          <w:p w14:paraId="759306A1">
            <w:pPr>
              <w:snapToGrid w:val="0"/>
              <w:spacing w:line="320" w:lineRule="exact"/>
              <w:jc w:val="left"/>
              <w:rPr>
                <w:rFonts w:hint="eastAsia" w:ascii="宋体" w:hAnsi="宋体" w:eastAsia="宋体" w:cs="宋体"/>
                <w:snapToGrid w:val="0"/>
                <w:sz w:val="21"/>
                <w:szCs w:val="21"/>
              </w:rPr>
            </w:pPr>
            <w:r>
              <w:rPr>
                <w:rFonts w:hint="eastAsia" w:ascii="宋体" w:hAnsi="宋体" w:eastAsia="宋体" w:cs="宋体"/>
                <w:sz w:val="21"/>
                <w:szCs w:val="21"/>
              </w:rPr>
              <w:t>5.2供应商对同一项目多个标包进行投标的，加密电子投标文件应按标包分别提交。</w:t>
            </w:r>
          </w:p>
        </w:tc>
      </w:tr>
      <w:tr w14:paraId="6DF8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610BD7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0"/>
                <w:sz w:val="21"/>
                <w:szCs w:val="21"/>
                <w:lang w:val="en-US"/>
              </w:rPr>
            </w:pPr>
            <w:r>
              <w:rPr>
                <w:rFonts w:hint="eastAsia" w:ascii="宋体" w:hAnsi="宋体" w:eastAsia="宋体" w:cs="宋体"/>
                <w:b w:val="0"/>
                <w:bCs w:val="0"/>
                <w:color w:val="auto"/>
                <w:sz w:val="21"/>
                <w:szCs w:val="21"/>
                <w:highlight w:val="none"/>
                <w:lang w:val="en-US" w:eastAsia="zh-CN"/>
              </w:rPr>
              <w:t>41</w:t>
            </w:r>
          </w:p>
        </w:tc>
        <w:tc>
          <w:tcPr>
            <w:tcW w:w="1624" w:type="dxa"/>
            <w:tcBorders>
              <w:top w:val="single" w:color="auto" w:sz="4" w:space="0"/>
              <w:left w:val="single" w:color="auto" w:sz="4" w:space="0"/>
              <w:bottom w:val="single" w:color="auto" w:sz="4" w:space="0"/>
              <w:right w:val="single" w:color="auto" w:sz="4" w:space="0"/>
            </w:tcBorders>
            <w:vAlign w:val="center"/>
          </w:tcPr>
          <w:p w14:paraId="1510FE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color w:val="auto"/>
                <w:sz w:val="21"/>
                <w:szCs w:val="21"/>
                <w:highlight w:val="none"/>
              </w:rPr>
              <w:t>强化政府采购异常低价审查</w:t>
            </w:r>
          </w:p>
        </w:tc>
        <w:tc>
          <w:tcPr>
            <w:tcW w:w="7472" w:type="dxa"/>
            <w:tcBorders>
              <w:top w:val="single" w:color="auto" w:sz="4" w:space="0"/>
              <w:left w:val="single" w:color="auto" w:sz="4" w:space="0"/>
              <w:bottom w:val="single" w:color="auto" w:sz="4" w:space="0"/>
              <w:right w:val="single" w:color="auto" w:sz="4" w:space="0"/>
            </w:tcBorders>
            <w:vAlign w:val="top"/>
          </w:tcPr>
          <w:p w14:paraId="7BB98F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根据《关于推动解决政府采购异常低价问题的通知》（财库〔2026〕2号）要求，政府采购评审中出现下列情形之一的，评审委员会应当启动异常低价投标（响应）审查程序：</w:t>
            </w:r>
          </w:p>
          <w:p w14:paraId="384A8D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2FFECB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161AC8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3.投标（响应）报价低于采购项目最高限价45%的，即投标（响应）报价&lt;采购项目最高限价×45%；</w:t>
            </w:r>
          </w:p>
          <w:p w14:paraId="0642434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4.评审委员会基于专业判断，认为供应商报价过低，有可能影响产品质量或者不能诚信履约的其他情形。</w:t>
            </w:r>
          </w:p>
          <w:p w14:paraId="60BC78C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采购人可以结合具体项目实际情况，提高上述第1项至第3项中启动异常低价投标（响应）审查的数值标准，但是最高不得超过65%。</w:t>
            </w:r>
          </w:p>
          <w:p w14:paraId="3ACF55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相关法律法规对供应商报价有规定的，从其规定。</w:t>
            </w:r>
          </w:p>
          <w:p w14:paraId="4FE45E05">
            <w:pPr>
              <w:keepNext w:val="0"/>
              <w:keepLines w:val="0"/>
              <w:pageBreakBefore w:val="0"/>
              <w:widowControl w:val="0"/>
              <w:numPr>
                <w:ilvl w:val="0"/>
                <w:numId w:val="4"/>
              </w:numPr>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583F5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bookmarkEnd w:id="15"/>
    </w:tbl>
    <w:p w14:paraId="0B6827D0">
      <w:pPr>
        <w:pStyle w:val="33"/>
      </w:pPr>
    </w:p>
    <w:p w14:paraId="2BE6BB21">
      <w:pPr>
        <w:pStyle w:val="3"/>
        <w:rPr>
          <w:rFonts w:hint="eastAsia" w:ascii="宋体" w:hAnsi="宋体" w:eastAsia="宋体" w:cs="宋体"/>
          <w:b/>
          <w:bCs w:val="0"/>
          <w:sz w:val="21"/>
          <w:szCs w:val="21"/>
        </w:rPr>
      </w:pPr>
      <w:bookmarkStart w:id="16" w:name="_Toc7381"/>
      <w:bookmarkStart w:id="17" w:name="_Toc8914"/>
      <w:bookmarkStart w:id="18" w:name="_Toc32645"/>
      <w:bookmarkStart w:id="19" w:name="_Toc28908"/>
      <w:bookmarkStart w:id="20" w:name="_Toc4606"/>
      <w:bookmarkStart w:id="21" w:name="_Toc13985"/>
      <w:r>
        <w:rPr>
          <w:rFonts w:hint="eastAsia" w:ascii="宋体" w:hAnsi="宋体" w:eastAsia="宋体" w:cs="宋体"/>
          <w:b/>
          <w:bCs w:val="0"/>
          <w:sz w:val="21"/>
          <w:szCs w:val="21"/>
        </w:rPr>
        <w:t>总则</w:t>
      </w:r>
      <w:bookmarkEnd w:id="16"/>
      <w:bookmarkEnd w:id="17"/>
      <w:bookmarkEnd w:id="18"/>
      <w:bookmarkEnd w:id="19"/>
      <w:bookmarkEnd w:id="20"/>
      <w:bookmarkEnd w:id="21"/>
    </w:p>
    <w:p w14:paraId="4DA5AC71">
      <w:pPr>
        <w:numPr>
          <w:ilvl w:val="1"/>
          <w:numId w:val="1"/>
        </w:numPr>
        <w:rPr>
          <w:rFonts w:hint="eastAsia" w:ascii="宋体" w:hAnsi="宋体" w:eastAsia="宋体" w:cs="宋体"/>
          <w:b/>
          <w:szCs w:val="21"/>
        </w:rPr>
      </w:pPr>
      <w:r>
        <w:rPr>
          <w:rFonts w:hint="eastAsia" w:ascii="宋体" w:hAnsi="宋体" w:eastAsia="宋体" w:cs="宋体"/>
          <w:b/>
          <w:szCs w:val="21"/>
        </w:rPr>
        <w:t>项目概况</w:t>
      </w:r>
    </w:p>
    <w:p w14:paraId="67D54184">
      <w:pPr>
        <w:ind w:firstLine="420" w:firstLineChars="200"/>
        <w:rPr>
          <w:rFonts w:hint="eastAsia" w:ascii="宋体" w:hAnsi="宋体" w:eastAsia="宋体" w:cs="宋体"/>
          <w:szCs w:val="21"/>
        </w:rPr>
      </w:pPr>
      <w:r>
        <w:rPr>
          <w:rFonts w:hint="eastAsia" w:ascii="宋体" w:hAnsi="宋体" w:eastAsia="宋体" w:cs="宋体"/>
          <w:szCs w:val="21"/>
        </w:rPr>
        <w:t>1.1.1根据《中华人民共和国政府采购法》及《政府采购货物和服务招标投标管理办法》等有关法律、法规和规章的规定，本招标项目已具备招标条件，现对本项目进行公开招标。</w:t>
      </w:r>
    </w:p>
    <w:p w14:paraId="7B3F5651">
      <w:pPr>
        <w:ind w:firstLine="420" w:firstLineChars="200"/>
        <w:rPr>
          <w:rFonts w:hint="eastAsia" w:ascii="宋体" w:hAnsi="宋体" w:eastAsia="宋体" w:cs="宋体"/>
          <w:szCs w:val="21"/>
        </w:rPr>
      </w:pPr>
      <w:r>
        <w:rPr>
          <w:rFonts w:hint="eastAsia" w:ascii="宋体" w:hAnsi="宋体" w:eastAsia="宋体" w:cs="宋体"/>
          <w:szCs w:val="21"/>
        </w:rPr>
        <w:t>1.1.2本招标项目采购人：见供应商须知前附表。</w:t>
      </w:r>
    </w:p>
    <w:p w14:paraId="47DF5ACF">
      <w:pPr>
        <w:ind w:firstLine="420" w:firstLineChars="200"/>
        <w:rPr>
          <w:rFonts w:hint="eastAsia" w:ascii="宋体" w:hAnsi="宋体" w:eastAsia="宋体" w:cs="宋体"/>
          <w:szCs w:val="21"/>
        </w:rPr>
      </w:pPr>
      <w:r>
        <w:rPr>
          <w:rFonts w:hint="eastAsia" w:ascii="宋体" w:hAnsi="宋体" w:eastAsia="宋体" w:cs="宋体"/>
          <w:szCs w:val="21"/>
        </w:rPr>
        <w:t>1.1.3本招标项目采购代理机构：见供应商须知前附表。</w:t>
      </w:r>
    </w:p>
    <w:p w14:paraId="5EAB9AED">
      <w:pPr>
        <w:ind w:firstLine="420" w:firstLineChars="200"/>
        <w:rPr>
          <w:rFonts w:hint="eastAsia" w:ascii="宋体" w:hAnsi="宋体" w:eastAsia="宋体" w:cs="宋体"/>
          <w:szCs w:val="21"/>
        </w:rPr>
      </w:pPr>
      <w:r>
        <w:rPr>
          <w:rFonts w:hint="eastAsia" w:ascii="宋体" w:hAnsi="宋体" w:eastAsia="宋体" w:cs="宋体"/>
          <w:szCs w:val="21"/>
        </w:rPr>
        <w:t>1.1.4本招标项目名称：见供应商须知前附表。</w:t>
      </w:r>
    </w:p>
    <w:p w14:paraId="78636D3B">
      <w:pPr>
        <w:numPr>
          <w:ilvl w:val="1"/>
          <w:numId w:val="1"/>
        </w:numPr>
        <w:rPr>
          <w:rFonts w:hint="eastAsia" w:ascii="宋体" w:hAnsi="宋体" w:eastAsia="宋体" w:cs="宋体"/>
          <w:szCs w:val="21"/>
        </w:rPr>
      </w:pPr>
      <w:r>
        <w:rPr>
          <w:rFonts w:hint="eastAsia" w:ascii="宋体" w:hAnsi="宋体" w:eastAsia="宋体" w:cs="宋体"/>
          <w:b/>
          <w:szCs w:val="21"/>
        </w:rPr>
        <w:t>资金来源和落实情况</w:t>
      </w:r>
      <w:r>
        <w:rPr>
          <w:rFonts w:hint="eastAsia" w:ascii="宋体" w:hAnsi="宋体" w:eastAsia="宋体" w:cs="宋体"/>
          <w:szCs w:val="21"/>
        </w:rPr>
        <w:t xml:space="preserve"> </w:t>
      </w:r>
    </w:p>
    <w:p w14:paraId="1962694C">
      <w:pPr>
        <w:ind w:firstLine="420" w:firstLineChars="200"/>
        <w:rPr>
          <w:rFonts w:hint="eastAsia" w:ascii="宋体" w:hAnsi="宋体" w:eastAsia="宋体" w:cs="宋体"/>
          <w:szCs w:val="21"/>
        </w:rPr>
      </w:pPr>
      <w:r>
        <w:rPr>
          <w:rFonts w:hint="eastAsia" w:ascii="宋体" w:hAnsi="宋体" w:eastAsia="宋体" w:cs="宋体"/>
          <w:szCs w:val="21"/>
        </w:rPr>
        <w:t xml:space="preserve">1.2.1本招标项目的资金来源：见供应商须知前附表。 </w:t>
      </w:r>
    </w:p>
    <w:p w14:paraId="6F6E3BA2">
      <w:pPr>
        <w:ind w:firstLine="420" w:firstLineChars="200"/>
        <w:rPr>
          <w:rFonts w:hint="eastAsia" w:ascii="宋体" w:hAnsi="宋体" w:eastAsia="宋体" w:cs="宋体"/>
          <w:szCs w:val="21"/>
        </w:rPr>
      </w:pPr>
      <w:r>
        <w:rPr>
          <w:rFonts w:hint="eastAsia" w:ascii="宋体" w:hAnsi="宋体" w:eastAsia="宋体" w:cs="宋体"/>
          <w:szCs w:val="21"/>
        </w:rPr>
        <w:t>1.2.2本招标项目的资金落实情况：见供应商须知前附表。</w:t>
      </w:r>
    </w:p>
    <w:p w14:paraId="72F2AA70">
      <w:pPr>
        <w:numPr>
          <w:ilvl w:val="1"/>
          <w:numId w:val="1"/>
        </w:numPr>
        <w:rPr>
          <w:rFonts w:hint="eastAsia" w:ascii="宋体" w:hAnsi="宋体" w:eastAsia="宋体" w:cs="宋体"/>
          <w:b/>
          <w:szCs w:val="21"/>
        </w:rPr>
      </w:pPr>
      <w:r>
        <w:rPr>
          <w:rFonts w:hint="eastAsia" w:ascii="宋体" w:hAnsi="宋体" w:eastAsia="宋体" w:cs="宋体"/>
          <w:b/>
          <w:szCs w:val="21"/>
        </w:rPr>
        <w:t>服务内容、服务期限和服务要求</w:t>
      </w:r>
    </w:p>
    <w:p w14:paraId="62817CCD">
      <w:pPr>
        <w:ind w:firstLine="420" w:firstLineChars="200"/>
        <w:rPr>
          <w:rFonts w:hint="eastAsia" w:ascii="宋体" w:hAnsi="宋体" w:eastAsia="宋体" w:cs="宋体"/>
          <w:szCs w:val="21"/>
        </w:rPr>
      </w:pPr>
      <w:r>
        <w:rPr>
          <w:rFonts w:hint="eastAsia" w:ascii="宋体" w:hAnsi="宋体" w:eastAsia="宋体" w:cs="宋体"/>
          <w:szCs w:val="21"/>
        </w:rPr>
        <w:t>1.3.1本项目的服务内容：见供应商须知前附表。</w:t>
      </w:r>
    </w:p>
    <w:p w14:paraId="1C9DB6E4">
      <w:pPr>
        <w:pStyle w:val="40"/>
        <w:ind w:firstLine="420"/>
        <w:rPr>
          <w:rFonts w:hint="eastAsia" w:eastAsia="宋体" w:cs="宋体"/>
          <w:szCs w:val="21"/>
        </w:rPr>
      </w:pPr>
      <w:r>
        <w:rPr>
          <w:rFonts w:hint="eastAsia" w:eastAsia="宋体" w:cs="宋体"/>
          <w:szCs w:val="21"/>
        </w:rPr>
        <w:t>1.3.2本项目的服务期限：见供应商须知前附表。</w:t>
      </w:r>
    </w:p>
    <w:p w14:paraId="697E0A50">
      <w:pPr>
        <w:pStyle w:val="40"/>
        <w:ind w:firstLine="420"/>
        <w:rPr>
          <w:rFonts w:hint="eastAsia" w:eastAsia="宋体" w:cs="宋体"/>
          <w:szCs w:val="21"/>
        </w:rPr>
      </w:pPr>
      <w:r>
        <w:rPr>
          <w:rFonts w:hint="eastAsia" w:eastAsia="宋体" w:cs="宋体"/>
          <w:szCs w:val="21"/>
        </w:rPr>
        <w:t>1.3.3本项目的服务要求：见供应商须知前附表。</w:t>
      </w:r>
    </w:p>
    <w:p w14:paraId="235E95D3">
      <w:pPr>
        <w:numPr>
          <w:ilvl w:val="1"/>
          <w:numId w:val="1"/>
        </w:numPr>
        <w:rPr>
          <w:rFonts w:hint="eastAsia" w:ascii="宋体" w:hAnsi="宋体" w:eastAsia="宋体" w:cs="宋体"/>
          <w:b/>
          <w:szCs w:val="21"/>
        </w:rPr>
      </w:pPr>
      <w:r>
        <w:rPr>
          <w:rFonts w:hint="eastAsia" w:ascii="宋体" w:hAnsi="宋体" w:eastAsia="宋体" w:cs="宋体"/>
          <w:b/>
          <w:szCs w:val="21"/>
        </w:rPr>
        <w:t>供应商资格要求</w:t>
      </w:r>
    </w:p>
    <w:p w14:paraId="7EA695AB">
      <w:pPr>
        <w:ind w:firstLine="420" w:firstLineChars="200"/>
        <w:rPr>
          <w:rFonts w:hint="eastAsia" w:ascii="宋体" w:hAnsi="宋体" w:eastAsia="宋体" w:cs="宋体"/>
          <w:szCs w:val="21"/>
        </w:rPr>
      </w:pPr>
      <w:r>
        <w:rPr>
          <w:rFonts w:hint="eastAsia" w:ascii="宋体" w:hAnsi="宋体" w:eastAsia="宋体" w:cs="宋体"/>
          <w:szCs w:val="21"/>
        </w:rPr>
        <w:t>1.4.1供应商应具备承担本项目的资格条件：详见“第一章 招标公告 二、申请的人资格要求”；</w:t>
      </w:r>
    </w:p>
    <w:p w14:paraId="4677B420">
      <w:pPr>
        <w:ind w:firstLine="420" w:firstLineChars="200"/>
        <w:rPr>
          <w:rFonts w:hint="eastAsia" w:ascii="宋体" w:hAnsi="宋体" w:eastAsia="宋体" w:cs="宋体"/>
          <w:szCs w:val="21"/>
        </w:rPr>
      </w:pPr>
      <w:r>
        <w:rPr>
          <w:rFonts w:hint="eastAsia" w:ascii="宋体" w:hAnsi="宋体" w:eastAsia="宋体" w:cs="宋体"/>
          <w:szCs w:val="21"/>
        </w:rPr>
        <w:t>1.4.2 本次</w:t>
      </w:r>
      <w:r>
        <w:rPr>
          <w:rFonts w:hint="eastAsia" w:ascii="宋体" w:hAnsi="宋体" w:eastAsia="宋体" w:cs="宋体"/>
          <w:szCs w:val="21"/>
          <w:lang w:val="en-US" w:eastAsia="zh-CN"/>
        </w:rPr>
        <w:t>采购</w:t>
      </w:r>
      <w:r>
        <w:rPr>
          <w:rFonts w:hint="eastAsia" w:ascii="宋体" w:hAnsi="宋体" w:eastAsia="宋体" w:cs="宋体"/>
          <w:szCs w:val="21"/>
        </w:rPr>
        <w:t>不接受联合体投标。</w:t>
      </w:r>
    </w:p>
    <w:p w14:paraId="57C8AF0A">
      <w:pPr>
        <w:ind w:firstLine="420" w:firstLineChars="200"/>
        <w:rPr>
          <w:rFonts w:hint="eastAsia" w:ascii="宋体" w:hAnsi="宋体" w:eastAsia="宋体" w:cs="宋体"/>
          <w:szCs w:val="21"/>
        </w:rPr>
      </w:pPr>
      <w:r>
        <w:rPr>
          <w:rFonts w:hint="eastAsia" w:ascii="宋体" w:hAnsi="宋体" w:eastAsia="宋体" w:cs="宋体"/>
          <w:szCs w:val="21"/>
        </w:rPr>
        <w:t>1.4.</w:t>
      </w:r>
      <w:r>
        <w:rPr>
          <w:rFonts w:hint="eastAsia" w:ascii="宋体" w:hAnsi="宋体" w:eastAsia="宋体" w:cs="宋体"/>
          <w:szCs w:val="21"/>
          <w:lang w:val="en-US" w:eastAsia="zh-CN"/>
        </w:rPr>
        <w:t>3</w:t>
      </w:r>
      <w:r>
        <w:rPr>
          <w:rFonts w:hint="eastAsia" w:ascii="宋体" w:hAnsi="宋体" w:eastAsia="宋体" w:cs="宋体"/>
          <w:szCs w:val="21"/>
        </w:rPr>
        <w:t>供应商不得存在下列情形：</w:t>
      </w:r>
    </w:p>
    <w:p w14:paraId="48EFFE74">
      <w:pPr>
        <w:ind w:firstLine="420" w:firstLineChars="200"/>
        <w:rPr>
          <w:rFonts w:hint="eastAsia" w:ascii="宋体" w:hAnsi="宋体" w:eastAsia="宋体" w:cs="宋体"/>
          <w:szCs w:val="21"/>
        </w:rPr>
      </w:pPr>
      <w:r>
        <w:rPr>
          <w:rFonts w:hint="eastAsia" w:ascii="宋体" w:hAnsi="宋体" w:eastAsia="宋体" w:cs="宋体"/>
          <w:szCs w:val="21"/>
        </w:rPr>
        <w:t xml:space="preserve">（1）为采购人不具有独立法人资格的附属机构（单位）； </w:t>
      </w:r>
    </w:p>
    <w:p w14:paraId="3A019097">
      <w:pPr>
        <w:ind w:firstLine="420" w:firstLineChars="200"/>
        <w:rPr>
          <w:rFonts w:hint="eastAsia" w:ascii="宋体" w:hAnsi="宋体" w:eastAsia="宋体" w:cs="宋体"/>
          <w:szCs w:val="21"/>
        </w:rPr>
      </w:pPr>
      <w:r>
        <w:rPr>
          <w:rFonts w:hint="eastAsia" w:ascii="宋体" w:hAnsi="宋体" w:eastAsia="宋体" w:cs="宋体"/>
          <w:szCs w:val="21"/>
        </w:rPr>
        <w:t>（2）为本项目提供招标代理服务的；</w:t>
      </w:r>
    </w:p>
    <w:p w14:paraId="6914D2A2">
      <w:pPr>
        <w:ind w:firstLine="420" w:firstLineChars="200"/>
        <w:rPr>
          <w:rFonts w:hint="eastAsia" w:ascii="宋体" w:hAnsi="宋体" w:eastAsia="宋体" w:cs="宋体"/>
          <w:szCs w:val="21"/>
        </w:rPr>
      </w:pPr>
      <w:r>
        <w:rPr>
          <w:rFonts w:hint="eastAsia" w:ascii="宋体" w:hAnsi="宋体" w:eastAsia="宋体" w:cs="宋体"/>
          <w:szCs w:val="21"/>
        </w:rPr>
        <w:t>（3）与本项目的采购代理机构同为一个法定代表人的；</w:t>
      </w:r>
    </w:p>
    <w:p w14:paraId="5EE192A0">
      <w:pPr>
        <w:ind w:firstLine="420" w:firstLineChars="200"/>
        <w:rPr>
          <w:rFonts w:hint="eastAsia" w:ascii="宋体" w:hAnsi="宋体" w:eastAsia="宋体" w:cs="宋体"/>
          <w:szCs w:val="21"/>
        </w:rPr>
      </w:pPr>
      <w:r>
        <w:rPr>
          <w:rFonts w:hint="eastAsia" w:ascii="宋体" w:hAnsi="宋体" w:eastAsia="宋体" w:cs="宋体"/>
          <w:szCs w:val="21"/>
        </w:rPr>
        <w:t>（4）与本项目的采购代理机构相互控股或参股的；</w:t>
      </w:r>
    </w:p>
    <w:p w14:paraId="0EC2F50C">
      <w:pPr>
        <w:ind w:firstLine="420" w:firstLineChars="200"/>
        <w:rPr>
          <w:rFonts w:hint="eastAsia" w:ascii="宋体" w:hAnsi="宋体" w:eastAsia="宋体" w:cs="宋体"/>
          <w:szCs w:val="21"/>
        </w:rPr>
      </w:pPr>
      <w:r>
        <w:rPr>
          <w:rFonts w:hint="eastAsia" w:ascii="宋体" w:hAnsi="宋体" w:eastAsia="宋体" w:cs="宋体"/>
          <w:szCs w:val="21"/>
        </w:rPr>
        <w:t>（5）与本项目的采购代理机构相互任职或工作的；</w:t>
      </w:r>
    </w:p>
    <w:p w14:paraId="683F7691">
      <w:pPr>
        <w:ind w:firstLine="420" w:firstLineChars="200"/>
        <w:rPr>
          <w:rFonts w:hint="eastAsia" w:ascii="宋体" w:hAnsi="宋体" w:eastAsia="宋体" w:cs="宋体"/>
          <w:szCs w:val="21"/>
        </w:rPr>
      </w:pPr>
      <w:r>
        <w:rPr>
          <w:rFonts w:hint="eastAsia" w:ascii="宋体" w:hAnsi="宋体" w:eastAsia="宋体" w:cs="宋体"/>
          <w:szCs w:val="21"/>
        </w:rPr>
        <w:t>（6）被责令停业的；</w:t>
      </w:r>
    </w:p>
    <w:p w14:paraId="65B49521">
      <w:pPr>
        <w:ind w:firstLine="420" w:firstLineChars="200"/>
        <w:rPr>
          <w:rFonts w:hint="eastAsia" w:ascii="宋体" w:hAnsi="宋体" w:eastAsia="宋体" w:cs="宋体"/>
          <w:szCs w:val="21"/>
        </w:rPr>
      </w:pPr>
      <w:r>
        <w:rPr>
          <w:rFonts w:hint="eastAsia" w:ascii="宋体" w:hAnsi="宋体" w:eastAsia="宋体" w:cs="宋体"/>
          <w:szCs w:val="21"/>
        </w:rPr>
        <w:t>（7）被暂停或取消投标资格的；</w:t>
      </w:r>
    </w:p>
    <w:p w14:paraId="5BCA07E0">
      <w:pPr>
        <w:ind w:firstLine="420" w:firstLineChars="200"/>
        <w:rPr>
          <w:rFonts w:hint="eastAsia" w:ascii="宋体" w:hAnsi="宋体" w:eastAsia="宋体" w:cs="宋体"/>
          <w:szCs w:val="21"/>
        </w:rPr>
      </w:pPr>
      <w:r>
        <w:rPr>
          <w:rFonts w:hint="eastAsia" w:ascii="宋体" w:hAnsi="宋体" w:eastAsia="宋体" w:cs="宋体"/>
          <w:szCs w:val="21"/>
        </w:rPr>
        <w:t>（8）财产被接管或冻结的；</w:t>
      </w:r>
    </w:p>
    <w:p w14:paraId="709D0400">
      <w:pPr>
        <w:ind w:firstLine="420" w:firstLineChars="200"/>
        <w:rPr>
          <w:rFonts w:hint="eastAsia" w:ascii="宋体" w:hAnsi="宋体" w:eastAsia="宋体" w:cs="宋体"/>
          <w:szCs w:val="21"/>
        </w:rPr>
      </w:pPr>
      <w:r>
        <w:rPr>
          <w:rFonts w:hint="eastAsia" w:ascii="宋体" w:hAnsi="宋体" w:eastAsia="宋体" w:cs="宋体"/>
          <w:szCs w:val="21"/>
        </w:rPr>
        <w:t>（9）在最近三年内有骗取中标或严重违约的。</w:t>
      </w:r>
    </w:p>
    <w:p w14:paraId="52AF55DB">
      <w:pPr>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10</w:t>
      </w:r>
      <w:r>
        <w:rPr>
          <w:rFonts w:hint="eastAsia" w:ascii="宋体" w:hAnsi="宋体" w:eastAsia="宋体" w:cs="宋体"/>
          <w:szCs w:val="21"/>
          <w:lang w:eastAsia="zh-CN"/>
        </w:rPr>
        <w:t>）</w:t>
      </w:r>
      <w:r>
        <w:rPr>
          <w:rFonts w:hint="eastAsia" w:ascii="宋体" w:hAnsi="宋体" w:eastAsia="宋体" w:cs="宋体"/>
          <w:szCs w:val="21"/>
        </w:rPr>
        <w:t>单位负责人为同一人或者存在控股、管理关系的不同单位，不得同时参加本招标项目投标。</w:t>
      </w:r>
    </w:p>
    <w:p w14:paraId="2B7D9517">
      <w:pPr>
        <w:numPr>
          <w:ilvl w:val="1"/>
          <w:numId w:val="1"/>
        </w:numPr>
        <w:rPr>
          <w:rFonts w:hint="eastAsia" w:ascii="宋体" w:hAnsi="宋体" w:eastAsia="宋体" w:cs="宋体"/>
          <w:b/>
          <w:szCs w:val="21"/>
        </w:rPr>
      </w:pPr>
      <w:r>
        <w:rPr>
          <w:rFonts w:hint="eastAsia" w:ascii="宋体" w:hAnsi="宋体" w:eastAsia="宋体" w:cs="宋体"/>
          <w:b/>
          <w:szCs w:val="21"/>
        </w:rPr>
        <w:t>费用承担</w:t>
      </w:r>
    </w:p>
    <w:p w14:paraId="0BCD67BA">
      <w:pPr>
        <w:ind w:firstLine="420" w:firstLineChars="200"/>
        <w:rPr>
          <w:rFonts w:hint="eastAsia" w:ascii="宋体" w:hAnsi="宋体" w:eastAsia="宋体" w:cs="宋体"/>
          <w:szCs w:val="21"/>
        </w:rPr>
      </w:pPr>
      <w:r>
        <w:rPr>
          <w:rFonts w:hint="eastAsia" w:ascii="宋体" w:hAnsi="宋体" w:eastAsia="宋体" w:cs="宋体"/>
          <w:szCs w:val="21"/>
        </w:rPr>
        <w:t>1.5.1供应商准备和参加投标活动发生的费用自理。</w:t>
      </w:r>
    </w:p>
    <w:p w14:paraId="62111246">
      <w:pPr>
        <w:ind w:firstLine="420" w:firstLineChars="200"/>
        <w:rPr>
          <w:rFonts w:hint="eastAsia" w:ascii="宋体" w:hAnsi="宋体" w:eastAsia="宋体" w:cs="宋体"/>
          <w:szCs w:val="21"/>
        </w:rPr>
      </w:pPr>
      <w:r>
        <w:rPr>
          <w:rFonts w:hint="eastAsia" w:ascii="宋体" w:hAnsi="宋体" w:eastAsia="宋体" w:cs="宋体"/>
          <w:szCs w:val="21"/>
        </w:rPr>
        <w:t>1.5.2本项目招标代理费由成交供应商在领取中标通知书时向采购代理机构一次性缴纳。</w:t>
      </w:r>
    </w:p>
    <w:p w14:paraId="43F7011D">
      <w:pPr>
        <w:numPr>
          <w:ilvl w:val="1"/>
          <w:numId w:val="1"/>
        </w:numPr>
        <w:rPr>
          <w:rFonts w:hint="eastAsia" w:ascii="宋体" w:hAnsi="宋体" w:eastAsia="宋体" w:cs="宋体"/>
          <w:b/>
          <w:szCs w:val="21"/>
        </w:rPr>
      </w:pPr>
      <w:r>
        <w:rPr>
          <w:rFonts w:hint="eastAsia" w:ascii="宋体" w:hAnsi="宋体" w:eastAsia="宋体" w:cs="宋体"/>
          <w:b/>
          <w:szCs w:val="21"/>
        </w:rPr>
        <w:t>保密</w:t>
      </w:r>
    </w:p>
    <w:p w14:paraId="75F28EC6">
      <w:pPr>
        <w:ind w:firstLine="420" w:firstLineChars="200"/>
        <w:rPr>
          <w:rFonts w:hint="eastAsia" w:ascii="宋体" w:hAnsi="宋体" w:eastAsia="宋体" w:cs="宋体"/>
          <w:szCs w:val="21"/>
        </w:rPr>
      </w:pPr>
      <w:r>
        <w:rPr>
          <w:rFonts w:hint="eastAsia" w:ascii="宋体" w:hAnsi="宋体" w:eastAsia="宋体" w:cs="宋体"/>
          <w:szCs w:val="21"/>
        </w:rPr>
        <w:t>参与招标投标活动的各方应对招标文件和投标文件中的商业和技术等秘密保密，违者应对由此造成的后果承担法律责任。</w:t>
      </w:r>
    </w:p>
    <w:p w14:paraId="755C2894">
      <w:pPr>
        <w:numPr>
          <w:ilvl w:val="1"/>
          <w:numId w:val="1"/>
        </w:numPr>
        <w:rPr>
          <w:rFonts w:hint="eastAsia" w:ascii="宋体" w:hAnsi="宋体" w:eastAsia="宋体" w:cs="宋体"/>
          <w:b/>
          <w:szCs w:val="21"/>
        </w:rPr>
      </w:pPr>
      <w:r>
        <w:rPr>
          <w:rFonts w:hint="eastAsia" w:ascii="宋体" w:hAnsi="宋体" w:eastAsia="宋体" w:cs="宋体"/>
          <w:b/>
          <w:szCs w:val="21"/>
        </w:rPr>
        <w:t>语言文字</w:t>
      </w:r>
    </w:p>
    <w:p w14:paraId="6B8DB045">
      <w:pPr>
        <w:ind w:firstLine="420" w:firstLineChars="200"/>
        <w:rPr>
          <w:rFonts w:hint="eastAsia" w:ascii="宋体" w:hAnsi="宋体" w:eastAsia="宋体" w:cs="宋体"/>
          <w:szCs w:val="21"/>
        </w:rPr>
      </w:pPr>
      <w:r>
        <w:rPr>
          <w:rFonts w:hint="eastAsia" w:ascii="宋体" w:hAnsi="宋体" w:eastAsia="宋体" w:cs="宋体"/>
          <w:szCs w:val="21"/>
        </w:rPr>
        <w:t>除专用术语外，与招标投标有关的语言均使用中文。必要时专用术语应附有中文注释。</w:t>
      </w:r>
    </w:p>
    <w:p w14:paraId="35B046AC">
      <w:pPr>
        <w:numPr>
          <w:ilvl w:val="1"/>
          <w:numId w:val="1"/>
        </w:numPr>
        <w:rPr>
          <w:rFonts w:hint="eastAsia" w:ascii="宋体" w:hAnsi="宋体" w:eastAsia="宋体" w:cs="宋体"/>
          <w:b/>
          <w:szCs w:val="21"/>
        </w:rPr>
      </w:pPr>
      <w:r>
        <w:rPr>
          <w:rFonts w:hint="eastAsia" w:ascii="宋体" w:hAnsi="宋体" w:eastAsia="宋体" w:cs="宋体"/>
          <w:b/>
          <w:szCs w:val="21"/>
        </w:rPr>
        <w:t>计量单位</w:t>
      </w:r>
    </w:p>
    <w:p w14:paraId="4693F4D9">
      <w:pPr>
        <w:ind w:firstLine="420" w:firstLineChars="200"/>
        <w:rPr>
          <w:rFonts w:hint="eastAsia" w:ascii="宋体" w:hAnsi="宋体" w:eastAsia="宋体" w:cs="宋体"/>
          <w:szCs w:val="21"/>
        </w:rPr>
      </w:pPr>
      <w:r>
        <w:rPr>
          <w:rFonts w:hint="eastAsia" w:ascii="宋体" w:hAnsi="宋体" w:eastAsia="宋体" w:cs="宋体"/>
          <w:szCs w:val="21"/>
        </w:rPr>
        <w:t>所有计量均采用中华人民共和国法定计量单位。</w:t>
      </w:r>
    </w:p>
    <w:p w14:paraId="352503CC">
      <w:pPr>
        <w:tabs>
          <w:tab w:val="left" w:pos="540"/>
        </w:tabs>
        <w:rPr>
          <w:rFonts w:hint="eastAsia" w:ascii="宋体" w:hAnsi="宋体" w:eastAsia="宋体" w:cs="宋体"/>
          <w:b/>
          <w:szCs w:val="21"/>
        </w:rPr>
      </w:pPr>
      <w:r>
        <w:rPr>
          <w:rFonts w:hint="eastAsia" w:ascii="宋体" w:hAnsi="宋体" w:eastAsia="宋体" w:cs="宋体"/>
          <w:b/>
          <w:szCs w:val="21"/>
        </w:rPr>
        <w:t>1.9 投标预备会</w:t>
      </w:r>
    </w:p>
    <w:p w14:paraId="680F7037">
      <w:pPr>
        <w:ind w:firstLine="420" w:firstLineChars="200"/>
        <w:rPr>
          <w:rFonts w:hint="eastAsia" w:ascii="宋体" w:hAnsi="宋体" w:eastAsia="宋体" w:cs="宋体"/>
          <w:szCs w:val="21"/>
        </w:rPr>
      </w:pPr>
      <w:r>
        <w:rPr>
          <w:rFonts w:hint="eastAsia" w:ascii="宋体" w:hAnsi="宋体" w:eastAsia="宋体" w:cs="宋体"/>
          <w:szCs w:val="21"/>
        </w:rPr>
        <w:t xml:space="preserve">本次招标不召开投标预备会。 </w:t>
      </w:r>
    </w:p>
    <w:p w14:paraId="3350D648">
      <w:pPr>
        <w:pStyle w:val="3"/>
        <w:rPr>
          <w:rFonts w:hint="eastAsia" w:ascii="宋体" w:hAnsi="宋体" w:eastAsia="宋体" w:cs="宋体"/>
          <w:b/>
          <w:bCs w:val="0"/>
          <w:sz w:val="21"/>
          <w:szCs w:val="21"/>
        </w:rPr>
      </w:pPr>
      <w:bookmarkStart w:id="22" w:name="_Toc413744057"/>
      <w:bookmarkStart w:id="23" w:name="_Toc7700"/>
      <w:bookmarkStart w:id="24" w:name="_Toc17138"/>
      <w:bookmarkStart w:id="25" w:name="_Toc24156"/>
      <w:bookmarkStart w:id="26" w:name="_Toc25458"/>
      <w:bookmarkStart w:id="27" w:name="_Toc2468"/>
      <w:bookmarkStart w:id="28" w:name="_Toc9711"/>
      <w:r>
        <w:rPr>
          <w:rFonts w:hint="eastAsia" w:ascii="宋体" w:hAnsi="宋体" w:eastAsia="宋体" w:cs="宋体"/>
          <w:b/>
          <w:bCs w:val="0"/>
          <w:sz w:val="21"/>
          <w:szCs w:val="21"/>
        </w:rPr>
        <w:t>招标文件</w:t>
      </w:r>
      <w:bookmarkEnd w:id="22"/>
      <w:bookmarkEnd w:id="23"/>
      <w:bookmarkEnd w:id="24"/>
      <w:bookmarkEnd w:id="25"/>
      <w:bookmarkEnd w:id="26"/>
      <w:bookmarkEnd w:id="27"/>
      <w:bookmarkEnd w:id="28"/>
    </w:p>
    <w:p w14:paraId="3F395C00">
      <w:pPr>
        <w:rPr>
          <w:rFonts w:hint="eastAsia" w:ascii="宋体" w:hAnsi="宋体" w:eastAsia="宋体" w:cs="宋体"/>
          <w:b/>
          <w:szCs w:val="21"/>
        </w:rPr>
      </w:pPr>
      <w:r>
        <w:rPr>
          <w:rFonts w:hint="eastAsia" w:ascii="宋体" w:hAnsi="宋体" w:eastAsia="宋体" w:cs="宋体"/>
          <w:b/>
          <w:szCs w:val="21"/>
        </w:rPr>
        <w:t>2.1 招标文件的组成</w:t>
      </w:r>
    </w:p>
    <w:p w14:paraId="168B4FA8">
      <w:pPr>
        <w:ind w:firstLine="420" w:firstLineChars="200"/>
        <w:rPr>
          <w:rFonts w:hint="eastAsia" w:ascii="宋体" w:hAnsi="宋体" w:eastAsia="宋体" w:cs="宋体"/>
          <w:szCs w:val="21"/>
        </w:rPr>
      </w:pPr>
      <w:r>
        <w:rPr>
          <w:rFonts w:hint="eastAsia" w:ascii="宋体" w:hAnsi="宋体" w:eastAsia="宋体" w:cs="宋体"/>
          <w:szCs w:val="21"/>
        </w:rPr>
        <w:t>本招标文件包括：</w:t>
      </w:r>
    </w:p>
    <w:p w14:paraId="797BA9D5">
      <w:pPr>
        <w:ind w:left="370"/>
        <w:rPr>
          <w:rFonts w:hint="eastAsia" w:ascii="宋体" w:hAnsi="宋体" w:eastAsia="宋体" w:cs="宋体"/>
          <w:szCs w:val="21"/>
        </w:rPr>
      </w:pPr>
      <w:r>
        <w:rPr>
          <w:rFonts w:hint="eastAsia" w:ascii="宋体" w:hAnsi="宋体" w:eastAsia="宋体" w:cs="宋体"/>
          <w:szCs w:val="21"/>
        </w:rPr>
        <w:t>（1）招标公告</w:t>
      </w:r>
    </w:p>
    <w:p w14:paraId="182F4D5D">
      <w:pPr>
        <w:ind w:left="370"/>
        <w:rPr>
          <w:rFonts w:hint="eastAsia" w:ascii="宋体" w:hAnsi="宋体" w:eastAsia="宋体" w:cs="宋体"/>
          <w:szCs w:val="21"/>
        </w:rPr>
      </w:pPr>
      <w:r>
        <w:rPr>
          <w:rFonts w:hint="eastAsia" w:ascii="宋体" w:hAnsi="宋体" w:eastAsia="宋体" w:cs="宋体"/>
          <w:szCs w:val="21"/>
        </w:rPr>
        <w:t>（2）供应商须知</w:t>
      </w:r>
    </w:p>
    <w:p w14:paraId="69B79B5C">
      <w:pPr>
        <w:ind w:left="370"/>
        <w:rPr>
          <w:rFonts w:hint="eastAsia" w:ascii="宋体" w:hAnsi="宋体" w:eastAsia="宋体" w:cs="宋体"/>
          <w:szCs w:val="21"/>
        </w:rPr>
      </w:pPr>
      <w:r>
        <w:rPr>
          <w:rFonts w:hint="eastAsia" w:ascii="宋体" w:hAnsi="宋体" w:eastAsia="宋体" w:cs="宋体"/>
          <w:szCs w:val="21"/>
        </w:rPr>
        <w:t>（3）评标办法</w:t>
      </w:r>
    </w:p>
    <w:p w14:paraId="43D00990">
      <w:pPr>
        <w:ind w:left="370"/>
        <w:rPr>
          <w:rFonts w:hint="eastAsia" w:ascii="宋体" w:hAnsi="宋体" w:eastAsia="宋体" w:cs="宋体"/>
          <w:szCs w:val="21"/>
        </w:rPr>
      </w:pPr>
      <w:r>
        <w:rPr>
          <w:rFonts w:hint="eastAsia" w:ascii="宋体" w:hAnsi="宋体" w:eastAsia="宋体" w:cs="宋体"/>
          <w:szCs w:val="21"/>
        </w:rPr>
        <w:t>（4）合同条款及格式</w:t>
      </w:r>
    </w:p>
    <w:p w14:paraId="1F0BBDCB">
      <w:pPr>
        <w:ind w:left="370"/>
        <w:rPr>
          <w:rFonts w:hint="eastAsia" w:ascii="宋体" w:hAnsi="宋体" w:eastAsia="宋体" w:cs="宋体"/>
          <w:szCs w:val="21"/>
        </w:rPr>
      </w:pPr>
      <w:r>
        <w:rPr>
          <w:rFonts w:hint="eastAsia" w:ascii="宋体" w:hAnsi="宋体" w:eastAsia="宋体" w:cs="宋体"/>
          <w:szCs w:val="21"/>
        </w:rPr>
        <w:t>（5）服务内容及要求</w:t>
      </w:r>
    </w:p>
    <w:p w14:paraId="207CDE7A">
      <w:pPr>
        <w:ind w:left="370"/>
        <w:rPr>
          <w:rFonts w:hint="eastAsia" w:ascii="宋体" w:hAnsi="宋体" w:eastAsia="宋体" w:cs="宋体"/>
          <w:szCs w:val="21"/>
        </w:rPr>
      </w:pPr>
      <w:r>
        <w:rPr>
          <w:rFonts w:hint="eastAsia" w:ascii="宋体" w:hAnsi="宋体" w:eastAsia="宋体" w:cs="宋体"/>
          <w:szCs w:val="21"/>
        </w:rPr>
        <w:t>（6）投标文件格式</w:t>
      </w:r>
    </w:p>
    <w:p w14:paraId="716FBDF7">
      <w:pPr>
        <w:ind w:firstLine="283" w:firstLineChars="135"/>
        <w:rPr>
          <w:rFonts w:hint="eastAsia" w:ascii="宋体" w:hAnsi="宋体" w:eastAsia="宋体" w:cs="宋体"/>
          <w:szCs w:val="21"/>
        </w:rPr>
      </w:pPr>
      <w:r>
        <w:rPr>
          <w:rFonts w:hint="eastAsia" w:ascii="宋体" w:hAnsi="宋体" w:eastAsia="宋体" w:cs="宋体"/>
          <w:szCs w:val="21"/>
        </w:rPr>
        <w:t>根据本章第 2.2 款和第 2.3 款对招标文件所作的澄清、修改，构成招标文件的组成部分。</w:t>
      </w:r>
    </w:p>
    <w:p w14:paraId="66D7B027">
      <w:pPr>
        <w:rPr>
          <w:rFonts w:hint="eastAsia" w:ascii="宋体" w:hAnsi="宋体" w:eastAsia="宋体" w:cs="宋体"/>
          <w:b/>
          <w:szCs w:val="21"/>
        </w:rPr>
      </w:pPr>
      <w:r>
        <w:rPr>
          <w:rFonts w:hint="eastAsia" w:ascii="宋体" w:hAnsi="宋体" w:eastAsia="宋体" w:cs="宋体"/>
          <w:b/>
          <w:szCs w:val="21"/>
        </w:rPr>
        <w:t>2.2 招标文件的澄清</w:t>
      </w:r>
    </w:p>
    <w:p w14:paraId="7B8DB915">
      <w:pPr>
        <w:ind w:firstLine="420" w:firstLineChars="200"/>
        <w:rPr>
          <w:rFonts w:hint="eastAsia" w:ascii="宋体" w:hAnsi="宋体" w:eastAsia="宋体" w:cs="宋体"/>
          <w:szCs w:val="21"/>
        </w:rPr>
      </w:pPr>
      <w:bookmarkStart w:id="29" w:name="_Toc413744058"/>
      <w:r>
        <w:rPr>
          <w:rFonts w:hint="eastAsia" w:ascii="宋体" w:hAnsi="宋体" w:eastAsia="宋体" w:cs="宋体"/>
          <w:szCs w:val="21"/>
        </w:rPr>
        <w:t>2.2.1 供应商应仔细阅读和检查招标文件的全部内容。如发现缺页或附件不全，应及时向采购人提出，以便补齐。如有疑问，应在供应商须知前附表规定的时间前在电子交易系统中提出，要求采购人对招标文件予以澄清，不接受纸质材料，逾期将不再受理。</w:t>
      </w:r>
    </w:p>
    <w:p w14:paraId="07025092">
      <w:pPr>
        <w:ind w:firstLine="420" w:firstLineChars="200"/>
        <w:rPr>
          <w:rFonts w:hint="eastAsia" w:ascii="宋体" w:hAnsi="宋体" w:eastAsia="宋体" w:cs="宋体"/>
          <w:szCs w:val="21"/>
        </w:rPr>
      </w:pPr>
      <w:r>
        <w:rPr>
          <w:rFonts w:hint="eastAsia" w:ascii="宋体" w:hAnsi="宋体" w:eastAsia="宋体" w:cs="宋体"/>
          <w:szCs w:val="21"/>
        </w:rPr>
        <w:t>2.2.2 招标文件的澄清将在供应商须知前附表规定的投标截止时间15天前在电子交易系统中以澄清形式公示给所有购买招标文件的供应商，但不指明澄清问题的来源。如果澄清发出的时间距投标截止时间不足15天，相应延长投标截止时间。</w:t>
      </w:r>
    </w:p>
    <w:p w14:paraId="7ED9A0EA">
      <w:pPr>
        <w:ind w:firstLine="420" w:firstLineChars="200"/>
        <w:rPr>
          <w:rFonts w:hint="eastAsia" w:ascii="宋体" w:hAnsi="宋体" w:eastAsia="宋体" w:cs="宋体"/>
          <w:szCs w:val="21"/>
        </w:rPr>
      </w:pPr>
      <w:r>
        <w:rPr>
          <w:rFonts w:hint="eastAsia" w:ascii="宋体" w:hAnsi="宋体" w:eastAsia="宋体" w:cs="宋体"/>
          <w:szCs w:val="21"/>
        </w:rPr>
        <w:t>2.2.3 供应商应及时在发布的媒体查看澄清内容。不另行通知，各供应商要随时浏览相关网站，未及时查阅相关信息的后果供应商自负。</w:t>
      </w:r>
    </w:p>
    <w:p w14:paraId="7DFF33D4">
      <w:pPr>
        <w:rPr>
          <w:rFonts w:hint="eastAsia" w:ascii="宋体" w:hAnsi="宋体" w:eastAsia="宋体" w:cs="宋体"/>
          <w:b/>
          <w:szCs w:val="21"/>
        </w:rPr>
      </w:pPr>
      <w:r>
        <w:rPr>
          <w:rFonts w:hint="eastAsia" w:ascii="宋体" w:hAnsi="宋体" w:eastAsia="宋体" w:cs="宋体"/>
          <w:b/>
          <w:szCs w:val="21"/>
        </w:rPr>
        <w:t>2.3招标文件的修改</w:t>
      </w:r>
    </w:p>
    <w:p w14:paraId="427451EA">
      <w:pPr>
        <w:ind w:firstLine="420" w:firstLineChars="200"/>
        <w:rPr>
          <w:rFonts w:hint="eastAsia" w:ascii="宋体" w:hAnsi="宋体" w:eastAsia="宋体" w:cs="宋体"/>
          <w:szCs w:val="21"/>
        </w:rPr>
      </w:pPr>
      <w:r>
        <w:rPr>
          <w:rFonts w:hint="eastAsia" w:ascii="宋体" w:hAnsi="宋体" w:eastAsia="宋体" w:cs="宋体"/>
          <w:szCs w:val="21"/>
        </w:rPr>
        <w:t>2.3.1</w:t>
      </w:r>
      <w:r>
        <w:rPr>
          <w:rFonts w:hint="eastAsia" w:ascii="宋体" w:hAnsi="宋体" w:eastAsia="宋体" w:cs="宋体"/>
          <w:shd w:val="clear" w:color="auto" w:fill="FFFFFF"/>
        </w:rPr>
        <w:t>在投标截止时间15天前，采购人可以修改招标文件，并公布在发布招标公告的同一媒体上。如果修改招标文件的时间距投标截止时间不足15天，相应延长投标截止时间</w:t>
      </w:r>
      <w:r>
        <w:rPr>
          <w:rFonts w:hint="eastAsia" w:ascii="宋体" w:hAnsi="宋体" w:eastAsia="宋体" w:cs="宋体"/>
          <w:szCs w:val="21"/>
        </w:rPr>
        <w:t>。</w:t>
      </w:r>
    </w:p>
    <w:p w14:paraId="03774844">
      <w:pPr>
        <w:pStyle w:val="3"/>
        <w:rPr>
          <w:rFonts w:hint="eastAsia" w:ascii="宋体" w:hAnsi="宋体" w:eastAsia="宋体" w:cs="宋体"/>
          <w:b/>
          <w:bCs w:val="0"/>
          <w:sz w:val="21"/>
          <w:szCs w:val="21"/>
        </w:rPr>
      </w:pPr>
      <w:bookmarkStart w:id="30" w:name="_Toc30077"/>
      <w:bookmarkStart w:id="31" w:name="_Toc13348"/>
      <w:bookmarkStart w:id="32" w:name="_Toc21154"/>
      <w:bookmarkStart w:id="33" w:name="_Toc9729"/>
      <w:bookmarkStart w:id="34" w:name="_Toc19732"/>
      <w:bookmarkStart w:id="35" w:name="_Toc28750"/>
      <w:r>
        <w:rPr>
          <w:rFonts w:hint="eastAsia" w:ascii="宋体" w:hAnsi="宋体" w:eastAsia="宋体" w:cs="宋体"/>
          <w:b/>
          <w:bCs w:val="0"/>
          <w:sz w:val="21"/>
          <w:szCs w:val="21"/>
        </w:rPr>
        <w:t>投标文件</w:t>
      </w:r>
      <w:bookmarkEnd w:id="29"/>
      <w:bookmarkEnd w:id="30"/>
      <w:bookmarkEnd w:id="31"/>
      <w:bookmarkEnd w:id="32"/>
      <w:bookmarkEnd w:id="33"/>
      <w:bookmarkEnd w:id="34"/>
      <w:bookmarkEnd w:id="35"/>
    </w:p>
    <w:p w14:paraId="121C0C68">
      <w:pPr>
        <w:rPr>
          <w:rFonts w:hint="eastAsia" w:ascii="宋体" w:hAnsi="宋体" w:eastAsia="宋体" w:cs="宋体"/>
          <w:b/>
          <w:szCs w:val="21"/>
        </w:rPr>
      </w:pPr>
      <w:r>
        <w:rPr>
          <w:rFonts w:hint="eastAsia" w:ascii="宋体" w:hAnsi="宋体" w:eastAsia="宋体" w:cs="宋体"/>
          <w:b/>
          <w:szCs w:val="21"/>
        </w:rPr>
        <w:t>3.1投标文件的组成</w:t>
      </w:r>
    </w:p>
    <w:p w14:paraId="5914B1FE">
      <w:pPr>
        <w:ind w:firstLine="420" w:firstLineChars="200"/>
        <w:rPr>
          <w:rFonts w:hint="eastAsia" w:ascii="宋体" w:hAnsi="宋体" w:eastAsia="宋体" w:cs="宋体"/>
          <w:szCs w:val="21"/>
        </w:rPr>
      </w:pPr>
      <w:r>
        <w:rPr>
          <w:rFonts w:hint="eastAsia" w:ascii="宋体" w:hAnsi="宋体" w:eastAsia="宋体" w:cs="宋体"/>
          <w:szCs w:val="21"/>
        </w:rPr>
        <w:t>3.1.1投标文件的组成详见招标文件第六章“投标文件格式”。</w:t>
      </w:r>
    </w:p>
    <w:p w14:paraId="09FD50AB">
      <w:pPr>
        <w:rPr>
          <w:rFonts w:hint="eastAsia" w:ascii="宋体" w:hAnsi="宋体" w:eastAsia="宋体" w:cs="宋体"/>
          <w:b/>
          <w:szCs w:val="21"/>
        </w:rPr>
      </w:pPr>
      <w:r>
        <w:rPr>
          <w:rFonts w:hint="eastAsia" w:ascii="宋体" w:hAnsi="宋体" w:eastAsia="宋体" w:cs="宋体"/>
          <w:b/>
          <w:szCs w:val="21"/>
        </w:rPr>
        <w:t>3.2投标报价</w:t>
      </w:r>
    </w:p>
    <w:p w14:paraId="560C591B">
      <w:pPr>
        <w:ind w:firstLine="420" w:firstLineChars="200"/>
        <w:jc w:val="left"/>
        <w:rPr>
          <w:rFonts w:hint="eastAsia" w:ascii="宋体" w:hAnsi="宋体" w:eastAsia="宋体" w:cs="宋体"/>
          <w:szCs w:val="21"/>
        </w:rPr>
      </w:pPr>
      <w:r>
        <w:rPr>
          <w:rFonts w:hint="eastAsia" w:ascii="宋体" w:hAnsi="宋体" w:eastAsia="宋体" w:cs="宋体"/>
          <w:szCs w:val="21"/>
        </w:rPr>
        <w:t>3.2.1供应商必须对招标文件中所要求的全部服务进行投标，只投其中部分服务的投标文件无效。</w:t>
      </w:r>
    </w:p>
    <w:p w14:paraId="32C3485C">
      <w:pPr>
        <w:ind w:firstLine="420" w:firstLineChars="200"/>
        <w:jc w:val="left"/>
        <w:rPr>
          <w:rFonts w:hint="eastAsia" w:ascii="宋体" w:hAnsi="宋体" w:eastAsia="宋体" w:cs="宋体"/>
          <w:szCs w:val="21"/>
        </w:rPr>
      </w:pPr>
      <w:r>
        <w:rPr>
          <w:rFonts w:hint="eastAsia" w:ascii="宋体" w:hAnsi="宋体" w:eastAsia="宋体" w:cs="宋体"/>
          <w:szCs w:val="21"/>
        </w:rPr>
        <w:t>3.2.2全部报价均应以人民币为计量币种，并以人民币进行结算。</w:t>
      </w:r>
    </w:p>
    <w:p w14:paraId="08BBCC50">
      <w:pPr>
        <w:ind w:firstLine="420" w:firstLineChars="200"/>
        <w:jc w:val="left"/>
        <w:rPr>
          <w:rFonts w:hint="eastAsia" w:ascii="宋体" w:hAnsi="宋体" w:eastAsia="宋体" w:cs="宋体"/>
          <w:szCs w:val="21"/>
        </w:rPr>
      </w:pPr>
      <w:r>
        <w:rPr>
          <w:rFonts w:hint="eastAsia" w:ascii="宋体" w:hAnsi="宋体" w:eastAsia="宋体" w:cs="宋体"/>
          <w:szCs w:val="21"/>
        </w:rPr>
        <w:t>3.2.3投标报价由供应商自主报价，但不得低于成本竞争。投标报价应包含招标文件要求供应商承担的所有费用，未列入或者没有填写的项目费用视为已包含在相关项目的价格中，中标后不再另行补列。</w:t>
      </w:r>
    </w:p>
    <w:p w14:paraId="2799D934">
      <w:pPr>
        <w:rPr>
          <w:rFonts w:hint="eastAsia" w:ascii="宋体" w:hAnsi="宋体" w:eastAsia="宋体" w:cs="宋体"/>
          <w:b/>
          <w:szCs w:val="21"/>
        </w:rPr>
      </w:pPr>
      <w:r>
        <w:rPr>
          <w:rFonts w:hint="eastAsia" w:ascii="宋体" w:hAnsi="宋体" w:eastAsia="宋体" w:cs="宋体"/>
          <w:b/>
          <w:szCs w:val="21"/>
        </w:rPr>
        <w:t>3.3投标有效期</w:t>
      </w:r>
    </w:p>
    <w:p w14:paraId="542E65F3">
      <w:pPr>
        <w:ind w:firstLine="420" w:firstLineChars="200"/>
        <w:rPr>
          <w:rFonts w:hint="eastAsia" w:ascii="宋体" w:hAnsi="宋体" w:eastAsia="宋体" w:cs="宋体"/>
          <w:szCs w:val="21"/>
        </w:rPr>
      </w:pPr>
      <w:r>
        <w:rPr>
          <w:rFonts w:hint="eastAsia" w:ascii="宋体" w:hAnsi="宋体" w:eastAsia="宋体" w:cs="宋体"/>
          <w:szCs w:val="21"/>
        </w:rPr>
        <w:t>3.3.1在供应商须知前附表规定的投标有效期内，供应商不得要求撤销或修改其投标文件。</w:t>
      </w:r>
    </w:p>
    <w:p w14:paraId="1309EEC0">
      <w:pPr>
        <w:ind w:firstLine="420" w:firstLineChars="200"/>
        <w:rPr>
          <w:rFonts w:hint="eastAsia" w:ascii="宋体" w:hAnsi="宋体" w:eastAsia="宋体" w:cs="宋体"/>
          <w:szCs w:val="21"/>
        </w:rPr>
      </w:pPr>
      <w:r>
        <w:rPr>
          <w:rFonts w:hint="eastAsia" w:ascii="宋体" w:hAnsi="宋体" w:eastAsia="宋体" w:cs="宋体"/>
          <w:szCs w:val="21"/>
        </w:rPr>
        <w:t>3.3.2出现特殊情况需要延长投标有效期的，采购人以书面形式通知所有供应商延长投标有效期。</w:t>
      </w:r>
    </w:p>
    <w:p w14:paraId="7F18FC8F">
      <w:pPr>
        <w:rPr>
          <w:rFonts w:hint="eastAsia" w:ascii="宋体" w:hAnsi="宋体" w:eastAsia="宋体" w:cs="宋体"/>
          <w:b/>
          <w:szCs w:val="21"/>
        </w:rPr>
      </w:pPr>
      <w:r>
        <w:rPr>
          <w:rFonts w:hint="eastAsia" w:ascii="宋体" w:hAnsi="宋体" w:eastAsia="宋体" w:cs="宋体"/>
          <w:b/>
          <w:szCs w:val="21"/>
        </w:rPr>
        <w:t>3.4投标保证金</w:t>
      </w:r>
    </w:p>
    <w:p w14:paraId="7C9DFEB8">
      <w:pPr>
        <w:pStyle w:val="22"/>
        <w:ind w:firstLine="211"/>
        <w:rPr>
          <w:rFonts w:hint="eastAsia" w:ascii="宋体" w:hAnsi="宋体" w:cs="宋体"/>
          <w:szCs w:val="21"/>
        </w:rPr>
      </w:pPr>
      <w:r>
        <w:rPr>
          <w:rFonts w:hint="eastAsia" w:ascii="宋体" w:hAnsi="宋体" w:cs="宋体"/>
          <w:b/>
          <w:szCs w:val="21"/>
        </w:rPr>
        <w:t xml:space="preserve">  3.4.1 </w:t>
      </w:r>
      <w:r>
        <w:rPr>
          <w:rFonts w:hint="eastAsia" w:ascii="宋体" w:hAnsi="宋体" w:cs="宋体"/>
          <w:bCs/>
          <w:szCs w:val="21"/>
        </w:rPr>
        <w:t>按要求，本项目不再收取投标保证金。</w:t>
      </w:r>
    </w:p>
    <w:p w14:paraId="5441D3F3">
      <w:pPr>
        <w:rPr>
          <w:rFonts w:hint="eastAsia" w:ascii="宋体" w:hAnsi="宋体" w:eastAsia="宋体" w:cs="宋体"/>
          <w:szCs w:val="21"/>
        </w:rPr>
      </w:pPr>
      <w:r>
        <w:rPr>
          <w:rFonts w:hint="eastAsia" w:ascii="宋体" w:hAnsi="宋体" w:eastAsia="宋体" w:cs="宋体"/>
          <w:b/>
          <w:szCs w:val="21"/>
        </w:rPr>
        <w:t>3.5资格审查资料</w:t>
      </w:r>
    </w:p>
    <w:p w14:paraId="7C6CFBE6">
      <w:pPr>
        <w:ind w:firstLine="420" w:firstLineChars="200"/>
        <w:rPr>
          <w:rFonts w:hint="eastAsia" w:ascii="宋体" w:hAnsi="宋体" w:eastAsia="宋体" w:cs="宋体"/>
          <w:b/>
          <w:szCs w:val="21"/>
        </w:rPr>
      </w:pPr>
      <w:r>
        <w:rPr>
          <w:rFonts w:hint="eastAsia" w:ascii="宋体" w:hAnsi="宋体" w:eastAsia="宋体" w:cs="宋体"/>
          <w:szCs w:val="21"/>
        </w:rPr>
        <w:t xml:space="preserve">详见招标文件第六章投标文件格式三、资格证明材料。    </w:t>
      </w:r>
    </w:p>
    <w:p w14:paraId="7C089299">
      <w:pPr>
        <w:rPr>
          <w:rFonts w:hint="eastAsia" w:ascii="宋体" w:hAnsi="宋体" w:eastAsia="宋体" w:cs="宋体"/>
          <w:b/>
          <w:szCs w:val="21"/>
        </w:rPr>
      </w:pPr>
      <w:r>
        <w:rPr>
          <w:rFonts w:hint="eastAsia" w:ascii="宋体" w:hAnsi="宋体" w:eastAsia="宋体" w:cs="宋体"/>
          <w:b/>
          <w:szCs w:val="21"/>
        </w:rPr>
        <w:t>3.6备选投标方案</w:t>
      </w:r>
    </w:p>
    <w:p w14:paraId="6FECF516">
      <w:pPr>
        <w:ind w:firstLine="420" w:firstLineChars="200"/>
        <w:rPr>
          <w:rFonts w:hint="eastAsia" w:ascii="宋体" w:hAnsi="宋体" w:eastAsia="宋体" w:cs="宋体"/>
          <w:szCs w:val="21"/>
        </w:rPr>
      </w:pPr>
      <w:r>
        <w:rPr>
          <w:rFonts w:hint="eastAsia" w:ascii="宋体" w:hAnsi="宋体" w:eastAsia="宋体" w:cs="宋体"/>
          <w:szCs w:val="21"/>
        </w:rPr>
        <w:t>不允许供应商递交备选投标方案。</w:t>
      </w:r>
    </w:p>
    <w:p w14:paraId="7083306B">
      <w:pPr>
        <w:rPr>
          <w:rFonts w:hint="eastAsia" w:ascii="宋体" w:hAnsi="宋体" w:eastAsia="宋体" w:cs="宋体"/>
          <w:b/>
          <w:szCs w:val="21"/>
        </w:rPr>
      </w:pPr>
      <w:r>
        <w:rPr>
          <w:rFonts w:hint="eastAsia" w:ascii="宋体" w:hAnsi="宋体" w:eastAsia="宋体" w:cs="宋体"/>
          <w:b/>
          <w:szCs w:val="21"/>
        </w:rPr>
        <w:t>3.7投标文件的编制</w:t>
      </w:r>
    </w:p>
    <w:p w14:paraId="73E57A92">
      <w:pPr>
        <w:ind w:firstLine="420" w:firstLineChars="200"/>
        <w:rPr>
          <w:rFonts w:hint="eastAsia" w:ascii="宋体" w:hAnsi="宋体" w:eastAsia="宋体" w:cs="宋体"/>
          <w:szCs w:val="21"/>
        </w:rPr>
      </w:pPr>
      <w:r>
        <w:rPr>
          <w:rFonts w:hint="eastAsia" w:ascii="宋体" w:hAnsi="宋体" w:eastAsia="宋体" w:cs="宋体"/>
          <w:szCs w:val="21"/>
        </w:rPr>
        <w:t>3.7.1投标文件应按第六章“投标文件格式”进行编写</w:t>
      </w:r>
    </w:p>
    <w:p w14:paraId="459C1D10">
      <w:pPr>
        <w:ind w:firstLine="420" w:firstLineChars="200"/>
        <w:rPr>
          <w:rFonts w:hint="eastAsia" w:ascii="宋体" w:hAnsi="宋体" w:eastAsia="宋体" w:cs="宋体"/>
          <w:szCs w:val="21"/>
        </w:rPr>
      </w:pPr>
      <w:r>
        <w:rPr>
          <w:rFonts w:hint="eastAsia" w:ascii="宋体" w:hAnsi="宋体" w:eastAsia="宋体" w:cs="宋体"/>
          <w:szCs w:val="21"/>
        </w:rPr>
        <w:t>3.7.2 特别注意事项</w:t>
      </w:r>
    </w:p>
    <w:p w14:paraId="1113C98E">
      <w:pPr>
        <w:ind w:firstLine="422" w:firstLineChars="200"/>
        <w:rPr>
          <w:rFonts w:hint="eastAsia" w:ascii="宋体" w:hAnsi="宋体" w:eastAsia="宋体" w:cs="宋体"/>
          <w:b/>
          <w:kern w:val="0"/>
          <w:szCs w:val="21"/>
        </w:rPr>
      </w:pPr>
      <w:r>
        <w:rPr>
          <w:rFonts w:hint="eastAsia" w:ascii="宋体" w:hAnsi="宋体" w:eastAsia="宋体" w:cs="宋体"/>
          <w:b/>
          <w:kern w:val="0"/>
          <w:szCs w:val="21"/>
        </w:rPr>
        <w:t>本项目为电子化交易项目，投标文件是投标人、供应商（以下简称“供应商”）通过</w:t>
      </w:r>
      <w:r>
        <w:rPr>
          <w:rFonts w:hint="eastAsia" w:ascii="宋体" w:hAnsi="宋体" w:eastAsia="宋体" w:cs="宋体"/>
          <w:b/>
          <w:szCs w:val="21"/>
        </w:rPr>
        <w:t>中心投标文件制作系统制作，并经过电子签章和加密后生成的电子版投标文件</w:t>
      </w:r>
      <w:r>
        <w:rPr>
          <w:rFonts w:hint="eastAsia" w:ascii="宋体" w:hAnsi="宋体" w:eastAsia="宋体" w:cs="宋体"/>
          <w:b/>
          <w:kern w:val="0"/>
          <w:szCs w:val="21"/>
        </w:rPr>
        <w:t>。供应商投标时，需要上传</w:t>
      </w:r>
      <w:r>
        <w:rPr>
          <w:rFonts w:hint="eastAsia" w:ascii="宋体" w:hAnsi="宋体" w:eastAsia="宋体" w:cs="宋体"/>
          <w:b/>
          <w:szCs w:val="21"/>
        </w:rPr>
        <w:t>电子版投标文件</w:t>
      </w:r>
      <w:r>
        <w:rPr>
          <w:rFonts w:hint="eastAsia" w:ascii="宋体" w:hAnsi="宋体" w:eastAsia="宋体" w:cs="宋体"/>
          <w:b/>
          <w:kern w:val="0"/>
          <w:szCs w:val="21"/>
        </w:rPr>
        <w:t>。</w:t>
      </w:r>
    </w:p>
    <w:p w14:paraId="3F27FECA">
      <w:pPr>
        <w:ind w:firstLine="420" w:firstLineChars="200"/>
        <w:rPr>
          <w:rFonts w:hint="eastAsia" w:ascii="宋体" w:hAnsi="宋体" w:eastAsia="宋体" w:cs="宋体"/>
          <w:kern w:val="0"/>
          <w:szCs w:val="21"/>
        </w:rPr>
      </w:pPr>
      <w:r>
        <w:rPr>
          <w:rFonts w:hint="eastAsia" w:ascii="宋体" w:hAnsi="宋体" w:eastAsia="宋体" w:cs="宋体"/>
          <w:szCs w:val="21"/>
        </w:rPr>
        <w:t>电子化投标文件具体制作教材请供应商通过CA证书登录平顶山市公共资源电子化交易网在 “组件下载”中查看。</w:t>
      </w:r>
    </w:p>
    <w:p w14:paraId="7C6659AE">
      <w:pPr>
        <w:snapToGrid w:val="0"/>
        <w:ind w:firstLine="422" w:firstLineChars="200"/>
        <w:rPr>
          <w:rFonts w:hint="eastAsia" w:ascii="宋体" w:hAnsi="宋体" w:eastAsia="宋体" w:cs="宋体"/>
          <w:szCs w:val="21"/>
        </w:rPr>
      </w:pPr>
      <w:r>
        <w:rPr>
          <w:rFonts w:hint="eastAsia" w:ascii="宋体" w:hAnsi="宋体" w:eastAsia="宋体" w:cs="宋体"/>
          <w:b/>
          <w:kern w:val="0"/>
          <w:szCs w:val="21"/>
        </w:rPr>
        <w:t>温馨提示：本项目为电子化交易项目，开标时需上传</w:t>
      </w:r>
      <w:r>
        <w:rPr>
          <w:rFonts w:hint="eastAsia" w:ascii="宋体" w:hAnsi="宋体" w:eastAsia="宋体" w:cs="宋体"/>
          <w:b/>
          <w:szCs w:val="21"/>
        </w:rPr>
        <w:t>电子版投标文件</w:t>
      </w:r>
      <w:r>
        <w:rPr>
          <w:rFonts w:hint="eastAsia" w:ascii="宋体" w:hAnsi="宋体" w:eastAsia="宋体" w:cs="宋体"/>
          <w:b/>
          <w:kern w:val="0"/>
          <w:szCs w:val="21"/>
        </w:rPr>
        <w:t>，为保证您能投标成功，请需仔细阅读以下条款。</w:t>
      </w:r>
    </w:p>
    <w:p w14:paraId="7D8B614B">
      <w:pPr>
        <w:ind w:firstLine="422" w:firstLineChars="200"/>
        <w:rPr>
          <w:rFonts w:hint="eastAsia" w:ascii="宋体" w:hAnsi="宋体" w:eastAsia="宋体" w:cs="宋体"/>
          <w:b/>
          <w:kern w:val="0"/>
          <w:szCs w:val="21"/>
        </w:rPr>
      </w:pPr>
      <w:r>
        <w:rPr>
          <w:rFonts w:hint="eastAsia" w:ascii="宋体" w:hAnsi="宋体" w:eastAsia="宋体" w:cs="宋体"/>
          <w:b/>
          <w:kern w:val="0"/>
          <w:szCs w:val="21"/>
        </w:rPr>
        <w:t>一、电子化投标</w:t>
      </w:r>
    </w:p>
    <w:p w14:paraId="67206877">
      <w:pPr>
        <w:snapToGrid w:val="0"/>
        <w:ind w:firstLine="420" w:firstLineChars="200"/>
        <w:rPr>
          <w:rFonts w:hint="eastAsia" w:ascii="宋体" w:hAnsi="宋体" w:eastAsia="宋体" w:cs="宋体"/>
          <w:szCs w:val="21"/>
        </w:rPr>
      </w:pPr>
      <w:r>
        <w:rPr>
          <w:rFonts w:hint="eastAsia" w:ascii="宋体" w:hAnsi="宋体" w:eastAsia="宋体" w:cs="宋体"/>
          <w:szCs w:val="21"/>
        </w:rPr>
        <w:t>（一）电子化投标文件的签章</w:t>
      </w:r>
    </w:p>
    <w:p w14:paraId="61547E90">
      <w:pPr>
        <w:snapToGrid w:val="0"/>
        <w:ind w:firstLine="420" w:firstLineChars="200"/>
        <w:rPr>
          <w:rFonts w:hint="eastAsia" w:ascii="宋体" w:hAnsi="宋体" w:eastAsia="宋体" w:cs="宋体"/>
          <w:szCs w:val="21"/>
        </w:rPr>
      </w:pPr>
      <w:r>
        <w:rPr>
          <w:rFonts w:hint="eastAsia" w:ascii="宋体" w:hAnsi="宋体" w:eastAsia="宋体" w:cs="宋体"/>
          <w:szCs w:val="21"/>
        </w:rPr>
        <w:t>1、供应商在生成电子化投标文件后，应对电子化投标文件进行签章，未进行签章的视为无效投标。</w:t>
      </w:r>
    </w:p>
    <w:p w14:paraId="01883248">
      <w:pPr>
        <w:ind w:firstLine="420" w:firstLineChars="200"/>
        <w:rPr>
          <w:rFonts w:hint="eastAsia" w:ascii="宋体" w:hAnsi="宋体" w:eastAsia="宋体" w:cs="宋体"/>
          <w:szCs w:val="21"/>
        </w:rPr>
      </w:pPr>
      <w:r>
        <w:rPr>
          <w:rFonts w:hint="eastAsia" w:ascii="宋体" w:hAnsi="宋体" w:eastAsia="宋体" w:cs="宋体"/>
          <w:szCs w:val="21"/>
        </w:rPr>
        <w:t>2、招标文件中要求</w:t>
      </w:r>
      <w:r>
        <w:rPr>
          <w:rFonts w:hint="eastAsia" w:ascii="宋体" w:hAnsi="宋体" w:eastAsia="宋体" w:cs="宋体"/>
          <w:b/>
          <w:szCs w:val="21"/>
        </w:rPr>
        <w:t>法定代表人或授权委托人签字或盖章的，</w:t>
      </w:r>
      <w:r>
        <w:rPr>
          <w:rFonts w:hint="eastAsia" w:ascii="宋体" w:hAnsi="宋体" w:eastAsia="宋体" w:cs="宋体"/>
          <w:szCs w:val="21"/>
        </w:rPr>
        <w:t>供应商在进行</w:t>
      </w:r>
      <w:r>
        <w:rPr>
          <w:rFonts w:hint="eastAsia" w:ascii="宋体" w:hAnsi="宋体" w:eastAsia="宋体" w:cs="宋体"/>
          <w:b/>
          <w:szCs w:val="21"/>
        </w:rPr>
        <w:t>电子化投标文件签章时，以签盖法定代表人签章为准。</w:t>
      </w:r>
      <w:r>
        <w:rPr>
          <w:rFonts w:hint="eastAsia" w:ascii="宋体" w:hAnsi="宋体" w:eastAsia="宋体" w:cs="宋体"/>
          <w:szCs w:val="21"/>
        </w:rPr>
        <w:t>电子化投标文件具体制作教材请供应商通过CA证书登录平顶山市公共资源电子化交易网在“组件下载”中查看。</w:t>
      </w:r>
    </w:p>
    <w:p w14:paraId="60FDB112">
      <w:pPr>
        <w:ind w:firstLine="420" w:firstLineChars="200"/>
        <w:rPr>
          <w:rFonts w:hint="eastAsia" w:ascii="宋体" w:hAnsi="宋体" w:eastAsia="宋体" w:cs="宋体"/>
          <w:b/>
          <w:szCs w:val="21"/>
        </w:rPr>
      </w:pPr>
      <w:r>
        <w:rPr>
          <w:rFonts w:hint="eastAsia" w:ascii="宋体" w:hAnsi="宋体" w:eastAsia="宋体" w:cs="宋体"/>
          <w:szCs w:val="21"/>
        </w:rPr>
        <w:t>（二）电子化投标文件的格式及上传投标</w:t>
      </w:r>
    </w:p>
    <w:p w14:paraId="7F7EF33A">
      <w:pPr>
        <w:snapToGrid w:val="0"/>
        <w:ind w:firstLine="420" w:firstLineChars="200"/>
        <w:rPr>
          <w:rFonts w:hint="eastAsia" w:ascii="宋体" w:hAnsi="宋体" w:eastAsia="宋体" w:cs="宋体"/>
          <w:szCs w:val="21"/>
        </w:rPr>
      </w:pPr>
      <w:r>
        <w:rPr>
          <w:rFonts w:hint="eastAsia" w:ascii="宋体" w:hAnsi="宋体" w:eastAsia="宋体" w:cs="宋体"/>
          <w:szCs w:val="21"/>
        </w:rPr>
        <w:t>1、供应商所上传的电子化投标文件，应是通过中心投标文件制作系统制作的，经过签章和加密后生成的电子版投标文件。生成的电子版投标文件包含用于投标文件上传的主文件（文件格式为：xxx公司+项目编号.file）和用于应急补救的投标文件备份文件（文件格式为：xxx公司+项目编号.bin），备份文件主要用于电子化开标出现技术问题后的补救，请供应商随身携带。</w:t>
      </w:r>
    </w:p>
    <w:p w14:paraId="4445EEC2">
      <w:pPr>
        <w:snapToGrid w:val="0"/>
        <w:ind w:firstLine="422" w:firstLineChars="200"/>
        <w:rPr>
          <w:rFonts w:hint="eastAsia" w:ascii="宋体" w:hAnsi="宋体" w:eastAsia="宋体" w:cs="宋体"/>
          <w:b/>
          <w:szCs w:val="21"/>
        </w:rPr>
      </w:pPr>
      <w:r>
        <w:rPr>
          <w:rFonts w:hint="eastAsia" w:ascii="宋体" w:hAnsi="宋体" w:eastAsia="宋体" w:cs="宋体"/>
          <w:b/>
          <w:szCs w:val="21"/>
        </w:rPr>
        <w:t>注：（1）供应商投报多个标段的，所生成的电子化投标文件仍为一个电子文件，供应商制作电子化投标文件时应将所报标段全部勾选后制作生成。</w:t>
      </w:r>
    </w:p>
    <w:p w14:paraId="49E55787">
      <w:pPr>
        <w:snapToGrid w:val="0"/>
        <w:ind w:firstLine="420" w:firstLineChars="200"/>
        <w:rPr>
          <w:rFonts w:hint="eastAsia" w:ascii="宋体" w:hAnsi="宋体" w:eastAsia="宋体" w:cs="宋体"/>
          <w:szCs w:val="21"/>
        </w:rPr>
      </w:pPr>
      <w:r>
        <w:rPr>
          <w:rFonts w:hint="eastAsia" w:ascii="宋体" w:hAnsi="宋体" w:eastAsia="宋体" w:cs="宋体"/>
          <w:szCs w:val="21"/>
        </w:rPr>
        <w:t>2、电子化投标文件应在投标截止时间前成功上传至平顶山市公共资源电子化交易系统。至投标截止时间止，仍未上传成功的电子化投标文件将不予接收。</w:t>
      </w:r>
    </w:p>
    <w:p w14:paraId="7E5BA1B8">
      <w:pPr>
        <w:snapToGrid w:val="0"/>
        <w:ind w:firstLine="420" w:firstLineChars="200"/>
        <w:rPr>
          <w:rFonts w:hint="eastAsia" w:ascii="宋体" w:hAnsi="宋体" w:eastAsia="宋体" w:cs="宋体"/>
          <w:szCs w:val="21"/>
        </w:rPr>
      </w:pPr>
      <w:r>
        <w:rPr>
          <w:rFonts w:hint="eastAsia" w:ascii="宋体" w:hAnsi="宋体" w:eastAsia="宋体" w:cs="宋体"/>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C57FB38">
      <w:pPr>
        <w:snapToGrid w:val="0"/>
        <w:ind w:firstLine="420" w:firstLineChars="200"/>
        <w:rPr>
          <w:rFonts w:hint="eastAsia" w:ascii="宋体" w:hAnsi="宋体" w:eastAsia="宋体" w:cs="宋体"/>
          <w:szCs w:val="21"/>
        </w:rPr>
      </w:pPr>
      <w:r>
        <w:rPr>
          <w:rFonts w:hint="eastAsia" w:ascii="宋体" w:hAnsi="宋体" w:eastAsia="宋体" w:cs="宋体"/>
          <w:szCs w:val="21"/>
        </w:rPr>
        <w:t>（三）电子化项目开标、解密、唱标、评标</w:t>
      </w:r>
    </w:p>
    <w:p w14:paraId="764D520E">
      <w:pPr>
        <w:snapToGrid w:val="0"/>
        <w:ind w:firstLine="420" w:firstLineChars="200"/>
        <w:rPr>
          <w:rFonts w:hint="eastAsia" w:ascii="宋体" w:hAnsi="宋体" w:eastAsia="宋体" w:cs="宋体"/>
          <w:szCs w:val="21"/>
        </w:rPr>
      </w:pPr>
      <w:r>
        <w:rPr>
          <w:rFonts w:hint="eastAsia" w:ascii="宋体" w:hAnsi="宋体" w:eastAsia="宋体" w:cs="宋体"/>
          <w:szCs w:val="21"/>
        </w:rPr>
        <w:t>1、本项目采用</w:t>
      </w:r>
      <w:r>
        <w:rPr>
          <w:rFonts w:hint="eastAsia" w:ascii="宋体" w:hAnsi="宋体" w:eastAsia="宋体" w:cs="宋体"/>
          <w:bCs/>
          <w:szCs w:val="21"/>
        </w:rPr>
        <w:t>电子化</w:t>
      </w:r>
      <w:r>
        <w:rPr>
          <w:rFonts w:hint="eastAsia" w:ascii="宋体" w:hAnsi="宋体" w:eastAsia="宋体" w:cs="宋体"/>
          <w:szCs w:val="21"/>
        </w:rPr>
        <w:t>进行招标，供应商可以通过网络登录交易平台进入项目开标大厅远程在线参加开标会议（在招标文件中另行规定）。</w:t>
      </w:r>
    </w:p>
    <w:p w14:paraId="0F51E491">
      <w:pPr>
        <w:snapToGrid w:val="0"/>
        <w:ind w:firstLine="420" w:firstLineChars="200"/>
        <w:rPr>
          <w:rFonts w:hint="eastAsia" w:ascii="宋体" w:hAnsi="宋体" w:eastAsia="宋体" w:cs="宋体"/>
          <w:szCs w:val="21"/>
        </w:rPr>
      </w:pPr>
      <w:r>
        <w:rPr>
          <w:rFonts w:hint="eastAsia" w:ascii="宋体" w:hAnsi="宋体" w:eastAsia="宋体" w:cs="宋体"/>
          <w:szCs w:val="21"/>
        </w:rPr>
        <w:t>2、电子化投标文件采用双重加密方式。开标时，请供应商使用CA证书登录交易平台，进入本项目不见面开标大厅点击解密来完成投标文件的解密工作。每位供应商的解密时间为开标时间起60分钟内完成。待所有供应商全部解密完成后，再由</w:t>
      </w:r>
      <w:r>
        <w:rPr>
          <w:rFonts w:hint="eastAsia" w:ascii="宋体" w:hAnsi="宋体" w:eastAsia="宋体" w:cs="宋体"/>
          <w:szCs w:val="21"/>
          <w:lang w:eastAsia="zh-CN"/>
        </w:rPr>
        <w:t>代理机构</w:t>
      </w:r>
      <w:r>
        <w:rPr>
          <w:rFonts w:hint="eastAsia" w:ascii="宋体" w:hAnsi="宋体" w:eastAsia="宋体" w:cs="宋体"/>
          <w:szCs w:val="21"/>
        </w:rPr>
        <w:t>使用CA证书对投标文件进行再次解密。</w:t>
      </w:r>
    </w:p>
    <w:p w14:paraId="53BA3D5B">
      <w:pPr>
        <w:snapToGrid w:val="0"/>
        <w:ind w:firstLine="420" w:firstLineChars="200"/>
        <w:rPr>
          <w:rFonts w:hint="eastAsia" w:ascii="宋体" w:hAnsi="宋体" w:eastAsia="宋体" w:cs="宋体"/>
          <w:b/>
          <w:szCs w:val="21"/>
        </w:rPr>
      </w:pPr>
      <w:r>
        <w:rPr>
          <w:rFonts w:hint="eastAsia" w:ascii="宋体" w:hAnsi="宋体" w:eastAsia="宋体" w:cs="宋体"/>
          <w:szCs w:val="21"/>
        </w:rPr>
        <w:t>3、电子化投标文件解密异常的处理</w:t>
      </w:r>
    </w:p>
    <w:p w14:paraId="2AD0AC1E">
      <w:pPr>
        <w:snapToGrid w:val="0"/>
        <w:ind w:firstLine="420" w:firstLineChars="200"/>
        <w:rPr>
          <w:rFonts w:hint="eastAsia" w:ascii="宋体" w:hAnsi="宋体" w:eastAsia="宋体" w:cs="宋体"/>
          <w:szCs w:val="21"/>
        </w:rPr>
      </w:pPr>
      <w:r>
        <w:rPr>
          <w:rFonts w:hint="eastAsia" w:ascii="宋体" w:hAnsi="宋体" w:eastAsia="宋体" w:cs="宋体"/>
          <w:szCs w:val="21"/>
        </w:rPr>
        <w:t>如出现供应商的电子投标文件无法解密的情况，供应商应及时致电</w:t>
      </w:r>
      <w:r>
        <w:rPr>
          <w:rFonts w:hint="eastAsia" w:ascii="宋体" w:hAnsi="宋体" w:eastAsia="宋体" w:cs="宋体"/>
          <w:szCs w:val="21"/>
          <w:lang w:eastAsia="zh-CN"/>
        </w:rPr>
        <w:t>代理机构</w:t>
      </w:r>
      <w:r>
        <w:rPr>
          <w:rFonts w:hint="eastAsia" w:ascii="宋体" w:hAnsi="宋体" w:eastAsia="宋体" w:cs="宋体"/>
          <w:szCs w:val="21"/>
        </w:rPr>
        <w:t>说明。投标文件解密异常，按以下步骤进行处理：</w:t>
      </w:r>
    </w:p>
    <w:p w14:paraId="2267CF7F">
      <w:pPr>
        <w:snapToGrid w:val="0"/>
        <w:ind w:firstLine="420" w:firstLineChars="200"/>
        <w:rPr>
          <w:rFonts w:hint="eastAsia" w:ascii="宋体" w:hAnsi="宋体" w:eastAsia="宋体" w:cs="宋体"/>
          <w:szCs w:val="21"/>
        </w:rPr>
      </w:pPr>
      <w:r>
        <w:rPr>
          <w:rFonts w:hint="eastAsia" w:ascii="宋体" w:hAnsi="宋体" w:eastAsia="宋体" w:cs="宋体"/>
          <w:szCs w:val="21"/>
        </w:rPr>
        <w:t>（1）首先由技术人员进行问题排查。</w:t>
      </w:r>
    </w:p>
    <w:p w14:paraId="038FF164">
      <w:pPr>
        <w:snapToGrid w:val="0"/>
        <w:ind w:firstLine="420" w:firstLineChars="200"/>
        <w:rPr>
          <w:rFonts w:hint="eastAsia" w:ascii="宋体" w:hAnsi="宋体" w:eastAsia="宋体" w:cs="宋体"/>
          <w:szCs w:val="21"/>
        </w:rPr>
      </w:pPr>
      <w:r>
        <w:rPr>
          <w:rFonts w:hint="eastAsia" w:ascii="宋体" w:hAnsi="宋体" w:eastAsia="宋体" w:cs="宋体"/>
          <w:szCs w:val="21"/>
        </w:rPr>
        <w:t>（2）经技术人员排查后，是供应商文件自身问题导致投标文件无法解密的，该投标文件将不予接收、解密和唱标。开标会议继续进行。</w:t>
      </w:r>
    </w:p>
    <w:p w14:paraId="442C29EC">
      <w:pPr>
        <w:snapToGrid w:val="0"/>
        <w:ind w:firstLine="420" w:firstLineChars="200"/>
        <w:rPr>
          <w:rFonts w:hint="eastAsia" w:ascii="宋体" w:hAnsi="宋体" w:eastAsia="宋体" w:cs="宋体"/>
          <w:szCs w:val="21"/>
        </w:rPr>
      </w:pPr>
      <w:r>
        <w:rPr>
          <w:rFonts w:hint="eastAsia" w:ascii="宋体" w:hAnsi="宋体" w:eastAsia="宋体" w:cs="宋体"/>
          <w:szCs w:val="21"/>
        </w:rPr>
        <w:t>（3）经技术人员排查后，如果是电子化交易系统问题造成投标文件无法解密的，将由技术人员对问题进行处理。如短时间内问题无法解决的，将由</w:t>
      </w:r>
      <w:r>
        <w:rPr>
          <w:rFonts w:hint="eastAsia" w:ascii="宋体" w:hAnsi="宋体" w:eastAsia="宋体" w:cs="宋体"/>
          <w:szCs w:val="21"/>
          <w:lang w:eastAsia="zh-CN"/>
        </w:rPr>
        <w:t>代理机构</w:t>
      </w:r>
      <w:r>
        <w:rPr>
          <w:rFonts w:hint="eastAsia" w:ascii="宋体" w:hAnsi="宋体" w:eastAsia="宋体" w:cs="宋体"/>
          <w:szCs w:val="21"/>
        </w:rPr>
        <w:t>向监督部门申请，经监督部门同意后，暂停开标会议，待问题解决后继续开标。</w:t>
      </w:r>
    </w:p>
    <w:p w14:paraId="6D511D18">
      <w:pPr>
        <w:snapToGrid w:val="0"/>
        <w:ind w:firstLine="420" w:firstLineChars="200"/>
        <w:rPr>
          <w:rFonts w:hint="eastAsia" w:ascii="宋体" w:hAnsi="宋体" w:eastAsia="宋体" w:cs="宋体"/>
          <w:szCs w:val="21"/>
        </w:rPr>
      </w:pPr>
      <w:r>
        <w:rPr>
          <w:rFonts w:hint="eastAsia" w:ascii="宋体" w:hAnsi="宋体" w:eastAsia="宋体" w:cs="宋体"/>
          <w:szCs w:val="21"/>
        </w:rPr>
        <w:t>4、待所有供应商投标文件解密完成后，</w:t>
      </w:r>
      <w:r>
        <w:rPr>
          <w:rFonts w:hint="eastAsia" w:ascii="宋体" w:hAnsi="宋体" w:eastAsia="宋体" w:cs="宋体"/>
          <w:szCs w:val="21"/>
          <w:lang w:eastAsia="zh-CN"/>
        </w:rPr>
        <w:t>代理机构</w:t>
      </w:r>
      <w:r>
        <w:rPr>
          <w:rFonts w:hint="eastAsia" w:ascii="宋体" w:hAnsi="宋体" w:eastAsia="宋体" w:cs="宋体"/>
          <w:szCs w:val="21"/>
        </w:rPr>
        <w:t>及所有供应商进行签章。开标结束。</w:t>
      </w:r>
    </w:p>
    <w:p w14:paraId="5BD6242B">
      <w:pPr>
        <w:snapToGrid w:val="0"/>
        <w:ind w:firstLine="422" w:firstLineChars="200"/>
        <w:rPr>
          <w:rFonts w:hint="eastAsia" w:ascii="宋体" w:hAnsi="宋体" w:eastAsia="宋体" w:cs="宋体"/>
          <w:kern w:val="0"/>
          <w:szCs w:val="21"/>
        </w:rPr>
      </w:pPr>
      <w:r>
        <w:rPr>
          <w:rFonts w:hint="eastAsia" w:ascii="宋体" w:hAnsi="宋体" w:eastAsia="宋体" w:cs="宋体"/>
          <w:b/>
          <w:szCs w:val="21"/>
        </w:rPr>
        <w:t>供应商应保证在开标期间电话、电脑、网络能够正常工作，供应商因停电、电脑病毒、网络堵塞等原因，未在规定的解密时间内对投标文件进行解密的，其投标文件不予接收。</w:t>
      </w:r>
    </w:p>
    <w:p w14:paraId="4136689A">
      <w:pPr>
        <w:snapToGrid w:val="0"/>
        <w:ind w:firstLine="420" w:firstLineChars="200"/>
        <w:rPr>
          <w:rFonts w:hint="eastAsia" w:ascii="宋体" w:hAnsi="宋体" w:eastAsia="宋体" w:cs="宋体"/>
          <w:kern w:val="0"/>
          <w:szCs w:val="21"/>
        </w:rPr>
      </w:pPr>
      <w:r>
        <w:rPr>
          <w:rFonts w:hint="eastAsia" w:ascii="宋体" w:hAnsi="宋体" w:eastAsia="宋体" w:cs="宋体"/>
          <w:kern w:val="0"/>
          <w:szCs w:val="21"/>
        </w:rPr>
        <w:t>5、解密完成后，供应商可登录到交易系统查看自己的投标报价。如对自己的报价内容有异议的，应在报价内容显示后20分钟内联系采购人（代理机构）进行质疑，供应商未在规定时间内提出质疑的，视为认可开标结果显示内容。</w:t>
      </w:r>
    </w:p>
    <w:p w14:paraId="5F57B3C2">
      <w:pPr>
        <w:snapToGrid w:val="0"/>
        <w:ind w:firstLine="420" w:firstLineChars="200"/>
        <w:rPr>
          <w:rFonts w:hint="eastAsia" w:ascii="宋体" w:hAnsi="宋体" w:eastAsia="宋体" w:cs="宋体"/>
          <w:szCs w:val="21"/>
        </w:rPr>
      </w:pPr>
      <w:r>
        <w:rPr>
          <w:rFonts w:hint="eastAsia" w:ascii="宋体" w:hAnsi="宋体" w:eastAsia="宋体" w:cs="宋体"/>
          <w:szCs w:val="21"/>
        </w:rPr>
        <w:t>6、评标时，评标委员会对电子化投标文件有质疑的，将通过电子化交易系统对供应商发起质疑。</w:t>
      </w:r>
    </w:p>
    <w:p w14:paraId="4298152F">
      <w:pPr>
        <w:pStyle w:val="3"/>
        <w:rPr>
          <w:rFonts w:hint="eastAsia" w:ascii="宋体" w:hAnsi="宋体" w:eastAsia="宋体" w:cs="宋体"/>
          <w:b/>
          <w:bCs w:val="0"/>
          <w:sz w:val="21"/>
          <w:szCs w:val="21"/>
        </w:rPr>
      </w:pPr>
      <w:bookmarkStart w:id="36" w:name="_Toc7926"/>
      <w:bookmarkStart w:id="37" w:name="_Toc413744059"/>
      <w:bookmarkStart w:id="38" w:name="_Toc6992"/>
      <w:bookmarkStart w:id="39" w:name="_Toc19929"/>
      <w:bookmarkStart w:id="40" w:name="_Toc29304"/>
      <w:bookmarkStart w:id="41" w:name="_Toc15389"/>
      <w:bookmarkStart w:id="42" w:name="_Toc9775"/>
      <w:r>
        <w:rPr>
          <w:rFonts w:hint="eastAsia" w:ascii="宋体" w:hAnsi="宋体" w:eastAsia="宋体" w:cs="宋体"/>
          <w:b/>
          <w:bCs w:val="0"/>
          <w:sz w:val="21"/>
          <w:szCs w:val="21"/>
        </w:rPr>
        <w:t>投标</w:t>
      </w:r>
      <w:bookmarkEnd w:id="36"/>
      <w:bookmarkEnd w:id="37"/>
      <w:bookmarkEnd w:id="38"/>
      <w:bookmarkEnd w:id="39"/>
      <w:bookmarkEnd w:id="40"/>
      <w:bookmarkEnd w:id="41"/>
      <w:bookmarkEnd w:id="42"/>
    </w:p>
    <w:p w14:paraId="5F7181A4">
      <w:pPr>
        <w:rPr>
          <w:rFonts w:hint="eastAsia" w:ascii="宋体" w:hAnsi="宋体" w:eastAsia="宋体" w:cs="宋体"/>
          <w:b/>
          <w:szCs w:val="21"/>
        </w:rPr>
      </w:pPr>
      <w:r>
        <w:rPr>
          <w:rFonts w:hint="eastAsia" w:ascii="宋体" w:hAnsi="宋体" w:eastAsia="宋体" w:cs="宋体"/>
          <w:b/>
          <w:szCs w:val="21"/>
        </w:rPr>
        <w:t>4.1投标文件的递交</w:t>
      </w:r>
    </w:p>
    <w:p w14:paraId="20875B0E">
      <w:pPr>
        <w:ind w:firstLine="420" w:firstLineChars="200"/>
        <w:rPr>
          <w:rFonts w:hint="eastAsia" w:ascii="宋体" w:hAnsi="宋体" w:eastAsia="宋体" w:cs="宋体"/>
          <w:szCs w:val="21"/>
        </w:rPr>
      </w:pPr>
      <w:r>
        <w:rPr>
          <w:rFonts w:hint="eastAsia" w:ascii="宋体" w:hAnsi="宋体" w:eastAsia="宋体" w:cs="宋体"/>
          <w:szCs w:val="21"/>
        </w:rPr>
        <w:t>4.1.1供应商应在供应商须知前附表第19项规定的投标截止时间前递交投标文件。</w:t>
      </w:r>
    </w:p>
    <w:p w14:paraId="03BCDFD6">
      <w:pPr>
        <w:ind w:firstLine="420" w:firstLineChars="200"/>
        <w:rPr>
          <w:rFonts w:hint="eastAsia" w:ascii="宋体" w:hAnsi="宋体" w:eastAsia="宋体" w:cs="宋体"/>
          <w:szCs w:val="21"/>
        </w:rPr>
      </w:pPr>
      <w:r>
        <w:rPr>
          <w:rFonts w:hint="eastAsia" w:ascii="宋体" w:hAnsi="宋体" w:eastAsia="宋体" w:cs="宋体"/>
          <w:szCs w:val="21"/>
        </w:rPr>
        <w:t>4.1.2供应商递交投标文件的地点：见供应商须知前附表。</w:t>
      </w:r>
    </w:p>
    <w:p w14:paraId="7FE3CD9C">
      <w:pPr>
        <w:ind w:firstLine="420" w:firstLineChars="200"/>
        <w:rPr>
          <w:rFonts w:hint="eastAsia" w:ascii="宋体" w:hAnsi="宋体" w:eastAsia="宋体" w:cs="宋体"/>
          <w:szCs w:val="21"/>
        </w:rPr>
      </w:pPr>
      <w:r>
        <w:rPr>
          <w:rFonts w:hint="eastAsia" w:ascii="宋体" w:hAnsi="宋体" w:eastAsia="宋体" w:cs="宋体"/>
          <w:szCs w:val="21"/>
        </w:rPr>
        <w:t>4.1.3按供应商须知前附表规定供应商所递交的投标文件不予退还。</w:t>
      </w:r>
    </w:p>
    <w:p w14:paraId="6153D4B4">
      <w:pPr>
        <w:ind w:firstLine="420" w:firstLineChars="200"/>
        <w:rPr>
          <w:rFonts w:hint="eastAsia" w:ascii="宋体" w:hAnsi="宋体" w:eastAsia="宋体" w:cs="宋体"/>
          <w:szCs w:val="21"/>
        </w:rPr>
      </w:pPr>
      <w:r>
        <w:rPr>
          <w:rFonts w:hint="eastAsia" w:ascii="宋体" w:hAnsi="宋体" w:eastAsia="宋体" w:cs="宋体"/>
          <w:szCs w:val="21"/>
        </w:rPr>
        <w:t>4.1.4逾期送达的或者未送达指定地点的投标文件，采购人不予接收。</w:t>
      </w:r>
    </w:p>
    <w:p w14:paraId="6813E11E">
      <w:pPr>
        <w:rPr>
          <w:rFonts w:hint="eastAsia" w:ascii="宋体" w:hAnsi="宋体" w:eastAsia="宋体" w:cs="宋体"/>
          <w:b/>
          <w:szCs w:val="21"/>
        </w:rPr>
      </w:pPr>
      <w:r>
        <w:rPr>
          <w:rFonts w:hint="eastAsia" w:ascii="宋体" w:hAnsi="宋体" w:eastAsia="宋体" w:cs="宋体"/>
          <w:b/>
          <w:szCs w:val="21"/>
        </w:rPr>
        <w:t>4.2投标文件的修改与撤回</w:t>
      </w:r>
    </w:p>
    <w:p w14:paraId="5DB03308">
      <w:pPr>
        <w:ind w:firstLine="420" w:firstLineChars="200"/>
        <w:rPr>
          <w:rFonts w:hint="eastAsia" w:ascii="宋体" w:hAnsi="宋体" w:eastAsia="宋体" w:cs="宋体"/>
          <w:szCs w:val="21"/>
        </w:rPr>
      </w:pPr>
      <w:r>
        <w:rPr>
          <w:rFonts w:hint="eastAsia" w:ascii="宋体" w:hAnsi="宋体" w:eastAsia="宋体" w:cs="宋体"/>
          <w:szCs w:val="21"/>
        </w:rPr>
        <w:t>4.2.1在供应商须知前附表第19项规定的投标截止时间前，供应商可以修改或撤回已上传的投标文件。</w:t>
      </w:r>
    </w:p>
    <w:p w14:paraId="4BA2B2C4">
      <w:pPr>
        <w:pStyle w:val="3"/>
        <w:rPr>
          <w:rFonts w:hint="eastAsia" w:ascii="宋体" w:hAnsi="宋体" w:eastAsia="宋体" w:cs="宋体"/>
          <w:b/>
          <w:bCs w:val="0"/>
          <w:sz w:val="21"/>
          <w:szCs w:val="21"/>
        </w:rPr>
      </w:pPr>
      <w:bookmarkStart w:id="43" w:name="_Toc27052"/>
      <w:bookmarkStart w:id="44" w:name="_Toc413744060"/>
      <w:bookmarkStart w:id="45" w:name="_Toc28267"/>
      <w:bookmarkStart w:id="46" w:name="_Toc11304"/>
      <w:bookmarkStart w:id="47" w:name="_Toc18501"/>
      <w:bookmarkStart w:id="48" w:name="_Toc696"/>
      <w:bookmarkStart w:id="49" w:name="_Toc19287"/>
      <w:r>
        <w:rPr>
          <w:rFonts w:hint="eastAsia" w:ascii="宋体" w:hAnsi="宋体" w:eastAsia="宋体" w:cs="宋体"/>
          <w:b/>
          <w:bCs w:val="0"/>
          <w:sz w:val="21"/>
          <w:szCs w:val="21"/>
        </w:rPr>
        <w:t>开标</w:t>
      </w:r>
      <w:bookmarkEnd w:id="43"/>
      <w:bookmarkEnd w:id="44"/>
      <w:bookmarkEnd w:id="45"/>
      <w:bookmarkEnd w:id="46"/>
      <w:bookmarkEnd w:id="47"/>
      <w:bookmarkEnd w:id="48"/>
      <w:bookmarkEnd w:id="49"/>
    </w:p>
    <w:p w14:paraId="3BB0E285">
      <w:pPr>
        <w:rPr>
          <w:rFonts w:hint="eastAsia" w:ascii="宋体" w:hAnsi="宋体" w:eastAsia="宋体" w:cs="宋体"/>
          <w:b/>
          <w:bCs/>
          <w:szCs w:val="21"/>
        </w:rPr>
      </w:pPr>
      <w:bookmarkStart w:id="50" w:name="_Toc7080"/>
      <w:bookmarkStart w:id="51" w:name="_Toc19092082"/>
      <w:r>
        <w:rPr>
          <w:rFonts w:hint="eastAsia" w:ascii="宋体" w:hAnsi="宋体" w:eastAsia="宋体" w:cs="宋体"/>
          <w:b/>
          <w:bCs/>
          <w:szCs w:val="21"/>
        </w:rPr>
        <w:t>5.1 开标时间和地点</w:t>
      </w:r>
      <w:bookmarkEnd w:id="50"/>
      <w:bookmarkEnd w:id="51"/>
    </w:p>
    <w:p w14:paraId="0BEECF94">
      <w:pPr>
        <w:ind w:firstLine="420" w:firstLineChars="200"/>
        <w:rPr>
          <w:rFonts w:hint="eastAsia" w:ascii="宋体" w:hAnsi="宋体" w:eastAsia="宋体" w:cs="宋体"/>
          <w:szCs w:val="21"/>
        </w:rPr>
      </w:pPr>
      <w:r>
        <w:rPr>
          <w:rFonts w:hint="eastAsia" w:ascii="宋体" w:hAnsi="宋体" w:eastAsia="宋体" w:cs="宋体"/>
          <w:szCs w:val="21"/>
        </w:rPr>
        <w:t>招标人在供应商须知前附表规定的投标截止时间（开标时间）和供应商须知前附表规定的地点远程在线解密投标文件，不再到开标现场。</w:t>
      </w:r>
    </w:p>
    <w:p w14:paraId="639E0A46">
      <w:pPr>
        <w:rPr>
          <w:rFonts w:hint="eastAsia" w:ascii="宋体" w:hAnsi="宋体" w:eastAsia="宋体" w:cs="宋体"/>
          <w:b/>
          <w:bCs/>
          <w:szCs w:val="21"/>
        </w:rPr>
      </w:pPr>
      <w:bookmarkStart w:id="52" w:name="_Toc19092083"/>
      <w:bookmarkStart w:id="53" w:name="_Toc13877"/>
      <w:r>
        <w:rPr>
          <w:rFonts w:hint="eastAsia" w:ascii="宋体" w:hAnsi="宋体" w:eastAsia="宋体" w:cs="宋体"/>
          <w:b/>
          <w:bCs/>
          <w:szCs w:val="21"/>
        </w:rPr>
        <w:t>5.2 开标程序</w:t>
      </w:r>
      <w:bookmarkEnd w:id="52"/>
      <w:bookmarkEnd w:id="53"/>
    </w:p>
    <w:p w14:paraId="40FD1165">
      <w:pPr>
        <w:ind w:firstLine="420" w:firstLineChars="200"/>
        <w:rPr>
          <w:rFonts w:hint="eastAsia" w:ascii="宋体" w:hAnsi="宋体" w:eastAsia="宋体" w:cs="宋体"/>
          <w:szCs w:val="21"/>
        </w:rPr>
      </w:pPr>
      <w:r>
        <w:rPr>
          <w:rFonts w:hint="eastAsia" w:ascii="宋体" w:hAnsi="宋体" w:eastAsia="宋体" w:cs="宋体"/>
          <w:szCs w:val="21"/>
        </w:rPr>
        <w:t>开标时，供应商采用网上远程异地解密时，请用CA证书登录平顶山市市公共资源交易中心业务系统，进入本项目不见面开标大厅点击解密来完成投标文件的解密工作。每位供应商的解密时间为开标时间起60分钟内完成，超过规定时间解密的投标文件不予受理。</w:t>
      </w:r>
    </w:p>
    <w:p w14:paraId="47913418">
      <w:pPr>
        <w:rPr>
          <w:rFonts w:hint="eastAsia" w:ascii="宋体" w:hAnsi="宋体" w:eastAsia="宋体" w:cs="宋体"/>
          <w:b/>
          <w:bCs/>
          <w:szCs w:val="21"/>
          <w:lang w:val="zh-CN"/>
        </w:rPr>
      </w:pPr>
      <w:r>
        <w:rPr>
          <w:rFonts w:hint="eastAsia" w:ascii="宋体" w:hAnsi="宋体" w:eastAsia="宋体" w:cs="宋体"/>
          <w:b/>
          <w:bCs/>
          <w:szCs w:val="21"/>
        </w:rPr>
        <w:t>5.3</w:t>
      </w:r>
      <w:r>
        <w:rPr>
          <w:rFonts w:hint="eastAsia" w:ascii="宋体" w:hAnsi="宋体" w:eastAsia="宋体" w:cs="宋体"/>
          <w:b/>
          <w:bCs/>
          <w:szCs w:val="21"/>
          <w:lang w:val="zh-CN"/>
        </w:rPr>
        <w:t>资格审查</w:t>
      </w:r>
    </w:p>
    <w:p w14:paraId="288865D8">
      <w:pPr>
        <w:ind w:firstLine="420" w:firstLineChars="200"/>
        <w:rPr>
          <w:rFonts w:hint="eastAsia" w:ascii="宋体" w:hAnsi="宋体" w:eastAsia="宋体" w:cs="宋体"/>
          <w:szCs w:val="21"/>
        </w:rPr>
      </w:pPr>
      <w:r>
        <w:rPr>
          <w:rFonts w:hint="eastAsia" w:ascii="宋体" w:hAnsi="宋体" w:eastAsia="宋体" w:cs="宋体"/>
          <w:szCs w:val="21"/>
        </w:rPr>
        <w:t>5.3.1开标结束后，采购人或者采购代理机构应当依法对供应商的资格性进行审查。具体内容详见第三章。</w:t>
      </w:r>
    </w:p>
    <w:p w14:paraId="13B7E33E">
      <w:pPr>
        <w:ind w:firstLine="420" w:firstLineChars="200"/>
        <w:rPr>
          <w:rFonts w:hint="eastAsia" w:ascii="宋体" w:hAnsi="宋体" w:eastAsia="宋体" w:cs="宋体"/>
          <w:b/>
          <w:szCs w:val="21"/>
        </w:rPr>
      </w:pPr>
      <w:r>
        <w:rPr>
          <w:rFonts w:hint="eastAsia" w:ascii="宋体" w:hAnsi="宋体" w:eastAsia="宋体" w:cs="宋体"/>
          <w:szCs w:val="21"/>
        </w:rPr>
        <w:t>5.3.2合格供应商不足3家的，不得评标。</w:t>
      </w:r>
    </w:p>
    <w:p w14:paraId="109577DA">
      <w:pPr>
        <w:rPr>
          <w:rFonts w:hint="eastAsia" w:ascii="宋体" w:hAnsi="宋体" w:eastAsia="宋体" w:cs="宋体"/>
          <w:b/>
          <w:szCs w:val="21"/>
        </w:rPr>
      </w:pPr>
      <w:r>
        <w:rPr>
          <w:rFonts w:hint="eastAsia" w:ascii="宋体" w:hAnsi="宋体" w:eastAsia="宋体" w:cs="宋体"/>
          <w:b/>
          <w:szCs w:val="21"/>
        </w:rPr>
        <w:t>5.4评标委员会</w:t>
      </w:r>
    </w:p>
    <w:p w14:paraId="51238DC2">
      <w:pPr>
        <w:ind w:firstLine="420" w:firstLineChars="200"/>
        <w:rPr>
          <w:rFonts w:hint="eastAsia" w:ascii="宋体" w:hAnsi="宋体" w:eastAsia="宋体" w:cs="宋体"/>
          <w:szCs w:val="21"/>
        </w:rPr>
      </w:pPr>
      <w:r>
        <w:rPr>
          <w:rFonts w:hint="eastAsia" w:ascii="宋体" w:hAnsi="宋体" w:eastAsia="宋体" w:cs="宋体"/>
          <w:szCs w:val="21"/>
        </w:rPr>
        <w:t>5.4.1评标由采购人依法组建的评标委员会负责。评标委员会由相关方面的专家组成。评标委员会成员人数及专家的确定方式见供应商须知前附表。</w:t>
      </w:r>
    </w:p>
    <w:p w14:paraId="5C0221B8">
      <w:pPr>
        <w:ind w:firstLine="420" w:firstLineChars="200"/>
        <w:rPr>
          <w:rFonts w:hint="eastAsia" w:ascii="宋体" w:hAnsi="宋体" w:eastAsia="宋体" w:cs="宋体"/>
          <w:szCs w:val="21"/>
        </w:rPr>
      </w:pPr>
      <w:r>
        <w:rPr>
          <w:rFonts w:hint="eastAsia" w:ascii="宋体" w:hAnsi="宋体" w:eastAsia="宋体" w:cs="宋体"/>
          <w:szCs w:val="21"/>
        </w:rPr>
        <w:t>5.4.2评标委员会成员有下列情形之一的，应当回避：</w:t>
      </w:r>
    </w:p>
    <w:p w14:paraId="58D46C4E">
      <w:pPr>
        <w:ind w:left="370"/>
        <w:rPr>
          <w:rFonts w:hint="eastAsia" w:ascii="宋体" w:hAnsi="宋体" w:eastAsia="宋体" w:cs="宋体"/>
          <w:szCs w:val="21"/>
        </w:rPr>
      </w:pPr>
      <w:r>
        <w:rPr>
          <w:rFonts w:hint="eastAsia" w:ascii="宋体" w:hAnsi="宋体" w:eastAsia="宋体" w:cs="宋体"/>
          <w:szCs w:val="21"/>
        </w:rPr>
        <w:t>（1）采购人或供应商的主要负责人的近亲属；</w:t>
      </w:r>
    </w:p>
    <w:p w14:paraId="684BCBB8">
      <w:pPr>
        <w:ind w:left="370"/>
        <w:rPr>
          <w:rFonts w:hint="eastAsia" w:ascii="宋体" w:hAnsi="宋体" w:eastAsia="宋体" w:cs="宋体"/>
          <w:szCs w:val="21"/>
        </w:rPr>
      </w:pPr>
      <w:r>
        <w:rPr>
          <w:rFonts w:hint="eastAsia" w:ascii="宋体" w:hAnsi="宋体" w:eastAsia="宋体" w:cs="宋体"/>
          <w:szCs w:val="21"/>
        </w:rPr>
        <w:t>（2）项目主管部门或者行政监督部门的人员；</w:t>
      </w:r>
    </w:p>
    <w:p w14:paraId="3ED33473">
      <w:pPr>
        <w:ind w:left="370"/>
        <w:rPr>
          <w:rFonts w:hint="eastAsia" w:ascii="宋体" w:hAnsi="宋体" w:eastAsia="宋体" w:cs="宋体"/>
          <w:szCs w:val="21"/>
        </w:rPr>
      </w:pPr>
      <w:r>
        <w:rPr>
          <w:rFonts w:hint="eastAsia" w:ascii="宋体" w:hAnsi="宋体" w:eastAsia="宋体" w:cs="宋体"/>
          <w:szCs w:val="21"/>
        </w:rPr>
        <w:t>（3）与供应商有经济利益关系，可能影响对投标公正评审的；</w:t>
      </w:r>
    </w:p>
    <w:p w14:paraId="478FFB1D">
      <w:pPr>
        <w:ind w:left="370"/>
        <w:rPr>
          <w:rFonts w:hint="eastAsia" w:ascii="宋体" w:hAnsi="宋体" w:eastAsia="宋体" w:cs="宋体"/>
          <w:szCs w:val="21"/>
        </w:rPr>
      </w:pPr>
      <w:r>
        <w:rPr>
          <w:rFonts w:hint="eastAsia" w:ascii="宋体" w:hAnsi="宋体" w:eastAsia="宋体" w:cs="宋体"/>
          <w:szCs w:val="21"/>
        </w:rPr>
        <w:t>（4）曾因在招标、评标以及其他与招标投标有关活动中从事违法行为而受过行政处罚或刑事处罚的。</w:t>
      </w:r>
    </w:p>
    <w:p w14:paraId="79A1717B">
      <w:pPr>
        <w:rPr>
          <w:rFonts w:hint="eastAsia" w:ascii="宋体" w:hAnsi="宋体" w:eastAsia="宋体" w:cs="宋体"/>
          <w:b/>
          <w:szCs w:val="21"/>
        </w:rPr>
      </w:pPr>
      <w:r>
        <w:rPr>
          <w:rFonts w:hint="eastAsia" w:ascii="宋体" w:hAnsi="宋体" w:eastAsia="宋体" w:cs="宋体"/>
          <w:b/>
          <w:szCs w:val="21"/>
        </w:rPr>
        <w:t>5.4评标原则</w:t>
      </w:r>
    </w:p>
    <w:p w14:paraId="418B75BE">
      <w:pPr>
        <w:ind w:firstLine="420" w:firstLineChars="200"/>
        <w:rPr>
          <w:rFonts w:hint="eastAsia" w:ascii="宋体" w:hAnsi="宋体" w:eastAsia="宋体" w:cs="宋体"/>
          <w:szCs w:val="21"/>
        </w:rPr>
      </w:pPr>
      <w:r>
        <w:rPr>
          <w:rFonts w:hint="eastAsia" w:ascii="宋体" w:hAnsi="宋体" w:eastAsia="宋体" w:cs="宋体"/>
          <w:szCs w:val="21"/>
        </w:rPr>
        <w:t>评标活动遵循公平、公正、科学和择优的原则。</w:t>
      </w:r>
    </w:p>
    <w:p w14:paraId="1E30CFD2">
      <w:pPr>
        <w:rPr>
          <w:rFonts w:hint="eastAsia" w:ascii="宋体" w:hAnsi="宋体" w:eastAsia="宋体" w:cs="宋体"/>
          <w:b/>
          <w:szCs w:val="21"/>
        </w:rPr>
      </w:pPr>
      <w:r>
        <w:rPr>
          <w:rFonts w:hint="eastAsia" w:ascii="宋体" w:hAnsi="宋体" w:eastAsia="宋体" w:cs="宋体"/>
          <w:b/>
          <w:szCs w:val="21"/>
        </w:rPr>
        <w:t>5.5评标</w:t>
      </w:r>
    </w:p>
    <w:p w14:paraId="51A15DF1">
      <w:pPr>
        <w:ind w:firstLine="420" w:firstLineChars="200"/>
        <w:rPr>
          <w:rFonts w:hint="eastAsia" w:ascii="宋体" w:hAnsi="宋体" w:eastAsia="宋体" w:cs="宋体"/>
          <w:szCs w:val="21"/>
        </w:rPr>
      </w:pPr>
      <w:r>
        <w:rPr>
          <w:rFonts w:hint="eastAsia" w:ascii="宋体" w:hAnsi="宋体" w:eastAsia="宋体" w:cs="宋体"/>
          <w:szCs w:val="21"/>
        </w:rPr>
        <w:t>评标委员会按照第三章“评标办法”规定的评审方法、评审因素、标准和程序对投标文件进行评审。第三章“评标办法”没有规定的方法、因素和标准不作为评审的依据。</w:t>
      </w:r>
    </w:p>
    <w:p w14:paraId="369DB84C">
      <w:pPr>
        <w:pStyle w:val="3"/>
        <w:rPr>
          <w:rFonts w:hint="eastAsia" w:ascii="宋体" w:hAnsi="宋体" w:eastAsia="宋体" w:cs="宋体"/>
          <w:b/>
          <w:bCs w:val="0"/>
          <w:sz w:val="21"/>
          <w:szCs w:val="21"/>
        </w:rPr>
      </w:pPr>
      <w:bookmarkStart w:id="54" w:name="_Toc32686"/>
      <w:bookmarkStart w:id="55" w:name="_Toc413744062"/>
      <w:bookmarkStart w:id="56" w:name="_Toc19586"/>
      <w:bookmarkStart w:id="57" w:name="_Toc7261"/>
      <w:bookmarkStart w:id="58" w:name="_Toc21207"/>
      <w:bookmarkStart w:id="59" w:name="_Toc1350"/>
      <w:bookmarkStart w:id="60" w:name="_Toc7994"/>
      <w:r>
        <w:rPr>
          <w:rFonts w:hint="eastAsia" w:ascii="宋体" w:hAnsi="宋体" w:eastAsia="宋体" w:cs="宋体"/>
          <w:b/>
          <w:bCs w:val="0"/>
          <w:sz w:val="21"/>
          <w:szCs w:val="21"/>
        </w:rPr>
        <w:t>合同授予</w:t>
      </w:r>
      <w:bookmarkEnd w:id="54"/>
      <w:bookmarkEnd w:id="55"/>
      <w:bookmarkEnd w:id="56"/>
      <w:bookmarkEnd w:id="57"/>
      <w:bookmarkEnd w:id="58"/>
      <w:bookmarkEnd w:id="59"/>
      <w:bookmarkEnd w:id="60"/>
    </w:p>
    <w:p w14:paraId="5BB41BF7">
      <w:pPr>
        <w:rPr>
          <w:rFonts w:hint="eastAsia" w:ascii="宋体" w:hAnsi="宋体" w:eastAsia="宋体" w:cs="宋体"/>
          <w:b/>
          <w:szCs w:val="21"/>
        </w:rPr>
      </w:pPr>
      <w:r>
        <w:rPr>
          <w:rFonts w:hint="eastAsia" w:ascii="宋体" w:hAnsi="宋体" w:eastAsia="宋体" w:cs="宋体"/>
          <w:b/>
          <w:szCs w:val="21"/>
        </w:rPr>
        <w:t>6.1定标方式</w:t>
      </w:r>
    </w:p>
    <w:p w14:paraId="27A1C333">
      <w:pPr>
        <w:ind w:firstLine="420" w:firstLineChars="200"/>
        <w:rPr>
          <w:rFonts w:hint="eastAsia" w:ascii="宋体" w:hAnsi="宋体" w:eastAsia="宋体" w:cs="宋体"/>
          <w:szCs w:val="21"/>
        </w:rPr>
      </w:pPr>
      <w:bookmarkStart w:id="61" w:name="_Toc280457945"/>
      <w:bookmarkStart w:id="62" w:name="_Toc293925044"/>
      <w:r>
        <w:rPr>
          <w:rFonts w:hint="eastAsia" w:ascii="宋体" w:hAnsi="宋体" w:eastAsia="宋体" w:cs="宋体"/>
          <w:szCs w:val="21"/>
        </w:rPr>
        <w:t>6.1.1除供应商须知前附表规定评标委员会直接确定成交供应商外，采购人依据评标委员会推荐的中标候选人中确定成交供应商，评标委员会推荐中标候选人的人数见供应商须知前附表。</w:t>
      </w:r>
    </w:p>
    <w:p w14:paraId="03CA47A9">
      <w:pPr>
        <w:ind w:firstLine="315" w:firstLineChars="150"/>
        <w:rPr>
          <w:rFonts w:hint="eastAsia" w:ascii="宋体" w:hAnsi="宋体" w:eastAsia="宋体" w:cs="宋体"/>
          <w:szCs w:val="21"/>
        </w:rPr>
      </w:pPr>
      <w:r>
        <w:rPr>
          <w:rFonts w:hint="eastAsia" w:ascii="宋体" w:hAnsi="宋体" w:eastAsia="宋体" w:cs="宋体"/>
          <w:szCs w:val="21"/>
        </w:rPr>
        <w:t>6.1.2</w:t>
      </w:r>
      <w:bookmarkEnd w:id="61"/>
      <w:bookmarkEnd w:id="62"/>
      <w:r>
        <w:rPr>
          <w:rFonts w:hint="eastAsia" w:ascii="宋体" w:hAnsi="宋体" w:eastAsia="宋体" w:cs="宋体"/>
          <w:szCs w:val="21"/>
        </w:rPr>
        <w:t>中标人或者成交供应商拒绝与采购人签订合同的，采购人可以按照评审报告推荐的中标或者成交候选人名单排序，确定下一候选人为中标人或者成交供应商，也可以重新开展政府采购活动。因上述原因被取消中标资格的中标候选人承担因此给采购人造成的其它损失。</w:t>
      </w:r>
    </w:p>
    <w:p w14:paraId="022BC07E">
      <w:pPr>
        <w:rPr>
          <w:rFonts w:hint="eastAsia" w:ascii="宋体" w:hAnsi="宋体" w:eastAsia="宋体" w:cs="宋体"/>
          <w:b/>
          <w:szCs w:val="21"/>
        </w:rPr>
      </w:pPr>
      <w:r>
        <w:rPr>
          <w:rFonts w:hint="eastAsia" w:ascii="宋体" w:hAnsi="宋体" w:eastAsia="宋体" w:cs="宋体"/>
          <w:b/>
          <w:szCs w:val="21"/>
        </w:rPr>
        <w:t>6.2中标通知</w:t>
      </w:r>
    </w:p>
    <w:p w14:paraId="638447AF">
      <w:pPr>
        <w:ind w:firstLine="420" w:firstLineChars="200"/>
        <w:rPr>
          <w:rFonts w:hint="eastAsia" w:ascii="宋体" w:hAnsi="宋体" w:eastAsia="宋体" w:cs="宋体"/>
          <w:szCs w:val="21"/>
        </w:rPr>
      </w:pPr>
      <w:r>
        <w:rPr>
          <w:rFonts w:hint="eastAsia" w:ascii="宋体" w:hAnsi="宋体" w:eastAsia="宋体" w:cs="宋体"/>
          <w:szCs w:val="21"/>
        </w:rPr>
        <w:t>采购人或者采购代理机构在评审结束后1日内确定采购结果，同时对中标单位发出中标或成交通知书，并在网上进行公告。</w:t>
      </w:r>
    </w:p>
    <w:p w14:paraId="64BF0155">
      <w:pPr>
        <w:rPr>
          <w:rFonts w:hint="eastAsia" w:ascii="宋体" w:hAnsi="宋体" w:eastAsia="宋体" w:cs="宋体"/>
          <w:b/>
          <w:szCs w:val="21"/>
        </w:rPr>
      </w:pPr>
      <w:r>
        <w:rPr>
          <w:rFonts w:hint="eastAsia" w:ascii="宋体" w:hAnsi="宋体" w:eastAsia="宋体" w:cs="宋体"/>
          <w:b/>
          <w:szCs w:val="21"/>
        </w:rPr>
        <w:t xml:space="preserve">6.3履约保证金 </w:t>
      </w:r>
    </w:p>
    <w:p w14:paraId="0EA2F4EC">
      <w:pPr>
        <w:pStyle w:val="22"/>
        <w:ind w:firstLineChars="200"/>
        <w:rPr>
          <w:rFonts w:hint="eastAsia" w:ascii="宋体" w:hAnsi="宋体" w:cs="宋体"/>
          <w:szCs w:val="21"/>
        </w:rPr>
      </w:pPr>
      <w:r>
        <w:rPr>
          <w:rFonts w:hint="eastAsia" w:ascii="宋体" w:hAnsi="宋体" w:cs="宋体"/>
          <w:szCs w:val="21"/>
        </w:rPr>
        <w:t>不收取。</w:t>
      </w:r>
    </w:p>
    <w:p w14:paraId="1C9AA973">
      <w:pPr>
        <w:rPr>
          <w:rFonts w:hint="eastAsia" w:ascii="宋体" w:hAnsi="宋体" w:eastAsia="宋体" w:cs="宋体"/>
          <w:szCs w:val="21"/>
        </w:rPr>
      </w:pPr>
      <w:r>
        <w:rPr>
          <w:rFonts w:hint="eastAsia" w:ascii="宋体" w:hAnsi="宋体" w:eastAsia="宋体" w:cs="宋体"/>
          <w:b/>
          <w:szCs w:val="21"/>
        </w:rPr>
        <w:t>6.4签订合同</w:t>
      </w:r>
    </w:p>
    <w:p w14:paraId="74635E97">
      <w:pPr>
        <w:ind w:firstLine="420" w:firstLineChars="200"/>
        <w:rPr>
          <w:rFonts w:hint="eastAsia" w:ascii="宋体" w:hAnsi="宋体" w:eastAsia="宋体" w:cs="宋体"/>
          <w:szCs w:val="21"/>
        </w:rPr>
      </w:pPr>
      <w:r>
        <w:rPr>
          <w:rFonts w:hint="eastAsia" w:ascii="宋体" w:hAnsi="宋体" w:eastAsia="宋体" w:cs="宋体"/>
          <w:szCs w:val="21"/>
        </w:rPr>
        <w:t>6.4.1采购人和中标人应当按“投标须知前附表”中的要求签订合同，中标人无正当理由拒签合同的，采购人取消其中标资格；给采购人造成损失的，中标人应当予以赔偿。</w:t>
      </w:r>
    </w:p>
    <w:p w14:paraId="2330C171">
      <w:pPr>
        <w:ind w:firstLine="420" w:firstLineChars="200"/>
        <w:rPr>
          <w:rFonts w:hint="eastAsia" w:ascii="宋体" w:hAnsi="宋体" w:eastAsia="宋体" w:cs="宋体"/>
          <w:szCs w:val="21"/>
        </w:rPr>
      </w:pPr>
      <w:r>
        <w:rPr>
          <w:rFonts w:hint="eastAsia" w:ascii="宋体" w:hAnsi="宋体" w:eastAsia="宋体" w:cs="宋体"/>
          <w:szCs w:val="21"/>
        </w:rPr>
        <w:t>6.4.2中标人拒绝与采购人签订合同的，采购人可以按照评审报告推荐的中标候选人名单排序，确定下一候选人为中标人，也可以重新开展政府采购活动。</w:t>
      </w:r>
    </w:p>
    <w:p w14:paraId="2079C5D3">
      <w:pPr>
        <w:pStyle w:val="3"/>
        <w:numPr>
          <w:ilvl w:val="0"/>
          <w:numId w:val="0"/>
        </w:numPr>
        <w:rPr>
          <w:rFonts w:hint="eastAsia" w:ascii="宋体" w:hAnsi="宋体" w:eastAsia="宋体" w:cs="宋体"/>
          <w:b/>
          <w:bCs w:val="0"/>
          <w:sz w:val="21"/>
          <w:szCs w:val="21"/>
        </w:rPr>
      </w:pPr>
      <w:bookmarkStart w:id="63" w:name="_Toc18601"/>
      <w:bookmarkStart w:id="64" w:name="_Toc5779"/>
      <w:bookmarkStart w:id="65" w:name="_Toc12503"/>
      <w:bookmarkStart w:id="66" w:name="_Toc32193"/>
      <w:bookmarkStart w:id="67" w:name="_Toc16305"/>
      <w:bookmarkStart w:id="68" w:name="_Toc936"/>
      <w:bookmarkStart w:id="69" w:name="_Toc413744064"/>
      <w:r>
        <w:rPr>
          <w:rFonts w:hint="eastAsia" w:ascii="宋体" w:hAnsi="宋体" w:eastAsia="宋体" w:cs="宋体"/>
          <w:b/>
          <w:bCs w:val="0"/>
          <w:sz w:val="21"/>
          <w:szCs w:val="21"/>
        </w:rPr>
        <w:t>7.废标</w:t>
      </w:r>
      <w:bookmarkEnd w:id="63"/>
      <w:bookmarkEnd w:id="64"/>
      <w:bookmarkEnd w:id="65"/>
      <w:bookmarkEnd w:id="66"/>
      <w:bookmarkEnd w:id="67"/>
      <w:bookmarkEnd w:id="68"/>
    </w:p>
    <w:p w14:paraId="7AA6E4D9">
      <w:pPr>
        <w:rPr>
          <w:rFonts w:hint="eastAsia" w:ascii="宋体" w:hAnsi="宋体" w:eastAsia="宋体" w:cs="宋体"/>
          <w:b/>
          <w:szCs w:val="21"/>
        </w:rPr>
      </w:pPr>
      <w:r>
        <w:rPr>
          <w:rFonts w:hint="eastAsia" w:ascii="宋体" w:hAnsi="宋体" w:eastAsia="宋体" w:cs="宋体"/>
          <w:b/>
          <w:szCs w:val="21"/>
        </w:rPr>
        <w:t>7.1在招标采购中，出现下列情形之一的，应予废标：</w:t>
      </w:r>
    </w:p>
    <w:p w14:paraId="6FA657AF">
      <w:pPr>
        <w:ind w:firstLine="420" w:firstLineChars="200"/>
        <w:rPr>
          <w:rFonts w:hint="eastAsia" w:ascii="宋体" w:hAnsi="宋体" w:eastAsia="宋体" w:cs="宋体"/>
          <w:szCs w:val="21"/>
        </w:rPr>
      </w:pPr>
      <w:bookmarkStart w:id="70" w:name="_Toc2225"/>
      <w:r>
        <w:rPr>
          <w:rFonts w:hint="eastAsia" w:ascii="宋体" w:hAnsi="宋体" w:eastAsia="宋体" w:cs="宋体"/>
          <w:szCs w:val="21"/>
        </w:rPr>
        <w:t>7.1.1不符合供应商资格要求的；</w:t>
      </w:r>
    </w:p>
    <w:p w14:paraId="5B7EC258">
      <w:pPr>
        <w:ind w:firstLine="420" w:firstLineChars="200"/>
        <w:rPr>
          <w:rFonts w:hint="eastAsia" w:ascii="宋体" w:hAnsi="宋体" w:eastAsia="宋体" w:cs="宋体"/>
          <w:szCs w:val="21"/>
        </w:rPr>
      </w:pPr>
      <w:r>
        <w:rPr>
          <w:rFonts w:hint="eastAsia" w:ascii="宋体" w:hAnsi="宋体" w:eastAsia="宋体" w:cs="宋体"/>
          <w:szCs w:val="21"/>
        </w:rPr>
        <w:t>7.1.2投标有效期不满足招标文件要求的；</w:t>
      </w:r>
    </w:p>
    <w:p w14:paraId="28F287DB">
      <w:pPr>
        <w:pStyle w:val="22"/>
        <w:ind w:firstLine="210"/>
        <w:rPr>
          <w:rFonts w:hint="eastAsia" w:ascii="宋体" w:hAnsi="宋体" w:cs="宋体"/>
          <w:szCs w:val="21"/>
        </w:rPr>
      </w:pPr>
      <w:r>
        <w:rPr>
          <w:rFonts w:hint="eastAsia" w:ascii="宋体" w:hAnsi="宋体" w:cs="宋体"/>
          <w:szCs w:val="21"/>
        </w:rPr>
        <w:t xml:space="preserve">  7.1.3服务期限不满足招标文件要求的；</w:t>
      </w:r>
    </w:p>
    <w:p w14:paraId="7B52A6E2">
      <w:pPr>
        <w:ind w:firstLine="420" w:firstLineChars="200"/>
        <w:rPr>
          <w:rFonts w:hint="eastAsia" w:ascii="宋体" w:hAnsi="宋体" w:eastAsia="宋体" w:cs="宋体"/>
          <w:szCs w:val="21"/>
        </w:rPr>
      </w:pPr>
      <w:r>
        <w:rPr>
          <w:rFonts w:hint="eastAsia" w:ascii="宋体" w:hAnsi="宋体" w:eastAsia="宋体" w:cs="宋体"/>
          <w:szCs w:val="21"/>
        </w:rPr>
        <w:t>7.1.4供应商串通投标或提供虚假资料的；</w:t>
      </w:r>
    </w:p>
    <w:p w14:paraId="2CD93380">
      <w:pPr>
        <w:rPr>
          <w:rFonts w:hint="eastAsia" w:ascii="宋体" w:hAnsi="宋体" w:eastAsia="宋体" w:cs="宋体"/>
          <w:b/>
          <w:szCs w:val="21"/>
        </w:rPr>
      </w:pPr>
      <w:r>
        <w:rPr>
          <w:rFonts w:hint="eastAsia" w:ascii="宋体" w:hAnsi="宋体" w:eastAsia="宋体" w:cs="宋体"/>
          <w:b/>
          <w:szCs w:val="21"/>
        </w:rPr>
        <w:t>7.2 纪律和监督</w:t>
      </w:r>
      <w:bookmarkEnd w:id="69"/>
      <w:bookmarkEnd w:id="70"/>
    </w:p>
    <w:p w14:paraId="239971AB">
      <w:pPr>
        <w:ind w:firstLine="422" w:firstLineChars="200"/>
        <w:rPr>
          <w:rFonts w:hint="eastAsia" w:ascii="宋体" w:hAnsi="宋体" w:eastAsia="宋体" w:cs="宋体"/>
          <w:b/>
          <w:szCs w:val="21"/>
        </w:rPr>
      </w:pPr>
      <w:r>
        <w:rPr>
          <w:rFonts w:hint="eastAsia" w:ascii="宋体" w:hAnsi="宋体" w:eastAsia="宋体" w:cs="宋体"/>
          <w:b/>
          <w:szCs w:val="21"/>
        </w:rPr>
        <w:t>对采购人的纪律要求</w:t>
      </w:r>
    </w:p>
    <w:p w14:paraId="50AA817D">
      <w:pPr>
        <w:ind w:firstLine="420" w:firstLineChars="200"/>
        <w:rPr>
          <w:rFonts w:hint="eastAsia" w:ascii="宋体" w:hAnsi="宋体" w:eastAsia="宋体" w:cs="宋体"/>
          <w:szCs w:val="21"/>
        </w:rPr>
      </w:pPr>
      <w:r>
        <w:rPr>
          <w:rFonts w:hint="eastAsia" w:ascii="宋体" w:hAnsi="宋体" w:eastAsia="宋体" w:cs="宋体"/>
          <w:szCs w:val="21"/>
        </w:rPr>
        <w:t>采购人不得泄漏招标投标活动中应当保密的情况和资料，不得与供应商串通损害国家利益、社会公共利益或者他人合法权益。</w:t>
      </w:r>
    </w:p>
    <w:p w14:paraId="3836867B">
      <w:pPr>
        <w:rPr>
          <w:rFonts w:hint="eastAsia" w:ascii="宋体" w:hAnsi="宋体" w:eastAsia="宋体" w:cs="宋体"/>
          <w:b/>
          <w:szCs w:val="21"/>
        </w:rPr>
      </w:pPr>
      <w:r>
        <w:rPr>
          <w:rFonts w:hint="eastAsia" w:ascii="宋体" w:hAnsi="宋体" w:eastAsia="宋体" w:cs="宋体"/>
          <w:b/>
          <w:szCs w:val="21"/>
        </w:rPr>
        <w:t>7.3对供应商的纪律要求</w:t>
      </w:r>
    </w:p>
    <w:p w14:paraId="1ED1F002">
      <w:pPr>
        <w:ind w:firstLine="420" w:firstLineChars="200"/>
        <w:rPr>
          <w:rFonts w:hint="eastAsia" w:ascii="宋体" w:hAnsi="宋体" w:eastAsia="宋体" w:cs="宋体"/>
          <w:szCs w:val="21"/>
        </w:rPr>
      </w:pPr>
      <w:r>
        <w:rPr>
          <w:rFonts w:hint="eastAsia" w:ascii="宋体" w:hAnsi="宋体" w:eastAsia="宋体" w:cs="宋体"/>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6F12F9A">
      <w:pPr>
        <w:rPr>
          <w:rFonts w:hint="eastAsia" w:ascii="宋体" w:hAnsi="宋体" w:eastAsia="宋体" w:cs="宋体"/>
          <w:b/>
          <w:szCs w:val="21"/>
        </w:rPr>
      </w:pPr>
      <w:r>
        <w:rPr>
          <w:rFonts w:hint="eastAsia" w:ascii="宋体" w:hAnsi="宋体" w:eastAsia="宋体" w:cs="宋体"/>
          <w:b/>
          <w:szCs w:val="21"/>
        </w:rPr>
        <w:t>7.4对评标委员会成员的纪律要求</w:t>
      </w:r>
    </w:p>
    <w:p w14:paraId="1DBC0D99">
      <w:pPr>
        <w:ind w:firstLine="420" w:firstLineChars="200"/>
        <w:rPr>
          <w:rFonts w:hint="eastAsia" w:ascii="宋体" w:hAnsi="宋体" w:eastAsia="宋体" w:cs="宋体"/>
          <w:szCs w:val="21"/>
        </w:rPr>
      </w:pPr>
      <w:r>
        <w:rPr>
          <w:rFonts w:hint="eastAsia" w:ascii="宋体" w:hAnsi="宋体" w:eastAsia="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2627ABA">
      <w:pPr>
        <w:rPr>
          <w:rFonts w:hint="eastAsia" w:ascii="宋体" w:hAnsi="宋体" w:eastAsia="宋体" w:cs="宋体"/>
          <w:b/>
          <w:szCs w:val="21"/>
        </w:rPr>
      </w:pPr>
      <w:r>
        <w:rPr>
          <w:rFonts w:hint="eastAsia" w:ascii="宋体" w:hAnsi="宋体" w:eastAsia="宋体" w:cs="宋体"/>
          <w:b/>
          <w:szCs w:val="21"/>
        </w:rPr>
        <w:t>7.5对与评标活动有关的工作人员的纪律要求</w:t>
      </w:r>
    </w:p>
    <w:p w14:paraId="270B0ABD">
      <w:pPr>
        <w:ind w:firstLine="420" w:firstLineChars="200"/>
        <w:rPr>
          <w:rFonts w:hint="eastAsia" w:ascii="宋体" w:hAnsi="宋体" w:eastAsia="宋体" w:cs="宋体"/>
          <w:szCs w:val="21"/>
        </w:rPr>
      </w:pPr>
      <w:r>
        <w:rPr>
          <w:rFonts w:hint="eastAsia" w:ascii="宋体" w:hAnsi="宋体" w:eastAsia="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A7ADFA">
      <w:pPr>
        <w:pStyle w:val="3"/>
        <w:numPr>
          <w:ilvl w:val="0"/>
          <w:numId w:val="0"/>
        </w:numPr>
        <w:rPr>
          <w:rFonts w:hint="eastAsia" w:ascii="宋体" w:hAnsi="宋体" w:eastAsia="宋体" w:cs="宋体"/>
          <w:b/>
          <w:bCs w:val="0"/>
          <w:sz w:val="21"/>
          <w:szCs w:val="21"/>
        </w:rPr>
      </w:pPr>
      <w:bookmarkStart w:id="71" w:name="_Toc22422"/>
      <w:bookmarkStart w:id="72" w:name="_Toc27339"/>
      <w:bookmarkStart w:id="73" w:name="_Toc5979"/>
      <w:bookmarkStart w:id="74" w:name="_Toc413744065"/>
      <w:bookmarkStart w:id="75" w:name="_Toc21020"/>
      <w:bookmarkStart w:id="76" w:name="_Toc16184"/>
      <w:bookmarkStart w:id="77" w:name="_Toc21022"/>
      <w:bookmarkStart w:id="78" w:name="_Toc230512731"/>
      <w:r>
        <w:rPr>
          <w:rFonts w:hint="eastAsia" w:ascii="宋体" w:hAnsi="宋体" w:eastAsia="宋体" w:cs="宋体"/>
          <w:b/>
          <w:bCs w:val="0"/>
          <w:sz w:val="21"/>
          <w:szCs w:val="21"/>
        </w:rPr>
        <w:t>8.需要补充的其他内容</w:t>
      </w:r>
      <w:bookmarkEnd w:id="71"/>
      <w:bookmarkEnd w:id="72"/>
      <w:bookmarkEnd w:id="73"/>
      <w:bookmarkEnd w:id="74"/>
      <w:bookmarkEnd w:id="75"/>
      <w:bookmarkEnd w:id="76"/>
      <w:bookmarkEnd w:id="77"/>
      <w:bookmarkEnd w:id="78"/>
      <w:r>
        <w:rPr>
          <w:rFonts w:hint="eastAsia" w:ascii="宋体" w:hAnsi="宋体" w:eastAsia="宋体" w:cs="宋体"/>
          <w:b/>
          <w:bCs w:val="0"/>
          <w:sz w:val="21"/>
          <w:szCs w:val="21"/>
        </w:rPr>
        <w:t xml:space="preserve"> </w:t>
      </w:r>
    </w:p>
    <w:p w14:paraId="54CA4E4C">
      <w:pPr>
        <w:ind w:firstLine="420" w:firstLineChars="200"/>
        <w:rPr>
          <w:rFonts w:hint="eastAsia" w:ascii="宋体" w:hAnsi="宋体" w:eastAsia="宋体" w:cs="宋体"/>
          <w:szCs w:val="21"/>
        </w:rPr>
      </w:pPr>
      <w:r>
        <w:rPr>
          <w:rFonts w:hint="eastAsia" w:ascii="宋体" w:hAnsi="宋体" w:eastAsia="宋体" w:cs="宋体"/>
          <w:szCs w:val="21"/>
        </w:rPr>
        <w:t>需要补充的其他内容：见供应商须知前附表。</w:t>
      </w:r>
    </w:p>
    <w:p w14:paraId="702AAAD3">
      <w:pPr>
        <w:spacing w:line="20" w:lineRule="exact"/>
      </w:pPr>
      <w:r>
        <w:rPr>
          <w:rFonts w:hint="eastAsia" w:ascii="宋体" w:hAnsi="宋体" w:eastAsia="宋体" w:cs="宋体"/>
        </w:rPr>
        <w:br w:type="page"/>
      </w:r>
    </w:p>
    <w:p w14:paraId="2FE84C1A">
      <w:pPr>
        <w:pStyle w:val="2"/>
        <w:spacing w:beforeLines="0" w:afterLines="0"/>
        <w:jc w:val="center"/>
        <w:rPr>
          <w:rStyle w:val="39"/>
          <w:rFonts w:hint="eastAsia" w:ascii="宋体" w:hAnsi="宋体" w:cs="宋体"/>
          <w:b/>
          <w:bCs/>
        </w:rPr>
      </w:pPr>
      <w:bookmarkStart w:id="79" w:name="_Toc12518"/>
      <w:r>
        <w:rPr>
          <w:rStyle w:val="39"/>
          <w:rFonts w:hint="eastAsia" w:ascii="宋体" w:hAnsi="宋体" w:cs="宋体"/>
          <w:b/>
          <w:bCs/>
        </w:rPr>
        <w:t>第三章  评标办法</w:t>
      </w:r>
      <w:bookmarkEnd w:id="79"/>
    </w:p>
    <w:p w14:paraId="7DBC4733">
      <w:pPr>
        <w:jc w:val="center"/>
        <w:rPr>
          <w:rFonts w:hint="eastAsia" w:ascii="宋体" w:hAnsi="宋体" w:eastAsia="宋体" w:cs="宋体"/>
          <w:b/>
          <w:bCs/>
          <w:sz w:val="28"/>
          <w:szCs w:val="28"/>
        </w:rPr>
      </w:pPr>
      <w:bookmarkStart w:id="80" w:name="_Toc9629"/>
      <w:bookmarkStart w:id="81" w:name="_Toc14443"/>
      <w:bookmarkStart w:id="82" w:name="_Toc511"/>
      <w:bookmarkStart w:id="83" w:name="_Toc7113"/>
      <w:r>
        <w:rPr>
          <w:rFonts w:hint="eastAsia" w:ascii="宋体" w:hAnsi="宋体" w:eastAsia="宋体" w:cs="宋体"/>
          <w:b/>
          <w:bCs/>
          <w:sz w:val="28"/>
          <w:szCs w:val="28"/>
        </w:rPr>
        <w:t>评标方法前附表</w:t>
      </w:r>
      <w:bookmarkEnd w:id="80"/>
      <w:bookmarkEnd w:id="81"/>
      <w:bookmarkEnd w:id="82"/>
    </w:p>
    <w:p w14:paraId="3B0473DA">
      <w:pPr>
        <w:pStyle w:val="3"/>
        <w:numPr>
          <w:ilvl w:val="0"/>
          <w:numId w:val="0"/>
        </w:numPr>
        <w:adjustRightInd w:val="0"/>
        <w:snapToGrid w:val="0"/>
        <w:jc w:val="center"/>
        <w:rPr>
          <w:rFonts w:hint="eastAsia" w:ascii="华文中宋" w:hAnsi="华文中宋" w:eastAsia="华文中宋" w:cs="华文中宋"/>
          <w:b/>
          <w:sz w:val="21"/>
          <w:szCs w:val="21"/>
        </w:rPr>
      </w:pPr>
      <w:bookmarkStart w:id="84" w:name="_Toc1947"/>
      <w:r>
        <w:rPr>
          <w:rFonts w:hint="eastAsia" w:ascii="华文中宋" w:hAnsi="华文中宋" w:eastAsia="华文中宋" w:cs="华文中宋"/>
          <w:b/>
          <w:sz w:val="21"/>
          <w:szCs w:val="21"/>
        </w:rPr>
        <w:t>一、资格审查表</w:t>
      </w:r>
      <w:bookmarkEnd w:id="83"/>
      <w:bookmarkEnd w:id="84"/>
    </w:p>
    <w:tbl>
      <w:tblPr>
        <w:tblStyle w:val="24"/>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2677"/>
        <w:gridCol w:w="5411"/>
      </w:tblGrid>
      <w:tr w14:paraId="67EE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690" w:type="dxa"/>
            <w:tcBorders>
              <w:tl2br w:val="nil"/>
              <w:tr2bl w:val="nil"/>
            </w:tcBorders>
            <w:vAlign w:val="center"/>
          </w:tcPr>
          <w:p w14:paraId="34DD43A5">
            <w:pPr>
              <w:spacing w:line="320" w:lineRule="exact"/>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2677" w:type="dxa"/>
            <w:tcBorders>
              <w:tl2br w:val="nil"/>
              <w:tr2bl w:val="nil"/>
            </w:tcBorders>
            <w:vAlign w:val="center"/>
          </w:tcPr>
          <w:p w14:paraId="2778D56D">
            <w:pPr>
              <w:spacing w:line="320" w:lineRule="exact"/>
              <w:jc w:val="center"/>
              <w:rPr>
                <w:rFonts w:hint="eastAsia" w:ascii="宋体" w:hAnsi="宋体" w:eastAsia="宋体" w:cs="宋体"/>
                <w:b/>
                <w:bCs/>
                <w:kern w:val="0"/>
                <w:szCs w:val="21"/>
              </w:rPr>
            </w:pPr>
            <w:r>
              <w:rPr>
                <w:rFonts w:hint="eastAsia" w:ascii="宋体" w:hAnsi="宋体" w:eastAsia="宋体" w:cs="宋体"/>
                <w:b/>
                <w:bCs/>
                <w:kern w:val="0"/>
                <w:szCs w:val="21"/>
              </w:rPr>
              <w:t>评审因素</w:t>
            </w:r>
          </w:p>
        </w:tc>
        <w:tc>
          <w:tcPr>
            <w:tcW w:w="5411" w:type="dxa"/>
            <w:tcBorders>
              <w:tl2br w:val="nil"/>
              <w:tr2bl w:val="nil"/>
            </w:tcBorders>
            <w:vAlign w:val="center"/>
          </w:tcPr>
          <w:p w14:paraId="61A0912F">
            <w:pPr>
              <w:spacing w:line="320" w:lineRule="exact"/>
              <w:jc w:val="center"/>
              <w:rPr>
                <w:rFonts w:hint="eastAsia" w:ascii="宋体" w:hAnsi="宋体" w:eastAsia="宋体" w:cs="宋体"/>
                <w:b/>
                <w:bCs/>
                <w:kern w:val="0"/>
                <w:szCs w:val="21"/>
              </w:rPr>
            </w:pPr>
            <w:r>
              <w:rPr>
                <w:rFonts w:hint="eastAsia" w:ascii="宋体" w:hAnsi="宋体" w:eastAsia="宋体" w:cs="宋体"/>
                <w:b/>
                <w:bCs/>
                <w:kern w:val="0"/>
                <w:szCs w:val="21"/>
              </w:rPr>
              <w:t>评审标准</w:t>
            </w:r>
          </w:p>
        </w:tc>
      </w:tr>
      <w:tr w14:paraId="1932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690" w:type="dxa"/>
            <w:tcBorders>
              <w:tl2br w:val="nil"/>
              <w:tr2bl w:val="nil"/>
            </w:tcBorders>
            <w:vAlign w:val="center"/>
          </w:tcPr>
          <w:p w14:paraId="49D8C7B8">
            <w:pPr>
              <w:spacing w:line="320" w:lineRule="exact"/>
              <w:jc w:val="center"/>
              <w:rPr>
                <w:rFonts w:hint="eastAsia" w:ascii="宋体" w:hAnsi="宋体" w:eastAsia="宋体" w:cs="宋体"/>
                <w:kern w:val="0"/>
                <w:szCs w:val="21"/>
                <w:highlight w:val="yellow"/>
              </w:rPr>
            </w:pPr>
            <w:r>
              <w:rPr>
                <w:rFonts w:hint="eastAsia" w:ascii="宋体" w:hAnsi="宋体" w:eastAsia="宋体" w:cs="宋体"/>
                <w:kern w:val="0"/>
                <w:szCs w:val="21"/>
              </w:rPr>
              <w:t>1</w:t>
            </w:r>
          </w:p>
        </w:tc>
        <w:tc>
          <w:tcPr>
            <w:tcW w:w="2677" w:type="dxa"/>
            <w:tcBorders>
              <w:tl2br w:val="nil"/>
              <w:tr2bl w:val="nil"/>
            </w:tcBorders>
            <w:vAlign w:val="center"/>
          </w:tcPr>
          <w:p w14:paraId="1C72AFD1">
            <w:pPr>
              <w:widowControl/>
              <w:autoSpaceDE w:val="0"/>
              <w:autoSpaceDN w:val="0"/>
              <w:spacing w:line="340" w:lineRule="exact"/>
              <w:jc w:val="center"/>
              <w:rPr>
                <w:rFonts w:hint="eastAsia" w:ascii="宋体" w:hAnsi="宋体" w:eastAsia="宋体" w:cs="宋体"/>
                <w:szCs w:val="21"/>
              </w:rPr>
            </w:pPr>
            <w:r>
              <w:rPr>
                <w:rFonts w:hint="eastAsia" w:ascii="宋体" w:hAnsi="宋体" w:eastAsia="宋体" w:cs="宋体"/>
                <w:kern w:val="0"/>
                <w:szCs w:val="21"/>
              </w:rPr>
              <w:t>具有独立承担民事责任的能力</w:t>
            </w:r>
          </w:p>
        </w:tc>
        <w:tc>
          <w:tcPr>
            <w:tcW w:w="5411" w:type="dxa"/>
            <w:tcBorders>
              <w:tl2br w:val="nil"/>
              <w:tr2bl w:val="nil"/>
            </w:tcBorders>
            <w:vAlign w:val="center"/>
          </w:tcPr>
          <w:p w14:paraId="76CFB3D2">
            <w:pPr>
              <w:widowControl/>
              <w:autoSpaceDE w:val="0"/>
              <w:autoSpaceDN w:val="0"/>
              <w:spacing w:line="340" w:lineRule="exact"/>
              <w:jc w:val="center"/>
              <w:rPr>
                <w:rFonts w:hint="eastAsia" w:ascii="宋体" w:hAnsi="宋体" w:eastAsia="宋体" w:cs="宋体"/>
                <w:szCs w:val="21"/>
              </w:rPr>
            </w:pPr>
            <w:r>
              <w:rPr>
                <w:rFonts w:hint="eastAsia" w:ascii="宋体" w:hAnsi="宋体" w:eastAsia="宋体" w:cs="宋体"/>
                <w:kern w:val="0"/>
                <w:szCs w:val="21"/>
              </w:rPr>
              <w:t>符合第二章“供应商须知前附表”第12项规定</w:t>
            </w:r>
          </w:p>
        </w:tc>
      </w:tr>
      <w:tr w14:paraId="2B1D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exact"/>
          <w:jc w:val="center"/>
        </w:trPr>
        <w:tc>
          <w:tcPr>
            <w:tcW w:w="690" w:type="dxa"/>
            <w:tcBorders>
              <w:tl2br w:val="nil"/>
              <w:tr2bl w:val="nil"/>
            </w:tcBorders>
            <w:vAlign w:val="center"/>
          </w:tcPr>
          <w:p w14:paraId="42DBA4BA">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2677" w:type="dxa"/>
            <w:tcBorders>
              <w:tl2br w:val="nil"/>
              <w:tr2bl w:val="nil"/>
            </w:tcBorders>
            <w:vAlign w:val="center"/>
          </w:tcPr>
          <w:p w14:paraId="087514D8">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具有良好的商业信誉和健全的财务会计制度</w:t>
            </w:r>
          </w:p>
        </w:tc>
        <w:tc>
          <w:tcPr>
            <w:tcW w:w="5411" w:type="dxa"/>
            <w:tcBorders>
              <w:tl2br w:val="nil"/>
              <w:tr2bl w:val="nil"/>
            </w:tcBorders>
            <w:vAlign w:val="center"/>
          </w:tcPr>
          <w:p w14:paraId="0EAD5832">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符合第二章“供应商须知前附表”第12项规定</w:t>
            </w:r>
          </w:p>
        </w:tc>
      </w:tr>
      <w:tr w14:paraId="176A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690" w:type="dxa"/>
            <w:tcBorders>
              <w:tl2br w:val="nil"/>
              <w:tr2bl w:val="nil"/>
            </w:tcBorders>
            <w:vAlign w:val="center"/>
          </w:tcPr>
          <w:p w14:paraId="1A2F1A9B">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2677" w:type="dxa"/>
            <w:tcBorders>
              <w:tl2br w:val="nil"/>
              <w:tr2bl w:val="nil"/>
            </w:tcBorders>
            <w:vAlign w:val="center"/>
          </w:tcPr>
          <w:p w14:paraId="1C1C5F6A">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具有履行合同所必需的设备和专业技术能力</w:t>
            </w:r>
          </w:p>
        </w:tc>
        <w:tc>
          <w:tcPr>
            <w:tcW w:w="5411" w:type="dxa"/>
            <w:tcBorders>
              <w:tl2br w:val="nil"/>
              <w:tr2bl w:val="nil"/>
            </w:tcBorders>
            <w:vAlign w:val="center"/>
          </w:tcPr>
          <w:p w14:paraId="07851457">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符合第二章“供应商须知前附表”第12项规定</w:t>
            </w:r>
          </w:p>
        </w:tc>
      </w:tr>
      <w:tr w14:paraId="0070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exact"/>
          <w:jc w:val="center"/>
        </w:trPr>
        <w:tc>
          <w:tcPr>
            <w:tcW w:w="690" w:type="dxa"/>
            <w:tcBorders>
              <w:tl2br w:val="nil"/>
              <w:tr2bl w:val="nil"/>
            </w:tcBorders>
            <w:vAlign w:val="center"/>
          </w:tcPr>
          <w:p w14:paraId="5BBD9183">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2677" w:type="dxa"/>
            <w:tcBorders>
              <w:tl2br w:val="nil"/>
              <w:tr2bl w:val="nil"/>
            </w:tcBorders>
            <w:vAlign w:val="center"/>
          </w:tcPr>
          <w:p w14:paraId="12842BF4">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具有依法缴纳税收和社会保障资金的良好记录</w:t>
            </w:r>
          </w:p>
        </w:tc>
        <w:tc>
          <w:tcPr>
            <w:tcW w:w="5411" w:type="dxa"/>
            <w:tcBorders>
              <w:tl2br w:val="nil"/>
              <w:tr2bl w:val="nil"/>
            </w:tcBorders>
            <w:vAlign w:val="center"/>
          </w:tcPr>
          <w:p w14:paraId="7396EF8D">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符合第二章“供应商须知前附表”第12项规定</w:t>
            </w:r>
          </w:p>
        </w:tc>
      </w:tr>
      <w:tr w14:paraId="1F42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exact"/>
          <w:jc w:val="center"/>
        </w:trPr>
        <w:tc>
          <w:tcPr>
            <w:tcW w:w="690" w:type="dxa"/>
            <w:tcBorders>
              <w:tl2br w:val="nil"/>
              <w:tr2bl w:val="nil"/>
            </w:tcBorders>
            <w:vAlign w:val="center"/>
          </w:tcPr>
          <w:p w14:paraId="0804AF48">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2677" w:type="dxa"/>
            <w:tcBorders>
              <w:tl2br w:val="nil"/>
              <w:tr2bl w:val="nil"/>
            </w:tcBorders>
            <w:vAlign w:val="center"/>
          </w:tcPr>
          <w:p w14:paraId="36C51CD9">
            <w:pPr>
              <w:widowControl/>
              <w:autoSpaceDE w:val="0"/>
              <w:autoSpaceDN w:val="0"/>
              <w:spacing w:line="340" w:lineRule="exact"/>
              <w:jc w:val="center"/>
              <w:rPr>
                <w:rFonts w:hint="eastAsia" w:ascii="宋体" w:hAnsi="宋体" w:eastAsia="宋体" w:cs="宋体"/>
                <w:szCs w:val="21"/>
              </w:rPr>
            </w:pPr>
            <w:r>
              <w:rPr>
                <w:rFonts w:hint="eastAsia" w:ascii="宋体" w:hAnsi="宋体" w:eastAsia="宋体" w:cs="宋体"/>
                <w:kern w:val="0"/>
                <w:szCs w:val="21"/>
              </w:rPr>
              <w:t>参加政府采购活动前三年内，在经营活动中没有重大违法记录</w:t>
            </w:r>
          </w:p>
        </w:tc>
        <w:tc>
          <w:tcPr>
            <w:tcW w:w="5411" w:type="dxa"/>
            <w:tcBorders>
              <w:tl2br w:val="nil"/>
              <w:tr2bl w:val="nil"/>
            </w:tcBorders>
            <w:vAlign w:val="center"/>
          </w:tcPr>
          <w:p w14:paraId="42F07EF2">
            <w:pPr>
              <w:widowControl/>
              <w:autoSpaceDE w:val="0"/>
              <w:autoSpaceDN w:val="0"/>
              <w:spacing w:line="340" w:lineRule="exact"/>
              <w:jc w:val="center"/>
              <w:rPr>
                <w:rFonts w:hint="eastAsia" w:ascii="宋体" w:hAnsi="宋体" w:eastAsia="宋体" w:cs="宋体"/>
                <w:szCs w:val="21"/>
              </w:rPr>
            </w:pPr>
            <w:r>
              <w:rPr>
                <w:rFonts w:hint="eastAsia" w:ascii="宋体" w:hAnsi="宋体" w:eastAsia="宋体" w:cs="宋体"/>
                <w:kern w:val="0"/>
                <w:szCs w:val="21"/>
              </w:rPr>
              <w:t>符合第二章“供应商须知前附表”第12项规定</w:t>
            </w:r>
          </w:p>
        </w:tc>
      </w:tr>
      <w:tr w14:paraId="2997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exact"/>
          <w:jc w:val="center"/>
        </w:trPr>
        <w:tc>
          <w:tcPr>
            <w:tcW w:w="690" w:type="dxa"/>
            <w:tcBorders>
              <w:tl2br w:val="nil"/>
              <w:tr2bl w:val="nil"/>
            </w:tcBorders>
            <w:vAlign w:val="center"/>
          </w:tcPr>
          <w:p w14:paraId="635C1DF7">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2677" w:type="dxa"/>
            <w:tcBorders>
              <w:tl2br w:val="nil"/>
              <w:tr2bl w:val="nil"/>
            </w:tcBorders>
            <w:vAlign w:val="center"/>
          </w:tcPr>
          <w:p w14:paraId="5FF67E2C">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信誉要求</w:t>
            </w:r>
          </w:p>
        </w:tc>
        <w:tc>
          <w:tcPr>
            <w:tcW w:w="5411" w:type="dxa"/>
            <w:tcBorders>
              <w:tl2br w:val="nil"/>
              <w:tr2bl w:val="nil"/>
            </w:tcBorders>
            <w:vAlign w:val="center"/>
          </w:tcPr>
          <w:p w14:paraId="0E5337FA">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符合第二章“供应商须知前附表”第12项规定</w:t>
            </w:r>
          </w:p>
        </w:tc>
      </w:tr>
      <w:tr w14:paraId="529C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90" w:type="dxa"/>
            <w:tcBorders>
              <w:tl2br w:val="nil"/>
              <w:tr2bl w:val="nil"/>
            </w:tcBorders>
            <w:vAlign w:val="center"/>
          </w:tcPr>
          <w:p w14:paraId="275BFC53">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2677" w:type="dxa"/>
            <w:tcBorders>
              <w:tl2br w:val="nil"/>
              <w:tr2bl w:val="nil"/>
            </w:tcBorders>
            <w:vAlign w:val="center"/>
          </w:tcPr>
          <w:p w14:paraId="0EEBCB21">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bCs/>
                <w:szCs w:val="21"/>
              </w:rPr>
              <w:t>其 他</w:t>
            </w:r>
          </w:p>
        </w:tc>
        <w:tc>
          <w:tcPr>
            <w:tcW w:w="5411" w:type="dxa"/>
            <w:tcBorders>
              <w:tl2br w:val="nil"/>
              <w:tr2bl w:val="nil"/>
            </w:tcBorders>
            <w:vAlign w:val="center"/>
          </w:tcPr>
          <w:p w14:paraId="06DC75B4">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符合第二章“供应商须知前附表”第12项规定</w:t>
            </w:r>
          </w:p>
        </w:tc>
      </w:tr>
    </w:tbl>
    <w:p w14:paraId="4A176C29"/>
    <w:p w14:paraId="7F9D388F">
      <w:pPr>
        <w:ind w:firstLine="396" w:firstLineChars="200"/>
        <w:rPr>
          <w:rFonts w:hint="eastAsia" w:ascii="宋体" w:hAnsi="宋体" w:eastAsia="宋体" w:cs="宋体"/>
          <w:spacing w:val="-6"/>
          <w:szCs w:val="21"/>
        </w:rPr>
      </w:pPr>
    </w:p>
    <w:p w14:paraId="4D8FB3B8"/>
    <w:p w14:paraId="1CEE77BB">
      <w:pPr>
        <w:pStyle w:val="3"/>
        <w:numPr>
          <w:ilvl w:val="0"/>
          <w:numId w:val="0"/>
        </w:numPr>
        <w:adjustRightInd w:val="0"/>
        <w:snapToGrid w:val="0"/>
        <w:jc w:val="center"/>
        <w:rPr>
          <w:rFonts w:hint="eastAsia" w:ascii="华文中宋" w:hAnsi="华文中宋" w:eastAsia="华文中宋" w:cs="华文中宋"/>
          <w:b/>
          <w:sz w:val="21"/>
          <w:szCs w:val="21"/>
        </w:rPr>
        <w:sectPr>
          <w:footerReference r:id="rId11" w:type="first"/>
          <w:headerReference r:id="rId9" w:type="default"/>
          <w:footerReference r:id="rId10" w:type="default"/>
          <w:pgSz w:w="11905" w:h="16838"/>
          <w:pgMar w:top="1440" w:right="1083" w:bottom="1440" w:left="1083" w:header="850" w:footer="850" w:gutter="0"/>
          <w:pgNumType w:start="1"/>
          <w:cols w:space="0" w:num="1"/>
          <w:titlePg/>
          <w:rtlGutter w:val="0"/>
          <w:docGrid w:linePitch="312" w:charSpace="0"/>
        </w:sectPr>
      </w:pPr>
    </w:p>
    <w:p w14:paraId="03740B44">
      <w:pPr>
        <w:pStyle w:val="3"/>
        <w:numPr>
          <w:ilvl w:val="0"/>
          <w:numId w:val="0"/>
        </w:numPr>
        <w:adjustRightInd w:val="0"/>
        <w:snapToGrid w:val="0"/>
        <w:jc w:val="center"/>
        <w:rPr>
          <w:rFonts w:hint="eastAsia" w:ascii="华文中宋" w:hAnsi="华文中宋" w:eastAsia="华文中宋" w:cs="华文中宋"/>
          <w:b/>
          <w:sz w:val="21"/>
          <w:szCs w:val="21"/>
        </w:rPr>
      </w:pPr>
      <w:bookmarkStart w:id="85" w:name="_Toc15545"/>
      <w:r>
        <w:rPr>
          <w:rFonts w:hint="eastAsia" w:ascii="华文中宋" w:hAnsi="华文中宋" w:eastAsia="华文中宋" w:cs="华文中宋"/>
          <w:b/>
          <w:sz w:val="21"/>
          <w:szCs w:val="21"/>
        </w:rPr>
        <w:t>二、符合性评审表</w:t>
      </w:r>
      <w:bookmarkEnd w:id="85"/>
    </w:p>
    <w:p w14:paraId="418719D2">
      <w:pPr>
        <w:rPr>
          <w:rFonts w:hint="eastAsia" w:ascii="华文中宋" w:hAnsi="华文中宋" w:eastAsia="华文中宋" w:cs="华文中宋"/>
          <w:szCs w:val="21"/>
        </w:rPr>
      </w:pPr>
    </w:p>
    <w:tbl>
      <w:tblPr>
        <w:tblStyle w:val="24"/>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1263"/>
        <w:gridCol w:w="2384"/>
        <w:gridCol w:w="5841"/>
      </w:tblGrid>
      <w:tr w14:paraId="73EA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61" w:type="pct"/>
            <w:gridSpan w:val="2"/>
            <w:noWrap w:val="0"/>
            <w:vAlign w:val="center"/>
          </w:tcPr>
          <w:p w14:paraId="62BEA837">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199" w:type="pct"/>
            <w:noWrap w:val="0"/>
            <w:vAlign w:val="center"/>
          </w:tcPr>
          <w:p w14:paraId="53231898">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评审因素</w:t>
            </w:r>
          </w:p>
        </w:tc>
        <w:tc>
          <w:tcPr>
            <w:tcW w:w="2938" w:type="pct"/>
            <w:noWrap w:val="0"/>
            <w:vAlign w:val="center"/>
          </w:tcPr>
          <w:p w14:paraId="3F2F42DF">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评审标准</w:t>
            </w:r>
          </w:p>
        </w:tc>
      </w:tr>
      <w:tr w14:paraId="731F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26" w:type="pct"/>
            <w:vMerge w:val="restart"/>
            <w:noWrap w:val="0"/>
            <w:vAlign w:val="center"/>
          </w:tcPr>
          <w:p w14:paraId="382CB400">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635" w:type="pct"/>
            <w:vMerge w:val="restart"/>
            <w:noWrap w:val="0"/>
            <w:vAlign w:val="center"/>
          </w:tcPr>
          <w:p w14:paraId="23EFF094">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形式评审</w:t>
            </w:r>
          </w:p>
          <w:p w14:paraId="1F557B40">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标准</w:t>
            </w:r>
          </w:p>
        </w:tc>
        <w:tc>
          <w:tcPr>
            <w:tcW w:w="1199" w:type="pct"/>
            <w:noWrap w:val="0"/>
            <w:vAlign w:val="center"/>
          </w:tcPr>
          <w:p w14:paraId="059A1AE5">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供应商名称</w:t>
            </w:r>
          </w:p>
        </w:tc>
        <w:tc>
          <w:tcPr>
            <w:tcW w:w="2938" w:type="pct"/>
            <w:noWrap w:val="0"/>
            <w:vAlign w:val="center"/>
          </w:tcPr>
          <w:p w14:paraId="7B0C0580">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szCs w:val="21"/>
              </w:rPr>
              <w:t>与营业执照（或</w:t>
            </w:r>
            <w:r>
              <w:rPr>
                <w:rFonts w:hint="eastAsia" w:ascii="宋体" w:hAnsi="宋体" w:eastAsia="宋体" w:cs="宋体"/>
                <w:kern w:val="0"/>
                <w:szCs w:val="21"/>
              </w:rPr>
              <w:t>其他组织证明文件</w:t>
            </w:r>
            <w:r>
              <w:rPr>
                <w:rFonts w:hint="eastAsia" w:ascii="宋体" w:hAnsi="宋体" w:eastAsia="宋体" w:cs="宋体"/>
                <w:szCs w:val="21"/>
              </w:rPr>
              <w:t>）一致</w:t>
            </w:r>
          </w:p>
        </w:tc>
      </w:tr>
      <w:tr w14:paraId="0497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26" w:type="pct"/>
            <w:vMerge w:val="continue"/>
            <w:noWrap w:val="0"/>
            <w:vAlign w:val="center"/>
          </w:tcPr>
          <w:p w14:paraId="2FD32DBD">
            <w:pPr>
              <w:widowControl/>
              <w:autoSpaceDE w:val="0"/>
              <w:autoSpaceDN w:val="0"/>
              <w:spacing w:line="340" w:lineRule="exact"/>
              <w:jc w:val="center"/>
              <w:rPr>
                <w:rFonts w:hint="eastAsia" w:ascii="宋体" w:hAnsi="宋体" w:eastAsia="宋体" w:cs="宋体"/>
                <w:kern w:val="0"/>
                <w:szCs w:val="21"/>
              </w:rPr>
            </w:pPr>
          </w:p>
        </w:tc>
        <w:tc>
          <w:tcPr>
            <w:tcW w:w="635" w:type="pct"/>
            <w:vMerge w:val="continue"/>
            <w:noWrap w:val="0"/>
            <w:vAlign w:val="center"/>
          </w:tcPr>
          <w:p w14:paraId="57906494">
            <w:pPr>
              <w:widowControl/>
              <w:autoSpaceDE w:val="0"/>
              <w:autoSpaceDN w:val="0"/>
              <w:spacing w:line="340" w:lineRule="exact"/>
              <w:jc w:val="center"/>
              <w:rPr>
                <w:rFonts w:hint="eastAsia" w:ascii="宋体" w:hAnsi="宋体" w:eastAsia="宋体" w:cs="宋体"/>
                <w:kern w:val="0"/>
                <w:szCs w:val="21"/>
              </w:rPr>
            </w:pPr>
          </w:p>
        </w:tc>
        <w:tc>
          <w:tcPr>
            <w:tcW w:w="1199" w:type="pct"/>
            <w:noWrap w:val="0"/>
            <w:vAlign w:val="center"/>
          </w:tcPr>
          <w:p w14:paraId="7032A8DA">
            <w:pPr>
              <w:spacing w:line="320" w:lineRule="exact"/>
              <w:jc w:val="center"/>
              <w:rPr>
                <w:rFonts w:hint="eastAsia" w:ascii="宋体" w:hAnsi="宋体" w:eastAsia="宋体" w:cs="宋体"/>
                <w:kern w:val="0"/>
                <w:szCs w:val="21"/>
              </w:rPr>
            </w:pPr>
            <w:r>
              <w:rPr>
                <w:rFonts w:hint="eastAsia" w:ascii="宋体" w:hAnsi="宋体" w:eastAsia="宋体" w:cs="宋体"/>
                <w:kern w:val="0"/>
                <w:szCs w:val="21"/>
              </w:rPr>
              <w:t>签字盖章</w:t>
            </w:r>
          </w:p>
        </w:tc>
        <w:tc>
          <w:tcPr>
            <w:tcW w:w="2938" w:type="pct"/>
            <w:noWrap w:val="0"/>
            <w:vAlign w:val="center"/>
          </w:tcPr>
          <w:p w14:paraId="486FB8B9">
            <w:pPr>
              <w:spacing w:line="320" w:lineRule="exact"/>
              <w:jc w:val="center"/>
              <w:rPr>
                <w:rFonts w:hint="eastAsia" w:ascii="宋体" w:hAnsi="宋体" w:eastAsia="宋体" w:cs="宋体"/>
                <w:szCs w:val="21"/>
              </w:rPr>
            </w:pPr>
            <w:r>
              <w:rPr>
                <w:rFonts w:hint="eastAsia" w:ascii="宋体" w:hAnsi="宋体" w:eastAsia="宋体" w:cs="宋体"/>
                <w:szCs w:val="21"/>
              </w:rPr>
              <w:t>符合招标文件要求</w:t>
            </w:r>
          </w:p>
        </w:tc>
      </w:tr>
      <w:tr w14:paraId="1BD5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226" w:type="pct"/>
            <w:vMerge w:val="continue"/>
            <w:noWrap w:val="0"/>
            <w:vAlign w:val="center"/>
          </w:tcPr>
          <w:p w14:paraId="2C4E8E1E">
            <w:pPr>
              <w:widowControl/>
              <w:autoSpaceDE w:val="0"/>
              <w:autoSpaceDN w:val="0"/>
              <w:spacing w:line="340" w:lineRule="exact"/>
              <w:jc w:val="center"/>
              <w:rPr>
                <w:rFonts w:hint="eastAsia" w:ascii="宋体" w:hAnsi="宋体" w:eastAsia="宋体" w:cs="宋体"/>
                <w:kern w:val="0"/>
                <w:szCs w:val="21"/>
              </w:rPr>
            </w:pPr>
          </w:p>
        </w:tc>
        <w:tc>
          <w:tcPr>
            <w:tcW w:w="635" w:type="pct"/>
            <w:vMerge w:val="continue"/>
            <w:noWrap w:val="0"/>
            <w:vAlign w:val="center"/>
          </w:tcPr>
          <w:p w14:paraId="7E81664E">
            <w:pPr>
              <w:widowControl/>
              <w:autoSpaceDE w:val="0"/>
              <w:autoSpaceDN w:val="0"/>
              <w:spacing w:line="340" w:lineRule="exact"/>
              <w:jc w:val="center"/>
              <w:rPr>
                <w:rFonts w:hint="eastAsia" w:ascii="宋体" w:hAnsi="宋体" w:eastAsia="宋体" w:cs="宋体"/>
                <w:kern w:val="0"/>
                <w:szCs w:val="21"/>
              </w:rPr>
            </w:pPr>
          </w:p>
        </w:tc>
        <w:tc>
          <w:tcPr>
            <w:tcW w:w="1199" w:type="pct"/>
            <w:noWrap w:val="0"/>
            <w:vAlign w:val="center"/>
          </w:tcPr>
          <w:p w14:paraId="7CC2602D">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报价唯一</w:t>
            </w:r>
          </w:p>
        </w:tc>
        <w:tc>
          <w:tcPr>
            <w:tcW w:w="2938" w:type="pct"/>
            <w:noWrap w:val="0"/>
            <w:vAlign w:val="center"/>
          </w:tcPr>
          <w:p w14:paraId="135774EE">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投标报价未超出最高限价且只有一个有效报价</w:t>
            </w:r>
          </w:p>
        </w:tc>
      </w:tr>
      <w:tr w14:paraId="49ED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26" w:type="pct"/>
            <w:vMerge w:val="restart"/>
            <w:noWrap w:val="0"/>
            <w:vAlign w:val="center"/>
          </w:tcPr>
          <w:p w14:paraId="23ABF3C2">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635" w:type="pct"/>
            <w:vMerge w:val="restart"/>
            <w:noWrap w:val="0"/>
            <w:vAlign w:val="center"/>
          </w:tcPr>
          <w:p w14:paraId="69A287E0">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响应性</w:t>
            </w:r>
          </w:p>
          <w:p w14:paraId="522FC3F0">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评审标准</w:t>
            </w:r>
          </w:p>
        </w:tc>
        <w:tc>
          <w:tcPr>
            <w:tcW w:w="1199" w:type="pct"/>
            <w:noWrap w:val="0"/>
            <w:vAlign w:val="center"/>
          </w:tcPr>
          <w:p w14:paraId="44B4DE95">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服务期限</w:t>
            </w:r>
          </w:p>
        </w:tc>
        <w:tc>
          <w:tcPr>
            <w:tcW w:w="2938" w:type="pct"/>
            <w:noWrap w:val="0"/>
            <w:vAlign w:val="center"/>
          </w:tcPr>
          <w:p w14:paraId="0A575801">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符合招标文件规定</w:t>
            </w:r>
          </w:p>
        </w:tc>
      </w:tr>
      <w:tr w14:paraId="72F2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26" w:type="pct"/>
            <w:vMerge w:val="continue"/>
            <w:noWrap w:val="0"/>
            <w:textDirection w:val="tbRlV"/>
            <w:vAlign w:val="center"/>
          </w:tcPr>
          <w:p w14:paraId="4E9931C7">
            <w:pPr>
              <w:widowControl/>
              <w:autoSpaceDE w:val="0"/>
              <w:autoSpaceDN w:val="0"/>
              <w:spacing w:line="340" w:lineRule="exact"/>
              <w:jc w:val="center"/>
              <w:rPr>
                <w:rFonts w:hint="eastAsia" w:ascii="宋体" w:hAnsi="宋体" w:eastAsia="宋体" w:cs="宋体"/>
                <w:kern w:val="0"/>
                <w:szCs w:val="21"/>
              </w:rPr>
            </w:pPr>
          </w:p>
        </w:tc>
        <w:tc>
          <w:tcPr>
            <w:tcW w:w="635" w:type="pct"/>
            <w:vMerge w:val="continue"/>
            <w:noWrap w:val="0"/>
            <w:textDirection w:val="tbRlV"/>
            <w:vAlign w:val="center"/>
          </w:tcPr>
          <w:p w14:paraId="52F35183">
            <w:pPr>
              <w:widowControl/>
              <w:autoSpaceDE w:val="0"/>
              <w:autoSpaceDN w:val="0"/>
              <w:spacing w:line="340" w:lineRule="exact"/>
              <w:jc w:val="center"/>
              <w:rPr>
                <w:rFonts w:hint="eastAsia" w:ascii="宋体" w:hAnsi="宋体" w:eastAsia="宋体" w:cs="宋体"/>
                <w:kern w:val="0"/>
                <w:szCs w:val="21"/>
              </w:rPr>
            </w:pPr>
          </w:p>
        </w:tc>
        <w:tc>
          <w:tcPr>
            <w:tcW w:w="1199" w:type="pct"/>
            <w:noWrap w:val="0"/>
            <w:vAlign w:val="center"/>
          </w:tcPr>
          <w:p w14:paraId="6F4D2EA3">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2938" w:type="pct"/>
            <w:noWrap w:val="0"/>
            <w:vAlign w:val="center"/>
          </w:tcPr>
          <w:p w14:paraId="58FE0789">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符合招标文件规定</w:t>
            </w:r>
          </w:p>
        </w:tc>
      </w:tr>
      <w:tr w14:paraId="66DA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26" w:type="pct"/>
            <w:vMerge w:val="continue"/>
            <w:noWrap w:val="0"/>
            <w:textDirection w:val="tbRlV"/>
            <w:vAlign w:val="center"/>
          </w:tcPr>
          <w:p w14:paraId="6A5A4ED1">
            <w:pPr>
              <w:widowControl/>
              <w:autoSpaceDE w:val="0"/>
              <w:autoSpaceDN w:val="0"/>
              <w:spacing w:line="340" w:lineRule="exact"/>
              <w:jc w:val="center"/>
              <w:rPr>
                <w:rFonts w:hint="eastAsia" w:ascii="宋体" w:hAnsi="宋体" w:eastAsia="宋体" w:cs="宋体"/>
                <w:kern w:val="0"/>
                <w:szCs w:val="21"/>
              </w:rPr>
            </w:pPr>
          </w:p>
        </w:tc>
        <w:tc>
          <w:tcPr>
            <w:tcW w:w="635" w:type="pct"/>
            <w:vMerge w:val="continue"/>
            <w:noWrap w:val="0"/>
            <w:textDirection w:val="tbRlV"/>
            <w:vAlign w:val="center"/>
          </w:tcPr>
          <w:p w14:paraId="697007BE">
            <w:pPr>
              <w:widowControl/>
              <w:autoSpaceDE w:val="0"/>
              <w:autoSpaceDN w:val="0"/>
              <w:spacing w:line="340" w:lineRule="exact"/>
              <w:jc w:val="center"/>
              <w:rPr>
                <w:rFonts w:hint="eastAsia" w:ascii="宋体" w:hAnsi="宋体" w:eastAsia="宋体" w:cs="宋体"/>
                <w:kern w:val="0"/>
                <w:szCs w:val="21"/>
              </w:rPr>
            </w:pPr>
          </w:p>
        </w:tc>
        <w:tc>
          <w:tcPr>
            <w:tcW w:w="1199" w:type="pct"/>
            <w:noWrap w:val="0"/>
            <w:vAlign w:val="center"/>
          </w:tcPr>
          <w:p w14:paraId="729EF678">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投标有效期</w:t>
            </w:r>
          </w:p>
        </w:tc>
        <w:tc>
          <w:tcPr>
            <w:tcW w:w="2938" w:type="pct"/>
            <w:noWrap w:val="0"/>
            <w:vAlign w:val="center"/>
          </w:tcPr>
          <w:p w14:paraId="2B71F658">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符合招标文件规定</w:t>
            </w:r>
          </w:p>
        </w:tc>
      </w:tr>
      <w:tr w14:paraId="7B7D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26" w:type="pct"/>
            <w:vMerge w:val="continue"/>
            <w:noWrap w:val="0"/>
            <w:vAlign w:val="center"/>
          </w:tcPr>
          <w:p w14:paraId="76D33825">
            <w:pPr>
              <w:widowControl/>
              <w:autoSpaceDE w:val="0"/>
              <w:autoSpaceDN w:val="0"/>
              <w:spacing w:line="340" w:lineRule="exact"/>
              <w:jc w:val="center"/>
              <w:rPr>
                <w:rFonts w:hint="eastAsia" w:ascii="宋体" w:hAnsi="宋体" w:eastAsia="宋体" w:cs="宋体"/>
                <w:kern w:val="0"/>
                <w:szCs w:val="21"/>
              </w:rPr>
            </w:pPr>
          </w:p>
        </w:tc>
        <w:tc>
          <w:tcPr>
            <w:tcW w:w="635" w:type="pct"/>
            <w:vMerge w:val="continue"/>
            <w:noWrap w:val="0"/>
            <w:vAlign w:val="center"/>
          </w:tcPr>
          <w:p w14:paraId="7EB8576E">
            <w:pPr>
              <w:widowControl/>
              <w:autoSpaceDE w:val="0"/>
              <w:autoSpaceDN w:val="0"/>
              <w:spacing w:line="340" w:lineRule="exact"/>
              <w:jc w:val="center"/>
              <w:rPr>
                <w:rFonts w:hint="eastAsia" w:ascii="宋体" w:hAnsi="宋体" w:eastAsia="宋体" w:cs="宋体"/>
                <w:kern w:val="0"/>
                <w:szCs w:val="21"/>
              </w:rPr>
            </w:pPr>
          </w:p>
        </w:tc>
        <w:tc>
          <w:tcPr>
            <w:tcW w:w="1199" w:type="pct"/>
            <w:noWrap w:val="0"/>
            <w:vAlign w:val="center"/>
          </w:tcPr>
          <w:p w14:paraId="23D0AFB1">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其他</w:t>
            </w:r>
          </w:p>
        </w:tc>
        <w:tc>
          <w:tcPr>
            <w:tcW w:w="2938" w:type="pct"/>
            <w:noWrap w:val="0"/>
            <w:vAlign w:val="center"/>
          </w:tcPr>
          <w:p w14:paraId="5A77109D">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符合招标文件规定</w:t>
            </w:r>
          </w:p>
        </w:tc>
      </w:tr>
    </w:tbl>
    <w:p w14:paraId="4DB6E22A">
      <w:pPr>
        <w:rPr>
          <w:rFonts w:hint="eastAsia" w:ascii="华文中宋" w:hAnsi="华文中宋" w:eastAsia="华文中宋" w:cs="华文中宋"/>
          <w:szCs w:val="21"/>
        </w:rPr>
      </w:pPr>
    </w:p>
    <w:p w14:paraId="79B56A43">
      <w:pPr>
        <w:rPr>
          <w:rFonts w:hint="eastAsia" w:ascii="华文中宋" w:hAnsi="华文中宋" w:eastAsia="华文中宋" w:cs="华文中宋"/>
          <w:szCs w:val="21"/>
        </w:rPr>
      </w:pPr>
    </w:p>
    <w:p w14:paraId="4D9EFB0B">
      <w:pPr>
        <w:rPr>
          <w:rFonts w:hint="eastAsia" w:ascii="华文中宋" w:hAnsi="华文中宋" w:eastAsia="华文中宋" w:cs="华文中宋"/>
          <w:szCs w:val="21"/>
        </w:rPr>
      </w:pPr>
    </w:p>
    <w:p w14:paraId="66C9C262">
      <w:pPr>
        <w:rPr>
          <w:rFonts w:hint="eastAsia" w:ascii="华文中宋" w:hAnsi="华文中宋" w:eastAsia="华文中宋" w:cs="华文中宋"/>
          <w:szCs w:val="21"/>
        </w:rPr>
      </w:pPr>
    </w:p>
    <w:p w14:paraId="49AB0849">
      <w:pPr>
        <w:rPr>
          <w:rFonts w:hint="eastAsia" w:ascii="华文中宋" w:hAnsi="华文中宋" w:eastAsia="华文中宋" w:cs="华文中宋"/>
          <w:szCs w:val="21"/>
        </w:rPr>
      </w:pPr>
    </w:p>
    <w:p w14:paraId="1B9678F4">
      <w:pPr>
        <w:rPr>
          <w:rFonts w:hint="eastAsia" w:ascii="华文中宋" w:hAnsi="华文中宋" w:eastAsia="华文中宋" w:cs="华文中宋"/>
          <w:szCs w:val="21"/>
        </w:rPr>
      </w:pPr>
    </w:p>
    <w:p w14:paraId="1FBA8DDD">
      <w:pPr>
        <w:rPr>
          <w:rFonts w:hint="eastAsia" w:ascii="华文中宋" w:hAnsi="华文中宋" w:eastAsia="华文中宋" w:cs="华文中宋"/>
          <w:szCs w:val="21"/>
        </w:rPr>
      </w:pPr>
    </w:p>
    <w:p w14:paraId="51C4C62C">
      <w:pPr>
        <w:rPr>
          <w:rFonts w:hint="eastAsia" w:ascii="华文中宋" w:hAnsi="华文中宋" w:eastAsia="华文中宋" w:cs="华文中宋"/>
          <w:szCs w:val="21"/>
        </w:rPr>
        <w:sectPr>
          <w:pgSz w:w="11905" w:h="16838"/>
          <w:pgMar w:top="1440" w:right="1083" w:bottom="1440" w:left="1083" w:header="850" w:footer="850" w:gutter="0"/>
          <w:cols w:space="0" w:num="1"/>
          <w:titlePg/>
          <w:rtlGutter w:val="0"/>
          <w:docGrid w:linePitch="312" w:charSpace="0"/>
        </w:sectPr>
      </w:pPr>
    </w:p>
    <w:p w14:paraId="069B9B15">
      <w:pPr>
        <w:pStyle w:val="3"/>
        <w:numPr>
          <w:ilvl w:val="0"/>
          <w:numId w:val="0"/>
        </w:numPr>
        <w:adjustRightInd w:val="0"/>
        <w:snapToGrid w:val="0"/>
        <w:jc w:val="center"/>
        <w:rPr>
          <w:rFonts w:hint="eastAsia" w:ascii="华文中宋" w:hAnsi="华文中宋" w:eastAsia="华文中宋" w:cs="华文中宋"/>
          <w:b/>
          <w:sz w:val="21"/>
          <w:szCs w:val="21"/>
        </w:rPr>
      </w:pPr>
      <w:bookmarkStart w:id="86" w:name="_Toc3612"/>
      <w:r>
        <w:rPr>
          <w:rFonts w:hint="eastAsia" w:ascii="华文中宋" w:hAnsi="华文中宋" w:eastAsia="华文中宋" w:cs="华文中宋"/>
          <w:b/>
          <w:sz w:val="21"/>
          <w:szCs w:val="21"/>
        </w:rPr>
        <w:t>三、详细评审</w:t>
      </w:r>
      <w:bookmarkEnd w:id="86"/>
    </w:p>
    <w:tbl>
      <w:tblPr>
        <w:tblStyle w:val="24"/>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71"/>
        <w:gridCol w:w="1353"/>
        <w:gridCol w:w="6543"/>
      </w:tblGrid>
      <w:tr w14:paraId="617D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43" w:type="dxa"/>
            <w:vAlign w:val="center"/>
          </w:tcPr>
          <w:p w14:paraId="1A9916F3">
            <w:pPr>
              <w:autoSpaceDE w:val="0"/>
              <w:autoSpaceDN w:val="0"/>
              <w:adjustRightInd w:val="0"/>
              <w:spacing w:line="340" w:lineRule="exact"/>
              <w:ind w:left="38" w:leftChars="18"/>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2224" w:type="dxa"/>
            <w:gridSpan w:val="2"/>
            <w:vAlign w:val="center"/>
          </w:tcPr>
          <w:p w14:paraId="7E122318">
            <w:pPr>
              <w:autoSpaceDE w:val="0"/>
              <w:autoSpaceDN w:val="0"/>
              <w:adjustRightInd w:val="0"/>
              <w:spacing w:line="340" w:lineRule="exact"/>
              <w:ind w:left="38" w:leftChars="18"/>
              <w:jc w:val="center"/>
              <w:rPr>
                <w:rFonts w:hint="eastAsia" w:ascii="宋体" w:hAnsi="宋体" w:eastAsia="宋体" w:cs="宋体"/>
                <w:b/>
                <w:bCs/>
                <w:kern w:val="0"/>
                <w:szCs w:val="21"/>
              </w:rPr>
            </w:pPr>
            <w:r>
              <w:rPr>
                <w:rFonts w:hint="eastAsia" w:ascii="宋体" w:hAnsi="宋体" w:eastAsia="宋体" w:cs="宋体"/>
                <w:b/>
                <w:bCs/>
                <w:kern w:val="0"/>
                <w:szCs w:val="21"/>
              </w:rPr>
              <w:t>评分因素</w:t>
            </w:r>
          </w:p>
        </w:tc>
        <w:tc>
          <w:tcPr>
            <w:tcW w:w="6543" w:type="dxa"/>
            <w:vAlign w:val="center"/>
          </w:tcPr>
          <w:p w14:paraId="18D9401D">
            <w:pPr>
              <w:widowControl/>
              <w:autoSpaceDE w:val="0"/>
              <w:autoSpaceDN w:val="0"/>
              <w:spacing w:line="340" w:lineRule="exact"/>
              <w:jc w:val="center"/>
              <w:rPr>
                <w:rFonts w:hint="eastAsia" w:ascii="宋体" w:hAnsi="宋体" w:eastAsia="宋体" w:cs="宋体"/>
                <w:b/>
                <w:bCs/>
                <w:kern w:val="0"/>
                <w:szCs w:val="21"/>
              </w:rPr>
            </w:pPr>
            <w:r>
              <w:rPr>
                <w:rFonts w:hint="eastAsia" w:ascii="宋体" w:hAnsi="宋体" w:eastAsia="宋体" w:cs="宋体"/>
                <w:b/>
                <w:bCs/>
                <w:kern w:val="0"/>
                <w:szCs w:val="21"/>
              </w:rPr>
              <w:t>评审细则</w:t>
            </w:r>
          </w:p>
        </w:tc>
      </w:tr>
      <w:tr w14:paraId="5784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Align w:val="center"/>
          </w:tcPr>
          <w:p w14:paraId="2180423E">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2224" w:type="dxa"/>
            <w:gridSpan w:val="2"/>
            <w:vAlign w:val="center"/>
          </w:tcPr>
          <w:p w14:paraId="507A106D">
            <w:pPr>
              <w:autoSpaceDE w:val="0"/>
              <w:autoSpaceDN w:val="0"/>
              <w:adjustRightInd w:val="0"/>
              <w:spacing w:line="340" w:lineRule="exact"/>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投标报价</w:t>
            </w:r>
          </w:p>
          <w:p w14:paraId="75D4FF82">
            <w:pPr>
              <w:autoSpaceDE w:val="0"/>
              <w:autoSpaceDN w:val="0"/>
              <w:adjustRightInd w:val="0"/>
              <w:spacing w:line="340" w:lineRule="exact"/>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15</w:t>
            </w:r>
            <w:r>
              <w:rPr>
                <w:rFonts w:hint="eastAsia" w:ascii="宋体" w:hAnsi="宋体" w:eastAsia="宋体" w:cs="宋体"/>
                <w:color w:val="auto"/>
                <w:kern w:val="0"/>
                <w:szCs w:val="21"/>
              </w:rPr>
              <w:t>分）</w:t>
            </w:r>
          </w:p>
        </w:tc>
        <w:tc>
          <w:tcPr>
            <w:tcW w:w="6543" w:type="dxa"/>
            <w:vAlign w:val="center"/>
          </w:tcPr>
          <w:p w14:paraId="075B1D3C">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价格分采用低价优先法计算，即满足招标文件要求且评审报价最低的为评审基准价，其价格分为满分。其他供应商的价格分统一按照下列公式计算：</w:t>
            </w:r>
          </w:p>
          <w:p w14:paraId="4D7D35C7">
            <w:pPr>
              <w:widowControl/>
              <w:autoSpaceDE w:val="0"/>
              <w:autoSpaceDN w:val="0"/>
              <w:spacing w:line="340" w:lineRule="exact"/>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报价得分=（评审基准价／评审报价）×</w:t>
            </w:r>
            <w:r>
              <w:rPr>
                <w:rFonts w:hint="eastAsia" w:ascii="宋体" w:hAnsi="宋体" w:eastAsia="宋体" w:cs="宋体"/>
                <w:color w:val="auto"/>
                <w:kern w:val="0"/>
                <w:szCs w:val="21"/>
                <w:lang w:val="en-US" w:eastAsia="zh-CN"/>
              </w:rPr>
              <w:t>15</w:t>
            </w:r>
          </w:p>
        </w:tc>
      </w:tr>
      <w:tr w14:paraId="11DB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14:paraId="20E62A66">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871" w:type="dxa"/>
            <w:vMerge w:val="restart"/>
            <w:vAlign w:val="center"/>
          </w:tcPr>
          <w:p w14:paraId="38F542CD">
            <w:pPr>
              <w:widowControl/>
              <w:autoSpaceDE w:val="0"/>
              <w:autoSpaceDN w:val="0"/>
              <w:spacing w:line="3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w:t>
            </w:r>
          </w:p>
          <w:p w14:paraId="341091B5">
            <w:pPr>
              <w:widowControl/>
              <w:autoSpaceDE w:val="0"/>
              <w:autoSpaceDN w:val="0"/>
              <w:spacing w:line="3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部分（55分）</w:t>
            </w:r>
          </w:p>
        </w:tc>
        <w:tc>
          <w:tcPr>
            <w:tcW w:w="1353" w:type="dxa"/>
            <w:vAlign w:val="center"/>
          </w:tcPr>
          <w:p w14:paraId="7AB2A16B">
            <w:pPr>
              <w:snapToGrid w:val="0"/>
              <w:spacing w:line="240" w:lineRule="auto"/>
              <w:jc w:val="center"/>
              <w:rPr>
                <w:rFonts w:hint="eastAsia" w:ascii="华文中宋" w:hAnsi="华文中宋" w:eastAsia="华文中宋" w:cs="华文中宋"/>
                <w:color w:val="auto"/>
              </w:rPr>
            </w:pPr>
            <w:r>
              <w:rPr>
                <w:rFonts w:hint="eastAsia" w:ascii="华文中宋" w:hAnsi="华文中宋" w:eastAsia="华文中宋" w:cs="华文中宋"/>
                <w:color w:val="auto"/>
              </w:rPr>
              <w:t>照料护理</w:t>
            </w:r>
          </w:p>
          <w:p w14:paraId="31E78FD1">
            <w:pPr>
              <w:snapToGrid w:val="0"/>
              <w:spacing w:line="240" w:lineRule="auto"/>
              <w:jc w:val="center"/>
              <w:rPr>
                <w:rFonts w:hint="eastAsia" w:ascii="华文中宋" w:hAnsi="华文中宋" w:eastAsia="华文中宋" w:cs="华文中宋"/>
                <w:color w:val="auto"/>
              </w:rPr>
            </w:pPr>
            <w:r>
              <w:rPr>
                <w:rFonts w:hint="eastAsia" w:ascii="华文中宋" w:hAnsi="华文中宋" w:eastAsia="华文中宋" w:cs="华文中宋"/>
                <w:color w:val="auto"/>
              </w:rPr>
              <w:t>方案</w:t>
            </w:r>
          </w:p>
          <w:p w14:paraId="1B8507D7">
            <w:pPr>
              <w:pStyle w:val="11"/>
              <w:spacing w:line="240" w:lineRule="auto"/>
              <w:ind w:left="0" w:leftChars="0" w:firstLine="0" w:firstLineChars="0"/>
              <w:jc w:val="center"/>
              <w:rPr>
                <w:rFonts w:hint="eastAsia" w:ascii="宋体" w:hAnsi="宋体" w:eastAsia="宋体" w:cs="宋体"/>
                <w:color w:val="auto"/>
                <w:kern w:val="0"/>
                <w:szCs w:val="21"/>
              </w:rPr>
            </w:pPr>
            <w:r>
              <w:rPr>
                <w:rFonts w:hint="eastAsia" w:ascii="华文中宋" w:hAnsi="华文中宋" w:eastAsia="华文中宋" w:cs="华文中宋"/>
                <w:color w:val="auto"/>
                <w:szCs w:val="21"/>
              </w:rPr>
              <w:t>（10分）</w:t>
            </w:r>
          </w:p>
        </w:tc>
        <w:tc>
          <w:tcPr>
            <w:tcW w:w="6543" w:type="dxa"/>
            <w:vAlign w:val="center"/>
          </w:tcPr>
          <w:p w14:paraId="598A7E73">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结合本项目特点和护理服务性质、服务要求，评委根据方案的完整性和可行性评分：</w:t>
            </w:r>
          </w:p>
          <w:p w14:paraId="3121D639">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对本项目整体分析详尽，整体管理服务定位明确，理念先进，服务计划方案详尽的，得10分；</w:t>
            </w:r>
          </w:p>
          <w:p w14:paraId="7A241761">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对本项目整体分析完善，整体管理服务定位合理，理念较为先进，服务计划方案完善，得8分；</w:t>
            </w:r>
          </w:p>
          <w:p w14:paraId="55A1D9CD">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对本项目整体分析合理，整体管理服务定位一般，理念合理，服务计划方案一般，得5分；</w:t>
            </w:r>
          </w:p>
          <w:p w14:paraId="4A4F236E">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对本项目整体分析不完整，整体管理服务定位、理念不够清晰，服务计划方案不完整，得2分；</w:t>
            </w:r>
          </w:p>
          <w:p w14:paraId="3D2D672A">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缺项不得分。</w:t>
            </w:r>
          </w:p>
        </w:tc>
      </w:tr>
      <w:tr w14:paraId="22F9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14:paraId="2BE3E6E8">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611E1FC1">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38F05EF7">
            <w:pPr>
              <w:widowControl/>
              <w:spacing w:line="3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人员配置</w:t>
            </w:r>
          </w:p>
          <w:p w14:paraId="5BB52845">
            <w:pPr>
              <w:widowControl/>
              <w:spacing w:line="3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方案（10分）</w:t>
            </w:r>
          </w:p>
        </w:tc>
        <w:tc>
          <w:tcPr>
            <w:tcW w:w="6543" w:type="dxa"/>
            <w:vAlign w:val="center"/>
          </w:tcPr>
          <w:p w14:paraId="4FD6D441">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供应商提供人员</w:t>
            </w:r>
            <w:r>
              <w:rPr>
                <w:rFonts w:hint="eastAsia" w:ascii="宋体" w:hAnsi="宋体" w:eastAsia="宋体" w:cs="宋体"/>
                <w:kern w:val="0"/>
                <w:szCs w:val="21"/>
              </w:rPr>
              <w:t>配备</w:t>
            </w:r>
            <w:r>
              <w:rPr>
                <w:rFonts w:hint="eastAsia" w:ascii="宋体" w:hAnsi="宋体" w:eastAsia="宋体" w:cs="宋体"/>
                <w:color w:val="000000"/>
                <w:kern w:val="0"/>
                <w:szCs w:val="21"/>
                <w:lang w:bidi="ar"/>
              </w:rPr>
              <w:t>方案，明确责任、分工负责、团结协作、建章立制等：</w:t>
            </w:r>
          </w:p>
          <w:p w14:paraId="7F999EBF">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人员配置合理、分工及岗位职责健全，方案科学、分工明确、可行性强的得10分；</w:t>
            </w:r>
          </w:p>
          <w:p w14:paraId="436BFD1F">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人员配置比较合理、分工及岗位职责比较健全的得8分；</w:t>
            </w:r>
          </w:p>
          <w:p w14:paraId="20DA724B">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方案基本全面、合理、可行性较强的得5分；</w:t>
            </w:r>
          </w:p>
          <w:p w14:paraId="0B1F0F96">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方案不全面、不够合理、可行性一般的得2分；</w:t>
            </w:r>
          </w:p>
          <w:p w14:paraId="775F6D87">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kern w:val="0"/>
                <w:szCs w:val="21"/>
              </w:rPr>
              <w:t>缺项不得分。</w:t>
            </w:r>
          </w:p>
        </w:tc>
      </w:tr>
      <w:tr w14:paraId="6E4F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43" w:type="dxa"/>
            <w:vMerge w:val="continue"/>
            <w:vAlign w:val="center"/>
          </w:tcPr>
          <w:p w14:paraId="61BE2FC2">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583B0BFA">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6C47623D">
            <w:pPr>
              <w:spacing w:line="340" w:lineRule="exact"/>
              <w:jc w:val="center"/>
              <w:rPr>
                <w:rFonts w:hint="eastAsia" w:ascii="宋体" w:hAnsi="宋体" w:eastAsia="宋体" w:cs="宋体"/>
                <w:szCs w:val="21"/>
              </w:rPr>
            </w:pPr>
            <w:r>
              <w:rPr>
                <w:rFonts w:hint="eastAsia" w:ascii="宋体" w:hAnsi="宋体" w:eastAsia="宋体" w:cs="宋体"/>
                <w:szCs w:val="21"/>
              </w:rPr>
              <w:t>服务质量</w:t>
            </w:r>
          </w:p>
          <w:p w14:paraId="0990B7FF">
            <w:pPr>
              <w:spacing w:line="340" w:lineRule="exact"/>
              <w:jc w:val="center"/>
              <w:rPr>
                <w:rFonts w:hint="eastAsia" w:ascii="宋体" w:hAnsi="宋体" w:eastAsia="宋体" w:cs="宋体"/>
                <w:szCs w:val="21"/>
              </w:rPr>
            </w:pPr>
            <w:r>
              <w:rPr>
                <w:rFonts w:hint="eastAsia" w:ascii="宋体" w:hAnsi="宋体" w:eastAsia="宋体" w:cs="宋体"/>
                <w:szCs w:val="21"/>
              </w:rPr>
              <w:t xml:space="preserve">保证措施 </w:t>
            </w:r>
          </w:p>
          <w:p w14:paraId="0FEF729A">
            <w:pPr>
              <w:spacing w:line="340" w:lineRule="exact"/>
              <w:jc w:val="center"/>
              <w:rPr>
                <w:rFonts w:hint="eastAsia" w:ascii="宋体" w:hAnsi="宋体" w:eastAsia="宋体" w:cs="宋体"/>
                <w:szCs w:val="21"/>
              </w:rPr>
            </w:pPr>
            <w:r>
              <w:rPr>
                <w:rFonts w:hint="eastAsia" w:ascii="宋体" w:hAnsi="宋体" w:eastAsia="宋体" w:cs="宋体"/>
                <w:szCs w:val="21"/>
              </w:rPr>
              <w:t>（8分）</w:t>
            </w:r>
          </w:p>
        </w:tc>
        <w:tc>
          <w:tcPr>
            <w:tcW w:w="6543" w:type="dxa"/>
            <w:vAlign w:val="center"/>
          </w:tcPr>
          <w:p w14:paraId="700C43ED">
            <w:pPr>
              <w:spacing w:line="340" w:lineRule="exact"/>
              <w:jc w:val="left"/>
              <w:rPr>
                <w:rFonts w:hint="eastAsia" w:ascii="宋体" w:hAnsi="宋体" w:eastAsia="宋体" w:cs="宋体"/>
                <w:szCs w:val="21"/>
              </w:rPr>
            </w:pPr>
            <w:r>
              <w:rPr>
                <w:rFonts w:hint="eastAsia" w:ascii="宋体" w:hAnsi="宋体" w:eastAsia="宋体" w:cs="宋体"/>
                <w:szCs w:val="21"/>
              </w:rPr>
              <w:t>针对项目质量的保证措施进行评定：</w:t>
            </w:r>
          </w:p>
          <w:p w14:paraId="2196CDF7">
            <w:pPr>
              <w:spacing w:line="340" w:lineRule="exact"/>
              <w:jc w:val="left"/>
              <w:rPr>
                <w:rFonts w:hint="eastAsia" w:ascii="宋体" w:hAnsi="宋体" w:eastAsia="宋体" w:cs="宋体"/>
                <w:szCs w:val="21"/>
              </w:rPr>
            </w:pPr>
            <w:r>
              <w:rPr>
                <w:rFonts w:hint="eastAsia" w:ascii="宋体" w:hAnsi="宋体" w:eastAsia="宋体" w:cs="宋体"/>
                <w:szCs w:val="21"/>
              </w:rPr>
              <w:t>质量保证措施完整得力、安全、切实可行的，得8分；</w:t>
            </w:r>
          </w:p>
          <w:p w14:paraId="316841BE">
            <w:pPr>
              <w:spacing w:line="340" w:lineRule="exact"/>
              <w:jc w:val="left"/>
              <w:rPr>
                <w:rFonts w:hint="eastAsia" w:ascii="宋体" w:hAnsi="宋体" w:eastAsia="宋体" w:cs="宋体"/>
                <w:szCs w:val="21"/>
              </w:rPr>
            </w:pPr>
            <w:r>
              <w:rPr>
                <w:rFonts w:hint="eastAsia" w:ascii="宋体" w:hAnsi="宋体" w:eastAsia="宋体" w:cs="宋体"/>
                <w:szCs w:val="21"/>
              </w:rPr>
              <w:t>质量保证措施较完整、安全、基本可行的，得6分；</w:t>
            </w:r>
          </w:p>
          <w:p w14:paraId="07AED4AB">
            <w:pPr>
              <w:spacing w:line="340" w:lineRule="exact"/>
              <w:jc w:val="left"/>
              <w:rPr>
                <w:rFonts w:hint="eastAsia" w:ascii="宋体" w:hAnsi="宋体" w:eastAsia="宋体" w:cs="宋体"/>
                <w:szCs w:val="21"/>
              </w:rPr>
            </w:pPr>
            <w:r>
              <w:rPr>
                <w:rFonts w:hint="eastAsia" w:ascii="宋体" w:hAnsi="宋体" w:eastAsia="宋体" w:cs="宋体"/>
                <w:szCs w:val="21"/>
              </w:rPr>
              <w:t>质量保证措施基本完整、可行性一般的，得4分；</w:t>
            </w:r>
          </w:p>
          <w:p w14:paraId="37FE6422">
            <w:pPr>
              <w:spacing w:line="340" w:lineRule="exact"/>
              <w:jc w:val="left"/>
              <w:rPr>
                <w:rFonts w:hint="eastAsia" w:ascii="宋体" w:hAnsi="宋体" w:eastAsia="宋体" w:cs="宋体"/>
                <w:szCs w:val="21"/>
              </w:rPr>
            </w:pPr>
            <w:r>
              <w:rPr>
                <w:rFonts w:hint="eastAsia" w:ascii="宋体" w:hAnsi="宋体" w:eastAsia="宋体" w:cs="宋体"/>
                <w:szCs w:val="21"/>
              </w:rPr>
              <w:t>质量保证措施基 本完整、可行性差的得2分；</w:t>
            </w:r>
          </w:p>
          <w:p w14:paraId="592151E7">
            <w:pPr>
              <w:spacing w:line="340" w:lineRule="exact"/>
              <w:jc w:val="left"/>
              <w:rPr>
                <w:rFonts w:hint="eastAsia" w:ascii="宋体" w:hAnsi="宋体" w:eastAsia="宋体" w:cs="宋体"/>
                <w:szCs w:val="21"/>
              </w:rPr>
            </w:pPr>
            <w:r>
              <w:rPr>
                <w:rFonts w:hint="eastAsia" w:ascii="宋体" w:hAnsi="宋体" w:eastAsia="宋体" w:cs="宋体"/>
                <w:szCs w:val="21"/>
              </w:rPr>
              <w:t>缺项不得分。</w:t>
            </w:r>
          </w:p>
        </w:tc>
      </w:tr>
      <w:tr w14:paraId="562A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43" w:type="dxa"/>
            <w:vMerge w:val="continue"/>
            <w:vAlign w:val="center"/>
          </w:tcPr>
          <w:p w14:paraId="09EDD951">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04B6AA42">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6EAE516F">
            <w:pPr>
              <w:widowControl/>
              <w:spacing w:line="340" w:lineRule="exact"/>
              <w:jc w:val="center"/>
              <w:rPr>
                <w:rFonts w:hint="eastAsia" w:ascii="宋体" w:hAnsi="宋体" w:eastAsia="宋体" w:cs="宋体"/>
                <w:szCs w:val="21"/>
              </w:rPr>
            </w:pPr>
            <w:r>
              <w:rPr>
                <w:rFonts w:hint="eastAsia" w:ascii="宋体" w:hAnsi="宋体" w:eastAsia="宋体" w:cs="宋体"/>
                <w:color w:val="000000"/>
                <w:kern w:val="0"/>
                <w:szCs w:val="21"/>
                <w:lang w:bidi="ar"/>
              </w:rPr>
              <w:t>培训计划与</w:t>
            </w:r>
          </w:p>
          <w:p w14:paraId="3076F6A7">
            <w:pPr>
              <w:widowControl/>
              <w:spacing w:line="3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考核办法</w:t>
            </w:r>
          </w:p>
          <w:p w14:paraId="5EE12AB9">
            <w:pPr>
              <w:widowControl/>
              <w:spacing w:line="3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（8分）</w:t>
            </w:r>
          </w:p>
        </w:tc>
        <w:tc>
          <w:tcPr>
            <w:tcW w:w="6543" w:type="dxa"/>
            <w:vAlign w:val="center"/>
          </w:tcPr>
          <w:p w14:paraId="7F30F509">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 xml:space="preserve">根据派驻岗位要求针对岗位进行人员培训，且具有切实可行的培训 </w:t>
            </w:r>
          </w:p>
          <w:p w14:paraId="143567D0">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计划、考核办法。</w:t>
            </w:r>
          </w:p>
          <w:p w14:paraId="5FDC4EAF">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培训方案科学、合理、考核办法详细可行、针对性强的得8分；</w:t>
            </w:r>
          </w:p>
          <w:p w14:paraId="21C36B4A">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培训方案科学、合理、考核办法比较详细、针对性较强的得6分；</w:t>
            </w:r>
          </w:p>
          <w:p w14:paraId="60F7B5F2">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培训方案比较完整合理、考核办法较可行、有针对性的得4分；</w:t>
            </w:r>
          </w:p>
          <w:p w14:paraId="6162D771">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培训方案基本合理、考核办法基本可行的得2分；</w:t>
            </w:r>
          </w:p>
          <w:p w14:paraId="1A0BEA5F">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缺项不得分。</w:t>
            </w:r>
          </w:p>
        </w:tc>
      </w:tr>
      <w:tr w14:paraId="65F3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3" w:type="dxa"/>
            <w:vMerge w:val="continue"/>
            <w:vAlign w:val="center"/>
          </w:tcPr>
          <w:p w14:paraId="483C0C76">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42B6ECCC">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7EA73774">
            <w:pPr>
              <w:spacing w:line="340" w:lineRule="exact"/>
              <w:jc w:val="center"/>
              <w:rPr>
                <w:rFonts w:hint="eastAsia" w:ascii="宋体" w:hAnsi="宋体" w:eastAsia="宋体" w:cs="宋体"/>
                <w:szCs w:val="21"/>
              </w:rPr>
            </w:pPr>
            <w:r>
              <w:rPr>
                <w:rFonts w:hint="eastAsia" w:ascii="宋体" w:hAnsi="宋体" w:eastAsia="宋体" w:cs="宋体"/>
                <w:szCs w:val="21"/>
              </w:rPr>
              <w:t>内部管理</w:t>
            </w:r>
          </w:p>
          <w:p w14:paraId="70076C2D">
            <w:pPr>
              <w:spacing w:line="340" w:lineRule="exact"/>
              <w:jc w:val="center"/>
              <w:rPr>
                <w:rFonts w:hint="eastAsia" w:ascii="宋体" w:hAnsi="宋体" w:eastAsia="宋体" w:cs="宋体"/>
                <w:szCs w:val="21"/>
              </w:rPr>
            </w:pPr>
            <w:r>
              <w:rPr>
                <w:rFonts w:hint="eastAsia" w:ascii="宋体" w:hAnsi="宋体" w:eastAsia="宋体" w:cs="宋体"/>
                <w:szCs w:val="21"/>
              </w:rPr>
              <w:t>机构设置</w:t>
            </w:r>
          </w:p>
          <w:p w14:paraId="67CDF11B">
            <w:pPr>
              <w:spacing w:line="340" w:lineRule="exact"/>
              <w:jc w:val="center"/>
              <w:rPr>
                <w:rFonts w:hint="eastAsia" w:ascii="宋体" w:hAnsi="宋体" w:eastAsia="宋体" w:cs="宋体"/>
                <w:kern w:val="0"/>
                <w:szCs w:val="21"/>
              </w:rPr>
            </w:pPr>
            <w:r>
              <w:rPr>
                <w:rFonts w:hint="eastAsia" w:ascii="宋体" w:hAnsi="宋体" w:eastAsia="宋体" w:cs="宋体"/>
                <w:szCs w:val="21"/>
              </w:rPr>
              <w:t>（8分）</w:t>
            </w:r>
          </w:p>
        </w:tc>
        <w:tc>
          <w:tcPr>
            <w:tcW w:w="6543" w:type="dxa"/>
            <w:vAlign w:val="center"/>
          </w:tcPr>
          <w:p w14:paraId="62A79543">
            <w:pPr>
              <w:spacing w:line="340" w:lineRule="exact"/>
              <w:rPr>
                <w:rFonts w:hint="eastAsia" w:ascii="宋体" w:hAnsi="宋体" w:eastAsia="宋体" w:cs="宋体"/>
                <w:szCs w:val="21"/>
              </w:rPr>
            </w:pPr>
            <w:r>
              <w:rPr>
                <w:rFonts w:hint="eastAsia" w:ascii="宋体" w:hAnsi="宋体" w:eastAsia="宋体" w:cs="宋体"/>
                <w:szCs w:val="21"/>
              </w:rPr>
              <w:t>公司内部管理机构分工需明确、内部管理措施应全面合理性。</w:t>
            </w:r>
          </w:p>
          <w:p w14:paraId="5216203A">
            <w:pPr>
              <w:spacing w:line="340" w:lineRule="exact"/>
              <w:rPr>
                <w:rFonts w:hint="eastAsia" w:ascii="宋体" w:hAnsi="宋体" w:eastAsia="宋体" w:cs="宋体"/>
                <w:szCs w:val="21"/>
              </w:rPr>
            </w:pPr>
            <w:r>
              <w:rPr>
                <w:rFonts w:hint="eastAsia" w:ascii="宋体" w:hAnsi="宋体" w:eastAsia="宋体" w:cs="宋体"/>
                <w:szCs w:val="21"/>
              </w:rPr>
              <w:t>各项管理制度和监督制度科学完善的得8分；</w:t>
            </w:r>
          </w:p>
          <w:p w14:paraId="35DF38B2">
            <w:pPr>
              <w:spacing w:line="340" w:lineRule="exact"/>
              <w:rPr>
                <w:rFonts w:hint="eastAsia" w:ascii="宋体" w:hAnsi="宋体" w:eastAsia="宋体" w:cs="宋体"/>
                <w:szCs w:val="21"/>
              </w:rPr>
            </w:pPr>
            <w:r>
              <w:rPr>
                <w:rFonts w:hint="eastAsia" w:ascii="宋体" w:hAnsi="宋体" w:eastAsia="宋体" w:cs="宋体"/>
                <w:szCs w:val="21"/>
              </w:rPr>
              <w:t>各项管理制度和监督制度比较科学完善的得6分</w:t>
            </w:r>
          </w:p>
          <w:p w14:paraId="4F8EE685">
            <w:pPr>
              <w:spacing w:line="340" w:lineRule="exact"/>
            </w:pPr>
            <w:r>
              <w:rPr>
                <w:rFonts w:hint="eastAsia" w:ascii="宋体" w:hAnsi="宋体" w:eastAsia="宋体" w:cs="宋体"/>
                <w:szCs w:val="21"/>
              </w:rPr>
              <w:t>较完善可行性较高的得4分；</w:t>
            </w:r>
          </w:p>
          <w:p w14:paraId="2F125B07">
            <w:pPr>
              <w:spacing w:line="340" w:lineRule="exact"/>
              <w:rPr>
                <w:rFonts w:hint="eastAsia" w:ascii="宋体" w:hAnsi="宋体" w:eastAsia="宋体" w:cs="宋体"/>
                <w:szCs w:val="21"/>
              </w:rPr>
            </w:pPr>
            <w:r>
              <w:rPr>
                <w:rFonts w:hint="eastAsia" w:ascii="宋体" w:hAnsi="宋体" w:eastAsia="宋体" w:cs="宋体"/>
                <w:szCs w:val="21"/>
              </w:rPr>
              <w:t>不够完善实施度不够的得2分；</w:t>
            </w:r>
          </w:p>
          <w:p w14:paraId="382E5EB3">
            <w:pPr>
              <w:spacing w:line="340" w:lineRule="exact"/>
              <w:rPr>
                <w:rFonts w:hint="eastAsia" w:ascii="宋体" w:hAnsi="宋体" w:eastAsia="宋体" w:cs="宋体"/>
                <w:kern w:val="0"/>
                <w:szCs w:val="21"/>
              </w:rPr>
            </w:pPr>
            <w:r>
              <w:rPr>
                <w:rFonts w:hint="eastAsia" w:ascii="宋体" w:hAnsi="宋体" w:eastAsia="宋体" w:cs="宋体"/>
                <w:szCs w:val="21"/>
              </w:rPr>
              <w:t>缺项不得分。</w:t>
            </w:r>
          </w:p>
        </w:tc>
      </w:tr>
      <w:tr w14:paraId="6070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3" w:type="dxa"/>
            <w:vMerge w:val="continue"/>
            <w:vAlign w:val="center"/>
          </w:tcPr>
          <w:p w14:paraId="5304E1D1">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7D57E17E">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2F72A56C">
            <w:pPr>
              <w:widowControl/>
              <w:spacing w:line="3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日常管理</w:t>
            </w:r>
          </w:p>
          <w:p w14:paraId="5C40E372">
            <w:pPr>
              <w:widowControl/>
              <w:spacing w:line="340" w:lineRule="exact"/>
              <w:jc w:val="center"/>
              <w:rPr>
                <w:rFonts w:hint="eastAsia" w:ascii="宋体" w:hAnsi="宋体" w:eastAsia="宋体" w:cs="宋体"/>
                <w:kern w:val="0"/>
                <w:szCs w:val="21"/>
              </w:rPr>
            </w:pPr>
            <w:r>
              <w:rPr>
                <w:rFonts w:hint="eastAsia" w:ascii="宋体" w:hAnsi="宋体" w:eastAsia="宋体" w:cs="宋体"/>
                <w:color w:val="000000"/>
                <w:kern w:val="0"/>
                <w:szCs w:val="21"/>
                <w:lang w:bidi="ar"/>
              </w:rPr>
              <w:t>方案（6分）</w:t>
            </w:r>
          </w:p>
        </w:tc>
        <w:tc>
          <w:tcPr>
            <w:tcW w:w="6543" w:type="dxa"/>
            <w:vAlign w:val="center"/>
          </w:tcPr>
          <w:p w14:paraId="406263A2">
            <w:pPr>
              <w:widowControl/>
              <w:spacing w:line="340" w:lineRule="exac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供应商日常管理方案（含人员安排、人员交接以及工作流程）等内容：</w:t>
            </w:r>
          </w:p>
          <w:p w14:paraId="199501D0">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方案详细、完整，科学、合理、可行，针对性强的得6分；</w:t>
            </w:r>
          </w:p>
          <w:p w14:paraId="047358BD">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方案基本完整、基本合理、可行的得4分；</w:t>
            </w:r>
          </w:p>
          <w:p w14:paraId="36018D3C">
            <w:pPr>
              <w:widowControl/>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方案不够完整、不够科学、合理、可行的得2分；</w:t>
            </w:r>
          </w:p>
          <w:p w14:paraId="58200BC6">
            <w:pPr>
              <w:widowControl/>
              <w:spacing w:line="340" w:lineRule="exact"/>
              <w:jc w:val="left"/>
              <w:rPr>
                <w:rFonts w:hint="eastAsia" w:ascii="宋体" w:hAnsi="宋体" w:eastAsia="宋体" w:cs="宋体"/>
                <w:kern w:val="0"/>
                <w:szCs w:val="21"/>
              </w:rPr>
            </w:pPr>
            <w:r>
              <w:rPr>
                <w:rFonts w:hint="eastAsia" w:ascii="宋体" w:hAnsi="宋体" w:eastAsia="宋体" w:cs="宋体"/>
                <w:kern w:val="0"/>
                <w:szCs w:val="21"/>
              </w:rPr>
              <w:t>缺项不得分。</w:t>
            </w:r>
          </w:p>
        </w:tc>
      </w:tr>
      <w:tr w14:paraId="1E6D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43" w:type="dxa"/>
            <w:vMerge w:val="continue"/>
            <w:vAlign w:val="center"/>
          </w:tcPr>
          <w:p w14:paraId="56BF3574">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00728F31">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493B425F">
            <w:pPr>
              <w:spacing w:line="340" w:lineRule="exact"/>
              <w:jc w:val="center"/>
              <w:rPr>
                <w:rFonts w:hint="eastAsia" w:ascii="宋体" w:hAnsi="宋体" w:eastAsia="宋体" w:cs="宋体"/>
                <w:szCs w:val="21"/>
              </w:rPr>
            </w:pPr>
            <w:r>
              <w:rPr>
                <w:rFonts w:hint="eastAsia" w:ascii="宋体" w:hAnsi="宋体" w:eastAsia="宋体" w:cs="宋体"/>
                <w:szCs w:val="21"/>
              </w:rPr>
              <w:t>人员调配</w:t>
            </w:r>
          </w:p>
          <w:p w14:paraId="45EBFB6E">
            <w:pPr>
              <w:spacing w:line="340" w:lineRule="exact"/>
              <w:jc w:val="center"/>
              <w:rPr>
                <w:rFonts w:hint="eastAsia" w:ascii="宋体" w:hAnsi="宋体" w:eastAsia="宋体" w:cs="宋体"/>
                <w:szCs w:val="21"/>
              </w:rPr>
            </w:pPr>
            <w:r>
              <w:rPr>
                <w:rFonts w:hint="eastAsia" w:ascii="宋体" w:hAnsi="宋体" w:eastAsia="宋体" w:cs="宋体"/>
                <w:szCs w:val="21"/>
              </w:rPr>
              <w:t>应急措施</w:t>
            </w:r>
          </w:p>
          <w:p w14:paraId="09198062">
            <w:pPr>
              <w:spacing w:line="340" w:lineRule="exact"/>
              <w:jc w:val="center"/>
              <w:rPr>
                <w:rFonts w:hint="eastAsia" w:ascii="宋体" w:hAnsi="宋体" w:eastAsia="宋体" w:cs="宋体"/>
                <w:kern w:val="0"/>
                <w:szCs w:val="21"/>
              </w:rPr>
            </w:pPr>
            <w:r>
              <w:rPr>
                <w:rFonts w:hint="eastAsia" w:ascii="宋体" w:hAnsi="宋体" w:eastAsia="宋体" w:cs="宋体"/>
                <w:szCs w:val="21"/>
              </w:rPr>
              <w:t>（5分）</w:t>
            </w:r>
          </w:p>
        </w:tc>
        <w:tc>
          <w:tcPr>
            <w:tcW w:w="6543" w:type="dxa"/>
            <w:vAlign w:val="center"/>
          </w:tcPr>
          <w:p w14:paraId="325EF13D">
            <w:pPr>
              <w:widowControl/>
              <w:autoSpaceDE w:val="0"/>
              <w:autoSpaceDN w:val="0"/>
              <w:spacing w:line="340" w:lineRule="exact"/>
              <w:jc w:val="left"/>
              <w:rPr>
                <w:rFonts w:hint="eastAsia" w:ascii="宋体" w:hAnsi="宋体" w:eastAsia="宋体" w:cs="宋体"/>
                <w:szCs w:val="21"/>
              </w:rPr>
            </w:pPr>
            <w:r>
              <w:rPr>
                <w:rFonts w:hint="eastAsia" w:ascii="宋体" w:hAnsi="宋体" w:eastAsia="宋体" w:cs="宋体"/>
                <w:szCs w:val="21"/>
              </w:rPr>
              <w:t>在项目服务过程中，如配备人员工作不力或调动，供应商应就某些可预见或不可预见的人员变动采取哪些补救（替补）措施，以保证用人单位的正常工作不受影响。</w:t>
            </w:r>
          </w:p>
          <w:p w14:paraId="7F598F7E">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方案详细、完整，科学、合理、可行，针对性强的得5分；</w:t>
            </w:r>
          </w:p>
          <w:p w14:paraId="29E2C8EA">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方案基本完整、基本合理、可行的得3分；</w:t>
            </w:r>
          </w:p>
          <w:p w14:paraId="7B54A212">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方案不够完整、不够科学、合理、可行的得1分；</w:t>
            </w:r>
          </w:p>
          <w:p w14:paraId="7C428176">
            <w:pPr>
              <w:widowControl/>
              <w:autoSpaceDE w:val="0"/>
              <w:autoSpaceDN w:val="0"/>
              <w:spacing w:line="340" w:lineRule="exact"/>
              <w:jc w:val="left"/>
              <w:rPr>
                <w:rFonts w:hint="eastAsia" w:ascii="宋体" w:hAnsi="宋体" w:eastAsia="宋体" w:cs="宋体"/>
                <w:kern w:val="0"/>
                <w:szCs w:val="21"/>
              </w:rPr>
            </w:pPr>
            <w:r>
              <w:rPr>
                <w:rFonts w:hint="eastAsia" w:ascii="宋体" w:hAnsi="宋体" w:eastAsia="宋体" w:cs="宋体"/>
                <w:kern w:val="0"/>
                <w:szCs w:val="21"/>
              </w:rPr>
              <w:t>缺项不得分。</w:t>
            </w:r>
          </w:p>
        </w:tc>
      </w:tr>
      <w:tr w14:paraId="4272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14:paraId="699B17C4">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871" w:type="dxa"/>
            <w:vMerge w:val="restart"/>
            <w:vAlign w:val="center"/>
          </w:tcPr>
          <w:p w14:paraId="7DEBB289">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商务</w:t>
            </w:r>
          </w:p>
          <w:p w14:paraId="562D2708">
            <w:pPr>
              <w:widowControl/>
              <w:autoSpaceDE w:val="0"/>
              <w:autoSpaceDN w:val="0"/>
              <w:spacing w:line="340" w:lineRule="exact"/>
              <w:jc w:val="center"/>
              <w:rPr>
                <w:rFonts w:hint="eastAsia" w:ascii="宋体" w:hAnsi="宋体" w:eastAsia="宋体" w:cs="宋体"/>
                <w:kern w:val="0"/>
                <w:szCs w:val="21"/>
              </w:rPr>
            </w:pPr>
            <w:r>
              <w:rPr>
                <w:rFonts w:hint="eastAsia" w:ascii="宋体" w:hAnsi="宋体" w:eastAsia="宋体" w:cs="宋体"/>
                <w:kern w:val="0"/>
                <w:szCs w:val="21"/>
              </w:rPr>
              <w:t>部分（</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p>
        </w:tc>
        <w:tc>
          <w:tcPr>
            <w:tcW w:w="1353" w:type="dxa"/>
            <w:vAlign w:val="center"/>
          </w:tcPr>
          <w:p w14:paraId="1D3F4216">
            <w:pPr>
              <w:autoSpaceDE w:val="0"/>
              <w:autoSpaceDN w:val="0"/>
              <w:adjustRightInd w:val="0"/>
              <w:spacing w:line="340" w:lineRule="exact"/>
              <w:ind w:left="38" w:leftChars="18"/>
              <w:jc w:val="center"/>
              <w:rPr>
                <w:rFonts w:hint="eastAsia" w:ascii="华文中宋" w:hAnsi="华文中宋" w:eastAsia="华文中宋" w:cs="华文中宋"/>
                <w:color w:val="auto"/>
                <w:kern w:val="0"/>
                <w:szCs w:val="21"/>
                <w:lang w:bidi="ar"/>
              </w:rPr>
            </w:pPr>
            <w:r>
              <w:rPr>
                <w:rFonts w:hint="eastAsia" w:ascii="华文中宋" w:hAnsi="华文中宋" w:eastAsia="华文中宋" w:cs="华文中宋"/>
                <w:color w:val="auto"/>
                <w:kern w:val="0"/>
                <w:szCs w:val="21"/>
                <w:lang w:bidi="ar"/>
              </w:rPr>
              <w:t>拟派项目组成员配备</w:t>
            </w:r>
          </w:p>
          <w:p w14:paraId="1ED71A37">
            <w:pPr>
              <w:autoSpaceDE w:val="0"/>
              <w:autoSpaceDN w:val="0"/>
              <w:adjustRightInd w:val="0"/>
              <w:spacing w:line="340" w:lineRule="exact"/>
              <w:ind w:left="38" w:leftChars="18"/>
              <w:jc w:val="center"/>
              <w:rPr>
                <w:rFonts w:hint="eastAsia" w:ascii="宋体" w:hAnsi="宋体" w:eastAsia="华文中宋" w:cs="宋体"/>
                <w:color w:val="auto"/>
                <w:kern w:val="0"/>
                <w:szCs w:val="21"/>
              </w:rPr>
            </w:pPr>
            <w:r>
              <w:rPr>
                <w:rFonts w:hint="eastAsia" w:ascii="华文中宋" w:hAnsi="华文中宋" w:eastAsia="华文中宋" w:cs="华文中宋"/>
                <w:color w:val="auto"/>
                <w:kern w:val="0"/>
                <w:szCs w:val="21"/>
                <w:lang w:bidi="ar"/>
              </w:rPr>
              <w:t>（</w:t>
            </w:r>
            <w:r>
              <w:rPr>
                <w:rFonts w:hint="eastAsia" w:ascii="华文中宋" w:hAnsi="华文中宋" w:eastAsia="华文中宋" w:cs="华文中宋"/>
                <w:color w:val="auto"/>
                <w:kern w:val="0"/>
                <w:szCs w:val="21"/>
                <w:lang w:val="en-US" w:eastAsia="zh-CN" w:bidi="ar"/>
              </w:rPr>
              <w:t>14</w:t>
            </w:r>
            <w:r>
              <w:rPr>
                <w:rFonts w:hint="eastAsia" w:ascii="华文中宋" w:hAnsi="华文中宋" w:eastAsia="华文中宋" w:cs="华文中宋"/>
                <w:color w:val="auto"/>
                <w:kern w:val="0"/>
                <w:szCs w:val="21"/>
                <w:lang w:bidi="ar"/>
              </w:rPr>
              <w:t>分）</w:t>
            </w:r>
          </w:p>
        </w:tc>
        <w:tc>
          <w:tcPr>
            <w:tcW w:w="6543" w:type="dxa"/>
            <w:vAlign w:val="center"/>
          </w:tcPr>
          <w:p w14:paraId="3F1EE2AD">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拟派项目负责人具有人力资源管理相关专业中级及以上职称或人力资源管理师职业资格证书的，每</w:t>
            </w:r>
            <w:r>
              <w:rPr>
                <w:rFonts w:hint="eastAsia" w:ascii="宋体" w:hAnsi="宋体" w:eastAsia="宋体" w:cs="宋体"/>
                <w:color w:val="auto"/>
                <w:kern w:val="0"/>
                <w:szCs w:val="21"/>
                <w:lang w:val="en-US" w:eastAsia="zh-CN"/>
              </w:rPr>
              <w:t>有一项得</w:t>
            </w:r>
            <w:r>
              <w:rPr>
                <w:rFonts w:hint="eastAsia" w:ascii="宋体" w:hAnsi="宋体" w:eastAsia="宋体" w:cs="宋体"/>
                <w:color w:val="auto"/>
                <w:kern w:val="0"/>
                <w:szCs w:val="21"/>
              </w:rPr>
              <w:t>2分，最高</w:t>
            </w:r>
            <w:r>
              <w:rPr>
                <w:rFonts w:hint="eastAsia" w:ascii="宋体" w:hAnsi="宋体" w:eastAsia="宋体" w:cs="宋体"/>
                <w:color w:val="auto"/>
                <w:kern w:val="0"/>
                <w:szCs w:val="21"/>
                <w:lang w:val="en-US" w:eastAsia="zh-CN"/>
              </w:rPr>
              <w:t>得</w:t>
            </w:r>
            <w:r>
              <w:rPr>
                <w:rFonts w:hint="eastAsia" w:ascii="宋体" w:hAnsi="宋体" w:eastAsia="宋体" w:cs="宋体"/>
                <w:color w:val="auto"/>
                <w:kern w:val="0"/>
                <w:szCs w:val="21"/>
              </w:rPr>
              <w:t>4分。</w:t>
            </w:r>
          </w:p>
          <w:p w14:paraId="6F25FF20">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除项目负责人外，拟派项目团队成员持有养老护理员、护理员等护理类相关职业技能等级/合格证书的，每</w:t>
            </w:r>
            <w:r>
              <w:rPr>
                <w:rFonts w:hint="eastAsia" w:ascii="宋体" w:hAnsi="宋体" w:eastAsia="宋体" w:cs="宋体"/>
                <w:color w:val="auto"/>
                <w:kern w:val="0"/>
                <w:szCs w:val="21"/>
                <w:lang w:val="en-US" w:eastAsia="zh-CN"/>
              </w:rPr>
              <w:t>有一</w:t>
            </w:r>
            <w:r>
              <w:rPr>
                <w:rFonts w:hint="eastAsia" w:ascii="宋体" w:hAnsi="宋体" w:eastAsia="宋体" w:cs="宋体"/>
                <w:color w:val="auto"/>
                <w:kern w:val="0"/>
                <w:szCs w:val="21"/>
              </w:rPr>
              <w:t>名加</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分，最高加</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分。</w:t>
            </w:r>
          </w:p>
          <w:p w14:paraId="6A55103B">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除项目负责人外，拟派项目团队成员持有执业助理医师及以上资格证书或护士资格证书（证书在有效期内）的，每</w:t>
            </w:r>
            <w:r>
              <w:rPr>
                <w:rFonts w:hint="eastAsia" w:ascii="宋体" w:hAnsi="宋体" w:eastAsia="宋体" w:cs="宋体"/>
                <w:color w:val="auto"/>
                <w:kern w:val="0"/>
                <w:szCs w:val="21"/>
                <w:lang w:val="en-US" w:eastAsia="zh-CN"/>
              </w:rPr>
              <w:t>有一</w:t>
            </w:r>
            <w:r>
              <w:rPr>
                <w:rFonts w:hint="eastAsia" w:ascii="宋体" w:hAnsi="宋体" w:eastAsia="宋体" w:cs="宋体"/>
                <w:color w:val="auto"/>
                <w:kern w:val="0"/>
                <w:szCs w:val="21"/>
              </w:rPr>
              <w:t>名加1分，最高加4分。</w:t>
            </w:r>
          </w:p>
          <w:p w14:paraId="7986C64F">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注：须提供身份证、相关证书扫描件</w:t>
            </w:r>
            <w:r>
              <w:rPr>
                <w:rFonts w:hint="eastAsia" w:ascii="宋体" w:hAnsi="宋体" w:eastAsia="宋体" w:cs="宋体"/>
                <w:color w:val="auto"/>
                <w:kern w:val="0"/>
                <w:szCs w:val="21"/>
                <w:lang w:val="en-US" w:eastAsia="zh-CN"/>
              </w:rPr>
              <w:t>及</w:t>
            </w:r>
            <w:r>
              <w:rPr>
                <w:rFonts w:hint="eastAsia" w:ascii="宋体" w:hAnsi="宋体" w:eastAsia="宋体" w:cs="宋体"/>
                <w:color w:val="auto"/>
                <w:kern w:val="0"/>
                <w:szCs w:val="21"/>
              </w:rPr>
              <w:t>劳动合同复印件并加盖公章。</w:t>
            </w:r>
          </w:p>
        </w:tc>
      </w:tr>
      <w:tr w14:paraId="1032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3" w:type="dxa"/>
            <w:vMerge w:val="continue"/>
            <w:vAlign w:val="center"/>
          </w:tcPr>
          <w:p w14:paraId="47C4E5FE">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67B81F15">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1D8D525B">
            <w:pPr>
              <w:autoSpaceDE w:val="0"/>
              <w:autoSpaceDN w:val="0"/>
              <w:adjustRightInd w:val="0"/>
              <w:spacing w:line="340" w:lineRule="exact"/>
              <w:ind w:left="38" w:leftChars="18"/>
              <w:jc w:val="center"/>
              <w:rPr>
                <w:rFonts w:hint="eastAsia" w:ascii="华文中宋" w:hAnsi="华文中宋" w:eastAsia="华文中宋" w:cs="华文中宋"/>
                <w:color w:val="auto"/>
                <w:kern w:val="0"/>
                <w:szCs w:val="21"/>
                <w:lang w:bidi="ar"/>
              </w:rPr>
            </w:pPr>
            <w:r>
              <w:rPr>
                <w:rFonts w:hint="eastAsia" w:ascii="华文中宋" w:hAnsi="华文中宋" w:eastAsia="华文中宋" w:cs="华文中宋"/>
                <w:color w:val="auto"/>
                <w:kern w:val="0"/>
                <w:szCs w:val="21"/>
                <w:lang w:bidi="ar"/>
              </w:rPr>
              <w:t>类似项目</w:t>
            </w:r>
          </w:p>
          <w:p w14:paraId="519D2BD9">
            <w:pPr>
              <w:autoSpaceDE w:val="0"/>
              <w:autoSpaceDN w:val="0"/>
              <w:adjustRightInd w:val="0"/>
              <w:spacing w:line="340" w:lineRule="exact"/>
              <w:ind w:left="38" w:leftChars="18"/>
              <w:jc w:val="center"/>
              <w:rPr>
                <w:rFonts w:hint="eastAsia" w:ascii="华文中宋" w:hAnsi="华文中宋" w:eastAsia="华文中宋" w:cs="华文中宋"/>
                <w:color w:val="auto"/>
                <w:kern w:val="0"/>
                <w:szCs w:val="21"/>
                <w:lang w:bidi="ar"/>
              </w:rPr>
            </w:pPr>
            <w:r>
              <w:rPr>
                <w:rFonts w:hint="eastAsia" w:ascii="华文中宋" w:hAnsi="华文中宋" w:eastAsia="华文中宋" w:cs="华文中宋"/>
                <w:color w:val="auto"/>
                <w:kern w:val="0"/>
                <w:szCs w:val="21"/>
                <w:lang w:bidi="ar"/>
              </w:rPr>
              <w:t>业绩</w:t>
            </w:r>
          </w:p>
          <w:p w14:paraId="15A805EB">
            <w:pPr>
              <w:autoSpaceDE w:val="0"/>
              <w:autoSpaceDN w:val="0"/>
              <w:adjustRightInd w:val="0"/>
              <w:spacing w:line="340" w:lineRule="exact"/>
              <w:ind w:left="38" w:leftChars="18"/>
              <w:jc w:val="center"/>
              <w:rPr>
                <w:rFonts w:hint="eastAsia" w:ascii="华文中宋" w:hAnsi="华文中宋" w:eastAsia="华文中宋" w:cs="华文中宋"/>
                <w:color w:val="auto"/>
                <w:kern w:val="0"/>
                <w:szCs w:val="21"/>
                <w:lang w:bidi="ar"/>
              </w:rPr>
            </w:pPr>
            <w:r>
              <w:rPr>
                <w:rFonts w:hint="eastAsia" w:ascii="华文中宋" w:hAnsi="华文中宋" w:eastAsia="华文中宋" w:cs="华文中宋"/>
                <w:color w:val="auto"/>
                <w:kern w:val="0"/>
                <w:szCs w:val="21"/>
                <w:lang w:bidi="ar"/>
              </w:rPr>
              <w:t>（6分）</w:t>
            </w:r>
          </w:p>
        </w:tc>
        <w:tc>
          <w:tcPr>
            <w:tcW w:w="6543" w:type="dxa"/>
            <w:vAlign w:val="center"/>
          </w:tcPr>
          <w:p w14:paraId="69F7B2EE">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供应商提供自2023年1月1日以来类似项目业绩的，每提供一项业绩得2分，本项最多得6分。</w:t>
            </w:r>
          </w:p>
          <w:p w14:paraId="5E9834E4">
            <w:pPr>
              <w:widowControl/>
              <w:autoSpaceDE w:val="0"/>
              <w:autoSpaceDN w:val="0"/>
              <w:spacing w:line="3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注：</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以合同签订时间为准，需提供中标通知书</w:t>
            </w:r>
            <w:r>
              <w:rPr>
                <w:rFonts w:hint="eastAsia" w:ascii="宋体" w:hAnsi="宋体" w:eastAsia="宋体" w:cs="宋体"/>
                <w:color w:val="auto"/>
                <w:kern w:val="0"/>
                <w:szCs w:val="21"/>
                <w:lang w:val="en-US" w:eastAsia="zh-CN"/>
              </w:rPr>
              <w:t>及</w:t>
            </w:r>
            <w:r>
              <w:rPr>
                <w:rFonts w:hint="eastAsia" w:ascii="宋体" w:hAnsi="宋体" w:eastAsia="宋体" w:cs="宋体"/>
                <w:color w:val="auto"/>
                <w:kern w:val="0"/>
                <w:szCs w:val="21"/>
              </w:rPr>
              <w:t>合同证明材料，</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加盖供应商公章，否则不得分。</w:t>
            </w:r>
          </w:p>
          <w:p w14:paraId="7ADF6DF5">
            <w:pPr>
              <w:widowControl/>
              <w:autoSpaceDE w:val="0"/>
              <w:autoSpaceDN w:val="0"/>
              <w:spacing w:line="340" w:lineRule="exact"/>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highlight w:val="none"/>
                <w:lang w:val="en-US" w:eastAsia="zh-CN"/>
              </w:rPr>
              <w:t>2.类似业绩指养老、护理类照料服务等相关业绩。</w:t>
            </w:r>
          </w:p>
        </w:tc>
      </w:tr>
      <w:tr w14:paraId="5569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3" w:type="dxa"/>
            <w:vMerge w:val="continue"/>
            <w:vAlign w:val="center"/>
          </w:tcPr>
          <w:p w14:paraId="6A2726B5">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7B04DCF2">
            <w:pPr>
              <w:widowControl/>
              <w:autoSpaceDE w:val="0"/>
              <w:autoSpaceDN w:val="0"/>
              <w:spacing w:line="340" w:lineRule="exact"/>
              <w:jc w:val="center"/>
              <w:rPr>
                <w:rFonts w:hint="eastAsia" w:ascii="宋体" w:hAnsi="宋体" w:eastAsia="宋体" w:cs="宋体"/>
                <w:kern w:val="0"/>
                <w:szCs w:val="21"/>
              </w:rPr>
            </w:pPr>
          </w:p>
        </w:tc>
        <w:tc>
          <w:tcPr>
            <w:tcW w:w="1353" w:type="dxa"/>
            <w:vAlign w:val="center"/>
          </w:tcPr>
          <w:p w14:paraId="049D1F09">
            <w:pPr>
              <w:autoSpaceDE w:val="0"/>
              <w:autoSpaceDN w:val="0"/>
              <w:adjustRightInd w:val="0"/>
              <w:spacing w:line="340" w:lineRule="exact"/>
              <w:ind w:left="38" w:leftChars="18"/>
              <w:jc w:val="center"/>
              <w:rPr>
                <w:rFonts w:hint="eastAsia" w:ascii="宋体" w:hAnsi="宋体" w:eastAsia="宋体" w:cs="宋体"/>
                <w:kern w:val="0"/>
                <w:szCs w:val="21"/>
              </w:rPr>
            </w:pPr>
            <w:r>
              <w:rPr>
                <w:rFonts w:hint="eastAsia" w:ascii="宋体" w:hAnsi="宋体" w:eastAsia="宋体" w:cs="宋体"/>
                <w:kern w:val="0"/>
                <w:szCs w:val="21"/>
              </w:rPr>
              <w:t>服务承诺及合理化建议</w:t>
            </w:r>
          </w:p>
          <w:p w14:paraId="1ABC5E22">
            <w:pPr>
              <w:autoSpaceDE w:val="0"/>
              <w:autoSpaceDN w:val="0"/>
              <w:adjustRightInd w:val="0"/>
              <w:spacing w:line="340" w:lineRule="exact"/>
              <w:ind w:left="38" w:leftChars="18"/>
              <w:jc w:val="center"/>
              <w:rPr>
                <w:rFonts w:hint="eastAsia" w:ascii="宋体" w:hAnsi="宋体" w:eastAsia="宋体" w:cs="宋体"/>
                <w:kern w:val="0"/>
                <w:szCs w:val="21"/>
              </w:rPr>
            </w:pPr>
            <w:r>
              <w:rPr>
                <w:rFonts w:hint="eastAsia" w:ascii="宋体" w:hAnsi="宋体" w:eastAsia="宋体" w:cs="宋体"/>
                <w:kern w:val="0"/>
                <w:szCs w:val="21"/>
              </w:rPr>
              <w:t>（10分）</w:t>
            </w:r>
          </w:p>
        </w:tc>
        <w:tc>
          <w:tcPr>
            <w:tcW w:w="6543" w:type="dxa"/>
            <w:vAlign w:val="center"/>
          </w:tcPr>
          <w:p w14:paraId="47740B3A">
            <w:pPr>
              <w:spacing w:line="340" w:lineRule="exact"/>
              <w:rPr>
                <w:rFonts w:hint="eastAsia" w:ascii="宋体" w:hAnsi="宋体" w:eastAsia="宋体" w:cs="宋体"/>
                <w:kern w:val="0"/>
                <w:szCs w:val="21"/>
              </w:rPr>
            </w:pPr>
            <w:r>
              <w:rPr>
                <w:rFonts w:hint="eastAsia" w:ascii="宋体" w:hAnsi="宋体" w:eastAsia="宋体" w:cs="宋体"/>
                <w:kern w:val="0"/>
                <w:szCs w:val="21"/>
              </w:rPr>
              <w:t>1、服务承诺</w:t>
            </w:r>
          </w:p>
          <w:p w14:paraId="49DF97D9">
            <w:pPr>
              <w:spacing w:line="340" w:lineRule="exact"/>
              <w:rPr>
                <w:rFonts w:hint="eastAsia" w:ascii="宋体" w:hAnsi="宋体" w:eastAsia="宋体" w:cs="宋体"/>
                <w:kern w:val="0"/>
                <w:szCs w:val="21"/>
              </w:rPr>
            </w:pPr>
            <w:r>
              <w:rPr>
                <w:rFonts w:hint="eastAsia" w:ascii="宋体" w:hAnsi="宋体" w:eastAsia="宋体" w:cs="宋体"/>
                <w:kern w:val="0"/>
                <w:szCs w:val="21"/>
              </w:rPr>
              <w:t>服务承诺中包含服务周期、跟踪服务、优质服务、保证项目顺利进展方面等内容，安排合理度、可行度进行评定。</w:t>
            </w:r>
          </w:p>
          <w:p w14:paraId="21D12944">
            <w:pPr>
              <w:spacing w:line="340" w:lineRule="exact"/>
              <w:rPr>
                <w:rFonts w:hint="eastAsia" w:ascii="宋体" w:hAnsi="宋体" w:eastAsia="宋体" w:cs="宋体"/>
                <w:kern w:val="0"/>
                <w:szCs w:val="21"/>
              </w:rPr>
            </w:pPr>
            <w:r>
              <w:rPr>
                <w:rFonts w:hint="eastAsia" w:ascii="宋体" w:hAnsi="宋体" w:eastAsia="宋体" w:cs="宋体"/>
                <w:kern w:val="0"/>
                <w:szCs w:val="21"/>
              </w:rPr>
              <w:t>安排合理，切实可行的，得5分；</w:t>
            </w:r>
          </w:p>
          <w:p w14:paraId="7028C97A">
            <w:pPr>
              <w:spacing w:line="340" w:lineRule="exact"/>
              <w:rPr>
                <w:rFonts w:hint="eastAsia" w:ascii="宋体" w:hAnsi="宋体" w:eastAsia="宋体" w:cs="宋体"/>
                <w:kern w:val="0"/>
                <w:szCs w:val="21"/>
              </w:rPr>
            </w:pPr>
            <w:r>
              <w:rPr>
                <w:rFonts w:hint="eastAsia" w:ascii="宋体" w:hAnsi="宋体" w:eastAsia="宋体" w:cs="宋体"/>
                <w:kern w:val="0"/>
                <w:szCs w:val="21"/>
              </w:rPr>
              <w:t>安排合理，基本可行的，得3分；</w:t>
            </w:r>
          </w:p>
          <w:p w14:paraId="00B91A2F">
            <w:pPr>
              <w:spacing w:line="340" w:lineRule="exact"/>
              <w:rPr>
                <w:rFonts w:hint="eastAsia" w:ascii="宋体" w:hAnsi="宋体" w:eastAsia="宋体" w:cs="宋体"/>
                <w:kern w:val="0"/>
                <w:szCs w:val="21"/>
              </w:rPr>
            </w:pPr>
            <w:r>
              <w:rPr>
                <w:rFonts w:hint="eastAsia" w:ascii="宋体" w:hAnsi="宋体" w:eastAsia="宋体" w:cs="宋体"/>
                <w:kern w:val="0"/>
                <w:szCs w:val="21"/>
              </w:rPr>
              <w:t>安排合理，一般可行的，得1分；</w:t>
            </w:r>
          </w:p>
          <w:p w14:paraId="67C63ADD">
            <w:pPr>
              <w:spacing w:line="340" w:lineRule="exact"/>
              <w:rPr>
                <w:rFonts w:hint="eastAsia" w:ascii="宋体" w:hAnsi="宋体" w:eastAsia="宋体" w:cs="宋体"/>
                <w:kern w:val="0"/>
                <w:szCs w:val="21"/>
              </w:rPr>
            </w:pPr>
            <w:r>
              <w:rPr>
                <w:rFonts w:hint="eastAsia" w:ascii="宋体" w:hAnsi="宋体" w:eastAsia="宋体" w:cs="宋体"/>
                <w:kern w:val="0"/>
                <w:szCs w:val="21"/>
              </w:rPr>
              <w:t>缺项不得分。</w:t>
            </w:r>
          </w:p>
          <w:p w14:paraId="3ACD1FB4">
            <w:pPr>
              <w:spacing w:line="340" w:lineRule="exact"/>
              <w:rPr>
                <w:rFonts w:hint="eastAsia" w:ascii="宋体" w:hAnsi="宋体" w:eastAsia="宋体" w:cs="宋体"/>
                <w:kern w:val="0"/>
                <w:szCs w:val="21"/>
              </w:rPr>
            </w:pPr>
            <w:r>
              <w:rPr>
                <w:rFonts w:hint="eastAsia" w:ascii="宋体" w:hAnsi="宋体" w:eastAsia="宋体" w:cs="宋体"/>
                <w:kern w:val="0"/>
                <w:szCs w:val="21"/>
              </w:rPr>
              <w:t>2、合理化建议（5分）</w:t>
            </w:r>
          </w:p>
          <w:p w14:paraId="6A461A0C">
            <w:pPr>
              <w:spacing w:line="340" w:lineRule="exact"/>
              <w:rPr>
                <w:rFonts w:hint="eastAsia" w:ascii="宋体" w:hAnsi="宋体" w:eastAsia="宋体" w:cs="宋体"/>
                <w:kern w:val="0"/>
                <w:szCs w:val="21"/>
              </w:rPr>
            </w:pPr>
            <w:r>
              <w:rPr>
                <w:rFonts w:hint="eastAsia" w:ascii="宋体" w:hAnsi="宋体" w:eastAsia="宋体" w:cs="宋体"/>
                <w:kern w:val="0"/>
                <w:szCs w:val="21"/>
              </w:rPr>
              <w:t>供应商根据项目实际情况及自身经验向采购人提出的合理化建议。</w:t>
            </w:r>
          </w:p>
          <w:p w14:paraId="1E624083">
            <w:pPr>
              <w:spacing w:line="340" w:lineRule="exact"/>
              <w:rPr>
                <w:rFonts w:hint="eastAsia" w:ascii="宋体" w:hAnsi="宋体" w:eastAsia="宋体" w:cs="宋体"/>
                <w:kern w:val="0"/>
                <w:szCs w:val="21"/>
              </w:rPr>
            </w:pPr>
            <w:r>
              <w:rPr>
                <w:rFonts w:hint="eastAsia" w:ascii="宋体" w:hAnsi="宋体" w:eastAsia="宋体" w:cs="宋体"/>
                <w:kern w:val="0"/>
                <w:szCs w:val="21"/>
              </w:rPr>
              <w:t>合理化建议优质高效、全面具体、针对性强的得5分；</w:t>
            </w:r>
          </w:p>
          <w:p w14:paraId="3A51A89F">
            <w:pPr>
              <w:spacing w:line="340" w:lineRule="exact"/>
              <w:rPr>
                <w:rFonts w:hint="eastAsia" w:ascii="宋体" w:hAnsi="宋体" w:eastAsia="宋体" w:cs="宋体"/>
                <w:kern w:val="0"/>
                <w:szCs w:val="21"/>
              </w:rPr>
            </w:pPr>
            <w:r>
              <w:rPr>
                <w:rFonts w:hint="eastAsia" w:ascii="宋体" w:hAnsi="宋体" w:eastAsia="宋体" w:cs="宋体"/>
                <w:kern w:val="0"/>
                <w:szCs w:val="21"/>
              </w:rPr>
              <w:t>合理化建议较全面具体得3分；</w:t>
            </w:r>
          </w:p>
          <w:p w14:paraId="2E0F6083">
            <w:pPr>
              <w:spacing w:line="340" w:lineRule="exact"/>
              <w:rPr>
                <w:rFonts w:hint="eastAsia" w:ascii="宋体" w:hAnsi="宋体" w:eastAsia="宋体" w:cs="宋体"/>
                <w:kern w:val="0"/>
                <w:szCs w:val="21"/>
              </w:rPr>
            </w:pPr>
            <w:r>
              <w:rPr>
                <w:rFonts w:hint="eastAsia" w:ascii="宋体" w:hAnsi="宋体" w:eastAsia="宋体" w:cs="宋体"/>
                <w:kern w:val="0"/>
                <w:szCs w:val="21"/>
              </w:rPr>
              <w:t>合理化建议一般的得1分；</w:t>
            </w:r>
          </w:p>
          <w:p w14:paraId="69BEBD17">
            <w:pPr>
              <w:spacing w:line="340" w:lineRule="exact"/>
              <w:rPr>
                <w:rFonts w:hint="eastAsia" w:ascii="宋体" w:hAnsi="宋体" w:eastAsia="宋体" w:cs="宋体"/>
                <w:kern w:val="0"/>
                <w:szCs w:val="21"/>
              </w:rPr>
            </w:pPr>
            <w:r>
              <w:rPr>
                <w:rFonts w:hint="eastAsia" w:ascii="宋体" w:hAnsi="宋体" w:eastAsia="宋体" w:cs="宋体"/>
                <w:kern w:val="0"/>
                <w:szCs w:val="21"/>
              </w:rPr>
              <w:t>缺项不得分。</w:t>
            </w:r>
          </w:p>
        </w:tc>
      </w:tr>
      <w:tr w14:paraId="20E5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14:paraId="3C0B31DB">
            <w:pPr>
              <w:widowControl/>
              <w:autoSpaceDE w:val="0"/>
              <w:autoSpaceDN w:val="0"/>
              <w:spacing w:line="340" w:lineRule="exact"/>
              <w:jc w:val="center"/>
              <w:rPr>
                <w:rFonts w:hint="eastAsia" w:ascii="宋体" w:hAnsi="宋体" w:eastAsia="宋体" w:cs="宋体"/>
                <w:kern w:val="0"/>
                <w:szCs w:val="21"/>
              </w:rPr>
            </w:pPr>
          </w:p>
        </w:tc>
        <w:tc>
          <w:tcPr>
            <w:tcW w:w="871" w:type="dxa"/>
            <w:vMerge w:val="continue"/>
            <w:vAlign w:val="center"/>
          </w:tcPr>
          <w:p w14:paraId="14846BE3">
            <w:pPr>
              <w:widowControl/>
              <w:autoSpaceDE w:val="0"/>
              <w:autoSpaceDN w:val="0"/>
              <w:spacing w:line="340" w:lineRule="exact"/>
              <w:jc w:val="center"/>
              <w:rPr>
                <w:rFonts w:hint="eastAsia" w:ascii="宋体" w:hAnsi="宋体" w:eastAsia="宋体" w:cs="宋体"/>
                <w:kern w:val="0"/>
                <w:szCs w:val="21"/>
              </w:rPr>
            </w:pPr>
          </w:p>
        </w:tc>
        <w:tc>
          <w:tcPr>
            <w:tcW w:w="7896" w:type="dxa"/>
            <w:gridSpan w:val="2"/>
            <w:vAlign w:val="center"/>
          </w:tcPr>
          <w:p w14:paraId="372BA853">
            <w:pPr>
              <w:spacing w:line="340" w:lineRule="exact"/>
              <w:rPr>
                <w:rFonts w:hint="eastAsia" w:ascii="宋体" w:hAnsi="宋体" w:eastAsia="宋体" w:cs="宋体"/>
                <w:kern w:val="0"/>
                <w:szCs w:val="21"/>
              </w:rPr>
            </w:pPr>
            <w:r>
              <w:rPr>
                <w:rFonts w:hint="eastAsia" w:ascii="宋体" w:hAnsi="宋体" w:eastAsia="宋体" w:cs="宋体"/>
                <w:b/>
                <w:bCs/>
                <w:kern w:val="0"/>
                <w:szCs w:val="21"/>
              </w:rPr>
              <w:t>以上涉及到的证明材料均</w:t>
            </w:r>
            <w:r>
              <w:rPr>
                <w:rFonts w:hint="eastAsia" w:ascii="宋体" w:hAnsi="宋体" w:eastAsia="宋体" w:cs="宋体"/>
                <w:b/>
                <w:bCs/>
                <w:kern w:val="0"/>
                <w:szCs w:val="21"/>
                <w:lang w:eastAsia="zh-CN"/>
              </w:rPr>
              <w:t>须</w:t>
            </w:r>
            <w:r>
              <w:rPr>
                <w:rFonts w:hint="eastAsia" w:ascii="宋体" w:hAnsi="宋体" w:eastAsia="宋体" w:cs="宋体"/>
                <w:b/>
                <w:bCs/>
                <w:kern w:val="0"/>
                <w:szCs w:val="21"/>
              </w:rPr>
              <w:t>附于投标文件中，否则不得分。如果中标人提供虚假证件、证明材料，降低服务水平及产品质量，一经</w:t>
            </w:r>
            <w:r>
              <w:rPr>
                <w:rFonts w:hint="eastAsia" w:ascii="宋体" w:hAnsi="宋体" w:eastAsia="宋体" w:cs="宋体"/>
                <w:b/>
                <w:bCs/>
                <w:kern w:val="0"/>
                <w:szCs w:val="21"/>
                <w:lang w:eastAsia="zh-CN"/>
              </w:rPr>
              <w:t>查处</w:t>
            </w:r>
            <w:r>
              <w:rPr>
                <w:rFonts w:hint="eastAsia" w:ascii="宋体" w:hAnsi="宋体" w:eastAsia="宋体" w:cs="宋体"/>
                <w:b/>
                <w:bCs/>
                <w:kern w:val="0"/>
                <w:szCs w:val="21"/>
              </w:rPr>
              <w:t>，除取消中标资格外，还将其列入平顶山市政府采购黑名单。</w:t>
            </w:r>
          </w:p>
        </w:tc>
      </w:tr>
    </w:tbl>
    <w:p w14:paraId="181CF3BC">
      <w:pPr>
        <w:spacing w:before="120" w:beforeLines="50"/>
        <w:ind w:firstLine="422" w:firstLineChars="200"/>
        <w:rPr>
          <w:rFonts w:hint="eastAsia" w:ascii="宋体" w:hAnsi="宋体" w:eastAsia="宋体" w:cs="宋体"/>
          <w:b/>
          <w:bCs/>
          <w:szCs w:val="21"/>
        </w:rPr>
      </w:pPr>
      <w:bookmarkStart w:id="87" w:name="_Toc1400"/>
      <w:bookmarkStart w:id="88" w:name="_Toc3266"/>
      <w:bookmarkStart w:id="89" w:name="_Toc413744068"/>
      <w:r>
        <w:rPr>
          <w:rFonts w:hint="eastAsia" w:ascii="宋体" w:hAnsi="宋体" w:eastAsia="宋体" w:cs="宋体"/>
          <w:b/>
          <w:bCs/>
          <w:szCs w:val="21"/>
        </w:rPr>
        <w:t>1、评标方法</w:t>
      </w:r>
    </w:p>
    <w:p w14:paraId="29BF255A">
      <w:pPr>
        <w:ind w:firstLine="420" w:firstLineChars="200"/>
        <w:rPr>
          <w:rFonts w:hint="eastAsia" w:ascii="宋体" w:hAnsi="宋体" w:eastAsia="宋体" w:cs="宋体"/>
          <w:szCs w:val="21"/>
        </w:rPr>
      </w:pPr>
      <w:r>
        <w:rPr>
          <w:rFonts w:hint="eastAsia" w:ascii="宋体" w:hAnsi="宋体" w:eastAsia="宋体" w:cs="宋体"/>
          <w:szCs w:val="21"/>
        </w:rPr>
        <w:t>本次招标采用综合评分法。评标委员会对符合资格的投标人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3名中标候选人。如最后得分相同的，按投标报价由低到高顺序排列。得分且投标报价相同的按技术指标优劣（技术部分得分由高到低）顺序排列。</w:t>
      </w:r>
    </w:p>
    <w:p w14:paraId="2508AE10">
      <w:pPr>
        <w:ind w:firstLine="422" w:firstLineChars="200"/>
        <w:rPr>
          <w:rFonts w:hint="eastAsia" w:ascii="宋体" w:hAnsi="宋体" w:eastAsia="宋体" w:cs="宋体"/>
          <w:b/>
          <w:bCs/>
          <w:szCs w:val="21"/>
        </w:rPr>
      </w:pPr>
      <w:r>
        <w:rPr>
          <w:rFonts w:hint="eastAsia" w:ascii="宋体" w:hAnsi="宋体" w:eastAsia="宋体" w:cs="宋体"/>
          <w:b/>
          <w:bCs/>
          <w:szCs w:val="21"/>
        </w:rPr>
        <w:t>2、</w:t>
      </w:r>
      <w:bookmarkStart w:id="90" w:name="_Toc6512"/>
      <w:bookmarkStart w:id="91" w:name="_Toc1575"/>
      <w:r>
        <w:rPr>
          <w:rFonts w:hint="eastAsia" w:ascii="宋体" w:hAnsi="宋体" w:eastAsia="宋体" w:cs="宋体"/>
          <w:b/>
          <w:bCs/>
          <w:szCs w:val="21"/>
        </w:rPr>
        <w:t>评审标准</w:t>
      </w:r>
      <w:bookmarkEnd w:id="90"/>
      <w:bookmarkEnd w:id="91"/>
    </w:p>
    <w:bookmarkEnd w:id="87"/>
    <w:bookmarkEnd w:id="88"/>
    <w:bookmarkEnd w:id="89"/>
    <w:p w14:paraId="590A5069">
      <w:pPr>
        <w:ind w:firstLine="422" w:firstLineChars="200"/>
        <w:rPr>
          <w:rFonts w:hint="eastAsia" w:ascii="宋体" w:hAnsi="宋体" w:eastAsia="宋体" w:cs="宋体"/>
          <w:b/>
          <w:bCs/>
          <w:szCs w:val="21"/>
        </w:rPr>
      </w:pPr>
      <w:r>
        <w:rPr>
          <w:rFonts w:hint="eastAsia" w:ascii="宋体" w:hAnsi="宋体" w:eastAsia="宋体" w:cs="宋体"/>
          <w:b/>
          <w:bCs/>
          <w:szCs w:val="21"/>
        </w:rPr>
        <w:t>2.1资格审查</w:t>
      </w:r>
    </w:p>
    <w:p w14:paraId="7BBBB99D">
      <w:pPr>
        <w:ind w:firstLine="420" w:firstLineChars="200"/>
        <w:rPr>
          <w:rFonts w:hint="eastAsia" w:ascii="宋体" w:hAnsi="宋体" w:eastAsia="宋体" w:cs="宋体"/>
          <w:szCs w:val="21"/>
        </w:rPr>
      </w:pPr>
      <w:r>
        <w:rPr>
          <w:rFonts w:hint="eastAsia" w:ascii="宋体" w:hAnsi="宋体" w:eastAsia="宋体" w:cs="宋体"/>
          <w:szCs w:val="21"/>
        </w:rPr>
        <w:t>开标结束后，采购人或者采购代理机构依法对投标人的资格进行审查。合格投标人不足3家的，不再进行评标。</w:t>
      </w:r>
    </w:p>
    <w:p w14:paraId="6BCCA455">
      <w:pPr>
        <w:ind w:firstLine="422" w:firstLineChars="200"/>
        <w:rPr>
          <w:rFonts w:hint="eastAsia" w:ascii="宋体" w:hAnsi="宋体" w:eastAsia="宋体" w:cs="宋体"/>
          <w:b/>
          <w:bCs/>
          <w:szCs w:val="21"/>
        </w:rPr>
      </w:pPr>
      <w:r>
        <w:rPr>
          <w:rFonts w:hint="eastAsia" w:ascii="宋体" w:hAnsi="宋体" w:eastAsia="宋体" w:cs="宋体"/>
          <w:b/>
          <w:bCs/>
          <w:szCs w:val="21"/>
        </w:rPr>
        <w:t>2.2符合性审查</w:t>
      </w:r>
    </w:p>
    <w:p w14:paraId="24C94B17">
      <w:pPr>
        <w:ind w:firstLine="420" w:firstLineChars="200"/>
        <w:rPr>
          <w:rFonts w:hint="eastAsia" w:ascii="宋体" w:hAnsi="宋体" w:eastAsia="宋体" w:cs="宋体"/>
          <w:szCs w:val="21"/>
        </w:rPr>
      </w:pPr>
      <w:r>
        <w:rPr>
          <w:rFonts w:hint="eastAsia" w:ascii="宋体" w:hAnsi="宋体" w:eastAsia="宋体" w:cs="宋体"/>
          <w:szCs w:val="21"/>
        </w:rPr>
        <w:t>评标委员会对所有符合资格的供应商的投标文件进行符合性审查，以确定是否满足招标文件的实质性要求。</w:t>
      </w:r>
    </w:p>
    <w:p w14:paraId="59526EB8">
      <w:pPr>
        <w:ind w:firstLine="422" w:firstLineChars="200"/>
        <w:rPr>
          <w:rFonts w:hint="eastAsia" w:ascii="宋体" w:hAnsi="宋体" w:eastAsia="宋体" w:cs="宋体"/>
          <w:b/>
          <w:bCs/>
          <w:szCs w:val="21"/>
        </w:rPr>
      </w:pPr>
      <w:r>
        <w:rPr>
          <w:rFonts w:hint="eastAsia" w:ascii="宋体" w:hAnsi="宋体" w:eastAsia="宋体" w:cs="宋体"/>
          <w:b/>
          <w:bCs/>
          <w:szCs w:val="21"/>
        </w:rPr>
        <w:t>2.3详细评审</w:t>
      </w:r>
    </w:p>
    <w:p w14:paraId="4A6E7FFB">
      <w:pPr>
        <w:ind w:firstLine="420" w:firstLineChars="200"/>
        <w:rPr>
          <w:rFonts w:hint="eastAsia" w:ascii="宋体" w:hAnsi="宋体" w:eastAsia="宋体" w:cs="宋体"/>
          <w:szCs w:val="21"/>
        </w:rPr>
      </w:pPr>
      <w:r>
        <w:rPr>
          <w:rFonts w:hint="eastAsia" w:ascii="宋体" w:hAnsi="宋体" w:eastAsia="宋体" w:cs="宋体"/>
          <w:szCs w:val="21"/>
        </w:rPr>
        <w:t>评标委员会按照招标文件中规定的评标方法和标准，对符合性审查合格的投标文件进行商务和技术评估，综合比较与评价。</w:t>
      </w:r>
    </w:p>
    <w:p w14:paraId="0C3092AF">
      <w:pPr>
        <w:ind w:firstLine="420" w:firstLineChars="200"/>
        <w:rPr>
          <w:rFonts w:hint="eastAsia" w:ascii="宋体" w:hAnsi="宋体" w:eastAsia="宋体" w:cs="宋体"/>
          <w:szCs w:val="21"/>
        </w:rPr>
      </w:pPr>
      <w:r>
        <w:rPr>
          <w:rFonts w:hint="eastAsia" w:ascii="宋体" w:hAnsi="宋体" w:eastAsia="宋体" w:cs="宋体"/>
          <w:szCs w:val="21"/>
        </w:rPr>
        <w:t>（1）本次评标采用综合评分法。根据采购需要、商务、技术均能满足招标文件要求，按评标委员会评出的综合得分，由高到低顺序排列，推荐3名中标候选人。</w:t>
      </w:r>
    </w:p>
    <w:p w14:paraId="3E77F687">
      <w:pPr>
        <w:ind w:firstLine="420" w:firstLineChars="200"/>
        <w:rPr>
          <w:rFonts w:hint="eastAsia" w:ascii="宋体" w:hAnsi="宋体" w:eastAsia="宋体" w:cs="宋体"/>
          <w:szCs w:val="21"/>
        </w:rPr>
      </w:pPr>
      <w:r>
        <w:rPr>
          <w:rFonts w:hint="eastAsia" w:ascii="宋体" w:hAnsi="宋体" w:eastAsia="宋体" w:cs="宋体"/>
          <w:szCs w:val="21"/>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p w14:paraId="1B39604D">
      <w:pPr>
        <w:ind w:firstLine="422" w:firstLineChars="200"/>
        <w:rPr>
          <w:rFonts w:hint="eastAsia" w:ascii="宋体" w:hAnsi="宋体" w:eastAsia="宋体" w:cs="宋体"/>
          <w:b/>
          <w:bCs/>
          <w:szCs w:val="21"/>
        </w:rPr>
      </w:pPr>
      <w:r>
        <w:rPr>
          <w:rFonts w:hint="eastAsia" w:ascii="宋体" w:hAnsi="宋体" w:eastAsia="宋体" w:cs="宋体"/>
          <w:b/>
          <w:bCs/>
          <w:szCs w:val="21"/>
        </w:rPr>
        <w:t>2.4 投标文件的澄清和补正</w:t>
      </w:r>
    </w:p>
    <w:p w14:paraId="033039DA">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2.4.1 在评标过程中，评标委员会可通过公共资源交易系统要求供应商对所提交投标文件中不明确的内容进行澄清或说明，或者对细微偏差进行补正。评标委员会不接受供应商主动提出的澄清、说明或补正。</w:t>
      </w:r>
    </w:p>
    <w:p w14:paraId="6C28056F">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2.4.2 澄清、说明和补正不得改变投标文件的实质性内容（算术性错误修正的除外）。供应商的澄清、说明和补正属于投标文件的组成部分。</w:t>
      </w:r>
    </w:p>
    <w:p w14:paraId="566557BB">
      <w:pPr>
        <w:ind w:firstLine="420" w:firstLineChars="200"/>
        <w:rPr>
          <w:rFonts w:hint="eastAsia" w:ascii="宋体" w:hAnsi="宋体" w:eastAsia="宋体" w:cs="宋体"/>
          <w:szCs w:val="21"/>
        </w:rPr>
      </w:pPr>
      <w:r>
        <w:rPr>
          <w:rFonts w:hint="eastAsia" w:ascii="宋体" w:hAnsi="宋体" w:eastAsia="宋体" w:cs="宋体"/>
          <w:szCs w:val="21"/>
        </w:rPr>
        <w:t>2.4.3 评标委员会对供应商提交的澄清、说明或补正有疑问的，可以要求供应商进一步澄清、说明或补正，直至满足评标委员会的要求。</w:t>
      </w:r>
    </w:p>
    <w:p w14:paraId="08E37AC7">
      <w:pPr>
        <w:ind w:firstLine="422" w:firstLineChars="200"/>
        <w:rPr>
          <w:rFonts w:hint="eastAsia" w:ascii="宋体" w:hAnsi="宋体" w:eastAsia="宋体" w:cs="宋体"/>
          <w:b/>
          <w:bCs/>
          <w:szCs w:val="21"/>
        </w:rPr>
      </w:pPr>
      <w:r>
        <w:rPr>
          <w:rFonts w:hint="eastAsia" w:ascii="宋体" w:hAnsi="宋体" w:eastAsia="宋体" w:cs="宋体"/>
          <w:b/>
          <w:bCs/>
          <w:szCs w:val="21"/>
        </w:rPr>
        <w:t>2.5细微偏差不影响投标文件的有效性</w:t>
      </w:r>
    </w:p>
    <w:p w14:paraId="19E9CF9B">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2.5.1细微偏差是指投标文件在实质上响应招标文件要求，但个别地方存在漏项或者提供了不完整的技术信息和数据等情况，并且补正这些遗漏或者不完整不会对其他供应商造成不公平的结果。</w:t>
      </w:r>
    </w:p>
    <w:p w14:paraId="39CE2056">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2.5.2对于实质上符合招标文件要求的投标文件，采购人将对其投标文件的细微偏差进行校核。并对有算术上和累加运算上的差错给予修正，这种修正应取得供应商的同意并确认修正后的最终结果。如果供应商拒绝确认，则其投标文件将不予评审。</w:t>
      </w:r>
    </w:p>
    <w:p w14:paraId="33BB5178">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2.5.3评标委员会不对无效标评审。评标委员会不接受供应商在投标文件递交截止时间之后主动进行的一切修正或撤消其不符合要求的偏差。</w:t>
      </w:r>
    </w:p>
    <w:p w14:paraId="34313459">
      <w:pPr>
        <w:ind w:firstLine="422" w:firstLineChars="200"/>
        <w:rPr>
          <w:rFonts w:hint="eastAsia" w:ascii="宋体" w:hAnsi="宋体" w:eastAsia="宋体" w:cs="宋体"/>
          <w:b/>
          <w:bCs/>
          <w:szCs w:val="21"/>
        </w:rPr>
      </w:pPr>
      <w:r>
        <w:rPr>
          <w:rFonts w:hint="eastAsia" w:ascii="宋体" w:hAnsi="宋体" w:eastAsia="宋体" w:cs="宋体"/>
          <w:b/>
          <w:bCs/>
          <w:szCs w:val="21"/>
        </w:rPr>
        <w:t>2.6评标保密</w:t>
      </w:r>
    </w:p>
    <w:p w14:paraId="5EB2064F">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2.6.1开标后，直至授予成交供应商合同为止，凡属于对投标文件的审查、澄清、评价和比较的有关资料以及中标候选人的推荐情况，与评标有关的其他任何情况均严格保密。</w:t>
      </w:r>
    </w:p>
    <w:p w14:paraId="6EA8E594">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2.6.2在投标文件的评审和比较、中标候选人推荐以及授予合同的过程中，供应商向采购人和评标委员会施加影响的任何行为，都将会导致其投标被拒绝。</w:t>
      </w:r>
    </w:p>
    <w:p w14:paraId="607C59A5">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2.6.3成交供应商确定后，采购人不对未中标供应商就评标过程以及未能中标原因作出任何解释。未中标供应商不得向评标委员会组成人员或其他有关人员索问评标过程的情况和材料。</w:t>
      </w:r>
    </w:p>
    <w:p w14:paraId="1D880AF3">
      <w:pPr>
        <w:adjustRightInd w:val="0"/>
        <w:snapToGrid w:val="0"/>
        <w:ind w:firstLine="411" w:firstLineChars="196"/>
        <w:rPr>
          <w:rFonts w:hint="eastAsia" w:ascii="宋体" w:hAnsi="宋体" w:eastAsia="宋体" w:cs="宋体"/>
          <w:szCs w:val="21"/>
        </w:rPr>
      </w:pPr>
      <w:r>
        <w:rPr>
          <w:rFonts w:hint="eastAsia" w:ascii="宋体" w:hAnsi="宋体" w:eastAsia="宋体" w:cs="宋体"/>
          <w:szCs w:val="21"/>
        </w:rPr>
        <w:t>2.6.4凡参加评标的所有人员都不得向供应商或与该过程无公务关系的其他人泄露。</w:t>
      </w:r>
    </w:p>
    <w:p w14:paraId="0718D75C">
      <w:pPr>
        <w:ind w:firstLine="422" w:firstLineChars="200"/>
        <w:rPr>
          <w:rFonts w:hint="eastAsia" w:ascii="宋体" w:hAnsi="宋体" w:eastAsia="宋体" w:cs="宋体"/>
          <w:b/>
          <w:bCs/>
          <w:szCs w:val="21"/>
        </w:rPr>
      </w:pPr>
      <w:r>
        <w:rPr>
          <w:rFonts w:hint="eastAsia" w:ascii="宋体" w:hAnsi="宋体" w:eastAsia="宋体" w:cs="宋体"/>
          <w:b/>
          <w:szCs w:val="21"/>
        </w:rPr>
        <w:t>2.7评标结果</w:t>
      </w:r>
    </w:p>
    <w:p w14:paraId="5F0A980C">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2.7.1 除第二章“供应商须知”前附表授权直接确定成交供应商外，评标委员会按照得分高到低的顺序推荐前1-3名</w:t>
      </w:r>
      <w:r>
        <w:rPr>
          <w:rFonts w:hint="eastAsia" w:ascii="宋体" w:hAnsi="宋体" w:eastAsia="宋体" w:cs="宋体"/>
          <w:szCs w:val="21"/>
          <w:lang w:eastAsia="zh-CN"/>
        </w:rPr>
        <w:t>中标候选人</w:t>
      </w:r>
      <w:r>
        <w:rPr>
          <w:rFonts w:hint="eastAsia" w:ascii="宋体" w:hAnsi="宋体" w:eastAsia="宋体" w:cs="宋体"/>
          <w:szCs w:val="21"/>
        </w:rPr>
        <w:t>。</w:t>
      </w:r>
    </w:p>
    <w:p w14:paraId="3477E3F8">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2.7.2 评标委员会完成评标工作后在公共资源交易系统提交评标报告。</w:t>
      </w:r>
    </w:p>
    <w:p w14:paraId="7671723D">
      <w:pPr>
        <w:pStyle w:val="2"/>
        <w:spacing w:before="240" w:after="240"/>
        <w:jc w:val="center"/>
        <w:rPr>
          <w:rStyle w:val="39"/>
          <w:rFonts w:hint="eastAsia" w:ascii="宋体" w:hAnsi="宋体" w:cs="宋体"/>
          <w:b/>
          <w:bCs/>
        </w:rPr>
      </w:pPr>
      <w:r>
        <w:rPr>
          <w:rFonts w:hint="eastAsia"/>
        </w:rPr>
        <w:br w:type="page"/>
      </w:r>
      <w:bookmarkStart w:id="92" w:name="_Toc12913"/>
      <w:r>
        <w:rPr>
          <w:rStyle w:val="39"/>
          <w:rFonts w:hint="eastAsia" w:ascii="宋体" w:hAnsi="宋体" w:cs="宋体"/>
          <w:b/>
          <w:bCs/>
        </w:rPr>
        <w:t>第四章 合同条款及格式</w:t>
      </w:r>
      <w:bookmarkEnd w:id="92"/>
    </w:p>
    <w:p w14:paraId="7938837F">
      <w:pPr>
        <w:jc w:val="center"/>
        <w:rPr>
          <w:rFonts w:hint="eastAsia" w:ascii="宋体" w:hAnsi="宋体" w:eastAsia="宋体" w:cs="宋体"/>
          <w:b/>
          <w:szCs w:val="21"/>
        </w:rPr>
      </w:pPr>
    </w:p>
    <w:p w14:paraId="08198A5D">
      <w:pPr>
        <w:rPr>
          <w:rFonts w:hint="eastAsia" w:ascii="宋体" w:hAnsi="宋体" w:eastAsia="宋体" w:cs="宋体"/>
          <w:b/>
          <w:color w:val="000000"/>
          <w:kern w:val="0"/>
          <w:sz w:val="40"/>
          <w:szCs w:val="40"/>
          <w:lang w:bidi="ar"/>
        </w:rPr>
      </w:pPr>
    </w:p>
    <w:p w14:paraId="56DDC290">
      <w:pPr>
        <w:jc w:val="center"/>
        <w:rPr>
          <w:rFonts w:hint="eastAsia" w:ascii="宋体" w:hAnsi="宋体" w:eastAsia="宋体" w:cs="宋体"/>
          <w:b/>
          <w:color w:val="000000"/>
          <w:kern w:val="0"/>
          <w:sz w:val="40"/>
          <w:szCs w:val="40"/>
          <w:lang w:bidi="ar"/>
        </w:rPr>
      </w:pPr>
      <w:r>
        <w:rPr>
          <w:rFonts w:hint="eastAsia" w:ascii="宋体" w:hAnsi="宋体" w:eastAsia="宋体" w:cs="宋体"/>
          <w:b/>
          <w:color w:val="000000"/>
          <w:kern w:val="0"/>
          <w:sz w:val="40"/>
          <w:szCs w:val="40"/>
          <w:lang w:bidi="ar"/>
        </w:rPr>
        <w:t>平顶山市夕阳红老年公寓</w:t>
      </w:r>
    </w:p>
    <w:p w14:paraId="147DF1AC">
      <w:pPr>
        <w:jc w:val="center"/>
        <w:rPr>
          <w:rFonts w:hint="eastAsia" w:ascii="华文中宋" w:hAnsi="华文中宋" w:eastAsia="华文中宋" w:cs="华文中宋"/>
          <w:sz w:val="52"/>
          <w:szCs w:val="52"/>
        </w:rPr>
      </w:pPr>
      <w:r>
        <w:rPr>
          <w:rFonts w:hint="eastAsia" w:ascii="宋体" w:hAnsi="宋体" w:eastAsia="宋体" w:cs="宋体"/>
          <w:b/>
          <w:color w:val="000000"/>
          <w:kern w:val="0"/>
          <w:sz w:val="40"/>
          <w:szCs w:val="40"/>
          <w:lang w:bidi="ar"/>
        </w:rPr>
        <w:t>照料护理项目合同</w:t>
      </w:r>
    </w:p>
    <w:p w14:paraId="3EAD016A">
      <w:pPr>
        <w:rPr>
          <w:rFonts w:hint="eastAsia" w:ascii="华文中宋" w:hAnsi="华文中宋" w:eastAsia="华文中宋" w:cs="华文中宋"/>
        </w:rPr>
      </w:pPr>
    </w:p>
    <w:p w14:paraId="0E1C269D">
      <w:pPr>
        <w:rPr>
          <w:rFonts w:hint="eastAsia" w:ascii="华文中宋" w:hAnsi="华文中宋" w:eastAsia="华文中宋" w:cs="华文中宋"/>
        </w:rPr>
      </w:pPr>
    </w:p>
    <w:p w14:paraId="6902061C">
      <w:pPr>
        <w:rPr>
          <w:rFonts w:hint="eastAsia" w:ascii="华文中宋" w:hAnsi="华文中宋" w:eastAsia="华文中宋" w:cs="华文中宋"/>
        </w:rPr>
      </w:pPr>
    </w:p>
    <w:p w14:paraId="0DB15F67">
      <w:pPr>
        <w:rPr>
          <w:rFonts w:hint="eastAsia" w:ascii="华文中宋" w:hAnsi="华文中宋" w:eastAsia="华文中宋" w:cs="华文中宋"/>
        </w:rPr>
      </w:pPr>
    </w:p>
    <w:p w14:paraId="68A5B63A">
      <w:pPr>
        <w:rPr>
          <w:rFonts w:hint="eastAsia" w:ascii="华文中宋" w:hAnsi="华文中宋" w:eastAsia="华文中宋" w:cs="华文中宋"/>
        </w:rPr>
      </w:pPr>
    </w:p>
    <w:p w14:paraId="384CB7AC">
      <w:pPr>
        <w:rPr>
          <w:rFonts w:hint="eastAsia" w:ascii="华文中宋" w:hAnsi="华文中宋" w:eastAsia="华文中宋" w:cs="华文中宋"/>
        </w:rPr>
      </w:pPr>
    </w:p>
    <w:p w14:paraId="722F0AD6">
      <w:pPr>
        <w:rPr>
          <w:rFonts w:hint="eastAsia" w:ascii="华文中宋" w:hAnsi="华文中宋" w:eastAsia="华文中宋" w:cs="华文中宋"/>
        </w:rPr>
      </w:pPr>
    </w:p>
    <w:p w14:paraId="11BFAD47">
      <w:pPr>
        <w:rPr>
          <w:rFonts w:hint="eastAsia" w:ascii="华文中宋" w:hAnsi="华文中宋" w:eastAsia="华文中宋" w:cs="华文中宋"/>
        </w:rPr>
      </w:pPr>
    </w:p>
    <w:p w14:paraId="01674840">
      <w:pPr>
        <w:rPr>
          <w:rFonts w:hint="eastAsia" w:ascii="华文中宋" w:hAnsi="华文中宋" w:eastAsia="华文中宋" w:cs="华文中宋"/>
        </w:rPr>
      </w:pPr>
    </w:p>
    <w:p w14:paraId="724B6F5A">
      <w:pPr>
        <w:rPr>
          <w:rFonts w:hint="eastAsia" w:ascii="华文中宋" w:hAnsi="华文中宋" w:eastAsia="华文中宋" w:cs="华文中宋"/>
        </w:rPr>
      </w:pPr>
    </w:p>
    <w:p w14:paraId="52FBC110">
      <w:pPr>
        <w:widowControl/>
        <w:ind w:firstLine="2327" w:firstLineChars="828"/>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甲    方：平顶山市夕阳红老年公寓</w:t>
      </w:r>
    </w:p>
    <w:p w14:paraId="1F2A6173">
      <w:pPr>
        <w:widowControl/>
        <w:ind w:firstLine="2327" w:firstLineChars="828"/>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乙    方： </w:t>
      </w:r>
    </w:p>
    <w:p w14:paraId="37E93C10">
      <w:pPr>
        <w:widowControl/>
        <w:ind w:firstLine="2327" w:firstLineChars="828"/>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签订时间：  年   月   日</w:t>
      </w:r>
    </w:p>
    <w:p w14:paraId="09B21000">
      <w:pPr>
        <w:pStyle w:val="11"/>
        <w:ind w:left="840" w:hanging="420"/>
      </w:pPr>
    </w:p>
    <w:p w14:paraId="0F1C8FD8">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sz w:val="28"/>
          <w:szCs w:val="28"/>
        </w:rPr>
      </w:pPr>
      <w:r>
        <w:rPr>
          <w:rFonts w:hint="eastAsia" w:ascii="华文中宋" w:hAnsi="华文中宋" w:eastAsia="华文中宋" w:cs="华文中宋"/>
        </w:rPr>
        <w:br w:type="page"/>
      </w:r>
      <w:r>
        <w:rPr>
          <w:rFonts w:hint="eastAsia" w:ascii="宋体" w:hAnsi="宋体" w:eastAsia="宋体" w:cs="宋体"/>
          <w:b/>
          <w:bCs/>
          <w:sz w:val="28"/>
          <w:szCs w:val="28"/>
        </w:rPr>
        <w:t xml:space="preserve"> 平顶山市夕阳红老年公寓照料护理项目合同</w:t>
      </w:r>
    </w:p>
    <w:p w14:paraId="55C6FBA7">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u w:val="single"/>
        </w:rPr>
      </w:pPr>
      <w:r>
        <w:rPr>
          <w:rFonts w:hint="eastAsia" w:ascii="宋体" w:hAnsi="宋体" w:eastAsia="宋体" w:cs="宋体"/>
          <w:sz w:val="24"/>
        </w:rPr>
        <w:t>采购人(甲方):</w:t>
      </w:r>
      <w:r>
        <w:rPr>
          <w:rFonts w:hint="eastAsia" w:ascii="宋体" w:hAnsi="宋体" w:eastAsia="宋体" w:cs="宋体"/>
          <w:sz w:val="24"/>
          <w:u w:val="single"/>
        </w:rPr>
        <w:t xml:space="preserve">                         </w:t>
      </w:r>
    </w:p>
    <w:p w14:paraId="4DB1199F">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u w:val="single"/>
        </w:rPr>
      </w:pPr>
      <w:r>
        <w:rPr>
          <w:rFonts w:hint="eastAsia" w:ascii="宋体" w:hAnsi="宋体" w:eastAsia="宋体" w:cs="宋体"/>
          <w:sz w:val="24"/>
        </w:rPr>
        <w:t>供应商(乙方):</w:t>
      </w:r>
      <w:r>
        <w:rPr>
          <w:rFonts w:hint="eastAsia" w:ascii="宋体" w:hAnsi="宋体" w:eastAsia="宋体" w:cs="宋体"/>
          <w:sz w:val="24"/>
          <w:u w:val="single"/>
        </w:rPr>
        <w:t xml:space="preserve">                         </w:t>
      </w:r>
    </w:p>
    <w:p w14:paraId="1E30CE7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为了保护甲乙双方合法权益，根据《中华人民共和国民法典》等相关法律、法规的规定，经甲乙双方协商一致，同意按照下列条款，签订本合同。</w:t>
      </w:r>
    </w:p>
    <w:p w14:paraId="516C8B2F">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一、服务内容</w:t>
      </w:r>
    </w:p>
    <w:p w14:paraId="4C246483">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shd w:val="clear" w:color="auto" w:fill="FFFFFF"/>
        </w:rPr>
        <w:t>夕阳红老年公寓约170名受助人员（主要救助人群为老年人、残疾人、精神病人等）提供生活照料、安全看护、医疗、康复等基础服务；提供文化娱乐、精神支持、社会功能提升等服务；公寓内护理人员进行综合管理服务；为配备的相关护理人员提供培训督导；</w:t>
      </w:r>
      <w:r>
        <w:rPr>
          <w:rFonts w:hint="eastAsia" w:ascii="宋体" w:hAnsi="宋体" w:eastAsia="宋体" w:cs="宋体"/>
          <w:sz w:val="24"/>
        </w:rPr>
        <w:t>做好日常护理及生活照料等工作，严格按照本中心规章制度及照料服务工作流程，落实好人员的服务、管理和教育工作，做好安全防护，做到规范管理，温馨服务。以下为具体服务内容说明:</w:t>
      </w:r>
    </w:p>
    <w:p w14:paraId="2B30D8A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乙方公寓护理团队为受助人员提供24小时贴心生活照护，包括协助穿衣、喂饭、洗澡、翻身、如厕等日常起居服务。针对行动不便或失能长者，护理人员将根据个体需求制定专属照护同时，护理团队每日定时巡查房间，护理人员交接班后及时清点、核对人员人数及需离站人员情况，认真做好物品的发放、交接，对疑难人员、老年人残疾人、未成年人、少数民族等特殊人员进行详细交接，发现情况及时汇报给值班人员。</w:t>
      </w:r>
    </w:p>
    <w:p w14:paraId="0BF410BB">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2.乙方护理人员协助甲方实行分餐制。对于老年人、患病人员、残疾人、精神病人等受助人员，应当做好辅助饮食服务。</w:t>
      </w:r>
    </w:p>
    <w:p w14:paraId="2D3280CB">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3.乙方护理人员应按照照料服务流程，组织引导公寓内受助人员到活动区域进行集中教育、娱乐及康复活动。</w:t>
      </w:r>
    </w:p>
    <w:p w14:paraId="0583C1B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4.受助人员在公寓内突发急病、精神异常或有疑似传染病等需要救治的情况，以及受助人员发生伤害自身、危害他人安全的行为的，护理人员应及时告知值班人员。</w:t>
      </w:r>
    </w:p>
    <w:p w14:paraId="2AAA63E4">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5.乙方在服务过程中应保持必要的现场整洁及根据甲方要求不定期对场地实施必要消毒工作。</w:t>
      </w:r>
    </w:p>
    <w:p w14:paraId="65C6EB5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lang w:eastAsia="zh-CN"/>
        </w:rPr>
      </w:pPr>
      <w:r>
        <w:rPr>
          <w:rFonts w:hint="eastAsia" w:ascii="宋体" w:hAnsi="宋体" w:eastAsia="宋体" w:cs="宋体"/>
          <w:sz w:val="24"/>
        </w:rPr>
        <w:t>6.乙方配备医疗、康复人员需具备执业助理医师资格及以上、护士资格等相关证明。乙方提供的医疗健康服务范围包括：日常健康监测、基础疾病管理;紧急状况初步处理及转诊协调；康复训练指导、用药提醒及护理服务；健康知识宣教、心理疏导等非诊疗性服务</w:t>
      </w:r>
      <w:r>
        <w:rPr>
          <w:rFonts w:hint="eastAsia" w:ascii="宋体" w:hAnsi="宋体" w:eastAsia="宋体" w:cs="宋体"/>
          <w:sz w:val="24"/>
          <w:lang w:eastAsia="zh-CN"/>
        </w:rPr>
        <w:t>；</w:t>
      </w:r>
    </w:p>
    <w:p w14:paraId="1B3EFCFD">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 xml:space="preserve">7.乙方及其医务人员不具备开具处方药物、实施临床治疗的资质,不得以任何形式提供处方药品或超出执业范围的诊疗行为；如受助人员需使用处方药物或专业治疗，乙方应立即通知甲方，协助转送至具备资质的医疗机构；  </w:t>
      </w:r>
    </w:p>
    <w:p w14:paraId="5A7C38F8">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二、甲乙双方权利和义务</w:t>
      </w:r>
    </w:p>
    <w:p w14:paraId="6AA271BC">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（一）甲方权利义务</w:t>
      </w:r>
    </w:p>
    <w:p w14:paraId="74F22BDC">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1.甲方应及时通知乙方安排护理人员，根据受助人员的身体状况对乙方安排的护理人员提出人员数量及护理内容等具体要求。</w:t>
      </w:r>
    </w:p>
    <w:p w14:paraId="09898CB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2.甲方有权监督、指导乙方服务人员的相关工作，可对相关工作进行服务效果评估和考核，并向乙方提出改进意见，乙方及乙方服务人员应积极配合，有效呈现岗位服务效果。</w:t>
      </w:r>
    </w:p>
    <w:p w14:paraId="7CE7EA4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乙方提供的护理人员应服从甲方工作的安排，胜任甲方工作职责要求，对拒不服从甲方管理或无法胜任甲方工作职责的护理人员，甲方有权要求乙方及时更换适合人员，对甲方要求予以更换或退回的护理人员，乙方应及时响应并积极配合，确保工作顺利进行。</w:t>
      </w:r>
    </w:p>
    <w:p w14:paraId="68135632">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4.根据约定的岗位服务标准，对乙方岗位的成果进行针对性评估和验收，对于不合格或未能达到要求的岗位服务，有权要求乙方重新安排服务人员提供服务。</w:t>
      </w:r>
    </w:p>
    <w:p w14:paraId="48DEA33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5.甲方应提供受助人员入住公寓所需物资，甲方可根据需要，组织乙方相关负责人和工作人员参加业务培训。</w:t>
      </w:r>
    </w:p>
    <w:p w14:paraId="20275F47">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（二）乙方权利义务</w:t>
      </w:r>
    </w:p>
    <w:p w14:paraId="217EDD6B">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1.乙方应设有符合甲方工作性质的相关制度，服务人员应认真遵守。</w:t>
      </w:r>
    </w:p>
    <w:p w14:paraId="1B01154F">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2.项目所涉及服务人员为乙方雇员，与甲方不存在劳动或雇佣关系，乙方应对服务人员实施必要的劳动保障，负责本公司员工的工资、社会保险或商业保险等各项福利待遇。</w:t>
      </w:r>
    </w:p>
    <w:p w14:paraId="139B3D7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3.乙方应定期对相关服务人员进行必要的安全教育和技能培训，保证服务人员的服务质量，服务过程中出现的问题应积极主动与甲方沟通，并提出改善方案，根据甲方要求适当调整，确保服务品质的体现。</w:t>
      </w:r>
    </w:p>
    <w:p w14:paraId="45918F77">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4.根据服务项目要求选派合格的服务人员承担服务工作，有义务做好员工的思想工作，确保服务事项顺利开展。</w:t>
      </w:r>
    </w:p>
    <w:p w14:paraId="7C39998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三、服务期限</w:t>
      </w:r>
    </w:p>
    <w:p w14:paraId="48C3ACF4">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本合同自</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日起至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日止，服务期限一年。</w:t>
      </w:r>
    </w:p>
    <w:p w14:paraId="15CEEF79">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四、服务费用</w:t>
      </w:r>
    </w:p>
    <w:p w14:paraId="3EC5BED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（一）合同金额为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336F554">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（二）付款方式：</w:t>
      </w:r>
    </w:p>
    <w:p w14:paraId="2E6E6C5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1.本合同下所有款项均以人民币支付</w:t>
      </w:r>
    </w:p>
    <w:p w14:paraId="5D3EEA6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2.乙方向甲方提供相关资料，经甲方审核无误后支付</w:t>
      </w:r>
    </w:p>
    <w:p w14:paraId="51B305A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 xml:space="preserve">  （1）经甲方确认的发票</w:t>
      </w:r>
    </w:p>
    <w:p w14:paraId="5BEC8CCA">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 xml:space="preserve">  （2）其它材料</w:t>
      </w:r>
    </w:p>
    <w:p w14:paraId="1CE2194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3.支付方式：</w:t>
      </w:r>
      <w:r>
        <w:rPr>
          <w:rFonts w:hint="eastAsia" w:ascii="宋体" w:hAnsi="宋体" w:eastAsia="宋体" w:cs="宋体"/>
          <w:sz w:val="24"/>
          <w:lang w:eastAsia="zh-CN"/>
        </w:rPr>
        <w:t>按月支付，每月底支付本月费用</w:t>
      </w:r>
      <w:r>
        <w:rPr>
          <w:rFonts w:hint="eastAsia" w:ascii="宋体" w:hAnsi="宋体" w:eastAsia="宋体" w:cs="宋体"/>
          <w:sz w:val="24"/>
        </w:rPr>
        <w:t>。</w:t>
      </w:r>
    </w:p>
    <w:p w14:paraId="28F0378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4.付款账号：</w:t>
      </w:r>
    </w:p>
    <w:p w14:paraId="5E77B233">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开户名：           账  号：                 开户行：    </w:t>
      </w:r>
    </w:p>
    <w:p w14:paraId="30FC3242">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五、违约责任</w:t>
      </w:r>
    </w:p>
    <w:p w14:paraId="5620DEC0">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1.甲乙双方应遵守法律法规和本合同规定，承担相应的法律责任。因违约造成的经济损失由违约方承担。</w:t>
      </w:r>
    </w:p>
    <w:p w14:paraId="460E3E3F">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2.乙方在履行合同过程中，如果遇到不能按时履约情况，应及时以书面形式将不能按期履约的理由、延误的时间通知甲方。甲方在收到乙方通知后，有权决定是否延长合同的履行时间或终止合同。</w:t>
      </w:r>
    </w:p>
    <w:p w14:paraId="2B76D034">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3.乙方单位提供的服务人员应具有正常履行职责的身体条件和工作能力，工作责任感强，吃苦耐劳，能承受工作压力，有良好的团队合作精神。</w:t>
      </w:r>
    </w:p>
    <w:p w14:paraId="081E2227">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因乙方工作人员看护照料不力，造成甲方服务对象受到伤害、走失或死亡的，乙方工作人员应立即向甲方报告。造成严重后果的，乙方要承担相应法律责任，若乙方有损害甲方服务对象合法权益的行为，甲方有权终止合同并保留进一步追究乙方法律责任的权利。</w:t>
      </w:r>
    </w:p>
    <w:p w14:paraId="0710DBAF">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5.乙方拒不参加甲方组织的相关业务培训，拒不配合甲方对乙方开展的服务质量评估工作，甲方有权终止履行合同。合同履行期间，因乙方履行合同不力而由甲方提出整改要求，乙方拒不整改或已整改但逾期仍未整改到位，甲方有权终止履行合同。</w:t>
      </w:r>
    </w:p>
    <w:p w14:paraId="2CC86DD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6.任何一方在履行合同过程中存在违约行为导致合同无法继续履行的，违约方应向守约方支付违约金，违约金为合同总金额的8%。该违约金不足以弥补守约方实际损失的，违约方应赔偿守约方所有实际损失。</w:t>
      </w:r>
    </w:p>
    <w:p w14:paraId="4AF262C0">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因乙方工作人员看护照料不力，造成甲方服务对象人身损害的，乙方除应承担全部医疗、赔偿费用外，还应向甲方支付违约金，甲方有权从未支付的合同款项中直接扣除。</w:t>
      </w:r>
    </w:p>
    <w:p w14:paraId="1EFD61B3">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因乙方原因引发社会负面舆论，对甲方声誉造成不良影响的，乙方应立即采取措施消除影响，并向甲方支付人民币违约金。</w:t>
      </w:r>
    </w:p>
    <w:p w14:paraId="2029A8F8">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六、其他事项</w:t>
      </w:r>
    </w:p>
    <w:p w14:paraId="7943F4DA">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1.甲乙双方必须严格按照招标文件、投标文件及有关承诺签订采购合同，不得擅自变更，合同执行期内，甲乙双方均不得随意变更或解除合同。</w:t>
      </w:r>
    </w:p>
    <w:p w14:paraId="3F154954">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本合同执行期间，如遇不可抗力，致使合同无法履行时（即签约后因无法预见、控制或克服的客观事件，如自然灾害、战争、罢工、政府行为等导致合同无法履行）,甲乙双方应按有关法律规定及时协商处理。受影响方须在不可抗力发生后的最短时间内书面通知对方，并于3日内提供事件证明及影响说明，努力减轻不可抗力影响，并在其持续期间暂停履约义务，不可抗力消除后须恢复履约，若影响持续导致合同无法履行，可协商解除或延迟合同。</w:t>
      </w:r>
    </w:p>
    <w:p w14:paraId="2EAAF85A">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3.对于本合同未尽事宜，依照有关法律、法规执行，法律、法规未作规定的，甲乙双方另行签订补充协议，甲乙双方可以达成书面补充协议，补充协议是合同的组成部分，补充协议具有同等法律效力。</w:t>
      </w:r>
    </w:p>
    <w:p w14:paraId="7006708E">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4.本合同签订和履行适用《中华人民共和国民法典》，因履行合同发生的争议，由甲乙双方协商解决，如协商不成，任何一方可向甲方所在地人民法院提起诉讼。</w:t>
      </w:r>
    </w:p>
    <w:p w14:paraId="4218EBF3">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七、约定邮寄送达地址</w:t>
      </w:r>
    </w:p>
    <w:p w14:paraId="5120A690">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甲乙双方就合同中涉及的文件及合同发生纠纷时，相关文件和法律文书送达时的送达地址及法律后果作如下约定：</w:t>
      </w:r>
    </w:p>
    <w:p w14:paraId="6CA2C19E">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1.甲方名称：</w:t>
      </w:r>
    </w:p>
    <w:p w14:paraId="3AEACC6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2.乙方名称：</w:t>
      </w:r>
    </w:p>
    <w:p w14:paraId="5CB04496">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3.双方该送达地址适用范围包括双方非诉讼时的各类文件以及就合同发生纠纷时，相关文件和法律文书的送达，同时包括在争议进入仲裁、民事诉讼程序后的一审、二审、再审和执行程序。</w:t>
      </w:r>
    </w:p>
    <w:p w14:paraId="71441F08">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4.双方约定的送达地址需要变更时应当履行告知义务，变更一方应以书面形式告知对方。</w:t>
      </w:r>
    </w:p>
    <w:p w14:paraId="5D676F5D">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5.在仲裁及民事诉讼程序时当事人地址变更时应当向仲裁机构、法院履行送达地址变更通知义务。</w:t>
      </w:r>
    </w:p>
    <w:p w14:paraId="64282D8E">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八、合同生效及其他</w:t>
      </w:r>
    </w:p>
    <w:p w14:paraId="74689A9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1.合同履行期限自合同签订之日起一年。</w:t>
      </w:r>
    </w:p>
    <w:p w14:paraId="6BFEA1C9">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2.合同签订方签订的其他合同与本合同内容冲突的，以本合同为准；</w:t>
      </w:r>
    </w:p>
    <w:p w14:paraId="229198A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3.本合同经双方代表签字，均盖公章后生效。本合同一式肆份，甲方贰份，乙方贰份。</w:t>
      </w:r>
    </w:p>
    <w:p w14:paraId="78D44FBE">
      <w:pPr>
        <w:keepNext w:val="0"/>
        <w:keepLines w:val="0"/>
        <w:pageBreakBefore w:val="0"/>
        <w:widowControl w:val="0"/>
        <w:kinsoku/>
        <w:wordWrap/>
        <w:overflowPunct/>
        <w:topLinePunct w:val="0"/>
        <w:autoSpaceDE/>
        <w:autoSpaceDN/>
        <w:bidi w:val="0"/>
        <w:adjustRightInd/>
        <w:snapToGrid/>
        <w:spacing w:line="464" w:lineRule="exact"/>
        <w:ind w:firstLine="200"/>
        <w:contextualSpacing/>
        <w:textAlignment w:val="auto"/>
        <w:rPr>
          <w:rFonts w:hint="eastAsia" w:ascii="宋体" w:hAnsi="宋体" w:eastAsia="宋体" w:cs="宋体"/>
          <w:sz w:val="24"/>
        </w:rPr>
      </w:pPr>
      <w:r>
        <w:rPr>
          <w:rFonts w:hint="eastAsia" w:ascii="宋体" w:hAnsi="宋体" w:eastAsia="宋体" w:cs="宋体"/>
          <w:sz w:val="24"/>
        </w:rPr>
        <w:t>（以下为签章页，无正文）</w:t>
      </w:r>
    </w:p>
    <w:p w14:paraId="7C08AE75">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甲方（章）：</w:t>
      </w:r>
      <w:r>
        <w:rPr>
          <w:rFonts w:hint="eastAsia" w:ascii="宋体" w:hAnsi="宋体" w:eastAsia="宋体" w:cs="宋体"/>
          <w:sz w:val="24"/>
          <w:lang w:val="en-US" w:eastAsia="zh-CN"/>
        </w:rPr>
        <w:t xml:space="preserve">                       </w:t>
      </w:r>
      <w:r>
        <w:rPr>
          <w:rFonts w:hint="eastAsia" w:ascii="宋体" w:hAnsi="宋体" w:eastAsia="宋体" w:cs="宋体"/>
          <w:sz w:val="24"/>
        </w:rPr>
        <w:t>乙方（章）：</w:t>
      </w:r>
    </w:p>
    <w:p w14:paraId="48083921">
      <w:pPr>
        <w:keepNext w:val="0"/>
        <w:keepLines w:val="0"/>
        <w:pageBreakBefore w:val="0"/>
        <w:widowControl w:val="0"/>
        <w:kinsoku/>
        <w:wordWrap/>
        <w:overflowPunct/>
        <w:topLinePunct w:val="0"/>
        <w:autoSpaceDE/>
        <w:autoSpaceDN/>
        <w:bidi w:val="0"/>
        <w:adjustRightInd/>
        <w:snapToGrid/>
        <w:spacing w:line="464"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甲方法定代表人：</w:t>
      </w:r>
      <w:r>
        <w:rPr>
          <w:rFonts w:hint="eastAsia" w:ascii="宋体" w:hAnsi="宋体" w:eastAsia="宋体" w:cs="宋体"/>
          <w:sz w:val="24"/>
          <w:lang w:val="en-US" w:eastAsia="zh-CN"/>
        </w:rPr>
        <w:t xml:space="preserve">                   </w:t>
      </w:r>
      <w:r>
        <w:rPr>
          <w:rFonts w:hint="eastAsia" w:ascii="宋体" w:hAnsi="宋体" w:eastAsia="宋体" w:cs="宋体"/>
          <w:sz w:val="24"/>
        </w:rPr>
        <w:t>乙方法定代表人：</w:t>
      </w:r>
    </w:p>
    <w:p w14:paraId="0DA37D24">
      <w:pPr>
        <w:bidi w:val="0"/>
        <w:rPr>
          <w:rFonts w:hint="eastAsia"/>
        </w:rPr>
      </w:pPr>
    </w:p>
    <w:p w14:paraId="6A1A123E">
      <w:pPr>
        <w:bidi w:val="0"/>
        <w:rPr>
          <w:rFonts w:hint="eastAsia"/>
        </w:rPr>
      </w:pPr>
    </w:p>
    <w:p w14:paraId="07CE558E">
      <w:pPr>
        <w:pStyle w:val="2"/>
        <w:spacing w:beforeLines="0" w:afterLines="0" w:line="480" w:lineRule="auto"/>
        <w:jc w:val="center"/>
        <w:rPr>
          <w:rStyle w:val="39"/>
          <w:rFonts w:hint="eastAsia" w:ascii="宋体" w:hAnsi="宋体" w:cs="宋体"/>
          <w:b/>
          <w:bCs/>
        </w:rPr>
      </w:pPr>
      <w:bookmarkStart w:id="93" w:name="_Toc31715"/>
      <w:r>
        <w:rPr>
          <w:rStyle w:val="39"/>
          <w:rFonts w:hint="eastAsia" w:ascii="宋体" w:hAnsi="宋体" w:cs="宋体"/>
          <w:b/>
          <w:bCs/>
        </w:rPr>
        <w:t>第五章 服务内容及要求</w:t>
      </w:r>
      <w:bookmarkEnd w:id="93"/>
    </w:p>
    <w:p w14:paraId="11B4D94B">
      <w:pPr>
        <w:adjustRightInd w:val="0"/>
        <w:snapToGrid w:val="0"/>
        <w:ind w:firstLine="482" w:firstLineChars="200"/>
        <w:rPr>
          <w:rFonts w:hint="eastAsia" w:ascii="宋体" w:hAnsi="宋体" w:eastAsia="宋体" w:cs="宋体"/>
          <w:bCs/>
          <w:sz w:val="24"/>
        </w:rPr>
      </w:pPr>
      <w:r>
        <w:rPr>
          <w:rFonts w:hint="eastAsia" w:ascii="宋体" w:hAnsi="宋体" w:eastAsia="宋体" w:cs="宋体"/>
          <w:b/>
          <w:bCs/>
          <w:sz w:val="24"/>
        </w:rPr>
        <w:t>一、项目基本情况</w:t>
      </w:r>
    </w:p>
    <w:p w14:paraId="6200C845">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服务内容：夕阳红老年公寓约170名受助人员（主要救助人群为老年人、残疾人、精神病人等）提供生活照料、安全看护、医疗、康复等基础服务；提供文化娱乐、精神支持、社会功能提升等服务；公寓内护理人员进行综合管理服务；为配备的相关护理人员提供培训督导；以及为全公寓受助人员提供养教服务具体包括：</w:t>
      </w:r>
    </w:p>
    <w:p w14:paraId="530FD77B">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1、服务单位对受助人员要帮助其穿衣、喂饭、洗澡、翻身、协助大小便等提供相应的生活照顾服务。</w:t>
      </w:r>
    </w:p>
    <w:p w14:paraId="21CA706A">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2、服务单位应协助甲方实行分餐制对于老年人、患病人员、残疾人、精神病人等受助人员，应当做好辅助饮食服务。</w:t>
      </w:r>
    </w:p>
    <w:p w14:paraId="6E47471B">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3、服务单位应按照照料服务流程，组织引导站内受助人员到活动区域进行集中教育、娱乐及康复活动。</w:t>
      </w:r>
    </w:p>
    <w:p w14:paraId="3F7FC447">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4、受助人员在站内滞留期间突发急病、精神异常或有疑似传染病等需要救治的情况，以及受助人员发生伤害自身、危害他人安全的行为的，护理人员应及时告知值班人员。</w:t>
      </w:r>
    </w:p>
    <w:p w14:paraId="2399C02C">
      <w:pPr>
        <w:pStyle w:val="41"/>
        <w:snapToGrid w:val="0"/>
        <w:spacing w:line="360" w:lineRule="auto"/>
        <w:ind w:firstLine="480" w:firstLineChars="200"/>
        <w:jc w:val="left"/>
        <w:rPr>
          <w:rStyle w:val="42"/>
          <w:rFonts w:hint="eastAsia" w:ascii="宋体" w:hAnsi="宋体" w:cs="宋体"/>
          <w:sz w:val="24"/>
          <w:szCs w:val="24"/>
        </w:rPr>
      </w:pPr>
      <w:r>
        <w:rPr>
          <w:rStyle w:val="42"/>
          <w:rFonts w:hint="eastAsia" w:ascii="宋体" w:hAnsi="宋体" w:cs="宋体"/>
          <w:sz w:val="24"/>
          <w:szCs w:val="24"/>
        </w:rPr>
        <w:t>5、服务单位配备医疗、康复人员需具备执业助理医师资格及以上、护士资格等相关证明。中标后须向</w:t>
      </w:r>
      <w:r>
        <w:rPr>
          <w:rStyle w:val="42"/>
          <w:rFonts w:hint="eastAsia" w:ascii="宋体" w:hAnsi="宋体" w:cs="宋体"/>
          <w:sz w:val="24"/>
          <w:szCs w:val="24"/>
          <w:lang w:val="en-US" w:eastAsia="zh-CN"/>
        </w:rPr>
        <w:t>采购人</w:t>
      </w:r>
      <w:r>
        <w:rPr>
          <w:rStyle w:val="42"/>
          <w:rFonts w:hint="eastAsia" w:ascii="宋体" w:hAnsi="宋体" w:cs="宋体"/>
          <w:sz w:val="24"/>
          <w:szCs w:val="24"/>
        </w:rPr>
        <w:t>提交相关证书原件及复印件备查，证书须在有效期内且人证合一。</w:t>
      </w:r>
    </w:p>
    <w:p w14:paraId="5C6E0C6F">
      <w:pPr>
        <w:pStyle w:val="43"/>
        <w:ind w:firstLine="482"/>
        <w:rPr>
          <w:rFonts w:hint="eastAsia" w:ascii="宋体" w:hAnsi="宋体" w:eastAsia="宋体" w:cs="宋体"/>
          <w:bCs/>
        </w:rPr>
      </w:pPr>
      <w:r>
        <w:rPr>
          <w:rFonts w:hint="eastAsia" w:ascii="宋体" w:hAnsi="宋体" w:eastAsia="宋体" w:cs="宋体"/>
          <w:b/>
          <w:bCs/>
        </w:rPr>
        <w:t>二、主要服务内容及要求</w:t>
      </w:r>
    </w:p>
    <w:tbl>
      <w:tblPr>
        <w:tblStyle w:val="24"/>
        <w:tblpPr w:leftFromText="180" w:rightFromText="180" w:vertAnchor="text" w:tblpXSpec="center" w:tblpY="1"/>
        <w:tblOverlap w:val="never"/>
        <w:tblW w:w="10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16"/>
        <w:gridCol w:w="8752"/>
      </w:tblGrid>
      <w:tr w14:paraId="4269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316" w:type="dxa"/>
            <w:tcBorders>
              <w:top w:val="single" w:color="000000" w:sz="4" w:space="0"/>
              <w:left w:val="single" w:color="000000" w:sz="4" w:space="0"/>
              <w:bottom w:val="single" w:color="000000" w:sz="4" w:space="0"/>
              <w:right w:val="single" w:color="000000" w:sz="4" w:space="0"/>
            </w:tcBorders>
            <w:vAlign w:val="center"/>
          </w:tcPr>
          <w:p w14:paraId="04DFDDDD">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b/>
                <w:bCs/>
                <w:szCs w:val="21"/>
              </w:rPr>
              <w:t>服务内容</w:t>
            </w:r>
          </w:p>
        </w:tc>
        <w:tc>
          <w:tcPr>
            <w:tcW w:w="8752" w:type="dxa"/>
            <w:tcBorders>
              <w:top w:val="single" w:color="000000" w:sz="4" w:space="0"/>
              <w:left w:val="single" w:color="000000" w:sz="4" w:space="0"/>
              <w:bottom w:val="single" w:color="000000" w:sz="4" w:space="0"/>
              <w:right w:val="single" w:color="000000" w:sz="4" w:space="0"/>
            </w:tcBorders>
            <w:vAlign w:val="center"/>
          </w:tcPr>
          <w:p w14:paraId="1B4F0B1A">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b/>
                <w:szCs w:val="21"/>
              </w:rPr>
              <w:t>服务标准</w:t>
            </w:r>
          </w:p>
        </w:tc>
      </w:tr>
      <w:tr w14:paraId="0623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16" w:type="dxa"/>
            <w:tcBorders>
              <w:top w:val="single" w:color="000000" w:sz="4" w:space="0"/>
              <w:left w:val="single" w:color="000000" w:sz="4" w:space="0"/>
              <w:bottom w:val="single" w:color="000000" w:sz="4" w:space="0"/>
              <w:right w:val="single" w:color="000000" w:sz="4" w:space="0"/>
            </w:tcBorders>
            <w:vAlign w:val="center"/>
          </w:tcPr>
          <w:p w14:paraId="6CB313D4">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szCs w:val="21"/>
              </w:rPr>
              <w:t>基础护理</w:t>
            </w:r>
          </w:p>
        </w:tc>
        <w:tc>
          <w:tcPr>
            <w:tcW w:w="8752" w:type="dxa"/>
            <w:tcBorders>
              <w:top w:val="single" w:color="000000" w:sz="4" w:space="0"/>
              <w:left w:val="single" w:color="000000" w:sz="4" w:space="0"/>
              <w:bottom w:val="single" w:color="000000" w:sz="4" w:space="0"/>
              <w:right w:val="single" w:color="000000" w:sz="4" w:space="0"/>
            </w:tcBorders>
          </w:tcPr>
          <w:p w14:paraId="2D0C9F08">
            <w:pPr>
              <w:pStyle w:val="41"/>
              <w:snapToGrid w:val="0"/>
              <w:spacing w:line="360" w:lineRule="exact"/>
              <w:ind w:firstLine="420" w:firstLineChars="200"/>
              <w:jc w:val="left"/>
              <w:rPr>
                <w:rStyle w:val="42"/>
                <w:rFonts w:hint="eastAsia" w:ascii="宋体" w:hAnsi="宋体" w:cs="宋体"/>
                <w:szCs w:val="21"/>
              </w:rPr>
            </w:pPr>
            <w:r>
              <w:rPr>
                <w:rStyle w:val="42"/>
                <w:rFonts w:hint="eastAsia" w:ascii="宋体" w:hAnsi="宋体" w:cs="宋体"/>
                <w:szCs w:val="21"/>
              </w:rPr>
              <w:t>为夕阳红老年公寓约170名受助人员（主要受助人群为老年人、残疾人、精神病人等）提供生活照料、安全看护、医疗、康复等基础服务；提供文化娱乐、精神支持、社会功能提升等服务；公寓内护理人员进行综合管理服务；为配备的相关护理人员提供培训督导。</w:t>
            </w:r>
          </w:p>
          <w:p w14:paraId="583DC8DA">
            <w:pPr>
              <w:pStyle w:val="41"/>
              <w:snapToGrid w:val="0"/>
              <w:spacing w:line="360" w:lineRule="exact"/>
              <w:jc w:val="left"/>
              <w:rPr>
                <w:rStyle w:val="42"/>
                <w:rFonts w:hint="eastAsia" w:ascii="宋体" w:hAnsi="宋体" w:cs="宋体"/>
                <w:szCs w:val="21"/>
              </w:rPr>
            </w:pPr>
            <w:r>
              <w:rPr>
                <w:rStyle w:val="42"/>
                <w:rFonts w:hint="eastAsia" w:ascii="宋体" w:hAnsi="宋体" w:cs="宋体"/>
                <w:szCs w:val="21"/>
              </w:rPr>
              <w:t>一、就餐。饭菜按受助人员实际一日饭量就餐或个别受助人员加餐，做到一人一勺一碗，温度适宜。辅助不能独立用餐受助人员用餐，不得催促、呵斥受助人员，营造安全、温馨用餐环境。用餐中注意培养受助人员健康的饮食习惯和良好进餐礼仪，餐前洗手，按时进食，餐后漱口，及时清理餐后垃圾，擦拭，消毒餐具，放置指定位置。就餐过程中要和受助人员进行语言和目光交流。记录就餐出入量。</w:t>
            </w:r>
          </w:p>
          <w:p w14:paraId="554F2FF5">
            <w:pPr>
              <w:pStyle w:val="41"/>
              <w:snapToGrid w:val="0"/>
              <w:spacing w:line="360" w:lineRule="exact"/>
              <w:jc w:val="left"/>
              <w:rPr>
                <w:rStyle w:val="42"/>
                <w:rFonts w:hint="eastAsia" w:ascii="宋体" w:hAnsi="宋体" w:cs="宋体"/>
                <w:szCs w:val="21"/>
              </w:rPr>
            </w:pPr>
            <w:r>
              <w:rPr>
                <w:rStyle w:val="42"/>
                <w:rFonts w:hint="eastAsia" w:ascii="宋体" w:hAnsi="宋体" w:cs="宋体"/>
                <w:szCs w:val="21"/>
              </w:rPr>
              <w:t>二、沐浴。一周两次。洗浴房温度适宜，水温合适，受助人员沐浴后做到头发清爽，指甲无污垢，臀部干净，涂抹面霜，保持皮肤滋润，穿衣干净得体。头发长短适合，定期理发，鞋子干净合脚。护理员动作轻柔，穿脱衣时和受助人员及时交流，沐浴过程中要和受助人员进行语言和目光交流。</w:t>
            </w:r>
          </w:p>
          <w:p w14:paraId="59EF9EE5">
            <w:pPr>
              <w:pStyle w:val="41"/>
              <w:snapToGrid w:val="0"/>
              <w:spacing w:line="360" w:lineRule="exact"/>
              <w:rPr>
                <w:rStyle w:val="42"/>
                <w:rFonts w:hint="eastAsia" w:ascii="宋体" w:hAnsi="宋体" w:cs="宋体"/>
                <w:szCs w:val="21"/>
              </w:rPr>
            </w:pPr>
            <w:r>
              <w:rPr>
                <w:rStyle w:val="42"/>
                <w:rFonts w:hint="eastAsia" w:ascii="宋体" w:hAnsi="宋体" w:cs="宋体"/>
                <w:szCs w:val="21"/>
              </w:rPr>
              <w:t>三、饮水。每日5次以上饮水，保持受助人员嘴巴滋润，不干裂。饮水过程中注意受助人员呛水、水温适宜，一人一杯不得混用，饮水时要和受助人员进行语言和目光交流。</w:t>
            </w:r>
          </w:p>
          <w:p w14:paraId="58AFAFAD">
            <w:pPr>
              <w:pStyle w:val="41"/>
              <w:snapToGrid w:val="0"/>
              <w:spacing w:line="360" w:lineRule="exact"/>
              <w:rPr>
                <w:rStyle w:val="42"/>
                <w:rFonts w:hint="eastAsia" w:ascii="宋体" w:hAnsi="宋体" w:cs="宋体"/>
                <w:szCs w:val="21"/>
              </w:rPr>
            </w:pPr>
            <w:r>
              <w:rPr>
                <w:rStyle w:val="42"/>
                <w:rFonts w:hint="eastAsia" w:ascii="宋体" w:hAnsi="宋体" w:cs="宋体"/>
                <w:szCs w:val="21"/>
              </w:rPr>
              <w:t>四、疾病预防。早起测体温，发现受助人员体温高，立即干预，报医疗，遵医嘱吃药并做好记录。</w:t>
            </w:r>
          </w:p>
          <w:p w14:paraId="66F35CAF">
            <w:pPr>
              <w:pStyle w:val="41"/>
              <w:snapToGrid w:val="0"/>
              <w:spacing w:line="360" w:lineRule="exact"/>
              <w:rPr>
                <w:rStyle w:val="42"/>
                <w:rFonts w:hint="eastAsia" w:ascii="宋体" w:hAnsi="宋体" w:cs="宋体"/>
                <w:szCs w:val="21"/>
              </w:rPr>
            </w:pPr>
            <w:r>
              <w:rPr>
                <w:rStyle w:val="42"/>
                <w:rFonts w:hint="eastAsia" w:ascii="宋体" w:hAnsi="宋体" w:cs="宋体"/>
                <w:szCs w:val="21"/>
              </w:rPr>
              <w:t>五、环境卫生。①早晚各1小时开窗通风，保持室内空气清新并做好记录②食具、水杯，毛巾，助残器械、餐具消毒柜等，每日擦拭消毒一次，且都应有清洁消毒制度。</w:t>
            </w:r>
          </w:p>
          <w:p w14:paraId="21378170">
            <w:pPr>
              <w:pStyle w:val="41"/>
              <w:snapToGrid w:val="0"/>
              <w:spacing w:line="360" w:lineRule="exact"/>
              <w:rPr>
                <w:rStyle w:val="42"/>
                <w:rFonts w:hint="eastAsia" w:ascii="宋体" w:hAnsi="宋体" w:cs="宋体"/>
                <w:szCs w:val="21"/>
              </w:rPr>
            </w:pPr>
            <w:r>
              <w:rPr>
                <w:rStyle w:val="42"/>
                <w:rFonts w:hint="eastAsia" w:ascii="宋体" w:hAnsi="宋体" w:cs="宋体"/>
                <w:szCs w:val="21"/>
              </w:rPr>
              <w:t>六、就寝。①晨起。按时叫受助人员起床，观察和了解受助人员身体和情绪等情况；排尿，更换尿不湿、衣服，穿衣整洁干净；洗脸刷牙洗手；整理居室，注意温差，酌情开窗通风；②午睡时长1--2小时，防止受助人员坠床、磕碰等不安全情况发生，安抚不午睡受助人员，按时叫受助人员起床，排尿，更换尿不湿等，整理居室，用物归位，③夜间睡眠时长8--10小时，室温适合睡眠，受助人员穿睡衣睡觉，保持正确的睡眠姿势，拖鞋排放整齐，及时给受助人员盖被，注意营造良好睡眠氛围，护理人员态度温和，忌高声喧哗，及时安抚入睡困难受助人员，随时纠正睡姿，防止受助人员坠床、窒息、跌伤等不安全情况发生，注意培养良好的睡眠习惯，夜间每隔三小时叫受助人员起床排便，期间备好次日受助人员用品；0点到4点，1小时巡视一次拍照发工作群，用物归位，做好相关记录。</w:t>
            </w:r>
          </w:p>
          <w:p w14:paraId="696D73B0">
            <w:pPr>
              <w:pStyle w:val="41"/>
              <w:snapToGrid w:val="0"/>
              <w:spacing w:line="360" w:lineRule="exact"/>
              <w:rPr>
                <w:rStyle w:val="42"/>
                <w:rFonts w:hint="eastAsia" w:ascii="宋体" w:hAnsi="宋体" w:cs="宋体"/>
                <w:szCs w:val="21"/>
              </w:rPr>
            </w:pPr>
            <w:r>
              <w:rPr>
                <w:rStyle w:val="42"/>
                <w:rFonts w:hint="eastAsia" w:ascii="宋体" w:hAnsi="宋体" w:cs="宋体"/>
                <w:szCs w:val="21"/>
              </w:rPr>
              <w:t>七、户外活动。不少于两个小时，所有受助人员都参加，做到动静交替，组织受助人员适合并安全的活动游戏、玩乐，促进受助人员良好情绪发展，拍照留存积极向上，乐观自信照片，做好保存。</w:t>
            </w:r>
          </w:p>
          <w:p w14:paraId="26FC0426">
            <w:pPr>
              <w:pStyle w:val="41"/>
              <w:snapToGrid w:val="0"/>
              <w:spacing w:line="360" w:lineRule="exact"/>
              <w:rPr>
                <w:rStyle w:val="42"/>
                <w:rFonts w:hint="eastAsia" w:ascii="宋体" w:hAnsi="宋体" w:cs="宋体"/>
                <w:szCs w:val="21"/>
              </w:rPr>
            </w:pPr>
            <w:r>
              <w:rPr>
                <w:rStyle w:val="42"/>
                <w:rFonts w:hint="eastAsia" w:ascii="宋体" w:hAnsi="宋体" w:cs="宋体"/>
                <w:szCs w:val="21"/>
              </w:rPr>
              <w:t>八、能力培养，自理能力如进食、洗脸、刷牙、穿衣、如厕等能力的培养和巩固。</w:t>
            </w:r>
          </w:p>
          <w:p w14:paraId="2D37FE26">
            <w:pPr>
              <w:pStyle w:val="41"/>
              <w:snapToGrid w:val="0"/>
              <w:spacing w:line="360" w:lineRule="exact"/>
              <w:rPr>
                <w:rStyle w:val="42"/>
                <w:rFonts w:hint="eastAsia" w:ascii="宋体" w:hAnsi="宋体" w:cs="宋体"/>
                <w:szCs w:val="21"/>
              </w:rPr>
            </w:pPr>
            <w:r>
              <w:rPr>
                <w:rStyle w:val="42"/>
                <w:rFonts w:hint="eastAsia" w:ascii="宋体" w:hAnsi="宋体" w:cs="宋体"/>
                <w:szCs w:val="21"/>
              </w:rPr>
              <w:t>九、疾病预防与护理。①注意观察受助人员精神状态、面色、呼吸、体温、大小便等情况，发现异常，及时就医，遵医嘱吃药②对脑瘫、癫痫病，神经错乱受助人员着重看护。</w:t>
            </w:r>
          </w:p>
          <w:p w14:paraId="581DB133">
            <w:pPr>
              <w:pStyle w:val="41"/>
              <w:snapToGrid w:val="0"/>
              <w:spacing w:line="360" w:lineRule="exact"/>
              <w:rPr>
                <w:rStyle w:val="42"/>
                <w:rFonts w:hint="eastAsia" w:ascii="宋体" w:hAnsi="宋体" w:cs="宋体"/>
                <w:szCs w:val="21"/>
              </w:rPr>
            </w:pPr>
            <w:r>
              <w:rPr>
                <w:rStyle w:val="42"/>
                <w:rFonts w:hint="eastAsia" w:ascii="宋体" w:hAnsi="宋体" w:cs="宋体"/>
                <w:szCs w:val="21"/>
              </w:rPr>
              <w:t>十、工作日按时接送受助人员上课或康复，配合康复训练师对受助人员实施康复计划和康复训练。特殊情况并寻求医护人员助教。</w:t>
            </w:r>
          </w:p>
        </w:tc>
      </w:tr>
      <w:tr w14:paraId="5919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16" w:type="dxa"/>
            <w:tcBorders>
              <w:top w:val="single" w:color="000000" w:sz="4" w:space="0"/>
              <w:left w:val="single" w:color="000000" w:sz="4" w:space="0"/>
              <w:bottom w:val="single" w:color="000000" w:sz="4" w:space="0"/>
              <w:right w:val="single" w:color="000000" w:sz="4" w:space="0"/>
            </w:tcBorders>
            <w:vAlign w:val="center"/>
          </w:tcPr>
          <w:p w14:paraId="2706DDC5">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szCs w:val="21"/>
              </w:rPr>
              <w:t>环境卫生</w:t>
            </w:r>
          </w:p>
        </w:tc>
        <w:tc>
          <w:tcPr>
            <w:tcW w:w="8752" w:type="dxa"/>
            <w:tcBorders>
              <w:top w:val="single" w:color="000000" w:sz="4" w:space="0"/>
              <w:left w:val="single" w:color="000000" w:sz="4" w:space="0"/>
              <w:bottom w:val="single" w:color="000000" w:sz="4" w:space="0"/>
              <w:right w:val="single" w:color="000000" w:sz="4" w:space="0"/>
            </w:tcBorders>
            <w:vAlign w:val="center"/>
          </w:tcPr>
          <w:p w14:paraId="4D769406">
            <w:pPr>
              <w:pStyle w:val="41"/>
              <w:snapToGrid w:val="0"/>
              <w:spacing w:line="360" w:lineRule="exact"/>
              <w:jc w:val="left"/>
              <w:rPr>
                <w:rStyle w:val="42"/>
                <w:rFonts w:hint="eastAsia" w:ascii="宋体" w:hAnsi="宋体" w:cs="宋体"/>
                <w:szCs w:val="21"/>
              </w:rPr>
            </w:pPr>
            <w:r>
              <w:rPr>
                <w:rStyle w:val="42"/>
                <w:rFonts w:hint="eastAsia" w:ascii="宋体" w:hAnsi="宋体" w:cs="宋体"/>
                <w:szCs w:val="21"/>
              </w:rPr>
              <w:t>内务卫生。①被子整齐化一床铺整洁平整，无异味、无汗渍、尿渍；床单、被罩干净、平整、柔软，每周集中彻底消毒一次②房间内保持地面、厕所卫生干净，无杂物、无水坑、无死角，无污渍、无异味，窗户明亮，桌椅干净；室内无苍蝇、无蚊子、无老鼠、蟑螂、臭虫等，保持室内空气清新，无异味。③衣物整理：分类收纳、摆放，遵循便利，整洁、美观原则④内衣、内裤、袜子每天分开洗涤、晾晒；鞋子干净、合脚、无异味。</w:t>
            </w:r>
          </w:p>
        </w:tc>
      </w:tr>
      <w:tr w14:paraId="29EB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16" w:type="dxa"/>
            <w:tcBorders>
              <w:top w:val="single" w:color="000000" w:sz="4" w:space="0"/>
              <w:left w:val="single" w:color="000000" w:sz="4" w:space="0"/>
              <w:bottom w:val="single" w:color="000000" w:sz="4" w:space="0"/>
              <w:right w:val="single" w:color="000000" w:sz="4" w:space="0"/>
            </w:tcBorders>
            <w:vAlign w:val="center"/>
          </w:tcPr>
          <w:p w14:paraId="451B0C45">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szCs w:val="21"/>
              </w:rPr>
              <w:t>个人卫生</w:t>
            </w:r>
          </w:p>
        </w:tc>
        <w:tc>
          <w:tcPr>
            <w:tcW w:w="8752" w:type="dxa"/>
            <w:tcBorders>
              <w:top w:val="single" w:color="000000" w:sz="4" w:space="0"/>
              <w:left w:val="single" w:color="000000" w:sz="4" w:space="0"/>
              <w:bottom w:val="single" w:color="000000" w:sz="4" w:space="0"/>
              <w:right w:val="single" w:color="000000" w:sz="4" w:space="0"/>
            </w:tcBorders>
            <w:vAlign w:val="center"/>
          </w:tcPr>
          <w:p w14:paraId="39B28E7B">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一、受助人员卫生。①刷牙早晚各一次，餐前餐后漱口，保持口气清新；头发清爽无皮屑，长短合适，定期理发，面部无眼屎、鼻涕，干净滋润；手指甲、脚指甲长短适中、无污垢，耳内无耳垢。②每天不少于8次集体换尿不湿，每间隔两小时检查一次有无尿满、大便受助人员，及时清理保持臀部干爽、无异味。</w:t>
            </w:r>
          </w:p>
          <w:p w14:paraId="1210CF3E">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二、工作人员个人卫生①保持个人卫生，衣着整洁，剪短指甲，不佩戴任何首饰等②不品尝受助人员的饮食。③受助人员护理员的用具要与受助人员用具严格分开。④受助人员护理员本人患病，应立即报告负责人或医务人员，如患传染病应停止工作。</w:t>
            </w:r>
          </w:p>
        </w:tc>
      </w:tr>
      <w:tr w14:paraId="2C198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16" w:type="dxa"/>
            <w:tcBorders>
              <w:top w:val="single" w:color="000000" w:sz="4" w:space="0"/>
              <w:left w:val="single" w:color="000000" w:sz="4" w:space="0"/>
              <w:bottom w:val="single" w:color="000000" w:sz="4" w:space="0"/>
              <w:right w:val="single" w:color="000000" w:sz="4" w:space="0"/>
            </w:tcBorders>
            <w:vAlign w:val="center"/>
          </w:tcPr>
          <w:p w14:paraId="3D39D064">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szCs w:val="21"/>
              </w:rPr>
              <w:t>疾病预防</w:t>
            </w:r>
          </w:p>
        </w:tc>
        <w:tc>
          <w:tcPr>
            <w:tcW w:w="8752" w:type="dxa"/>
            <w:tcBorders>
              <w:top w:val="single" w:color="000000" w:sz="4" w:space="0"/>
              <w:left w:val="single" w:color="000000" w:sz="4" w:space="0"/>
              <w:bottom w:val="single" w:color="000000" w:sz="4" w:space="0"/>
              <w:right w:val="single" w:color="000000" w:sz="4" w:space="0"/>
            </w:tcBorders>
          </w:tcPr>
          <w:p w14:paraId="6DFC5ADA">
            <w:pPr>
              <w:snapToGrid w:val="0"/>
              <w:spacing w:line="360" w:lineRule="exact"/>
              <w:rPr>
                <w:rStyle w:val="42"/>
                <w:rFonts w:hint="eastAsia" w:ascii="宋体" w:hAnsi="宋体" w:eastAsia="宋体" w:cs="宋体"/>
                <w:szCs w:val="21"/>
              </w:rPr>
            </w:pPr>
            <w:r>
              <w:rPr>
                <w:rFonts w:hint="eastAsia" w:ascii="宋体" w:hAnsi="宋体" w:eastAsia="宋体" w:cs="宋体"/>
                <w:szCs w:val="21"/>
              </w:rPr>
              <w:t>一、根据受助人员生理特点、病理特点实施基础护理。采取清洁、消毒和隔离措施，确保受助人员的身体健康。</w:t>
            </w:r>
          </w:p>
          <w:p w14:paraId="053644D3">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二、严格遵守各项卫生保健制度。</w:t>
            </w:r>
          </w:p>
          <w:p w14:paraId="0DFB0E39">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三、加强卫生宣传教育工作，提高受助人员护理员预防保健知识，共同配合防病工作。</w:t>
            </w:r>
          </w:p>
          <w:p w14:paraId="735D63B1">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四、搞好环境、个人卫生和经常性消毒工作。①建立一人一碗一巾一帕，定期消毒，饭前便后流动水洗手制度。②培养受助人员良好的卫生习惯，对疾病预防起着良好作用。</w:t>
            </w:r>
          </w:p>
          <w:p w14:paraId="60C665F9">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五、每季度测量受助人员生长发育指标并做好记录。</w:t>
            </w:r>
          </w:p>
          <w:p w14:paraId="3642F838">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六、可根据气候、环境、季节采取各种积极的预防措施，预防常见病的发生。</w:t>
            </w:r>
          </w:p>
          <w:p w14:paraId="4239525D">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七、提高受助人员对疾病的抵抗力。①加强饮食卫生管理，不吃凉饭、剩饭。②加强户外活动和体格锻炼，按不同年龄和身体程度度对受助人员生理特点开展不同项目的锻炼。</w:t>
            </w:r>
          </w:p>
        </w:tc>
      </w:tr>
      <w:tr w14:paraId="29BC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16" w:type="dxa"/>
            <w:tcBorders>
              <w:top w:val="single" w:color="000000" w:sz="4" w:space="0"/>
              <w:left w:val="single" w:color="000000" w:sz="4" w:space="0"/>
              <w:bottom w:val="single" w:color="000000" w:sz="4" w:space="0"/>
              <w:right w:val="single" w:color="000000" w:sz="4" w:space="0"/>
            </w:tcBorders>
            <w:vAlign w:val="center"/>
          </w:tcPr>
          <w:p w14:paraId="6983D25A">
            <w:pPr>
              <w:snapToGrid w:val="0"/>
              <w:spacing w:line="360" w:lineRule="exact"/>
              <w:jc w:val="center"/>
              <w:rPr>
                <w:rStyle w:val="42"/>
                <w:rFonts w:hint="eastAsia" w:ascii="宋体" w:hAnsi="宋体" w:eastAsia="宋体" w:cs="宋体"/>
                <w:szCs w:val="21"/>
              </w:rPr>
            </w:pPr>
            <w:r>
              <w:rPr>
                <w:rStyle w:val="42"/>
                <w:rFonts w:hint="eastAsia" w:ascii="宋体" w:hAnsi="宋体" w:eastAsia="宋体" w:cs="宋体"/>
                <w:szCs w:val="21"/>
              </w:rPr>
              <w:t>安全防护</w:t>
            </w:r>
          </w:p>
        </w:tc>
        <w:tc>
          <w:tcPr>
            <w:tcW w:w="8752" w:type="dxa"/>
            <w:tcBorders>
              <w:top w:val="single" w:color="000000" w:sz="4" w:space="0"/>
              <w:left w:val="single" w:color="000000" w:sz="4" w:space="0"/>
              <w:bottom w:val="single" w:color="000000" w:sz="4" w:space="0"/>
              <w:right w:val="single" w:color="000000" w:sz="4" w:space="0"/>
            </w:tcBorders>
          </w:tcPr>
          <w:p w14:paraId="0129A82E">
            <w:pPr>
              <w:snapToGrid w:val="0"/>
              <w:spacing w:line="360" w:lineRule="exact"/>
              <w:ind w:firstLine="420" w:firstLineChars="200"/>
              <w:rPr>
                <w:rStyle w:val="42"/>
                <w:rFonts w:hint="eastAsia" w:ascii="宋体" w:hAnsi="宋体" w:eastAsia="宋体" w:cs="宋体"/>
                <w:szCs w:val="21"/>
              </w:rPr>
            </w:pPr>
            <w:r>
              <w:rPr>
                <w:rFonts w:hint="eastAsia" w:ascii="宋体" w:hAnsi="宋体" w:eastAsia="宋体" w:cs="宋体"/>
                <w:szCs w:val="21"/>
              </w:rPr>
              <w:t>采取安全防护措施，预防受助人员发生意外伤害：</w:t>
            </w:r>
          </w:p>
          <w:p w14:paraId="3625AC40">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一、安全巡视。全天进行安全排查，做好记录①每天对部门的设施设备及风险进行安全排查，发现问题及时上报，并做好记录，做到房间没人及时关灯、关空调，不用的电器及时断电，②针线剪刀等锐利物品用毕立即收回，洗衣机，消毒机操作时需有人看守，受助人员不得独自接热水，电器用品需在护理人员陪同下操作。</w:t>
            </w:r>
          </w:p>
          <w:p w14:paraId="5E4DEE4A">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二、受助人员洗澡安全①受助人员洗澡，要注意防溺水，受助人员洗澡过程中，受助人员护理员不可离开，防止受助人员擅自打开水龙头放水。洗完澡后，应立即将地面拖干，防止滑跌。②受助人员洗澡，要注意防烫伤，冷热水龙头，应有明显标志区分，告诉受助人员不能乱开，防止烫伤。加水时要掌握“先凉后热”的原则，就是先加凉水，后加热水，否则引起烫伤。</w:t>
            </w:r>
          </w:p>
          <w:p w14:paraId="6EBB666B">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三、受助人员生活用品的安全。①热水瓶、热汤锅、粥锅、火柴、打火机、刀、剪等应放到受助人员不能取到的地方，以免发生烫伤、烧伤及割伤。②室内电器插座应安装有保护装置，电线应用暗线以免受助人员接触。经常检查电器、电线是否漏电，以免发生触电。</w:t>
            </w:r>
          </w:p>
          <w:p w14:paraId="26551966">
            <w:pPr>
              <w:snapToGrid w:val="0"/>
              <w:spacing w:line="360" w:lineRule="exact"/>
              <w:rPr>
                <w:rStyle w:val="42"/>
                <w:rFonts w:hint="eastAsia" w:ascii="宋体" w:hAnsi="宋体" w:eastAsia="宋体" w:cs="宋体"/>
                <w:szCs w:val="21"/>
              </w:rPr>
            </w:pPr>
            <w:r>
              <w:rPr>
                <w:rStyle w:val="42"/>
                <w:rFonts w:hint="eastAsia" w:ascii="宋体" w:hAnsi="宋体" w:eastAsia="宋体" w:cs="宋体"/>
                <w:szCs w:val="21"/>
              </w:rPr>
              <w:t>四、安全教育。通过各种途径和方式，向护理人员和受助人员进行各种安全教育，是预防和减少受助人员发生意外事故的有效措施。受助人员护理员的教育①受助人员护理员要认真地照顾受助人员，必须做到放手不放眼，放眼不放心，不能让受助人员单独处在一个房间内，受助人员活动时不能离开护理员视线。凡在受助人员活动的周围环境都应有安全设施，并对易发生意外事故的情况应有预见性。②受助人员护理员在护理时，不能用提物的方式，突然提起受助人员的手臂，或用粗暴的动作给受助人员穿脱衣服，以免引起脱臼。③受助人员护理员手提开水壶时要提防受助人员从旁边突然冲过来，给受助人员洗脸、洗脚、洗澡，要先倒冷水后倒热水，以防发生烫伤。④受助人员护理员应培养受助人员良好的饮食习惯，进餐时细嚼，勿狼吞虎咽，以免将鱼刺、骨片及果核吞人。⑤受助人员在进餐时受助人员护理员切勿惊吓、逗乐受助人员，以免受助人员大笑、大哭而将食物吸入气管。⑥对受助人员护理员进行安全知识教育培训，普及各种常见意外事故的处理、急救知识。</w:t>
            </w:r>
          </w:p>
        </w:tc>
      </w:tr>
      <w:tr w14:paraId="6299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316" w:type="dxa"/>
            <w:tcBorders>
              <w:top w:val="single" w:color="auto" w:sz="4" w:space="0"/>
              <w:left w:val="single" w:color="000000" w:sz="4" w:space="0"/>
              <w:bottom w:val="single" w:color="auto" w:sz="4" w:space="0"/>
              <w:right w:val="single" w:color="000000" w:sz="4" w:space="0"/>
            </w:tcBorders>
            <w:vAlign w:val="center"/>
          </w:tcPr>
          <w:p w14:paraId="31664425">
            <w:pPr>
              <w:snapToGrid w:val="0"/>
              <w:spacing w:line="360" w:lineRule="exact"/>
              <w:jc w:val="center"/>
              <w:rPr>
                <w:rFonts w:hint="eastAsia" w:ascii="宋体" w:hAnsi="宋体" w:eastAsia="宋体" w:cs="宋体"/>
                <w:szCs w:val="21"/>
              </w:rPr>
            </w:pPr>
            <w:r>
              <w:rPr>
                <w:rFonts w:hint="eastAsia" w:ascii="宋体" w:hAnsi="宋体" w:eastAsia="宋体" w:cs="宋体"/>
                <w:szCs w:val="21"/>
              </w:rPr>
              <w:t>综合管理</w:t>
            </w:r>
          </w:p>
        </w:tc>
        <w:tc>
          <w:tcPr>
            <w:tcW w:w="8752" w:type="dxa"/>
            <w:tcBorders>
              <w:top w:val="single" w:color="auto" w:sz="4" w:space="0"/>
              <w:left w:val="single" w:color="000000" w:sz="4" w:space="0"/>
              <w:bottom w:val="single" w:color="auto" w:sz="4" w:space="0"/>
              <w:right w:val="single" w:color="000000" w:sz="4" w:space="0"/>
            </w:tcBorders>
          </w:tcPr>
          <w:p w14:paraId="3B51110A">
            <w:pPr>
              <w:pStyle w:val="43"/>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一、对派驻的护理人员进行日常工作管理和考核。</w:t>
            </w:r>
          </w:p>
          <w:p w14:paraId="30077F0E">
            <w:pPr>
              <w:pStyle w:val="43"/>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二、定期对派驻的护理人员进行律法规、职业道德、劳动纪律、劳动安全教育等专业知识学习组织和培训，提供专业性的督导。</w:t>
            </w:r>
          </w:p>
          <w:p w14:paraId="2AA20E6F">
            <w:pPr>
              <w:pStyle w:val="43"/>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三、对派驻的护理人员行为负责，如遇投诉及其它问题，应及时处理，避免造成恶劣的社会影响。</w:t>
            </w:r>
          </w:p>
          <w:p w14:paraId="261083B4">
            <w:pPr>
              <w:snapToGrid w:val="0"/>
              <w:spacing w:line="360" w:lineRule="exact"/>
              <w:rPr>
                <w:rFonts w:hint="eastAsia" w:ascii="宋体" w:hAnsi="宋体" w:eastAsia="宋体" w:cs="宋体"/>
                <w:szCs w:val="21"/>
              </w:rPr>
            </w:pPr>
            <w:r>
              <w:rPr>
                <w:rFonts w:hint="eastAsia" w:ascii="宋体" w:hAnsi="宋体" w:eastAsia="宋体" w:cs="宋体"/>
                <w:szCs w:val="21"/>
              </w:rPr>
              <w:t>四、公寓内如遇特殊原因需封闭管理的，应服从公寓内工作安排进行封闭管理。</w:t>
            </w:r>
          </w:p>
        </w:tc>
      </w:tr>
      <w:tr w14:paraId="2B22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16" w:type="dxa"/>
            <w:tcBorders>
              <w:top w:val="single" w:color="auto" w:sz="4" w:space="0"/>
              <w:left w:val="single" w:color="000000" w:sz="4" w:space="0"/>
              <w:bottom w:val="single" w:color="000000" w:sz="4" w:space="0"/>
              <w:right w:val="single" w:color="000000" w:sz="4" w:space="0"/>
            </w:tcBorders>
            <w:vAlign w:val="center"/>
          </w:tcPr>
          <w:p w14:paraId="31007CF4">
            <w:pPr>
              <w:snapToGrid w:val="0"/>
              <w:spacing w:line="360" w:lineRule="exact"/>
              <w:jc w:val="center"/>
              <w:rPr>
                <w:rFonts w:hint="eastAsia" w:ascii="宋体" w:hAnsi="宋体" w:eastAsia="宋体" w:cs="宋体"/>
                <w:szCs w:val="21"/>
              </w:rPr>
            </w:pPr>
            <w:r>
              <w:rPr>
                <w:rFonts w:hint="eastAsia" w:ascii="宋体" w:hAnsi="宋体" w:eastAsia="宋体" w:cs="宋体"/>
                <w:szCs w:val="21"/>
              </w:rPr>
              <w:t>其它要求</w:t>
            </w:r>
          </w:p>
        </w:tc>
        <w:tc>
          <w:tcPr>
            <w:tcW w:w="8752" w:type="dxa"/>
            <w:tcBorders>
              <w:top w:val="single" w:color="auto" w:sz="4" w:space="0"/>
              <w:left w:val="single" w:color="000000" w:sz="4" w:space="0"/>
              <w:bottom w:val="single" w:color="000000" w:sz="4" w:space="0"/>
              <w:right w:val="single" w:color="000000" w:sz="4" w:space="0"/>
            </w:tcBorders>
          </w:tcPr>
          <w:p w14:paraId="7AC66F49">
            <w:pPr>
              <w:snapToGrid w:val="0"/>
              <w:spacing w:line="360" w:lineRule="exact"/>
              <w:rPr>
                <w:rFonts w:hint="eastAsia" w:ascii="宋体" w:hAnsi="宋体" w:eastAsia="宋体" w:cs="宋体"/>
                <w:szCs w:val="21"/>
              </w:rPr>
            </w:pPr>
            <w:r>
              <w:rPr>
                <w:rFonts w:hint="eastAsia" w:ascii="宋体" w:hAnsi="宋体" w:eastAsia="宋体" w:cs="宋体"/>
                <w:szCs w:val="21"/>
              </w:rPr>
              <w:t>一、派驻的护理人员按采购方实际需求人数提供。要求护理人员相对稳定、政治可靠、作风正派、身体健康、能胜任岗位职责且无违法犯罪记录。有相关岗位经验丰富的人员可适当放宽条件。</w:t>
            </w:r>
          </w:p>
          <w:p w14:paraId="29A82AC6">
            <w:pPr>
              <w:snapToGrid w:val="0"/>
              <w:spacing w:line="360" w:lineRule="exact"/>
              <w:rPr>
                <w:rFonts w:hint="eastAsia" w:ascii="宋体" w:hAnsi="宋体" w:eastAsia="宋体" w:cs="宋体"/>
                <w:szCs w:val="21"/>
              </w:rPr>
            </w:pPr>
            <w:r>
              <w:rPr>
                <w:rFonts w:hint="eastAsia" w:ascii="宋体" w:hAnsi="宋体" w:eastAsia="宋体" w:cs="宋体"/>
                <w:szCs w:val="21"/>
              </w:rPr>
              <w:t>二、派驻的护理人员均</w:t>
            </w:r>
            <w:r>
              <w:rPr>
                <w:rFonts w:hint="eastAsia" w:ascii="宋体" w:hAnsi="宋体" w:eastAsia="宋体" w:cs="宋体"/>
                <w:kern w:val="0"/>
                <w:szCs w:val="21"/>
                <w:lang w:bidi="ar"/>
              </w:rPr>
              <w:t>为供应商雇员，与老年公寓不存在劳动或雇佣关系。</w:t>
            </w:r>
            <w:r>
              <w:rPr>
                <w:rFonts w:hint="eastAsia" w:ascii="宋体" w:hAnsi="宋体" w:eastAsia="宋体" w:cs="宋体"/>
                <w:szCs w:val="21"/>
              </w:rPr>
              <w:t xml:space="preserve">供应商负责护理人员的人事手续办理、合同签订、档案管理、劳动报酬及绩效奖金发放、个人所得税申报、劳动保护及培训等费用、社会保险费或商业保险费（社会保险包括养老保险、工伤保险、失业保险、医疗保险、生育保险等，商业保险指包括工伤保险等险种的商业保险，其后含义亦同）缴纳等工作；如根据法律规定无法办理社会保险的，应为劳务人员办理工伤保险等商业保险。若因供应商本单位原因导致未及时缴纳社会保险费（或为不符合参保条件人员购买的商业保险费），从而造成无法享受各项社会保险待遇，由此造成的损失由其自行承担。 </w:t>
            </w:r>
          </w:p>
          <w:p w14:paraId="337DAD18">
            <w:pPr>
              <w:snapToGrid w:val="0"/>
              <w:spacing w:line="360" w:lineRule="exact"/>
              <w:rPr>
                <w:rFonts w:hint="eastAsia" w:ascii="宋体" w:hAnsi="宋体" w:eastAsia="宋体" w:cs="宋体"/>
                <w:szCs w:val="21"/>
              </w:rPr>
            </w:pPr>
            <w:r>
              <w:rPr>
                <w:rFonts w:hint="eastAsia" w:ascii="宋体" w:hAnsi="宋体" w:eastAsia="宋体" w:cs="宋体"/>
                <w:szCs w:val="21"/>
              </w:rPr>
              <w:t>三、供应商须</w:t>
            </w:r>
            <w:r>
              <w:rPr>
                <w:rFonts w:hint="eastAsia" w:ascii="宋体" w:hAnsi="宋体" w:eastAsia="宋体" w:cs="宋体"/>
                <w:kern w:val="0"/>
                <w:szCs w:val="21"/>
                <w:lang w:bidi="ar"/>
              </w:rPr>
              <w:t>指定至少一名全职的项目管理人员，负责处理包括派驻护理服务人员的日常管理、岗位指导、工作过程控制、结果反馈、费用的结算和支付等问题。</w:t>
            </w:r>
          </w:p>
          <w:p w14:paraId="77665046">
            <w:pPr>
              <w:pStyle w:val="43"/>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四、在服务期内，因供应商过错造成事故的，一切费用及后果由供应商承担。</w:t>
            </w:r>
          </w:p>
        </w:tc>
      </w:tr>
    </w:tbl>
    <w:p w14:paraId="68F38256">
      <w:pPr>
        <w:pStyle w:val="43"/>
        <w:spacing w:before="120" w:beforeLines="50"/>
        <w:ind w:firstLine="482"/>
        <w:rPr>
          <w:rFonts w:hint="eastAsia" w:ascii="宋体" w:hAnsi="宋体" w:eastAsia="宋体" w:cs="宋体"/>
          <w:b/>
          <w:bCs/>
        </w:rPr>
      </w:pPr>
      <w:r>
        <w:rPr>
          <w:rFonts w:hint="eastAsia" w:ascii="宋体" w:hAnsi="宋体" w:eastAsia="宋体" w:cs="宋体"/>
          <w:b/>
          <w:bCs/>
        </w:rPr>
        <w:t>三、履约考核</w:t>
      </w:r>
    </w:p>
    <w:p w14:paraId="60DC0A09">
      <w:pPr>
        <w:widowControl/>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1、采购人有权每月对供应商的管理进行考核或者监督检查，有权对服务分的服务事项作出明确、清晰、合理的要求，有权对供应商岗位的服务人员完成服务项目的情况进行考察，及时向供应商反馈，供应商应及时根据甲方考核检查的反馈情况进行必要的调整或改进。</w:t>
      </w:r>
    </w:p>
    <w:p w14:paraId="7479F194">
      <w:pPr>
        <w:widowControl/>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2、采购人有权监督、指导乙方服务人员的相关工作，可对相关工作进行服务效果评估和考核，并向供应商提出改进意见，供应商及供应商服务人员应积极配合，有效呈现岗位服务效果。</w:t>
      </w:r>
    </w:p>
    <w:p w14:paraId="0535B3B4">
      <w:pPr>
        <w:ind w:firstLine="480" w:firstLineChars="200"/>
        <w:rPr>
          <w:sz w:val="24"/>
        </w:rPr>
      </w:pPr>
      <w:r>
        <w:rPr>
          <w:rFonts w:hint="eastAsia" w:ascii="宋体" w:hAnsi="宋体" w:eastAsia="宋体" w:cs="宋体"/>
          <w:kern w:val="0"/>
          <w:sz w:val="24"/>
          <w:lang w:bidi="ar"/>
        </w:rPr>
        <w:t>3、采购人根据约定的岗位服务标准，对供应商岗位的成果进行针对性评估和验收，对于不合格或未能达到要求的岗位服务，有权要求供应商重新安排服务人员提供服务。</w:t>
      </w:r>
    </w:p>
    <w:p w14:paraId="783BBA75">
      <w:pPr>
        <w:adjustRightInd w:val="0"/>
        <w:snapToGrid w:val="0"/>
        <w:spacing w:line="336" w:lineRule="auto"/>
        <w:ind w:firstLine="480" w:firstLineChars="200"/>
        <w:rPr>
          <w:rFonts w:hint="eastAsia" w:ascii="宋体" w:hAnsi="宋体" w:eastAsia="宋体" w:cs="宋体"/>
          <w:bCs/>
          <w:sz w:val="24"/>
        </w:rPr>
      </w:pPr>
    </w:p>
    <w:p w14:paraId="266D11F1">
      <w:pPr>
        <w:adjustRightInd w:val="0"/>
        <w:snapToGrid w:val="0"/>
        <w:spacing w:line="336" w:lineRule="auto"/>
        <w:ind w:firstLine="480" w:firstLineChars="200"/>
        <w:rPr>
          <w:rFonts w:hint="eastAsia" w:ascii="宋体" w:hAnsi="宋体" w:eastAsia="宋体" w:cs="宋体"/>
          <w:bCs/>
          <w:sz w:val="24"/>
          <w:highlight w:val="yellow"/>
        </w:rPr>
      </w:pPr>
    </w:p>
    <w:p w14:paraId="415612B5">
      <w:pPr>
        <w:adjustRightInd w:val="0"/>
        <w:snapToGrid w:val="0"/>
        <w:spacing w:line="336" w:lineRule="auto"/>
        <w:ind w:firstLine="480" w:firstLineChars="200"/>
        <w:rPr>
          <w:rFonts w:hint="eastAsia" w:ascii="宋体" w:hAnsi="宋体" w:eastAsia="宋体" w:cs="宋体"/>
          <w:bCs/>
          <w:sz w:val="24"/>
          <w:highlight w:val="yellow"/>
        </w:rPr>
      </w:pPr>
    </w:p>
    <w:p w14:paraId="1E188086">
      <w:pPr>
        <w:adjustRightInd w:val="0"/>
        <w:snapToGrid w:val="0"/>
        <w:spacing w:line="336" w:lineRule="auto"/>
        <w:ind w:firstLine="480" w:firstLineChars="200"/>
        <w:rPr>
          <w:rFonts w:hint="eastAsia" w:ascii="宋体" w:hAnsi="宋体" w:eastAsia="宋体" w:cs="宋体"/>
          <w:bCs/>
          <w:sz w:val="24"/>
          <w:highlight w:val="yellow"/>
        </w:rPr>
      </w:pPr>
    </w:p>
    <w:p w14:paraId="2D075532">
      <w:pPr>
        <w:widowControl/>
        <w:ind w:firstLine="420" w:firstLineChars="200"/>
        <w:jc w:val="left"/>
        <w:rPr>
          <w:rFonts w:hint="eastAsia" w:ascii="宋体" w:hAnsi="宋体" w:eastAsia="宋体" w:cs="宋体"/>
          <w:color w:val="000000"/>
          <w:kern w:val="0"/>
          <w:szCs w:val="21"/>
          <w:lang w:bidi="ar"/>
        </w:rPr>
      </w:pPr>
    </w:p>
    <w:p w14:paraId="0D5C21B4">
      <w:pPr>
        <w:pStyle w:val="43"/>
        <w:ind w:firstLine="0" w:firstLineChars="0"/>
        <w:rPr>
          <w:rFonts w:hint="eastAsia" w:ascii="华文中宋" w:hAnsi="华文中宋" w:eastAsia="华文中宋" w:cs="华文中宋"/>
          <w:b/>
          <w:bCs/>
          <w:sz w:val="21"/>
          <w:szCs w:val="20"/>
        </w:rPr>
      </w:pPr>
    </w:p>
    <w:p w14:paraId="2285B542">
      <w:pPr>
        <w:widowControl/>
        <w:ind w:firstLine="420" w:firstLineChars="200"/>
        <w:jc w:val="left"/>
        <w:rPr>
          <w:rFonts w:hint="eastAsia" w:ascii="宋体" w:hAnsi="宋体" w:eastAsia="宋体" w:cs="宋体"/>
          <w:color w:val="000000"/>
          <w:kern w:val="0"/>
          <w:szCs w:val="21"/>
          <w:lang w:bidi="ar"/>
        </w:rPr>
      </w:pPr>
    </w:p>
    <w:p w14:paraId="7E8767A9">
      <w:pPr>
        <w:rPr>
          <w:rFonts w:hint="eastAsia" w:ascii="宋体" w:hAnsi="宋体" w:eastAsia="宋体" w:cs="宋体"/>
          <w:color w:val="000000"/>
          <w:kern w:val="0"/>
          <w:szCs w:val="21"/>
          <w:lang w:bidi="ar"/>
        </w:rPr>
      </w:pPr>
    </w:p>
    <w:p w14:paraId="2BA0B190">
      <w:pPr>
        <w:rPr>
          <w:rFonts w:hint="eastAsia" w:ascii="宋体" w:hAnsi="宋体" w:eastAsia="宋体" w:cs="宋体"/>
          <w:color w:val="000000"/>
          <w:kern w:val="0"/>
          <w:szCs w:val="21"/>
          <w:lang w:bidi="ar"/>
        </w:rPr>
      </w:pPr>
    </w:p>
    <w:p w14:paraId="4EC89BD5">
      <w:pPr>
        <w:rPr>
          <w:rFonts w:hint="eastAsia" w:ascii="宋体" w:hAnsi="宋体" w:eastAsia="宋体" w:cs="宋体"/>
          <w:color w:val="000000"/>
          <w:kern w:val="0"/>
          <w:szCs w:val="21"/>
          <w:lang w:bidi="ar"/>
        </w:rPr>
      </w:pPr>
    </w:p>
    <w:p w14:paraId="3EC42979">
      <w:pPr>
        <w:bidi w:val="0"/>
        <w:rPr>
          <w:rFonts w:hint="eastAsia"/>
        </w:rPr>
      </w:pPr>
    </w:p>
    <w:p w14:paraId="461F805E">
      <w:pPr>
        <w:rPr>
          <w:rFonts w:hint="eastAsia"/>
        </w:rPr>
      </w:pPr>
    </w:p>
    <w:p w14:paraId="010F0EE7">
      <w:pPr>
        <w:rPr>
          <w:rFonts w:hint="eastAsia" w:ascii="宋体" w:hAnsi="宋体" w:eastAsia="宋体" w:cs="宋体"/>
          <w:color w:val="000000"/>
          <w:kern w:val="0"/>
          <w:szCs w:val="21"/>
          <w:lang w:bidi="ar"/>
        </w:rPr>
      </w:pPr>
    </w:p>
    <w:p w14:paraId="39BB6333">
      <w:pPr>
        <w:rPr>
          <w:rFonts w:hint="eastAsia" w:ascii="宋体" w:hAnsi="宋体" w:eastAsia="宋体" w:cs="宋体"/>
          <w:color w:val="000000"/>
          <w:kern w:val="0"/>
          <w:szCs w:val="21"/>
          <w:lang w:bidi="ar"/>
        </w:rPr>
      </w:pPr>
    </w:p>
    <w:p w14:paraId="64D9669B">
      <w:pPr>
        <w:rPr>
          <w:rFonts w:hint="eastAsia" w:ascii="宋体" w:hAnsi="宋体" w:eastAsia="宋体" w:cs="宋体"/>
          <w:color w:val="000000"/>
          <w:kern w:val="0"/>
          <w:szCs w:val="21"/>
          <w:lang w:bidi="ar"/>
        </w:rPr>
      </w:pPr>
    </w:p>
    <w:p w14:paraId="03422DC4">
      <w:pPr>
        <w:rPr>
          <w:rFonts w:hint="eastAsia" w:ascii="宋体" w:hAnsi="宋体" w:eastAsia="宋体" w:cs="宋体"/>
          <w:color w:val="000000"/>
          <w:kern w:val="0"/>
          <w:szCs w:val="21"/>
          <w:lang w:bidi="ar"/>
        </w:rPr>
      </w:pPr>
    </w:p>
    <w:p w14:paraId="1CE2696F">
      <w:pPr>
        <w:rPr>
          <w:rFonts w:hint="eastAsia" w:ascii="宋体" w:hAnsi="宋体" w:eastAsia="宋体" w:cs="宋体"/>
          <w:color w:val="000000"/>
          <w:kern w:val="0"/>
          <w:szCs w:val="21"/>
          <w:lang w:bidi="ar"/>
        </w:rPr>
      </w:pPr>
    </w:p>
    <w:p w14:paraId="34F387C4">
      <w:pPr>
        <w:rPr>
          <w:rFonts w:hint="eastAsia" w:ascii="宋体" w:hAnsi="宋体" w:eastAsia="宋体" w:cs="宋体"/>
          <w:color w:val="000000"/>
          <w:kern w:val="0"/>
          <w:szCs w:val="21"/>
          <w:lang w:bidi="ar"/>
        </w:rPr>
      </w:pPr>
    </w:p>
    <w:p w14:paraId="7DAC3CC5">
      <w:pPr>
        <w:rPr>
          <w:rFonts w:hint="eastAsia" w:ascii="宋体" w:hAnsi="宋体" w:eastAsia="宋体" w:cs="宋体"/>
          <w:color w:val="000000"/>
          <w:kern w:val="0"/>
          <w:szCs w:val="21"/>
          <w:lang w:bidi="ar"/>
        </w:rPr>
      </w:pPr>
    </w:p>
    <w:p w14:paraId="53A45836">
      <w:pPr>
        <w:spacing w:line="20" w:lineRule="exact"/>
        <w:rPr>
          <w:rFonts w:hint="eastAsia" w:ascii="宋体" w:hAnsi="宋体" w:eastAsia="宋体" w:cs="宋体"/>
          <w:color w:val="000000"/>
          <w:kern w:val="0"/>
          <w:szCs w:val="21"/>
          <w:lang w:bidi="ar"/>
        </w:rPr>
      </w:pPr>
    </w:p>
    <w:p w14:paraId="62D8F930">
      <w:pPr>
        <w:spacing w:line="20" w:lineRule="exact"/>
        <w:rPr>
          <w:rFonts w:hint="eastAsia" w:ascii="宋体" w:hAnsi="宋体"/>
          <w:color w:val="000000"/>
          <w:kern w:val="0"/>
          <w:sz w:val="24"/>
        </w:rPr>
      </w:pPr>
    </w:p>
    <w:p w14:paraId="38DCA405">
      <w:pPr>
        <w:pStyle w:val="2"/>
        <w:spacing w:beforeLines="0" w:afterLines="0" w:line="480" w:lineRule="auto"/>
        <w:jc w:val="center"/>
        <w:rPr>
          <w:rStyle w:val="39"/>
          <w:rFonts w:hint="eastAsia" w:ascii="宋体" w:hAnsi="宋体" w:cs="宋体"/>
          <w:b/>
          <w:bCs/>
        </w:rPr>
      </w:pPr>
      <w:bookmarkStart w:id="94" w:name="_Toc15463"/>
      <w:r>
        <w:rPr>
          <w:rStyle w:val="39"/>
          <w:rFonts w:hint="eastAsia" w:ascii="宋体" w:hAnsi="宋体" w:cs="宋体"/>
          <w:b/>
          <w:bCs/>
        </w:rPr>
        <w:t>第六章  投标文件格式</w:t>
      </w:r>
      <w:bookmarkEnd w:id="94"/>
    </w:p>
    <w:p w14:paraId="038D17C8">
      <w:pPr>
        <w:pStyle w:val="22"/>
        <w:ind w:firstLine="0" w:firstLineChars="0"/>
        <w:rPr>
          <w:rFonts w:hint="eastAsia" w:ascii="华文中宋" w:hAnsi="华文中宋" w:eastAsia="华文中宋" w:cs="华文中宋"/>
          <w:szCs w:val="21"/>
        </w:rPr>
      </w:pPr>
    </w:p>
    <w:p w14:paraId="56D5FD77">
      <w:pPr>
        <w:spacing w:line="480" w:lineRule="auto"/>
        <w:ind w:firstLine="2563" w:firstLineChars="800"/>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 xml:space="preserve"> </w:t>
      </w:r>
      <w:r>
        <w:rPr>
          <w:rFonts w:hint="eastAsia" w:ascii="华文中宋" w:hAnsi="华文中宋" w:eastAsia="华文中宋" w:cs="华文中宋"/>
          <w:b/>
          <w:sz w:val="32"/>
          <w:szCs w:val="32"/>
          <w:u w:val="single"/>
        </w:rPr>
        <w:t xml:space="preserve">        （项目名称）        </w:t>
      </w:r>
    </w:p>
    <w:p w14:paraId="6A69A5B4">
      <w:pPr>
        <w:jc w:val="center"/>
        <w:rPr>
          <w:rFonts w:hint="eastAsia" w:ascii="华文中宋" w:hAnsi="华文中宋" w:eastAsia="华文中宋" w:cs="华文中宋"/>
          <w:b/>
          <w:sz w:val="48"/>
          <w:szCs w:val="48"/>
        </w:rPr>
      </w:pPr>
    </w:p>
    <w:p w14:paraId="7206E4AC">
      <w:pPr>
        <w:jc w:val="center"/>
        <w:rPr>
          <w:rFonts w:hint="eastAsia" w:ascii="华文中宋" w:hAnsi="华文中宋" w:eastAsia="华文中宋" w:cs="华文中宋"/>
          <w:b/>
          <w:sz w:val="48"/>
          <w:szCs w:val="48"/>
        </w:rPr>
      </w:pPr>
    </w:p>
    <w:p w14:paraId="0D7F851C">
      <w:pPr>
        <w:jc w:val="center"/>
        <w:rPr>
          <w:rFonts w:hint="eastAsia" w:ascii="华文中宋" w:hAnsi="华文中宋" w:eastAsia="华文中宋" w:cs="华文中宋"/>
          <w:b/>
          <w:sz w:val="56"/>
          <w:szCs w:val="56"/>
        </w:rPr>
      </w:pPr>
      <w:r>
        <w:rPr>
          <w:rFonts w:hint="eastAsia" w:ascii="华文中宋" w:hAnsi="华文中宋" w:eastAsia="华文中宋" w:cs="华文中宋"/>
          <w:b/>
          <w:sz w:val="56"/>
          <w:szCs w:val="56"/>
        </w:rPr>
        <w:t>投 标 文 件</w:t>
      </w:r>
    </w:p>
    <w:p w14:paraId="702248ED">
      <w:pPr>
        <w:jc w:val="center"/>
        <w:rPr>
          <w:rFonts w:hint="eastAsia" w:ascii="华文中宋" w:hAnsi="华文中宋" w:eastAsia="华文中宋" w:cs="华文中宋"/>
          <w:b/>
          <w:bCs/>
          <w:sz w:val="24"/>
        </w:rPr>
      </w:pPr>
      <w:r>
        <w:rPr>
          <w:rFonts w:hint="eastAsia" w:ascii="华文中宋" w:hAnsi="华文中宋" w:eastAsia="华文中宋" w:cs="华文中宋"/>
          <w:b/>
          <w:bCs/>
          <w:sz w:val="24"/>
        </w:rPr>
        <w:t>项目编号：</w:t>
      </w:r>
    </w:p>
    <w:p w14:paraId="6E54B06B">
      <w:pPr>
        <w:ind w:firstLine="420" w:firstLineChars="200"/>
        <w:rPr>
          <w:rFonts w:hint="eastAsia" w:ascii="华文中宋" w:hAnsi="华文中宋" w:eastAsia="华文中宋" w:cs="华文中宋"/>
          <w:szCs w:val="21"/>
        </w:rPr>
      </w:pPr>
    </w:p>
    <w:p w14:paraId="4200F0AE">
      <w:pPr>
        <w:ind w:firstLine="420" w:firstLineChars="200"/>
        <w:rPr>
          <w:rFonts w:hint="eastAsia" w:ascii="华文中宋" w:hAnsi="华文中宋" w:eastAsia="华文中宋" w:cs="华文中宋"/>
          <w:szCs w:val="21"/>
        </w:rPr>
      </w:pPr>
    </w:p>
    <w:p w14:paraId="391E2E22">
      <w:pPr>
        <w:ind w:firstLine="420" w:firstLineChars="200"/>
        <w:rPr>
          <w:rFonts w:hint="eastAsia" w:ascii="华文中宋" w:hAnsi="华文中宋" w:eastAsia="华文中宋" w:cs="华文中宋"/>
          <w:szCs w:val="21"/>
        </w:rPr>
      </w:pPr>
    </w:p>
    <w:p w14:paraId="55DCAFE8">
      <w:pPr>
        <w:ind w:firstLine="420" w:firstLineChars="200"/>
        <w:rPr>
          <w:rFonts w:hint="eastAsia" w:ascii="华文中宋" w:hAnsi="华文中宋" w:eastAsia="华文中宋" w:cs="华文中宋"/>
          <w:szCs w:val="21"/>
        </w:rPr>
      </w:pPr>
    </w:p>
    <w:p w14:paraId="0E554428">
      <w:pPr>
        <w:ind w:firstLine="420" w:firstLineChars="200"/>
        <w:rPr>
          <w:rFonts w:hint="eastAsia" w:ascii="华文中宋" w:hAnsi="华文中宋" w:eastAsia="华文中宋" w:cs="华文中宋"/>
          <w:szCs w:val="21"/>
        </w:rPr>
      </w:pPr>
    </w:p>
    <w:p w14:paraId="78246315">
      <w:pPr>
        <w:pStyle w:val="5"/>
      </w:pPr>
    </w:p>
    <w:p w14:paraId="26FA1172"/>
    <w:p w14:paraId="627BFCC8">
      <w:pPr>
        <w:ind w:firstLine="420" w:firstLineChars="200"/>
        <w:rPr>
          <w:rFonts w:hint="eastAsia" w:ascii="华文中宋" w:hAnsi="华文中宋" w:eastAsia="华文中宋" w:cs="华文中宋"/>
          <w:szCs w:val="21"/>
        </w:rPr>
      </w:pPr>
    </w:p>
    <w:p w14:paraId="499D719A">
      <w:pPr>
        <w:ind w:firstLine="420" w:firstLineChars="200"/>
        <w:rPr>
          <w:rFonts w:hint="eastAsia" w:ascii="华文中宋" w:hAnsi="华文中宋" w:eastAsia="华文中宋" w:cs="华文中宋"/>
          <w:szCs w:val="21"/>
        </w:rPr>
      </w:pPr>
    </w:p>
    <w:p w14:paraId="381BFED5">
      <w:pPr>
        <w:ind w:firstLine="420" w:firstLineChars="200"/>
        <w:rPr>
          <w:rFonts w:hint="eastAsia" w:ascii="华文中宋" w:hAnsi="华文中宋" w:eastAsia="华文中宋" w:cs="华文中宋"/>
          <w:szCs w:val="21"/>
        </w:rPr>
      </w:pPr>
    </w:p>
    <w:p w14:paraId="250BFBB6">
      <w:pPr>
        <w:ind w:firstLine="1099" w:firstLineChars="392"/>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供 应 商：</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（电子签章）</w:t>
      </w:r>
    </w:p>
    <w:p w14:paraId="57C42FC9">
      <w:pPr>
        <w:ind w:firstLine="1099" w:firstLineChars="392"/>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法定代表人或其委托代理人：</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（电子签章）</w:t>
      </w:r>
    </w:p>
    <w:p w14:paraId="1C6A147A">
      <w:pPr>
        <w:ind w:firstLine="2907" w:firstLineChars="1037"/>
        <w:rPr>
          <w:rFonts w:hint="eastAsia" w:ascii="华文中宋" w:hAnsi="华文中宋" w:eastAsia="华文中宋" w:cs="华文中宋"/>
          <w:b/>
          <w:sz w:val="28"/>
          <w:szCs w:val="28"/>
        </w:rPr>
      </w:pP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年</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月</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日</w:t>
      </w:r>
    </w:p>
    <w:p w14:paraId="691EF313">
      <w:pPr>
        <w:bidi w:val="0"/>
        <w:rPr>
          <w:rFonts w:hint="eastAsia"/>
        </w:rPr>
      </w:pPr>
    </w:p>
    <w:p w14:paraId="1BF08ED7">
      <w:pPr>
        <w:bidi w:val="0"/>
        <w:rPr>
          <w:rFonts w:hint="eastAsia"/>
        </w:rPr>
      </w:pPr>
    </w:p>
    <w:p w14:paraId="2CA059B9"/>
    <w:p w14:paraId="1E9EDA09">
      <w:pPr>
        <w:ind w:left="1081" w:leftChars="515" w:firstLine="2828" w:firstLineChars="1009"/>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目  录</w:t>
      </w:r>
    </w:p>
    <w:p w14:paraId="4F1F5E37">
      <w:pPr>
        <w:ind w:firstLine="420" w:firstLineChars="200"/>
        <w:rPr>
          <w:rFonts w:hint="eastAsia" w:ascii="华文中宋" w:hAnsi="华文中宋" w:eastAsia="华文中宋" w:cs="华文中宋"/>
        </w:rPr>
      </w:pPr>
      <w:r>
        <w:rPr>
          <w:rFonts w:hint="eastAsia" w:ascii="华文中宋" w:hAnsi="华文中宋" w:eastAsia="华文中宋" w:cs="华文中宋"/>
        </w:rPr>
        <w:t>一、投标函及投标函附录</w:t>
      </w:r>
    </w:p>
    <w:p w14:paraId="016E40BF">
      <w:pPr>
        <w:ind w:firstLine="420" w:firstLineChars="200"/>
        <w:rPr>
          <w:rFonts w:hint="eastAsia" w:ascii="华文中宋" w:hAnsi="华文中宋" w:eastAsia="华文中宋" w:cs="华文中宋"/>
        </w:rPr>
      </w:pPr>
      <w:r>
        <w:rPr>
          <w:rFonts w:hint="eastAsia" w:ascii="华文中宋" w:hAnsi="华文中宋" w:eastAsia="华文中宋" w:cs="华文中宋"/>
        </w:rPr>
        <w:t>二、法定代表人身份证明、法定代表人授权委托书</w:t>
      </w:r>
    </w:p>
    <w:p w14:paraId="7DB68DEA">
      <w:pPr>
        <w:ind w:firstLine="420" w:firstLineChars="200"/>
        <w:rPr>
          <w:rFonts w:hint="eastAsia" w:ascii="华文中宋" w:hAnsi="华文中宋" w:eastAsia="华文中宋" w:cs="华文中宋"/>
        </w:rPr>
      </w:pPr>
      <w:r>
        <w:rPr>
          <w:rFonts w:hint="eastAsia" w:ascii="华文中宋" w:hAnsi="华文中宋" w:eastAsia="华文中宋" w:cs="华文中宋"/>
        </w:rPr>
        <w:t>三、资格证明材料</w:t>
      </w:r>
    </w:p>
    <w:p w14:paraId="5F6F427E">
      <w:pPr>
        <w:ind w:firstLine="420" w:firstLineChars="200"/>
        <w:rPr>
          <w:rFonts w:hint="eastAsia" w:ascii="华文中宋" w:hAnsi="华文中宋" w:eastAsia="华文中宋" w:cs="华文中宋"/>
        </w:rPr>
      </w:pPr>
      <w:r>
        <w:rPr>
          <w:rFonts w:hint="eastAsia" w:ascii="华文中宋" w:hAnsi="华文中宋" w:eastAsia="华文中宋" w:cs="华文中宋"/>
        </w:rPr>
        <w:t>四、技术部分</w:t>
      </w:r>
    </w:p>
    <w:p w14:paraId="4A56C426">
      <w:pPr>
        <w:ind w:firstLine="420" w:firstLineChars="200"/>
        <w:rPr>
          <w:rFonts w:hint="eastAsia" w:ascii="华文中宋" w:hAnsi="华文中宋" w:eastAsia="华文中宋" w:cs="华文中宋"/>
        </w:rPr>
      </w:pPr>
      <w:r>
        <w:rPr>
          <w:rFonts w:hint="eastAsia" w:ascii="华文中宋" w:hAnsi="华文中宋" w:eastAsia="华文中宋" w:cs="华文中宋"/>
        </w:rPr>
        <w:t>五、商务部分</w:t>
      </w:r>
    </w:p>
    <w:p w14:paraId="7DAFC09D">
      <w:pPr>
        <w:ind w:firstLine="420" w:firstLineChars="200"/>
        <w:rPr>
          <w:rFonts w:hint="eastAsia" w:ascii="华文中宋" w:hAnsi="华文中宋" w:eastAsia="华文中宋" w:cs="华文中宋"/>
        </w:rPr>
      </w:pPr>
      <w:r>
        <w:rPr>
          <w:rFonts w:hint="eastAsia" w:ascii="华文中宋" w:hAnsi="华文中宋" w:eastAsia="华文中宋" w:cs="华文中宋"/>
        </w:rPr>
        <w:t>六、其他资料</w:t>
      </w:r>
    </w:p>
    <w:p w14:paraId="5A7D4CEE">
      <w:pPr>
        <w:ind w:firstLine="420" w:firstLineChars="200"/>
        <w:rPr>
          <w:rFonts w:hint="eastAsia" w:ascii="华文中宋" w:hAnsi="华文中宋" w:eastAsia="华文中宋" w:cs="华文中宋"/>
        </w:rPr>
      </w:pPr>
      <w:r>
        <w:rPr>
          <w:rFonts w:hint="eastAsia" w:ascii="华文中宋" w:hAnsi="华文中宋" w:eastAsia="华文中宋" w:cs="华文中宋"/>
        </w:rPr>
        <w:t>七、政府采购政策</w:t>
      </w:r>
    </w:p>
    <w:p w14:paraId="13FD3715">
      <w:pPr>
        <w:ind w:firstLine="315" w:firstLineChars="150"/>
        <w:rPr>
          <w:rFonts w:hint="eastAsia" w:ascii="华文中宋" w:hAnsi="华文中宋" w:eastAsia="华文中宋" w:cs="华文中宋"/>
        </w:rPr>
      </w:pPr>
    </w:p>
    <w:p w14:paraId="7436D454">
      <w:pPr>
        <w:rPr>
          <w:rFonts w:hint="eastAsia" w:ascii="华文中宋" w:hAnsi="华文中宋" w:eastAsia="华文中宋" w:cs="华文中宋"/>
          <w:szCs w:val="21"/>
        </w:rPr>
      </w:pPr>
      <w:r>
        <w:rPr>
          <w:rFonts w:hint="eastAsia" w:ascii="华文中宋" w:hAnsi="华文中宋" w:eastAsia="华文中宋" w:cs="华文中宋"/>
          <w:szCs w:val="21"/>
        </w:rPr>
        <w:t xml:space="preserve">    </w:t>
      </w:r>
    </w:p>
    <w:p w14:paraId="767C8117">
      <w:pPr>
        <w:pStyle w:val="22"/>
        <w:ind w:firstLine="210"/>
        <w:rPr>
          <w:rFonts w:hint="eastAsia" w:ascii="华文中宋" w:hAnsi="华文中宋" w:eastAsia="华文中宋" w:cs="华文中宋"/>
          <w:szCs w:val="21"/>
        </w:rPr>
      </w:pPr>
    </w:p>
    <w:p w14:paraId="217142D2">
      <w:pPr>
        <w:pStyle w:val="22"/>
        <w:ind w:firstLine="210"/>
        <w:rPr>
          <w:rFonts w:hint="eastAsia" w:ascii="华文中宋" w:hAnsi="华文中宋" w:eastAsia="华文中宋" w:cs="华文中宋"/>
          <w:szCs w:val="21"/>
        </w:rPr>
      </w:pPr>
    </w:p>
    <w:p w14:paraId="111D48AF">
      <w:pPr>
        <w:pStyle w:val="22"/>
        <w:ind w:firstLine="210"/>
        <w:rPr>
          <w:rFonts w:hint="eastAsia" w:ascii="华文中宋" w:hAnsi="华文中宋" w:eastAsia="华文中宋" w:cs="华文中宋"/>
          <w:szCs w:val="21"/>
        </w:rPr>
      </w:pPr>
    </w:p>
    <w:p w14:paraId="2B7A259C">
      <w:pPr>
        <w:pStyle w:val="22"/>
        <w:ind w:firstLine="210"/>
        <w:rPr>
          <w:rFonts w:hint="eastAsia" w:ascii="华文中宋" w:hAnsi="华文中宋" w:eastAsia="华文中宋" w:cs="华文中宋"/>
          <w:szCs w:val="21"/>
        </w:rPr>
      </w:pPr>
    </w:p>
    <w:p w14:paraId="0801A8D1">
      <w:pPr>
        <w:pStyle w:val="22"/>
        <w:ind w:firstLine="210"/>
        <w:rPr>
          <w:rFonts w:hint="eastAsia" w:ascii="华文中宋" w:hAnsi="华文中宋" w:eastAsia="华文中宋" w:cs="华文中宋"/>
          <w:szCs w:val="21"/>
        </w:rPr>
      </w:pPr>
    </w:p>
    <w:p w14:paraId="42B616EB">
      <w:pPr>
        <w:rPr>
          <w:rFonts w:hint="eastAsia" w:ascii="华文中宋" w:hAnsi="华文中宋" w:eastAsia="华文中宋" w:cs="华文中宋"/>
          <w:szCs w:val="21"/>
        </w:rPr>
      </w:pPr>
    </w:p>
    <w:p w14:paraId="5E9A09AA">
      <w:pPr>
        <w:rPr>
          <w:rFonts w:hint="eastAsia" w:ascii="华文中宋" w:hAnsi="华文中宋" w:eastAsia="华文中宋" w:cs="华文中宋"/>
          <w:szCs w:val="21"/>
        </w:rPr>
      </w:pPr>
      <w:r>
        <w:rPr>
          <w:rFonts w:hint="eastAsia" w:ascii="华文中宋" w:hAnsi="华文中宋" w:eastAsia="华文中宋" w:cs="华文中宋"/>
          <w:szCs w:val="21"/>
        </w:rPr>
        <w:t xml:space="preserve">    </w:t>
      </w:r>
    </w:p>
    <w:p w14:paraId="5671A5DC">
      <w:pPr>
        <w:pStyle w:val="3"/>
        <w:numPr>
          <w:ilvl w:val="0"/>
          <w:numId w:val="0"/>
        </w:numPr>
        <w:jc w:val="center"/>
        <w:rPr>
          <w:rFonts w:hint="eastAsia" w:ascii="华文中宋" w:hAnsi="华文中宋" w:eastAsia="华文中宋" w:cs="华文中宋"/>
          <w:b/>
          <w:bCs w:val="0"/>
          <w:sz w:val="28"/>
          <w:szCs w:val="28"/>
        </w:rPr>
      </w:pPr>
      <w:bookmarkStart w:id="95" w:name="_Toc252883493"/>
      <w:bookmarkStart w:id="96" w:name="_Toc21167"/>
      <w:bookmarkStart w:id="97" w:name="_Toc374018323"/>
      <w:bookmarkStart w:id="98" w:name="_Toc331008679"/>
      <w:bookmarkStart w:id="99" w:name="_Toc331008139"/>
      <w:r>
        <w:rPr>
          <w:rFonts w:hint="eastAsia" w:ascii="华文中宋" w:hAnsi="华文中宋" w:eastAsia="华文中宋" w:cs="华文中宋"/>
          <w:sz w:val="28"/>
          <w:szCs w:val="28"/>
        </w:rPr>
        <w:br w:type="page"/>
      </w:r>
      <w:bookmarkStart w:id="100" w:name="_Toc9152"/>
      <w:bookmarkStart w:id="101" w:name="_Toc1762"/>
      <w:r>
        <w:rPr>
          <w:rFonts w:hint="eastAsia" w:ascii="宋体" w:hAnsi="宋体" w:eastAsia="宋体" w:cs="宋体"/>
          <w:b/>
          <w:bCs w:val="0"/>
          <w:sz w:val="28"/>
          <w:szCs w:val="28"/>
        </w:rPr>
        <w:t>一、投标</w:t>
      </w:r>
      <w:bookmarkEnd w:id="95"/>
      <w:r>
        <w:rPr>
          <w:rFonts w:hint="eastAsia" w:ascii="宋体" w:hAnsi="宋体" w:eastAsia="宋体" w:cs="宋体"/>
          <w:b/>
          <w:bCs w:val="0"/>
          <w:sz w:val="28"/>
          <w:szCs w:val="28"/>
        </w:rPr>
        <w:t>函</w:t>
      </w:r>
      <w:bookmarkEnd w:id="96"/>
      <w:bookmarkEnd w:id="97"/>
      <w:bookmarkEnd w:id="98"/>
      <w:bookmarkEnd w:id="99"/>
      <w:r>
        <w:rPr>
          <w:rFonts w:hint="eastAsia" w:ascii="宋体" w:hAnsi="宋体" w:eastAsia="宋体" w:cs="宋体"/>
          <w:b/>
          <w:bCs w:val="0"/>
          <w:sz w:val="28"/>
          <w:szCs w:val="28"/>
        </w:rPr>
        <w:t>及投标函附录</w:t>
      </w:r>
      <w:bookmarkEnd w:id="100"/>
      <w:bookmarkEnd w:id="101"/>
    </w:p>
    <w:p w14:paraId="60F4C05D">
      <w:pPr>
        <w:pStyle w:val="4"/>
        <w:rPr>
          <w:rFonts w:hint="eastAsia" w:ascii="宋体" w:hAnsi="宋体" w:eastAsia="宋体" w:cs="宋体"/>
          <w:szCs w:val="28"/>
        </w:rPr>
      </w:pPr>
      <w:bookmarkStart w:id="102" w:name="_Toc13716"/>
      <w:bookmarkStart w:id="103" w:name="_Toc22601"/>
      <w:bookmarkStart w:id="104" w:name="_Toc13494"/>
      <w:bookmarkStart w:id="105" w:name="_Toc26433"/>
      <w:r>
        <w:rPr>
          <w:rFonts w:hint="eastAsia" w:ascii="宋体" w:hAnsi="宋体" w:eastAsia="宋体" w:cs="宋体"/>
          <w:szCs w:val="28"/>
        </w:rPr>
        <w:t>（一）投标函</w:t>
      </w:r>
      <w:bookmarkEnd w:id="102"/>
      <w:bookmarkEnd w:id="103"/>
      <w:bookmarkEnd w:id="104"/>
      <w:bookmarkEnd w:id="105"/>
    </w:p>
    <w:p w14:paraId="288488A7">
      <w:pPr>
        <w:widowControl/>
        <w:spacing w:before="75" w:after="75"/>
        <w:jc w:val="left"/>
        <w:rPr>
          <w:rFonts w:hint="eastAsia" w:ascii="宋体" w:hAnsi="宋体" w:eastAsia="宋体" w:cs="宋体"/>
          <w:kern w:val="0"/>
          <w:szCs w:val="21"/>
        </w:rPr>
      </w:pPr>
      <w:bookmarkStart w:id="106" w:name="_Toc374018336"/>
      <w:bookmarkStart w:id="107" w:name="_Toc355888806"/>
      <w:bookmarkStart w:id="108" w:name="_Toc358568584"/>
      <w:r>
        <w:rPr>
          <w:rFonts w:hint="eastAsia" w:ascii="宋体" w:hAnsi="宋体" w:eastAsia="宋体" w:cs="宋体"/>
          <w:kern w:val="0"/>
          <w:szCs w:val="21"/>
          <w:u w:val="single"/>
        </w:rPr>
        <w:t xml:space="preserve">   （采购人名称）  </w:t>
      </w:r>
      <w:r>
        <w:rPr>
          <w:rFonts w:hint="eastAsia" w:ascii="宋体" w:hAnsi="宋体" w:eastAsia="宋体" w:cs="宋体"/>
          <w:kern w:val="0"/>
          <w:szCs w:val="21"/>
        </w:rPr>
        <w:t>：</w:t>
      </w:r>
    </w:p>
    <w:p w14:paraId="7F7B3279">
      <w:pPr>
        <w:widowControl/>
        <w:spacing w:before="75" w:after="75"/>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1．我方已仔细研究了</w:t>
      </w:r>
      <w:r>
        <w:rPr>
          <w:rFonts w:hint="eastAsia" w:ascii="宋体" w:hAnsi="宋体" w:eastAsia="宋体" w:cs="宋体"/>
          <w:kern w:val="0"/>
          <w:szCs w:val="21"/>
          <w:u w:val="single"/>
        </w:rPr>
        <w:t xml:space="preserve">    （项目名称）    </w:t>
      </w:r>
      <w:r>
        <w:rPr>
          <w:rFonts w:hint="eastAsia" w:ascii="宋体" w:hAnsi="宋体" w:eastAsia="宋体" w:cs="宋体"/>
          <w:kern w:val="0"/>
          <w:szCs w:val="21"/>
          <w:u w:val="single"/>
          <w:lang w:val="en-US" w:eastAsia="zh-CN"/>
        </w:rPr>
        <w:t>采购</w:t>
      </w:r>
      <w:r>
        <w:rPr>
          <w:rFonts w:hint="eastAsia" w:ascii="宋体" w:hAnsi="宋体" w:eastAsia="宋体" w:cs="宋体"/>
          <w:kern w:val="0"/>
          <w:szCs w:val="21"/>
        </w:rPr>
        <w:t>招标文件的全部内容，愿意以人民币：（大写）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color w:val="333333"/>
          <w:kern w:val="0"/>
          <w:szCs w:val="21"/>
          <w:shd w:val="clear" w:color="auto" w:fill="FFFFFF"/>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元的报价，</w:t>
      </w:r>
      <w:r>
        <w:rPr>
          <w:rFonts w:hint="eastAsia" w:ascii="宋体" w:hAnsi="宋体" w:eastAsia="宋体" w:cs="宋体"/>
          <w:color w:val="1F3149"/>
          <w:sz w:val="21"/>
          <w:szCs w:val="21"/>
        </w:rPr>
        <w:t>供货期（或完成时限）</w:t>
      </w:r>
      <w:r>
        <w:rPr>
          <w:rFonts w:hint="eastAsia" w:ascii="宋体" w:hAnsi="宋体" w:eastAsia="宋体" w:cs="宋体"/>
          <w:kern w:val="0"/>
          <w:szCs w:val="21"/>
          <w:u w:val="single"/>
        </w:rPr>
        <w:t xml:space="preserve">        </w:t>
      </w:r>
      <w:r>
        <w:rPr>
          <w:rFonts w:hint="eastAsia" w:ascii="宋体" w:hAnsi="宋体" w:eastAsia="宋体" w:cs="宋体"/>
          <w:kern w:val="0"/>
          <w:szCs w:val="21"/>
          <w:u w:val="none"/>
          <w:lang w:val="en-US" w:eastAsia="zh-CN"/>
        </w:rPr>
        <w:t>日历天</w:t>
      </w:r>
      <w:r>
        <w:rPr>
          <w:rFonts w:hint="eastAsia" w:ascii="宋体" w:hAnsi="宋体" w:eastAsia="宋体" w:cs="宋体"/>
          <w:kern w:val="0"/>
          <w:szCs w:val="21"/>
        </w:rPr>
        <w:t>，按合同约定完成全部合同内容，质量达到</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344C5AEC">
      <w:pPr>
        <w:widowControl/>
        <w:spacing w:before="75" w:after="75"/>
        <w:ind w:firstLine="420"/>
        <w:jc w:val="left"/>
        <w:rPr>
          <w:rFonts w:hint="eastAsia" w:ascii="宋体" w:hAnsi="宋体" w:eastAsia="宋体" w:cs="宋体"/>
          <w:kern w:val="0"/>
          <w:szCs w:val="21"/>
        </w:rPr>
      </w:pPr>
      <w:r>
        <w:rPr>
          <w:rFonts w:hint="eastAsia" w:ascii="宋体" w:hAnsi="宋体" w:eastAsia="宋体" w:cs="宋体"/>
          <w:kern w:val="0"/>
          <w:szCs w:val="21"/>
        </w:rPr>
        <w:t>2．我方承诺在投标有效期内不修改、撤销</w:t>
      </w:r>
      <w:r>
        <w:rPr>
          <w:rFonts w:hint="eastAsia" w:ascii="宋体" w:hAnsi="宋体" w:eastAsia="宋体" w:cs="宋体"/>
          <w:kern w:val="0"/>
          <w:szCs w:val="21"/>
          <w:lang w:val="en-US" w:eastAsia="zh-CN"/>
        </w:rPr>
        <w:t>投标</w:t>
      </w:r>
      <w:r>
        <w:rPr>
          <w:rFonts w:hint="eastAsia" w:ascii="宋体" w:hAnsi="宋体" w:eastAsia="宋体" w:cs="宋体"/>
          <w:kern w:val="0"/>
          <w:szCs w:val="21"/>
        </w:rPr>
        <w:t>文件。</w:t>
      </w:r>
    </w:p>
    <w:p w14:paraId="7048D916">
      <w:pPr>
        <w:widowControl/>
        <w:spacing w:before="75" w:after="75"/>
        <w:ind w:firstLine="420"/>
        <w:jc w:val="left"/>
        <w:rPr>
          <w:rFonts w:hint="eastAsia" w:ascii="宋体" w:hAnsi="宋体" w:eastAsia="宋体" w:cs="宋体"/>
          <w:kern w:val="0"/>
          <w:szCs w:val="21"/>
        </w:rPr>
      </w:pPr>
      <w:r>
        <w:rPr>
          <w:rFonts w:hint="eastAsia" w:ascii="宋体" w:hAnsi="宋体" w:eastAsia="宋体" w:cs="宋体"/>
          <w:kern w:val="0"/>
          <w:szCs w:val="21"/>
        </w:rPr>
        <w:t>3．如我方中标：</w:t>
      </w:r>
    </w:p>
    <w:p w14:paraId="35BD1A87">
      <w:pPr>
        <w:widowControl/>
        <w:spacing w:before="75" w:after="75"/>
        <w:ind w:firstLine="720"/>
        <w:jc w:val="left"/>
        <w:rPr>
          <w:rFonts w:hint="eastAsia" w:ascii="宋体" w:hAnsi="宋体" w:eastAsia="宋体" w:cs="宋体"/>
          <w:kern w:val="0"/>
          <w:szCs w:val="21"/>
        </w:rPr>
      </w:pPr>
      <w:r>
        <w:rPr>
          <w:rFonts w:hint="eastAsia" w:ascii="宋体" w:hAnsi="宋体" w:eastAsia="宋体" w:cs="宋体"/>
          <w:kern w:val="0"/>
          <w:szCs w:val="21"/>
        </w:rPr>
        <w:t>（1）我方承诺在收到中标通知书后，在中标通知书规定的期限内与你方签订合同。</w:t>
      </w:r>
    </w:p>
    <w:p w14:paraId="32AF787F">
      <w:pPr>
        <w:widowControl/>
        <w:spacing w:before="75" w:after="75"/>
        <w:ind w:firstLine="720"/>
        <w:jc w:val="left"/>
        <w:rPr>
          <w:rFonts w:hint="eastAsia" w:ascii="宋体" w:hAnsi="宋体" w:eastAsia="宋体" w:cs="宋体"/>
          <w:kern w:val="0"/>
          <w:szCs w:val="21"/>
        </w:rPr>
      </w:pPr>
      <w:r>
        <w:rPr>
          <w:rFonts w:hint="eastAsia" w:ascii="宋体" w:hAnsi="宋体" w:eastAsia="宋体" w:cs="宋体"/>
          <w:kern w:val="0"/>
          <w:szCs w:val="21"/>
        </w:rPr>
        <w:t>（2）随同本投标函递交的投标函附录属于合同文件的组成部分。</w:t>
      </w:r>
    </w:p>
    <w:p w14:paraId="10AE769B">
      <w:pPr>
        <w:widowControl/>
        <w:spacing w:before="75" w:after="75"/>
        <w:ind w:firstLine="720"/>
        <w:jc w:val="left"/>
        <w:rPr>
          <w:rFonts w:hint="eastAsia" w:ascii="宋体" w:hAnsi="宋体" w:eastAsia="宋体" w:cs="宋体"/>
          <w:kern w:val="0"/>
          <w:szCs w:val="21"/>
        </w:rPr>
      </w:pPr>
      <w:r>
        <w:rPr>
          <w:rFonts w:hint="eastAsia" w:ascii="宋体" w:hAnsi="宋体" w:eastAsia="宋体" w:cs="宋体"/>
          <w:kern w:val="0"/>
          <w:szCs w:val="21"/>
        </w:rPr>
        <w:t>（3）我方承诺在合同约定的期限内完成全部合同内容。</w:t>
      </w:r>
    </w:p>
    <w:p w14:paraId="1008E351">
      <w:pPr>
        <w:widowControl/>
        <w:spacing w:before="75"/>
        <w:ind w:firstLine="420"/>
        <w:jc w:val="left"/>
        <w:rPr>
          <w:rFonts w:hint="eastAsia" w:ascii="宋体" w:hAnsi="宋体" w:eastAsia="宋体" w:cs="宋体"/>
          <w:kern w:val="0"/>
          <w:szCs w:val="21"/>
        </w:rPr>
      </w:pPr>
      <w:r>
        <w:rPr>
          <w:rFonts w:hint="eastAsia" w:ascii="宋体" w:hAnsi="宋体" w:eastAsia="宋体" w:cs="宋体"/>
          <w:kern w:val="0"/>
          <w:szCs w:val="21"/>
        </w:rPr>
        <w:t>4．我方在此声明，所递交的投标文件及有关资料内容完整、真实和准确，且不存在第二章“投标人(供应商)须知”第1.4.</w:t>
      </w:r>
      <w:r>
        <w:rPr>
          <w:rFonts w:hint="eastAsia" w:ascii="宋体" w:hAnsi="宋体" w:eastAsia="宋体" w:cs="宋体"/>
          <w:kern w:val="0"/>
          <w:szCs w:val="21"/>
          <w:lang w:val="en-US" w:eastAsia="zh-CN"/>
        </w:rPr>
        <w:t>3</w:t>
      </w:r>
      <w:r>
        <w:rPr>
          <w:rFonts w:hint="eastAsia" w:ascii="宋体" w:hAnsi="宋体" w:eastAsia="宋体" w:cs="宋体"/>
          <w:kern w:val="0"/>
          <w:szCs w:val="21"/>
        </w:rPr>
        <w:t>项规定的任何一种情形。</w:t>
      </w:r>
    </w:p>
    <w:p w14:paraId="40054715">
      <w:pPr>
        <w:rPr>
          <w:rFonts w:hint="eastAsia" w:ascii="宋体" w:hAnsi="宋体" w:eastAsia="宋体" w:cs="宋体"/>
          <w:szCs w:val="21"/>
        </w:rPr>
      </w:pPr>
    </w:p>
    <w:p w14:paraId="2584D45C">
      <w:pPr>
        <w:rPr>
          <w:rFonts w:hint="eastAsia" w:ascii="宋体" w:hAnsi="宋体" w:eastAsia="宋体" w:cs="宋体"/>
          <w:szCs w:val="21"/>
        </w:rPr>
      </w:pPr>
    </w:p>
    <w:p w14:paraId="73D39E31">
      <w:pPr>
        <w:rPr>
          <w:rFonts w:hint="eastAsia" w:ascii="宋体" w:hAnsi="宋体" w:eastAsia="宋体" w:cs="宋体"/>
          <w:szCs w:val="21"/>
        </w:rPr>
      </w:pPr>
    </w:p>
    <w:p w14:paraId="1868B6AA">
      <w:pPr>
        <w:widowControl/>
        <w:tabs>
          <w:tab w:val="left" w:pos="2490"/>
        </w:tabs>
        <w:snapToGrid w:val="0"/>
        <w:ind w:firstLine="840" w:firstLineChars="400"/>
        <w:jc w:val="left"/>
        <w:rPr>
          <w:rFonts w:hint="eastAsia" w:ascii="宋体" w:hAnsi="宋体" w:eastAsia="宋体" w:cs="宋体"/>
          <w:szCs w:val="21"/>
        </w:rPr>
      </w:pPr>
    </w:p>
    <w:p w14:paraId="04344ACA">
      <w:pPr>
        <w:pStyle w:val="22"/>
        <w:spacing w:line="360" w:lineRule="auto"/>
        <w:ind w:firstLine="210"/>
        <w:jc w:val="right"/>
        <w:rPr>
          <w:rFonts w:hint="eastAsia" w:ascii="宋体" w:hAnsi="宋体" w:cs="宋体"/>
          <w:szCs w:val="21"/>
        </w:rPr>
      </w:pPr>
    </w:p>
    <w:p w14:paraId="04A3B28F">
      <w:pPr>
        <w:ind w:firstLine="5670" w:firstLineChars="2700"/>
        <w:rPr>
          <w:rFonts w:hint="eastAsia" w:ascii="宋体" w:hAnsi="宋体" w:eastAsia="宋体" w:cs="宋体"/>
          <w:szCs w:val="21"/>
          <w:lang w:val="zh-CN"/>
        </w:rPr>
      </w:pP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年 </w:t>
      </w: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月 </w:t>
      </w:r>
      <w:r>
        <w:rPr>
          <w:rFonts w:hint="eastAsia" w:ascii="宋体" w:hAnsi="宋体" w:eastAsia="宋体" w:cs="宋体"/>
          <w:szCs w:val="21"/>
          <w:u w:val="single"/>
          <w:lang w:val="zh-CN"/>
        </w:rPr>
        <w:t xml:space="preserve">    </w:t>
      </w:r>
      <w:r>
        <w:rPr>
          <w:rFonts w:hint="eastAsia" w:ascii="宋体" w:hAnsi="宋体" w:eastAsia="宋体" w:cs="宋体"/>
          <w:szCs w:val="21"/>
          <w:lang w:val="zh-CN"/>
        </w:rPr>
        <w:t>日</w:t>
      </w:r>
    </w:p>
    <w:p w14:paraId="1705D29F">
      <w:pPr>
        <w:rPr>
          <w:rFonts w:hint="eastAsia" w:ascii="华文中宋" w:hAnsi="华文中宋" w:eastAsia="华文中宋" w:cs="华文中宋"/>
          <w:sz w:val="28"/>
          <w:szCs w:val="28"/>
        </w:rPr>
      </w:pPr>
    </w:p>
    <w:p w14:paraId="556DD9DA">
      <w:pPr>
        <w:pStyle w:val="23"/>
        <w:ind w:firstLine="560"/>
        <w:rPr>
          <w:rFonts w:hint="eastAsia" w:ascii="华文中宋" w:hAnsi="华文中宋" w:eastAsia="华文中宋" w:cs="华文中宋"/>
          <w:sz w:val="28"/>
          <w:szCs w:val="28"/>
        </w:rPr>
      </w:pPr>
    </w:p>
    <w:p w14:paraId="724B73F5">
      <w:pPr>
        <w:rPr>
          <w:rFonts w:hint="eastAsia" w:ascii="华文中宋" w:hAnsi="华文中宋" w:eastAsia="华文中宋" w:cs="华文中宋"/>
          <w:sz w:val="28"/>
          <w:szCs w:val="28"/>
        </w:rPr>
      </w:pPr>
    </w:p>
    <w:p w14:paraId="69E8438D">
      <w:pPr>
        <w:rPr>
          <w:rFonts w:hint="eastAsia" w:ascii="华文中宋" w:hAnsi="华文中宋" w:eastAsia="华文中宋" w:cs="华文中宋"/>
          <w:sz w:val="28"/>
          <w:szCs w:val="28"/>
        </w:rPr>
      </w:pPr>
    </w:p>
    <w:p w14:paraId="53AC7032">
      <w:pPr>
        <w:pStyle w:val="23"/>
      </w:pPr>
    </w:p>
    <w:p w14:paraId="1959011D">
      <w:pPr>
        <w:pStyle w:val="23"/>
        <w:ind w:firstLine="560"/>
        <w:rPr>
          <w:rFonts w:hint="eastAsia" w:ascii="华文中宋" w:hAnsi="华文中宋" w:eastAsia="华文中宋" w:cs="华文中宋"/>
          <w:sz w:val="28"/>
          <w:szCs w:val="28"/>
        </w:rPr>
      </w:pPr>
    </w:p>
    <w:p w14:paraId="068C6BF0"/>
    <w:p w14:paraId="541584B8">
      <w:pPr>
        <w:pStyle w:val="4"/>
        <w:rPr>
          <w:rFonts w:hint="eastAsia" w:ascii="宋体" w:hAnsi="宋体" w:eastAsia="宋体" w:cs="宋体"/>
        </w:rPr>
      </w:pPr>
      <w:bookmarkStart w:id="109" w:name="_Toc12526"/>
      <w:bookmarkStart w:id="110" w:name="_Toc27022"/>
      <w:bookmarkStart w:id="111" w:name="_Toc15202"/>
      <w:bookmarkStart w:id="112" w:name="_Toc10176"/>
      <w:r>
        <w:rPr>
          <w:rFonts w:hint="eastAsia" w:ascii="宋体" w:hAnsi="宋体" w:eastAsia="宋体" w:cs="宋体"/>
        </w:rPr>
        <w:t>（二）投标函附录</w:t>
      </w:r>
      <w:bookmarkEnd w:id="109"/>
      <w:bookmarkEnd w:id="110"/>
      <w:bookmarkEnd w:id="111"/>
      <w:bookmarkEnd w:id="112"/>
    </w:p>
    <w:tbl>
      <w:tblPr>
        <w:tblStyle w:val="24"/>
        <w:tblpPr w:leftFromText="180" w:rightFromText="180" w:vertAnchor="page" w:horzAnchor="page" w:tblpX="1664" w:tblpY="2417"/>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319"/>
      </w:tblGrid>
      <w:tr w14:paraId="6397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vAlign w:val="center"/>
          </w:tcPr>
          <w:p w14:paraId="589158F7">
            <w:pPr>
              <w:adjustRightInd w:val="0"/>
              <w:snapToGrid w:val="0"/>
              <w:jc w:val="center"/>
              <w:rPr>
                <w:rFonts w:hint="eastAsia" w:ascii="华文中宋" w:hAnsi="华文中宋" w:eastAsia="华文中宋" w:cs="华文中宋"/>
              </w:rPr>
            </w:pPr>
            <w:r>
              <w:rPr>
                <w:rFonts w:hint="eastAsia" w:ascii="华文中宋" w:hAnsi="华文中宋" w:eastAsia="华文中宋" w:cs="华文中宋"/>
              </w:rPr>
              <w:t>项目名称</w:t>
            </w:r>
          </w:p>
        </w:tc>
        <w:tc>
          <w:tcPr>
            <w:tcW w:w="6319" w:type="dxa"/>
            <w:vAlign w:val="center"/>
          </w:tcPr>
          <w:p w14:paraId="5B0ED891">
            <w:pPr>
              <w:adjustRightInd w:val="0"/>
              <w:snapToGrid w:val="0"/>
              <w:jc w:val="center"/>
              <w:rPr>
                <w:rFonts w:hint="eastAsia" w:ascii="华文中宋" w:hAnsi="华文中宋" w:eastAsia="华文中宋" w:cs="华文中宋"/>
                <w:szCs w:val="21"/>
              </w:rPr>
            </w:pPr>
          </w:p>
        </w:tc>
      </w:tr>
      <w:tr w14:paraId="23C0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35159222">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供应商名称</w:t>
            </w:r>
          </w:p>
        </w:tc>
        <w:tc>
          <w:tcPr>
            <w:tcW w:w="6319" w:type="dxa"/>
          </w:tcPr>
          <w:p w14:paraId="1793FF91">
            <w:pPr>
              <w:spacing w:line="640" w:lineRule="exact"/>
              <w:rPr>
                <w:rFonts w:hint="eastAsia" w:ascii="华文中宋" w:hAnsi="华文中宋" w:eastAsia="华文中宋" w:cs="华文中宋"/>
              </w:rPr>
            </w:pPr>
          </w:p>
        </w:tc>
      </w:tr>
      <w:tr w14:paraId="4B82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1A25596E">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服务内容</w:t>
            </w:r>
          </w:p>
        </w:tc>
        <w:tc>
          <w:tcPr>
            <w:tcW w:w="6319" w:type="dxa"/>
          </w:tcPr>
          <w:p w14:paraId="25E489AF">
            <w:pPr>
              <w:spacing w:line="640" w:lineRule="exact"/>
              <w:rPr>
                <w:rFonts w:hint="eastAsia" w:ascii="华文中宋" w:hAnsi="华文中宋" w:eastAsia="华文中宋" w:cs="华文中宋"/>
              </w:rPr>
            </w:pPr>
          </w:p>
        </w:tc>
      </w:tr>
      <w:tr w14:paraId="0348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72D82D28">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投标报价</w:t>
            </w:r>
          </w:p>
        </w:tc>
        <w:tc>
          <w:tcPr>
            <w:tcW w:w="6319" w:type="dxa"/>
          </w:tcPr>
          <w:p w14:paraId="6A493FFB">
            <w:pPr>
              <w:spacing w:line="640" w:lineRule="exact"/>
              <w:rPr>
                <w:rFonts w:hint="eastAsia" w:ascii="华文中宋" w:hAnsi="华文中宋" w:eastAsia="华文中宋" w:cs="华文中宋"/>
                <w:u w:val="single"/>
              </w:rPr>
            </w:pPr>
            <w:r>
              <w:rPr>
                <w:rFonts w:hint="eastAsia" w:ascii="华文中宋" w:hAnsi="华文中宋" w:eastAsia="华文中宋" w:cs="华文中宋"/>
              </w:rPr>
              <w:t xml:space="preserve">  </w:t>
            </w:r>
            <w:r>
              <w:rPr>
                <w:rFonts w:hint="eastAsia" w:ascii="华文中宋" w:hAnsi="华文中宋" w:eastAsia="华文中宋" w:cs="华文中宋"/>
                <w:u w:val="single"/>
              </w:rPr>
              <w:t xml:space="preserve">            (大写)                  </w:t>
            </w:r>
          </w:p>
          <w:p w14:paraId="1728621E">
            <w:pPr>
              <w:spacing w:line="640" w:lineRule="exact"/>
              <w:ind w:firstLine="210" w:firstLineChars="100"/>
              <w:rPr>
                <w:rFonts w:hint="eastAsia" w:ascii="华文中宋" w:hAnsi="华文中宋" w:eastAsia="华文中宋" w:cs="华文中宋"/>
              </w:rPr>
            </w:pPr>
            <w:r>
              <w:rPr>
                <w:rFonts w:hint="eastAsia" w:ascii="华文中宋" w:hAnsi="华文中宋" w:eastAsia="华文中宋" w:cs="华文中宋"/>
                <w:u w:val="single"/>
              </w:rPr>
              <w:t xml:space="preserve">            (小写)                  </w:t>
            </w:r>
          </w:p>
        </w:tc>
      </w:tr>
      <w:tr w14:paraId="6419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1D2855C7">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服务期限</w:t>
            </w:r>
          </w:p>
        </w:tc>
        <w:tc>
          <w:tcPr>
            <w:tcW w:w="6319" w:type="dxa"/>
          </w:tcPr>
          <w:p w14:paraId="2F6F839F">
            <w:pPr>
              <w:spacing w:line="640" w:lineRule="exact"/>
              <w:jc w:val="center"/>
              <w:rPr>
                <w:rFonts w:hint="eastAsia" w:ascii="华文中宋" w:hAnsi="华文中宋" w:eastAsia="华文中宋" w:cs="华文中宋"/>
              </w:rPr>
            </w:pPr>
          </w:p>
        </w:tc>
      </w:tr>
      <w:tr w14:paraId="4C28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347E66C1">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服务要求</w:t>
            </w:r>
          </w:p>
        </w:tc>
        <w:tc>
          <w:tcPr>
            <w:tcW w:w="6319" w:type="dxa"/>
          </w:tcPr>
          <w:p w14:paraId="7038BFF2">
            <w:pPr>
              <w:spacing w:line="640" w:lineRule="exact"/>
              <w:jc w:val="center"/>
              <w:rPr>
                <w:rFonts w:hint="eastAsia" w:ascii="华文中宋" w:hAnsi="华文中宋" w:eastAsia="华文中宋" w:cs="华文中宋"/>
              </w:rPr>
            </w:pPr>
          </w:p>
        </w:tc>
      </w:tr>
      <w:tr w14:paraId="790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376" w:type="dxa"/>
          </w:tcPr>
          <w:p w14:paraId="4A89AAB8">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投标有效期</w:t>
            </w:r>
          </w:p>
        </w:tc>
        <w:tc>
          <w:tcPr>
            <w:tcW w:w="6319" w:type="dxa"/>
          </w:tcPr>
          <w:p w14:paraId="1E67391A">
            <w:pPr>
              <w:spacing w:line="640" w:lineRule="exact"/>
              <w:ind w:firstLine="1680" w:firstLineChars="800"/>
              <w:rPr>
                <w:rFonts w:hint="eastAsia" w:ascii="华文中宋" w:hAnsi="华文中宋" w:eastAsia="华文中宋" w:cs="华文中宋"/>
              </w:rPr>
            </w:pPr>
          </w:p>
        </w:tc>
      </w:tr>
      <w:tr w14:paraId="250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376" w:type="dxa"/>
          </w:tcPr>
          <w:p w14:paraId="021BE615">
            <w:pPr>
              <w:spacing w:line="640" w:lineRule="exact"/>
              <w:jc w:val="center"/>
              <w:rPr>
                <w:rFonts w:hint="eastAsia" w:ascii="华文中宋" w:hAnsi="华文中宋" w:eastAsia="华文中宋" w:cs="华文中宋"/>
              </w:rPr>
            </w:pPr>
            <w:r>
              <w:rPr>
                <w:rFonts w:hint="eastAsia" w:ascii="华文中宋" w:hAnsi="华文中宋" w:eastAsia="华文中宋" w:cs="华文中宋"/>
              </w:rPr>
              <w:t>其他说明</w:t>
            </w:r>
          </w:p>
        </w:tc>
        <w:tc>
          <w:tcPr>
            <w:tcW w:w="6319" w:type="dxa"/>
          </w:tcPr>
          <w:p w14:paraId="03566935">
            <w:pPr>
              <w:spacing w:line="640" w:lineRule="exact"/>
              <w:rPr>
                <w:rFonts w:hint="eastAsia" w:ascii="华文中宋" w:hAnsi="华文中宋" w:eastAsia="华文中宋" w:cs="华文中宋"/>
              </w:rPr>
            </w:pPr>
          </w:p>
        </w:tc>
      </w:tr>
    </w:tbl>
    <w:p w14:paraId="42A31C01">
      <w:pPr>
        <w:pStyle w:val="22"/>
        <w:ind w:firstLine="210"/>
        <w:rPr>
          <w:rFonts w:hint="eastAsia" w:ascii="华文中宋" w:hAnsi="华文中宋" w:eastAsia="华文中宋" w:cs="华文中宋"/>
        </w:rPr>
      </w:pPr>
    </w:p>
    <w:p w14:paraId="06763922">
      <w:pPr>
        <w:pStyle w:val="22"/>
        <w:ind w:firstLine="210"/>
        <w:rPr>
          <w:rFonts w:hint="eastAsia" w:ascii="华文中宋" w:hAnsi="华文中宋" w:eastAsia="华文中宋" w:cs="华文中宋"/>
        </w:rPr>
      </w:pPr>
    </w:p>
    <w:p w14:paraId="007A7238">
      <w:pPr>
        <w:ind w:firstLine="5670" w:firstLineChars="2700"/>
        <w:rPr>
          <w:rFonts w:hint="eastAsia" w:ascii="华文中宋" w:hAnsi="华文中宋" w:eastAsia="华文中宋" w:cs="华文中宋"/>
          <w:szCs w:val="21"/>
          <w:lang w:val="zh-CN"/>
        </w:rPr>
      </w:pPr>
    </w:p>
    <w:p w14:paraId="747C8FE7">
      <w:pPr>
        <w:ind w:firstLine="5670" w:firstLineChars="2700"/>
        <w:rPr>
          <w:rFonts w:hint="eastAsia" w:ascii="华文中宋" w:hAnsi="华文中宋" w:eastAsia="华文中宋" w:cs="华文中宋"/>
          <w:szCs w:val="21"/>
          <w:lang w:val="zh-CN"/>
        </w:rPr>
      </w:pPr>
    </w:p>
    <w:p w14:paraId="69A98EA6">
      <w:pPr>
        <w:ind w:firstLine="5670" w:firstLineChars="2700"/>
        <w:rPr>
          <w:rFonts w:hint="eastAsia" w:ascii="华文中宋" w:hAnsi="华文中宋" w:eastAsia="华文中宋" w:cs="华文中宋"/>
          <w:szCs w:val="21"/>
          <w:lang w:val="zh-CN"/>
        </w:rPr>
      </w:pPr>
    </w:p>
    <w:p w14:paraId="28D253BE">
      <w:pPr>
        <w:adjustRightInd w:val="0"/>
        <w:snapToGrid w:val="0"/>
        <w:jc w:val="center"/>
        <w:rPr>
          <w:rFonts w:hint="eastAsia" w:ascii="华文中宋" w:hAnsi="华文中宋" w:eastAsia="华文中宋" w:cs="华文中宋"/>
          <w:szCs w:val="21"/>
          <w:lang w:val="zh-CN"/>
        </w:rPr>
      </w:pPr>
    </w:p>
    <w:p w14:paraId="27E366E8">
      <w:pPr>
        <w:adjustRightInd w:val="0"/>
        <w:snapToGrid w:val="0"/>
        <w:jc w:val="center"/>
        <w:rPr>
          <w:rFonts w:hint="eastAsia" w:ascii="华文中宋" w:hAnsi="华文中宋" w:eastAsia="华文中宋" w:cs="华文中宋"/>
          <w:szCs w:val="21"/>
          <w:lang w:val="zh-CN"/>
        </w:rPr>
      </w:pPr>
    </w:p>
    <w:p w14:paraId="59EFA5AD">
      <w:pPr>
        <w:adjustRightInd w:val="0"/>
        <w:snapToGrid w:val="0"/>
        <w:jc w:val="center"/>
        <w:rPr>
          <w:rFonts w:hint="eastAsia" w:ascii="华文中宋" w:hAnsi="华文中宋" w:eastAsia="华文中宋" w:cs="华文中宋"/>
          <w:szCs w:val="21"/>
          <w:lang w:val="zh-CN"/>
        </w:rPr>
      </w:pPr>
    </w:p>
    <w:p w14:paraId="59B3BE0E">
      <w:pPr>
        <w:adjustRightInd w:val="0"/>
        <w:snapToGrid w:val="0"/>
        <w:jc w:val="center"/>
        <w:rPr>
          <w:rFonts w:hint="eastAsia" w:ascii="华文中宋" w:hAnsi="华文中宋" w:eastAsia="华文中宋" w:cs="华文中宋"/>
          <w:szCs w:val="21"/>
          <w:lang w:val="zh-CN"/>
        </w:rPr>
      </w:pPr>
    </w:p>
    <w:p w14:paraId="5F8F019D">
      <w:pPr>
        <w:adjustRightInd w:val="0"/>
        <w:snapToGrid w:val="0"/>
        <w:jc w:val="center"/>
        <w:rPr>
          <w:rFonts w:hint="eastAsia" w:ascii="华文中宋" w:hAnsi="华文中宋" w:eastAsia="华文中宋" w:cs="华文中宋"/>
          <w:szCs w:val="21"/>
          <w:lang w:val="zh-CN"/>
        </w:rPr>
      </w:pPr>
    </w:p>
    <w:p w14:paraId="0C3DDEC5">
      <w:pPr>
        <w:ind w:firstLine="5670" w:firstLineChars="2700"/>
        <w:rPr>
          <w:rFonts w:hint="eastAsia" w:ascii="华文中宋" w:hAnsi="华文中宋" w:eastAsia="华文中宋" w:cs="华文中宋"/>
          <w:szCs w:val="21"/>
          <w:lang w:val="zh-CN"/>
        </w:rPr>
      </w:pPr>
    </w:p>
    <w:p w14:paraId="3C97F346">
      <w:pPr>
        <w:ind w:firstLine="5670" w:firstLineChars="2700"/>
        <w:rPr>
          <w:rFonts w:hint="eastAsia" w:ascii="华文中宋" w:hAnsi="华文中宋" w:eastAsia="华文中宋" w:cs="华文中宋"/>
          <w:szCs w:val="21"/>
          <w:lang w:val="zh-CN"/>
        </w:rPr>
      </w:pPr>
    </w:p>
    <w:p w14:paraId="2C5C97C0">
      <w:pPr>
        <w:ind w:firstLine="5670" w:firstLineChars="2700"/>
        <w:rPr>
          <w:rFonts w:hint="eastAsia" w:ascii="华文中宋" w:hAnsi="华文中宋" w:eastAsia="华文中宋" w:cs="华文中宋"/>
          <w:szCs w:val="21"/>
          <w:lang w:val="zh-CN"/>
        </w:rPr>
      </w:pPr>
    </w:p>
    <w:p w14:paraId="773679FD">
      <w:pPr>
        <w:ind w:firstLine="5670" w:firstLineChars="2700"/>
        <w:rPr>
          <w:rFonts w:hint="eastAsia" w:ascii="华文中宋" w:hAnsi="华文中宋" w:eastAsia="华文中宋" w:cs="华文中宋"/>
          <w:szCs w:val="21"/>
          <w:lang w:val="zh-CN"/>
        </w:rPr>
      </w:pPr>
    </w:p>
    <w:p w14:paraId="7FF2C58F">
      <w:pPr>
        <w:ind w:firstLine="5670" w:firstLineChars="2700"/>
        <w:rPr>
          <w:rFonts w:hint="eastAsia" w:ascii="华文中宋" w:hAnsi="华文中宋" w:eastAsia="华文中宋" w:cs="华文中宋"/>
          <w:szCs w:val="21"/>
          <w:lang w:val="zh-CN"/>
        </w:rPr>
      </w:pPr>
    </w:p>
    <w:p w14:paraId="1F91F976">
      <w:pPr>
        <w:ind w:firstLine="5670" w:firstLineChars="2700"/>
        <w:rPr>
          <w:rFonts w:hint="eastAsia" w:ascii="华文中宋" w:hAnsi="华文中宋" w:eastAsia="华文中宋" w:cs="华文中宋"/>
          <w:szCs w:val="21"/>
          <w:lang w:val="zh-CN"/>
        </w:rPr>
      </w:pPr>
    </w:p>
    <w:p w14:paraId="3E1BD6BE">
      <w:pPr>
        <w:ind w:firstLine="5670" w:firstLineChars="2700"/>
        <w:rPr>
          <w:rFonts w:hint="eastAsia" w:ascii="华文中宋" w:hAnsi="华文中宋" w:eastAsia="华文中宋" w:cs="华文中宋"/>
          <w:szCs w:val="21"/>
          <w:lang w:val="zh-CN"/>
        </w:rPr>
      </w:pPr>
    </w:p>
    <w:p w14:paraId="4D0A1DAD">
      <w:pPr>
        <w:ind w:firstLine="5670" w:firstLineChars="2700"/>
        <w:rPr>
          <w:rFonts w:hint="eastAsia" w:ascii="华文中宋" w:hAnsi="华文中宋" w:eastAsia="华文中宋" w:cs="华文中宋"/>
          <w:szCs w:val="21"/>
          <w:lang w:val="zh-CN"/>
        </w:rPr>
      </w:pPr>
    </w:p>
    <w:p w14:paraId="182149D8">
      <w:pPr>
        <w:ind w:firstLine="5670" w:firstLineChars="2700"/>
        <w:rPr>
          <w:rFonts w:hint="eastAsia" w:ascii="华文中宋" w:hAnsi="华文中宋" w:eastAsia="华文中宋" w:cs="华文中宋"/>
          <w:szCs w:val="21"/>
          <w:lang w:val="zh-CN"/>
        </w:rPr>
      </w:pPr>
    </w:p>
    <w:p w14:paraId="501AAEB2">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2AACCA97">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41E4DA39">
      <w:pPr>
        <w:autoSpaceDE w:val="0"/>
        <w:autoSpaceDN w:val="0"/>
        <w:adjustRightInd w:val="0"/>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p>
    <w:p w14:paraId="03948E9C">
      <w:pPr>
        <w:spacing w:line="640" w:lineRule="exact"/>
        <w:ind w:firstLine="525" w:firstLineChars="250"/>
        <w:jc w:val="right"/>
        <w:rPr>
          <w:rFonts w:hint="eastAsia" w:ascii="华文中宋" w:hAnsi="华文中宋" w:eastAsia="华文中宋" w:cs="华文中宋"/>
          <w:szCs w:val="21"/>
        </w:rPr>
      </w:pPr>
    </w:p>
    <w:p w14:paraId="752F983D">
      <w:pPr>
        <w:rPr>
          <w:rFonts w:hint="eastAsia" w:ascii="华文中宋" w:hAnsi="华文中宋" w:eastAsia="华文中宋" w:cs="华文中宋"/>
        </w:rPr>
      </w:pPr>
      <w:bookmarkStart w:id="113" w:name="_Toc252883494"/>
      <w:bookmarkStart w:id="114" w:name="_Toc341104756"/>
      <w:bookmarkStart w:id="115" w:name="_Toc331008142"/>
      <w:bookmarkStart w:id="116" w:name="_Toc330914692"/>
      <w:bookmarkStart w:id="117" w:name="_Toc331008682"/>
      <w:bookmarkStart w:id="118" w:name="_Toc330919333"/>
    </w:p>
    <w:p w14:paraId="3DF04463">
      <w:pPr>
        <w:rPr>
          <w:rFonts w:hint="eastAsia" w:ascii="华文中宋" w:hAnsi="华文中宋" w:eastAsia="华文中宋" w:cs="华文中宋"/>
        </w:rPr>
      </w:pPr>
    </w:p>
    <w:p w14:paraId="457C56EB">
      <w:pPr>
        <w:pStyle w:val="37"/>
        <w:rPr>
          <w:rFonts w:hint="eastAsia" w:ascii="华文中宋" w:hAnsi="华文中宋" w:eastAsia="华文中宋" w:cs="华文中宋"/>
          <w:sz w:val="21"/>
          <w:szCs w:val="21"/>
          <w:lang w:val="zh-CN"/>
        </w:rPr>
      </w:pPr>
    </w:p>
    <w:p w14:paraId="4E1F3DC0">
      <w:pPr>
        <w:pStyle w:val="37"/>
        <w:rPr>
          <w:rFonts w:hint="eastAsia" w:ascii="华文中宋" w:hAnsi="华文中宋" w:eastAsia="华文中宋" w:cs="华文中宋"/>
          <w:sz w:val="21"/>
          <w:szCs w:val="21"/>
          <w:lang w:val="zh-CN"/>
        </w:rPr>
      </w:pPr>
    </w:p>
    <w:p w14:paraId="1F90DA6D">
      <w:pPr>
        <w:pStyle w:val="37"/>
        <w:rPr>
          <w:rFonts w:hint="eastAsia" w:ascii="华文中宋" w:hAnsi="华文中宋" w:eastAsia="华文中宋" w:cs="华文中宋"/>
          <w:sz w:val="21"/>
          <w:szCs w:val="21"/>
          <w:lang w:val="zh-CN"/>
        </w:rPr>
      </w:pPr>
    </w:p>
    <w:p w14:paraId="13183BC0">
      <w:pPr>
        <w:pStyle w:val="37"/>
        <w:rPr>
          <w:rFonts w:hint="eastAsia" w:ascii="华文中宋" w:hAnsi="华文中宋" w:eastAsia="华文中宋" w:cs="华文中宋"/>
          <w:sz w:val="21"/>
          <w:szCs w:val="21"/>
          <w:lang w:val="zh-CN"/>
        </w:rPr>
      </w:pPr>
    </w:p>
    <w:p w14:paraId="23B8F86A">
      <w:pPr>
        <w:pStyle w:val="3"/>
        <w:numPr>
          <w:ilvl w:val="0"/>
          <w:numId w:val="0"/>
        </w:numPr>
        <w:jc w:val="center"/>
        <w:rPr>
          <w:rFonts w:hint="eastAsia" w:ascii="宋体" w:hAnsi="宋体" w:eastAsia="宋体" w:cs="宋体"/>
          <w:b/>
          <w:bCs w:val="0"/>
          <w:sz w:val="28"/>
          <w:szCs w:val="28"/>
        </w:rPr>
      </w:pPr>
      <w:bookmarkStart w:id="119" w:name="_Toc11285"/>
      <w:bookmarkStart w:id="120" w:name="_Toc1800"/>
      <w:bookmarkStart w:id="121" w:name="_Toc421024654"/>
      <w:bookmarkStart w:id="122" w:name="_Toc22163"/>
      <w:r>
        <w:rPr>
          <w:rFonts w:hint="eastAsia" w:ascii="宋体" w:hAnsi="宋体" w:eastAsia="宋体" w:cs="宋体"/>
          <w:b/>
          <w:bCs w:val="0"/>
          <w:sz w:val="28"/>
          <w:szCs w:val="28"/>
        </w:rPr>
        <w:t>二、法定代表人身份证明、法定代表人授权委托书</w:t>
      </w:r>
      <w:bookmarkEnd w:id="113"/>
      <w:bookmarkEnd w:id="114"/>
      <w:bookmarkEnd w:id="115"/>
      <w:bookmarkEnd w:id="116"/>
      <w:bookmarkEnd w:id="117"/>
      <w:bookmarkEnd w:id="118"/>
      <w:bookmarkEnd w:id="119"/>
      <w:bookmarkEnd w:id="120"/>
      <w:bookmarkEnd w:id="121"/>
      <w:bookmarkEnd w:id="122"/>
    </w:p>
    <w:p w14:paraId="0A1EAED0">
      <w:pPr>
        <w:pStyle w:val="4"/>
        <w:rPr>
          <w:rFonts w:hint="eastAsia" w:ascii="宋体" w:hAnsi="宋体" w:eastAsia="宋体" w:cs="宋体"/>
          <w:szCs w:val="28"/>
        </w:rPr>
      </w:pPr>
      <w:bookmarkStart w:id="123" w:name="_Toc22832"/>
      <w:bookmarkStart w:id="124" w:name="_Toc3790"/>
      <w:r>
        <w:rPr>
          <w:rFonts w:hint="eastAsia" w:ascii="宋体" w:hAnsi="宋体" w:eastAsia="宋体" w:cs="宋体"/>
          <w:szCs w:val="28"/>
        </w:rPr>
        <w:t>（一）法定代表人身份证明</w:t>
      </w:r>
      <w:bookmarkEnd w:id="123"/>
      <w:bookmarkEnd w:id="124"/>
    </w:p>
    <w:p w14:paraId="56250CCC">
      <w:pPr>
        <w:spacing w:line="640" w:lineRule="exact"/>
        <w:jc w:val="center"/>
        <w:rPr>
          <w:rFonts w:hint="eastAsia" w:ascii="华文中宋" w:hAnsi="华文中宋" w:eastAsia="华文中宋" w:cs="华文中宋"/>
          <w:b/>
          <w:sz w:val="22"/>
          <w:szCs w:val="28"/>
        </w:rPr>
      </w:pPr>
    </w:p>
    <w:p w14:paraId="6668C087">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供应商名称：</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5BAEF3C0">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单位性质：</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61C9FE7D">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地址：</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1D34F746">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成立时间：</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年</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月</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日</w:t>
      </w:r>
    </w:p>
    <w:p w14:paraId="13FF078F">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经营期限：</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39D1A53C">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姓名：</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性别：</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年龄：</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职务：</w:t>
      </w:r>
      <w:r>
        <w:rPr>
          <w:rFonts w:hint="eastAsia" w:ascii="华文中宋" w:hAnsi="华文中宋" w:eastAsia="华文中宋" w:cs="华文中宋"/>
          <w:szCs w:val="21"/>
          <w:u w:val="single"/>
        </w:rPr>
        <w:t xml:space="preserve">       </w:t>
      </w:r>
    </w:p>
    <w:p w14:paraId="3ABCAFAF">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系</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（供应商名称）的法定代表人。</w:t>
      </w:r>
    </w:p>
    <w:p w14:paraId="73ACB1F3">
      <w:pPr>
        <w:ind w:firstLine="840" w:firstLineChars="400"/>
        <w:rPr>
          <w:rFonts w:hint="eastAsia" w:ascii="华文中宋" w:hAnsi="华文中宋" w:eastAsia="华文中宋" w:cs="华文中宋"/>
          <w:szCs w:val="21"/>
        </w:rPr>
      </w:pPr>
      <w:r>
        <w:rPr>
          <w:rFonts w:hint="eastAsia" w:ascii="华文中宋" w:hAnsi="华文中宋" w:eastAsia="华文中宋" w:cs="华文中宋"/>
          <w:szCs w:val="21"/>
        </w:rPr>
        <w:t>特此证明。</w:t>
      </w:r>
    </w:p>
    <w:p w14:paraId="4333AE43">
      <w:pPr>
        <w:ind w:firstLine="420" w:firstLineChars="200"/>
        <w:rPr>
          <w:rFonts w:hint="eastAsia" w:ascii="华文中宋" w:hAnsi="华文中宋" w:eastAsia="华文中宋" w:cs="华文中宋"/>
          <w:szCs w:val="21"/>
        </w:rPr>
      </w:pPr>
    </w:p>
    <w:p w14:paraId="30B12B44">
      <w:pPr>
        <w:ind w:firstLine="420" w:firstLineChars="200"/>
        <w:rPr>
          <w:rFonts w:hint="eastAsia" w:ascii="华文中宋" w:hAnsi="华文中宋" w:eastAsia="华文中宋" w:cs="华文中宋"/>
          <w:szCs w:val="21"/>
        </w:rPr>
      </w:pPr>
    </w:p>
    <w:p w14:paraId="17D58AE6">
      <w:pPr>
        <w:ind w:firstLine="420" w:firstLineChars="200"/>
        <w:rPr>
          <w:rFonts w:hint="eastAsia" w:ascii="华文中宋" w:hAnsi="华文中宋" w:eastAsia="华文中宋" w:cs="华文中宋"/>
          <w:szCs w:val="21"/>
        </w:rPr>
      </w:pPr>
    </w:p>
    <w:p w14:paraId="763E600F">
      <w:pPr>
        <w:ind w:firstLine="420" w:firstLineChars="200"/>
        <w:rPr>
          <w:rFonts w:hint="eastAsia" w:ascii="华文中宋" w:hAnsi="华文中宋" w:eastAsia="华文中宋" w:cs="华文中宋"/>
          <w:szCs w:val="21"/>
        </w:rPr>
      </w:pPr>
    </w:p>
    <w:p w14:paraId="51F81CBB">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供应商名称：</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36730062">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74E29042">
      <w:pPr>
        <w:autoSpaceDE w:val="0"/>
        <w:autoSpaceDN w:val="0"/>
        <w:adjustRightInd w:val="0"/>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p>
    <w:p w14:paraId="32C519F5">
      <w:pPr>
        <w:spacing w:line="640" w:lineRule="exact"/>
        <w:ind w:right="420"/>
        <w:rPr>
          <w:rFonts w:hint="eastAsia" w:ascii="华文中宋" w:hAnsi="华文中宋" w:eastAsia="华文中宋" w:cs="华文中宋"/>
        </w:rPr>
      </w:pPr>
    </w:p>
    <w:p w14:paraId="4E8187B9">
      <w:pPr>
        <w:pStyle w:val="37"/>
      </w:pPr>
    </w:p>
    <w:p w14:paraId="5A409521">
      <w:pPr>
        <w:spacing w:line="640" w:lineRule="exact"/>
        <w:ind w:right="420"/>
        <w:rPr>
          <w:rFonts w:hint="eastAsia" w:ascii="华文中宋" w:hAnsi="华文中宋" w:eastAsia="华文中宋" w:cs="华文中宋"/>
        </w:rPr>
      </w:pPr>
    </w:p>
    <w:p w14:paraId="7AA5F36B">
      <w:pPr>
        <w:spacing w:line="640" w:lineRule="exact"/>
        <w:ind w:right="420"/>
        <w:rPr>
          <w:rFonts w:hint="eastAsia" w:ascii="华文中宋" w:hAnsi="华文中宋" w:eastAsia="华文中宋" w:cs="华文中宋"/>
        </w:rPr>
      </w:pPr>
    </w:p>
    <w:p w14:paraId="4B78474E">
      <w:pPr>
        <w:spacing w:line="640" w:lineRule="exact"/>
        <w:ind w:right="420"/>
        <w:rPr>
          <w:rFonts w:hint="eastAsia" w:ascii="华文中宋" w:hAnsi="华文中宋" w:eastAsia="华文中宋" w:cs="华文中宋"/>
        </w:rPr>
      </w:pPr>
    </w:p>
    <w:p w14:paraId="46A55138">
      <w:pPr>
        <w:bidi w:val="0"/>
        <w:rPr>
          <w:rFonts w:hint="eastAsia"/>
        </w:rPr>
      </w:pPr>
    </w:p>
    <w:p w14:paraId="605469DB">
      <w:pPr>
        <w:pStyle w:val="5"/>
      </w:pPr>
    </w:p>
    <w:p w14:paraId="216DCD54">
      <w:pPr>
        <w:pStyle w:val="6"/>
      </w:pPr>
    </w:p>
    <w:p w14:paraId="0C6AD008">
      <w:pPr>
        <w:pStyle w:val="4"/>
        <w:rPr>
          <w:rFonts w:hint="eastAsia" w:ascii="宋体" w:hAnsi="宋体" w:eastAsia="宋体" w:cs="宋体"/>
          <w:szCs w:val="28"/>
        </w:rPr>
      </w:pPr>
      <w:bookmarkStart w:id="125" w:name="_Toc27711"/>
      <w:bookmarkStart w:id="126" w:name="_Toc6254"/>
      <w:r>
        <w:rPr>
          <w:rFonts w:hint="eastAsia" w:ascii="宋体" w:hAnsi="宋体" w:eastAsia="宋体" w:cs="宋体"/>
          <w:szCs w:val="28"/>
        </w:rPr>
        <w:t>（二）法定代表人授权委托书</w:t>
      </w:r>
      <w:bookmarkEnd w:id="125"/>
      <w:bookmarkEnd w:id="126"/>
    </w:p>
    <w:p w14:paraId="78BB8570">
      <w:pPr>
        <w:rPr>
          <w:rFonts w:hint="eastAsia" w:ascii="宋体" w:hAnsi="宋体" w:eastAsia="宋体" w:cs="宋体"/>
          <w:szCs w:val="21"/>
        </w:rPr>
      </w:pPr>
    </w:p>
    <w:p w14:paraId="4CFB2547">
      <w:pPr>
        <w:ind w:firstLine="472" w:firstLineChars="225"/>
        <w:rPr>
          <w:rFonts w:hint="eastAsia" w:ascii="宋体" w:hAnsi="宋体" w:eastAsia="宋体" w:cs="宋体"/>
          <w:szCs w:val="21"/>
          <w:u w:val="single"/>
        </w:rPr>
      </w:pPr>
      <w:r>
        <w:rPr>
          <w:rFonts w:hint="eastAsia" w:ascii="宋体" w:hAnsi="宋体" w:eastAsia="宋体" w:cs="宋体"/>
          <w:szCs w:val="21"/>
        </w:rPr>
        <w:t>我</w:t>
      </w:r>
      <w:r>
        <w:rPr>
          <w:rFonts w:hint="eastAsia" w:ascii="宋体" w:hAnsi="宋体" w:eastAsia="宋体" w:cs="宋体"/>
          <w:szCs w:val="21"/>
          <w:u w:val="single"/>
        </w:rPr>
        <w:t xml:space="preserve">   （姓名）  </w:t>
      </w:r>
      <w:r>
        <w:rPr>
          <w:rFonts w:hint="eastAsia" w:ascii="宋体" w:hAnsi="宋体" w:eastAsia="宋体" w:cs="宋体"/>
          <w:szCs w:val="21"/>
        </w:rPr>
        <w:t>系</w:t>
      </w:r>
      <w:r>
        <w:rPr>
          <w:rFonts w:hint="eastAsia" w:ascii="宋体" w:hAnsi="宋体" w:eastAsia="宋体" w:cs="宋体"/>
          <w:szCs w:val="21"/>
          <w:u w:val="single"/>
        </w:rPr>
        <w:t xml:space="preserve">     （供应商）  </w:t>
      </w:r>
      <w:r>
        <w:rPr>
          <w:rFonts w:hint="eastAsia" w:ascii="宋体" w:hAnsi="宋体" w:eastAsia="宋体" w:cs="宋体"/>
          <w:szCs w:val="21"/>
        </w:rPr>
        <w:t>的法定代表人，现授权委托</w:t>
      </w:r>
      <w:r>
        <w:rPr>
          <w:rFonts w:hint="eastAsia" w:ascii="宋体" w:hAnsi="宋体" w:eastAsia="宋体" w:cs="宋体"/>
          <w:szCs w:val="21"/>
          <w:u w:val="single"/>
        </w:rPr>
        <w:t xml:space="preserve">   （姓名）  </w:t>
      </w:r>
      <w:r>
        <w:rPr>
          <w:rFonts w:hint="eastAsia" w:ascii="宋体" w:hAnsi="宋体" w:eastAsia="宋体" w:cs="宋体"/>
          <w:szCs w:val="21"/>
        </w:rPr>
        <w:t>为我公司代理人，以本公司的名义参加</w:t>
      </w:r>
      <w:r>
        <w:rPr>
          <w:rFonts w:hint="eastAsia" w:ascii="宋体" w:hAnsi="宋体" w:eastAsia="宋体" w:cs="宋体"/>
          <w:szCs w:val="21"/>
          <w:u w:val="single"/>
        </w:rPr>
        <w:t>（项目名称）</w:t>
      </w:r>
      <w:r>
        <w:rPr>
          <w:rFonts w:hint="eastAsia" w:ascii="宋体" w:hAnsi="宋体" w:eastAsia="宋体" w:cs="宋体"/>
          <w:szCs w:val="21"/>
        </w:rPr>
        <w:t>投标活动。代理人在开标、评标、合同谈判、签署合同过程中所签署的一切文件和处理与之有关的一切事务，我均予以承认，其法律后果由我方承担。</w:t>
      </w:r>
    </w:p>
    <w:p w14:paraId="59D1FDEB">
      <w:pPr>
        <w:ind w:firstLine="460" w:firstLineChars="200"/>
        <w:rPr>
          <w:rFonts w:hint="eastAsia" w:ascii="宋体" w:hAnsi="宋体" w:eastAsia="宋体" w:cs="宋体"/>
          <w:spacing w:val="10"/>
          <w:szCs w:val="21"/>
        </w:rPr>
      </w:pPr>
      <w:r>
        <w:rPr>
          <w:rFonts w:hint="eastAsia" w:ascii="宋体" w:hAnsi="宋体" w:eastAsia="宋体" w:cs="宋体"/>
          <w:spacing w:val="10"/>
          <w:szCs w:val="21"/>
        </w:rPr>
        <w:t>委托期限：</w:t>
      </w:r>
      <w:r>
        <w:rPr>
          <w:rFonts w:hint="eastAsia" w:ascii="宋体" w:hAnsi="宋体" w:eastAsia="宋体" w:cs="宋体"/>
          <w:spacing w:val="10"/>
          <w:szCs w:val="21"/>
          <w:u w:val="single"/>
        </w:rPr>
        <w:t xml:space="preserve">           </w:t>
      </w:r>
      <w:r>
        <w:rPr>
          <w:rFonts w:hint="eastAsia" w:ascii="宋体" w:hAnsi="宋体" w:eastAsia="宋体" w:cs="宋体"/>
          <w:spacing w:val="10"/>
          <w:szCs w:val="21"/>
        </w:rPr>
        <w:t>。</w:t>
      </w:r>
    </w:p>
    <w:p w14:paraId="6806F424">
      <w:pPr>
        <w:ind w:firstLine="472" w:firstLineChars="225"/>
        <w:rPr>
          <w:rFonts w:hint="eastAsia" w:ascii="宋体" w:hAnsi="宋体" w:eastAsia="宋体" w:cs="宋体"/>
          <w:szCs w:val="21"/>
        </w:rPr>
      </w:pPr>
      <w:r>
        <w:rPr>
          <w:rFonts w:hint="eastAsia" w:ascii="宋体" w:hAnsi="宋体" w:eastAsia="宋体" w:cs="宋体"/>
          <w:szCs w:val="21"/>
        </w:rPr>
        <w:t>代理人无转委托权。</w:t>
      </w:r>
    </w:p>
    <w:p w14:paraId="6DD0E5C3">
      <w:pPr>
        <w:ind w:firstLine="472" w:firstLineChars="225"/>
        <w:rPr>
          <w:rFonts w:hint="eastAsia" w:ascii="宋体" w:hAnsi="宋体" w:eastAsia="宋体" w:cs="宋体"/>
          <w:szCs w:val="21"/>
          <w:u w:val="single"/>
        </w:rPr>
      </w:pPr>
      <w:r>
        <w:rPr>
          <w:rFonts w:hint="eastAsia" w:ascii="宋体" w:hAnsi="宋体" w:eastAsia="宋体" w:cs="宋体"/>
          <w:szCs w:val="21"/>
        </w:rPr>
        <w:t>附：法定代表人及委托代理人身份证复印件</w:t>
      </w:r>
    </w:p>
    <w:p w14:paraId="020B5E22">
      <w:pPr>
        <w:jc w:val="right"/>
        <w:rPr>
          <w:rFonts w:hint="eastAsia" w:ascii="宋体" w:hAnsi="宋体" w:eastAsia="宋体" w:cs="宋体"/>
          <w:szCs w:val="21"/>
        </w:rPr>
      </w:pPr>
    </w:p>
    <w:p w14:paraId="0926EE3C">
      <w:pPr>
        <w:pStyle w:val="5"/>
        <w:ind w:firstLine="420"/>
        <w:rPr>
          <w:rFonts w:hint="eastAsia" w:ascii="宋体" w:hAnsi="宋体" w:eastAsia="宋体" w:cs="宋体"/>
          <w:sz w:val="21"/>
          <w:szCs w:val="21"/>
        </w:rPr>
      </w:pPr>
    </w:p>
    <w:p w14:paraId="358E29E6">
      <w:pPr>
        <w:pStyle w:val="5"/>
        <w:ind w:firstLine="420"/>
        <w:rPr>
          <w:rFonts w:hint="eastAsia" w:ascii="宋体" w:hAnsi="宋体" w:eastAsia="宋体" w:cs="宋体"/>
          <w:sz w:val="21"/>
          <w:szCs w:val="21"/>
        </w:rPr>
      </w:pPr>
    </w:p>
    <w:p w14:paraId="29EA2C92">
      <w:pPr>
        <w:pStyle w:val="5"/>
        <w:ind w:firstLine="420"/>
        <w:rPr>
          <w:rFonts w:hint="eastAsia" w:ascii="宋体" w:hAnsi="宋体" w:eastAsia="宋体" w:cs="宋体"/>
          <w:sz w:val="21"/>
          <w:szCs w:val="21"/>
        </w:rPr>
      </w:pPr>
    </w:p>
    <w:p w14:paraId="17BCA74C">
      <w:pPr>
        <w:pStyle w:val="5"/>
        <w:ind w:firstLine="420"/>
        <w:rPr>
          <w:rFonts w:hint="eastAsia" w:ascii="宋体" w:hAnsi="宋体" w:eastAsia="宋体" w:cs="宋体"/>
          <w:sz w:val="21"/>
          <w:szCs w:val="21"/>
        </w:rPr>
      </w:pPr>
    </w:p>
    <w:p w14:paraId="3B6AC24F">
      <w:pPr>
        <w:pStyle w:val="5"/>
        <w:ind w:firstLine="420"/>
        <w:rPr>
          <w:rFonts w:hint="eastAsia" w:ascii="宋体" w:hAnsi="宋体" w:eastAsia="宋体" w:cs="宋体"/>
          <w:sz w:val="21"/>
          <w:szCs w:val="21"/>
        </w:rPr>
      </w:pPr>
    </w:p>
    <w:p w14:paraId="09AD3748">
      <w:pPr>
        <w:ind w:firstLine="5670" w:firstLineChars="2700"/>
        <w:rPr>
          <w:rFonts w:hint="eastAsia" w:ascii="宋体" w:hAnsi="宋体" w:eastAsia="宋体" w:cs="宋体"/>
          <w:szCs w:val="21"/>
        </w:rPr>
      </w:pPr>
      <w:r>
        <w:rPr>
          <w:rFonts w:hint="eastAsia" w:ascii="宋体" w:hAnsi="宋体" w:eastAsia="宋体" w:cs="宋体"/>
          <w:szCs w:val="21"/>
          <w:lang w:val="zh-CN"/>
        </w:rPr>
        <w:t>供应商名称：</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 xml:space="preserve">（电子签章） </w:t>
      </w:r>
      <w:r>
        <w:rPr>
          <w:rFonts w:hint="eastAsia" w:ascii="宋体" w:hAnsi="宋体" w:eastAsia="宋体" w:cs="宋体"/>
          <w:szCs w:val="21"/>
        </w:rPr>
        <w:t xml:space="preserve">              </w:t>
      </w:r>
    </w:p>
    <w:p w14:paraId="552E6BD1">
      <w:pPr>
        <w:ind w:firstLine="5670" w:firstLineChars="2700"/>
        <w:rPr>
          <w:rFonts w:hint="eastAsia" w:ascii="宋体" w:hAnsi="宋体" w:eastAsia="宋体" w:cs="宋体"/>
          <w:szCs w:val="21"/>
          <w:lang w:val="zh-CN"/>
        </w:rPr>
      </w:pPr>
      <w:r>
        <w:rPr>
          <w:rFonts w:hint="eastAsia" w:ascii="宋体" w:hAnsi="宋体" w:eastAsia="宋体" w:cs="宋体"/>
          <w:szCs w:val="21"/>
        </w:rPr>
        <w:t>法定代表人</w:t>
      </w:r>
      <w:r>
        <w:rPr>
          <w:rFonts w:hint="eastAsia" w:ascii="宋体" w:hAnsi="宋体" w:eastAsia="宋体" w:cs="宋体"/>
          <w:szCs w:val="21"/>
          <w:lang w:val="zh-CN"/>
        </w:rPr>
        <w:t>：</w:t>
      </w:r>
      <w:r>
        <w:rPr>
          <w:rFonts w:hint="eastAsia" w:ascii="宋体" w:hAnsi="宋体" w:eastAsia="宋体" w:cs="宋体"/>
          <w:szCs w:val="21"/>
          <w:u w:val="single"/>
        </w:rPr>
        <w:t xml:space="preserve">     </w:t>
      </w:r>
      <w:r>
        <w:rPr>
          <w:rFonts w:hint="eastAsia" w:ascii="宋体" w:hAnsi="宋体" w:eastAsia="宋体" w:cs="宋体"/>
          <w:szCs w:val="21"/>
          <w:lang w:val="zh-CN"/>
        </w:rPr>
        <w:t>（签字或电子签章）</w:t>
      </w:r>
    </w:p>
    <w:p w14:paraId="70EB26A3">
      <w:pPr>
        <w:autoSpaceDE w:val="0"/>
        <w:autoSpaceDN w:val="0"/>
        <w:adjustRightInd w:val="0"/>
        <w:ind w:firstLine="5670" w:firstLineChars="2700"/>
        <w:rPr>
          <w:rFonts w:hint="eastAsia" w:ascii="宋体" w:hAnsi="宋体" w:eastAsia="宋体" w:cs="宋体"/>
          <w:szCs w:val="21"/>
          <w:lang w:val="zh-CN"/>
        </w:rPr>
      </w:pPr>
      <w:r>
        <w:rPr>
          <w:rFonts w:hint="eastAsia" w:ascii="宋体" w:hAnsi="宋体" w:eastAsia="宋体" w:cs="宋体"/>
          <w:szCs w:val="21"/>
          <w:lang w:val="zh-CN"/>
        </w:rPr>
        <w:t>日 期：</w:t>
      </w: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年 </w:t>
      </w: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月 </w:t>
      </w:r>
      <w:r>
        <w:rPr>
          <w:rFonts w:hint="eastAsia" w:ascii="宋体" w:hAnsi="宋体" w:eastAsia="宋体" w:cs="宋体"/>
          <w:szCs w:val="21"/>
          <w:u w:val="single"/>
          <w:lang w:val="zh-CN"/>
        </w:rPr>
        <w:t xml:space="preserve">    </w:t>
      </w:r>
      <w:r>
        <w:rPr>
          <w:rFonts w:hint="eastAsia" w:ascii="宋体" w:hAnsi="宋体" w:eastAsia="宋体" w:cs="宋体"/>
          <w:szCs w:val="21"/>
          <w:lang w:val="zh-CN"/>
        </w:rPr>
        <w:t>日</w:t>
      </w:r>
    </w:p>
    <w:p w14:paraId="083622C5">
      <w:pPr>
        <w:jc w:val="right"/>
        <w:rPr>
          <w:rFonts w:hint="eastAsia" w:ascii="宋体" w:hAnsi="宋体" w:eastAsia="宋体" w:cs="宋体"/>
          <w:szCs w:val="21"/>
        </w:rPr>
      </w:pPr>
    </w:p>
    <w:p w14:paraId="1FE0943E">
      <w:pPr>
        <w:jc w:val="center"/>
        <w:rPr>
          <w:rFonts w:hint="eastAsia" w:ascii="宋体" w:hAnsi="宋体" w:eastAsia="宋体" w:cs="宋体"/>
          <w:szCs w:val="21"/>
        </w:rPr>
      </w:pPr>
      <w:r>
        <w:rPr>
          <w:rFonts w:hint="eastAsia" w:ascii="宋体" w:hAnsi="宋体" w:eastAsia="宋体" w:cs="宋体"/>
          <w:szCs w:val="21"/>
        </w:rPr>
        <w:t>注：如法定代表人参加投标，无需填写本授权书。</w:t>
      </w:r>
    </w:p>
    <w:p w14:paraId="05A3DC9A">
      <w:pPr>
        <w:jc w:val="right"/>
        <w:rPr>
          <w:rFonts w:hint="eastAsia" w:ascii="华文中宋" w:hAnsi="华文中宋" w:eastAsia="华文中宋" w:cs="华文中宋"/>
        </w:rPr>
      </w:pPr>
    </w:p>
    <w:p w14:paraId="7A52BDC2">
      <w:pPr>
        <w:jc w:val="right"/>
        <w:rPr>
          <w:rFonts w:hint="eastAsia" w:ascii="华文中宋" w:hAnsi="华文中宋" w:eastAsia="华文中宋" w:cs="华文中宋"/>
        </w:rPr>
      </w:pPr>
    </w:p>
    <w:p w14:paraId="5346B60F">
      <w:pPr>
        <w:pStyle w:val="23"/>
        <w:rPr>
          <w:rFonts w:hint="eastAsia" w:ascii="华文中宋" w:hAnsi="华文中宋" w:eastAsia="华文中宋" w:cs="华文中宋"/>
        </w:rPr>
      </w:pPr>
    </w:p>
    <w:p w14:paraId="5AC33D95">
      <w:pPr>
        <w:rPr>
          <w:rFonts w:hint="eastAsia" w:ascii="华文中宋" w:hAnsi="华文中宋" w:eastAsia="华文中宋" w:cs="华文中宋"/>
        </w:rPr>
      </w:pPr>
    </w:p>
    <w:p w14:paraId="0F1E58B2">
      <w:pPr>
        <w:pStyle w:val="23"/>
        <w:rPr>
          <w:rFonts w:hint="eastAsia" w:ascii="华文中宋" w:hAnsi="华文中宋" w:eastAsia="华文中宋" w:cs="华文中宋"/>
        </w:rPr>
      </w:pPr>
    </w:p>
    <w:p w14:paraId="1A3D56CB"/>
    <w:p w14:paraId="3E377114">
      <w:pPr>
        <w:jc w:val="right"/>
        <w:rPr>
          <w:rFonts w:hint="eastAsia" w:ascii="华文中宋" w:hAnsi="华文中宋" w:eastAsia="华文中宋" w:cs="华文中宋"/>
        </w:rPr>
      </w:pPr>
    </w:p>
    <w:p w14:paraId="6FF9E31B">
      <w:pPr>
        <w:jc w:val="right"/>
        <w:rPr>
          <w:rFonts w:hint="eastAsia" w:ascii="华文中宋" w:hAnsi="华文中宋" w:eastAsia="华文中宋" w:cs="华文中宋"/>
        </w:rPr>
      </w:pPr>
    </w:p>
    <w:p w14:paraId="608A70A7">
      <w:pPr>
        <w:pStyle w:val="33"/>
        <w:rPr>
          <w:rFonts w:hint="eastAsia" w:ascii="华文中宋" w:hAnsi="华文中宋" w:eastAsia="华文中宋" w:cs="华文中宋"/>
        </w:rPr>
      </w:pPr>
    </w:p>
    <w:p w14:paraId="3A109B99">
      <w:pPr>
        <w:pStyle w:val="19"/>
        <w:ind w:left="840" w:hanging="420"/>
      </w:pPr>
    </w:p>
    <w:p w14:paraId="2A2E09C3">
      <w:pPr>
        <w:jc w:val="right"/>
        <w:rPr>
          <w:rFonts w:hint="eastAsia" w:ascii="华文中宋" w:hAnsi="华文中宋" w:eastAsia="华文中宋" w:cs="华文中宋"/>
        </w:rPr>
      </w:pPr>
    </w:p>
    <w:p w14:paraId="433934C3">
      <w:pPr>
        <w:pStyle w:val="23"/>
      </w:pPr>
    </w:p>
    <w:p w14:paraId="04A9FC27">
      <w:pPr>
        <w:jc w:val="right"/>
        <w:rPr>
          <w:rFonts w:hint="eastAsia" w:ascii="华文中宋" w:hAnsi="华文中宋" w:eastAsia="华文中宋" w:cs="华文中宋"/>
        </w:rPr>
      </w:pPr>
    </w:p>
    <w:p w14:paraId="083B1972">
      <w:pPr>
        <w:pStyle w:val="3"/>
        <w:numPr>
          <w:ilvl w:val="0"/>
          <w:numId w:val="5"/>
        </w:numPr>
        <w:jc w:val="center"/>
        <w:rPr>
          <w:rFonts w:hint="eastAsia" w:ascii="宋体" w:hAnsi="宋体" w:eastAsia="宋体" w:cs="宋体"/>
          <w:b/>
          <w:bCs w:val="0"/>
          <w:sz w:val="28"/>
          <w:szCs w:val="28"/>
        </w:rPr>
      </w:pPr>
      <w:bookmarkStart w:id="127" w:name="_Toc421024655"/>
      <w:bookmarkStart w:id="128" w:name="_Toc5318"/>
      <w:bookmarkStart w:id="129" w:name="_Toc18912"/>
      <w:bookmarkStart w:id="130" w:name="_Toc5780"/>
      <w:bookmarkStart w:id="131" w:name="_Toc330914693"/>
      <w:bookmarkStart w:id="132" w:name="_Toc331008683"/>
      <w:bookmarkStart w:id="133" w:name="_Toc330919334"/>
      <w:bookmarkStart w:id="134" w:name="_Toc331008143"/>
      <w:r>
        <w:rPr>
          <w:rFonts w:hint="eastAsia" w:ascii="宋体" w:hAnsi="宋体" w:eastAsia="宋体" w:cs="宋体"/>
          <w:b/>
          <w:bCs w:val="0"/>
          <w:sz w:val="28"/>
          <w:szCs w:val="28"/>
        </w:rPr>
        <w:t>资格证明</w:t>
      </w:r>
      <w:bookmarkEnd w:id="127"/>
      <w:bookmarkEnd w:id="128"/>
      <w:r>
        <w:rPr>
          <w:rFonts w:hint="eastAsia" w:ascii="宋体" w:hAnsi="宋体" w:eastAsia="宋体" w:cs="宋体"/>
          <w:b/>
          <w:bCs w:val="0"/>
          <w:sz w:val="28"/>
          <w:szCs w:val="28"/>
        </w:rPr>
        <w:t>材料</w:t>
      </w:r>
      <w:bookmarkEnd w:id="129"/>
      <w:bookmarkEnd w:id="130"/>
    </w:p>
    <w:p w14:paraId="29A5C4EC">
      <w:pPr>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kern w:val="0"/>
          <w:szCs w:val="21"/>
          <w:u w:val="single"/>
        </w:rPr>
        <w:t>（本项目采购单位）</w:t>
      </w:r>
      <w:r>
        <w:rPr>
          <w:rFonts w:hint="eastAsia" w:ascii="宋体" w:hAnsi="宋体" w:eastAsia="宋体" w:cs="宋体"/>
          <w:kern w:val="0"/>
          <w:szCs w:val="21"/>
        </w:rPr>
        <w:t xml:space="preserve">： </w:t>
      </w:r>
    </w:p>
    <w:p w14:paraId="63E1FA93">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我单位自愿参加本次政府采购活动，严格遵守《中华人民共和国政府采购法》及相关法律法规，依法诚信经营，依法遵守本次政府采购活动的各项规定。我单位郑重承诺声明 如下： </w:t>
      </w:r>
    </w:p>
    <w:p w14:paraId="57F822E4">
      <w:pPr>
        <w:ind w:firstLine="420" w:firstLineChars="200"/>
        <w:rPr>
          <w:rFonts w:hint="eastAsia" w:ascii="宋体" w:hAnsi="宋体" w:eastAsia="宋体" w:cs="宋体"/>
          <w:kern w:val="0"/>
          <w:szCs w:val="21"/>
        </w:rPr>
      </w:pPr>
      <w:r>
        <w:rPr>
          <w:rFonts w:hint="eastAsia" w:ascii="宋体" w:hAnsi="宋体" w:eastAsia="宋体" w:cs="宋体"/>
          <w:kern w:val="0"/>
          <w:szCs w:val="21"/>
        </w:rPr>
        <w:t>一、我单位全称为</w:t>
      </w:r>
      <w:r>
        <w:rPr>
          <w:rFonts w:hint="eastAsia" w:ascii="宋体" w:hAnsi="宋体" w:eastAsia="宋体" w:cs="宋体"/>
          <w:kern w:val="0"/>
          <w:szCs w:val="21"/>
          <w:u w:val="single"/>
        </w:rPr>
        <w:t xml:space="preserve">             </w:t>
      </w:r>
      <w:r>
        <w:rPr>
          <w:rFonts w:hint="eastAsia" w:ascii="宋体" w:hAnsi="宋体" w:eastAsia="宋体" w:cs="宋体"/>
          <w:kern w:val="0"/>
          <w:szCs w:val="21"/>
        </w:rPr>
        <w:t>，注册地点为</w:t>
      </w:r>
      <w:r>
        <w:rPr>
          <w:rFonts w:hint="eastAsia" w:ascii="宋体" w:hAnsi="宋体" w:eastAsia="宋体" w:cs="宋体"/>
          <w:kern w:val="0"/>
          <w:szCs w:val="21"/>
          <w:u w:val="single"/>
        </w:rPr>
        <w:t xml:space="preserve">          </w:t>
      </w:r>
      <w:r>
        <w:rPr>
          <w:rFonts w:hint="eastAsia" w:ascii="宋体" w:hAnsi="宋体" w:eastAsia="宋体" w:cs="宋体"/>
          <w:kern w:val="0"/>
          <w:szCs w:val="21"/>
        </w:rPr>
        <w:t>，统一社会信用代码为</w:t>
      </w:r>
      <w:r>
        <w:rPr>
          <w:rFonts w:hint="eastAsia" w:ascii="宋体" w:hAnsi="宋体" w:eastAsia="宋体" w:cs="宋体"/>
          <w:kern w:val="0"/>
          <w:szCs w:val="21"/>
          <w:u w:val="single"/>
        </w:rPr>
        <w:t xml:space="preserve">            </w:t>
      </w:r>
      <w:r>
        <w:rPr>
          <w:rFonts w:hint="eastAsia" w:ascii="宋体" w:hAnsi="宋体" w:eastAsia="宋体" w:cs="宋体"/>
          <w:kern w:val="0"/>
          <w:szCs w:val="21"/>
        </w:rPr>
        <w:t>，法定代表人（单位负责人）为</w:t>
      </w:r>
      <w:r>
        <w:rPr>
          <w:rFonts w:hint="eastAsia" w:ascii="宋体" w:hAnsi="宋体" w:eastAsia="宋体" w:cs="宋体"/>
          <w:kern w:val="0"/>
          <w:szCs w:val="21"/>
          <w:u w:val="single"/>
        </w:rPr>
        <w:t xml:space="preserve">           </w:t>
      </w:r>
      <w:r>
        <w:rPr>
          <w:rFonts w:hint="eastAsia" w:ascii="宋体" w:hAnsi="宋体" w:eastAsia="宋体" w:cs="宋体"/>
          <w:kern w:val="0"/>
          <w:szCs w:val="21"/>
        </w:rPr>
        <w:t>，联系方式为</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739CA85F">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二、我单位具有独立承担民事责任的能力。 </w:t>
      </w:r>
    </w:p>
    <w:p w14:paraId="2FE883B5">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三、我单位具有良好的商业信誉和健全的财务会计制度。 </w:t>
      </w:r>
    </w:p>
    <w:p w14:paraId="718BC24F">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四、我单位具有履行合同所必需的设备和专业技术能力。 </w:t>
      </w:r>
    </w:p>
    <w:p w14:paraId="60CD3D9E">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五、我单位有依法缴纳税收和社会保障资金的良好记录。 </w:t>
      </w:r>
    </w:p>
    <w:p w14:paraId="648E697F">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六、我单位参加政府采购活动前三年内，在经营活动中没有重大违法记录。（重大违法记录，是指供应商因违法经营受到刑事处罚或者责令停产停业、吊销许可证或者执照、较大数额罚款等行政处罚。） </w:t>
      </w:r>
    </w:p>
    <w:p w14:paraId="329386CB">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七、我单位具备法律、行政法规规定的其他条件。 </w:t>
      </w:r>
    </w:p>
    <w:p w14:paraId="1D599BAE">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 </w:t>
      </w:r>
    </w:p>
    <w:p w14:paraId="7AEE49B4">
      <w:pPr>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承诺单位（</w:t>
      </w:r>
      <w:r>
        <w:rPr>
          <w:rFonts w:hint="eastAsia" w:ascii="宋体" w:hAnsi="宋体" w:eastAsia="宋体" w:cs="宋体"/>
          <w:szCs w:val="21"/>
        </w:rPr>
        <w:t>企业电子签章</w:t>
      </w:r>
      <w:r>
        <w:rPr>
          <w:rFonts w:hint="eastAsia" w:ascii="宋体" w:hAnsi="宋体" w:eastAsia="宋体" w:cs="宋体"/>
          <w:kern w:val="0"/>
          <w:szCs w:val="21"/>
        </w:rPr>
        <w:t xml:space="preserve">）： </w:t>
      </w:r>
    </w:p>
    <w:p w14:paraId="6354D8E0">
      <w:pPr>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法定代表人或授权代表（</w:t>
      </w:r>
      <w:r>
        <w:rPr>
          <w:rFonts w:hint="eastAsia" w:ascii="宋体" w:hAnsi="宋体" w:eastAsia="宋体" w:cs="宋体"/>
          <w:szCs w:val="21"/>
        </w:rPr>
        <w:t>个人电子签章</w:t>
      </w:r>
      <w:r>
        <w:rPr>
          <w:rFonts w:hint="eastAsia" w:ascii="宋体" w:hAnsi="宋体" w:eastAsia="宋体" w:cs="宋体"/>
          <w:kern w:val="0"/>
          <w:szCs w:val="21"/>
        </w:rPr>
        <w:t xml:space="preserve">）： </w:t>
      </w:r>
    </w:p>
    <w:p w14:paraId="626CF0BE">
      <w:pPr>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 xml:space="preserve">日期：年 月 日 </w:t>
      </w:r>
    </w:p>
    <w:p w14:paraId="15688AAE">
      <w:pPr>
        <w:ind w:firstLine="420" w:firstLineChars="200"/>
        <w:rPr>
          <w:rFonts w:hint="eastAsia" w:ascii="宋体" w:hAnsi="宋体" w:eastAsia="宋体" w:cs="宋体"/>
          <w:kern w:val="0"/>
          <w:szCs w:val="21"/>
        </w:rPr>
      </w:pPr>
    </w:p>
    <w:p w14:paraId="7BA9C3D8">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注：1.供应商须在投标文件中按此模板提供承诺函，未提供视为未实质性响应招标文件要求，按无效投标处理。 </w:t>
      </w:r>
    </w:p>
    <w:p w14:paraId="332B85FE">
      <w:pPr>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2.供应商的法定代表人或者授权代表的签字或盖章应真实、有效。 </w:t>
      </w:r>
    </w:p>
    <w:p w14:paraId="201BA02B"/>
    <w:p w14:paraId="384A0970">
      <w:pPr>
        <w:ind w:firstLine="420" w:firstLineChars="200"/>
        <w:rPr>
          <w:rFonts w:hint="eastAsia" w:ascii="宋体" w:hAnsi="宋体" w:eastAsia="宋体" w:cs="宋体"/>
          <w:kern w:val="0"/>
          <w:szCs w:val="21"/>
        </w:rPr>
      </w:pPr>
    </w:p>
    <w:p w14:paraId="11BF9286">
      <w:pPr>
        <w:spacing w:line="276" w:lineRule="auto"/>
        <w:jc w:val="center"/>
        <w:rPr>
          <w:b/>
          <w:bCs/>
          <w:sz w:val="24"/>
        </w:rPr>
      </w:pPr>
      <w:r>
        <w:rPr>
          <w:rFonts w:hint="eastAsia" w:ascii="宋体" w:hAnsi="宋体" w:eastAsia="宋体" w:cs="宋体"/>
          <w:kern w:val="0"/>
          <w:szCs w:val="21"/>
        </w:rPr>
        <w:br w:type="page"/>
      </w:r>
      <w:r>
        <w:rPr>
          <w:rFonts w:hint="eastAsia" w:ascii="宋体" w:hAnsi="宋体" w:eastAsia="宋体" w:cs="宋体"/>
          <w:b/>
          <w:bCs/>
          <w:szCs w:val="21"/>
        </w:rPr>
        <w:t>（二）信用查询</w:t>
      </w:r>
    </w:p>
    <w:p w14:paraId="0F3C378E">
      <w:pPr>
        <w:keepNext w:val="0"/>
        <w:keepLines w:val="0"/>
        <w:pageBreakBefore w:val="0"/>
        <w:widowControl w:val="0"/>
        <w:kinsoku/>
        <w:wordWrap/>
        <w:overflowPunct/>
        <w:topLinePunct w:val="0"/>
        <w:autoSpaceDE/>
        <w:autoSpaceDN/>
        <w:bidi w:val="0"/>
        <w:adjustRightInd/>
        <w:snapToGrid/>
        <w:spacing w:before="313" w:beforeLines="100"/>
        <w:ind w:left="0" w:leftChars="0" w:firstLine="420" w:firstLineChars="200"/>
        <w:textAlignment w:val="auto"/>
        <w:rPr>
          <w:rFonts w:hint="eastAsia" w:ascii="宋体" w:hAnsi="宋体" w:eastAsia="宋体" w:cs="宋体"/>
          <w:spacing w:val="-6"/>
          <w:szCs w:val="21"/>
        </w:rPr>
      </w:pPr>
      <w:r>
        <w:rPr>
          <w:rFonts w:hint="eastAsia" w:ascii="宋体" w:hAnsi="宋体" w:eastAsia="宋体" w:cs="宋体"/>
          <w:szCs w:val="21"/>
        </w:rPr>
        <w:t>供应商须未列入“信用中国”网站的“重大税收违法失信主体”、“中国执行信息公开网”的“</w:t>
      </w:r>
      <w:r>
        <w:rPr>
          <w:rFonts w:hint="eastAsia" w:ascii="宋体" w:hAnsi="宋体" w:eastAsia="宋体" w:cs="宋体"/>
          <w:szCs w:val="21"/>
          <w:lang w:eastAsia="zh-CN"/>
        </w:rPr>
        <w:t>失信被执行人</w:t>
      </w:r>
      <w:r>
        <w:rPr>
          <w:rFonts w:hint="eastAsia" w:ascii="宋体" w:hAnsi="宋体" w:eastAsia="宋体" w:cs="宋体"/>
          <w:szCs w:val="21"/>
        </w:rPr>
        <w:t>”和“中国政府采购”网站的“政府采购严重违法失信行为记录名单”</w:t>
      </w:r>
      <w:r>
        <w:rPr>
          <w:rFonts w:hint="eastAsia" w:ascii="宋体" w:hAnsi="宋体" w:eastAsia="宋体" w:cs="宋体"/>
          <w:szCs w:val="21"/>
          <w:lang w:eastAsia="zh-CN"/>
        </w:rPr>
        <w:t>。</w:t>
      </w:r>
      <w:r>
        <w:rPr>
          <w:rFonts w:hint="eastAsia" w:ascii="宋体" w:hAnsi="宋体" w:eastAsia="宋体" w:cs="宋体"/>
          <w:szCs w:val="21"/>
        </w:rPr>
        <w:t>查询时间为自公告发布之日后，如有不良情况，按无效标处理（执行财库【2016】125号文）</w:t>
      </w:r>
      <w:r>
        <w:rPr>
          <w:rFonts w:hint="eastAsia" w:ascii="宋体" w:hAnsi="宋体" w:eastAsia="宋体" w:cs="宋体"/>
          <w:spacing w:val="-6"/>
          <w:szCs w:val="21"/>
        </w:rPr>
        <w:t>。</w:t>
      </w:r>
    </w:p>
    <w:p w14:paraId="0A8FADA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开标结束后采购人和代理机构即时查询信用结果作为最终资格审查依据，查询结果同汇总资料留档保存</w:t>
      </w:r>
      <w:r>
        <w:rPr>
          <w:rFonts w:hint="eastAsia" w:ascii="宋体" w:hAnsi="宋体" w:eastAsia="宋体" w:cs="宋体"/>
          <w:szCs w:val="21"/>
          <w:lang w:eastAsia="zh-CN"/>
        </w:rPr>
        <w:t>。</w:t>
      </w:r>
    </w:p>
    <w:p w14:paraId="50E137DB">
      <w:pPr>
        <w:spacing w:before="120" w:beforeLines="50"/>
        <w:ind w:firstLine="420" w:firstLineChars="200"/>
        <w:rPr>
          <w:rFonts w:hint="eastAsia" w:ascii="宋体" w:hAnsi="宋体" w:eastAsia="宋体" w:cs="宋体"/>
          <w:kern w:val="0"/>
          <w:szCs w:val="21"/>
        </w:rPr>
      </w:pPr>
    </w:p>
    <w:p w14:paraId="5498A6AF">
      <w:pPr>
        <w:ind w:firstLine="420" w:firstLineChars="200"/>
        <w:rPr>
          <w:rFonts w:hint="eastAsia" w:ascii="宋体" w:hAnsi="宋体" w:eastAsia="宋体" w:cs="宋体"/>
          <w:kern w:val="0"/>
          <w:szCs w:val="21"/>
        </w:rPr>
      </w:pPr>
    </w:p>
    <w:p w14:paraId="7F3F7351">
      <w:pPr>
        <w:pStyle w:val="6"/>
        <w:rPr>
          <w:rFonts w:hint="eastAsia" w:ascii="宋体" w:hAnsi="宋体" w:cs="宋体"/>
        </w:rPr>
      </w:pPr>
    </w:p>
    <w:p w14:paraId="4037F245">
      <w:pPr>
        <w:pStyle w:val="7"/>
        <w:rPr>
          <w:rFonts w:hint="eastAsia" w:ascii="宋体" w:hAnsi="宋体" w:cs="宋体"/>
        </w:rPr>
      </w:pPr>
    </w:p>
    <w:p w14:paraId="3D56270B">
      <w:pPr>
        <w:rPr>
          <w:rFonts w:hint="eastAsia" w:ascii="宋体" w:hAnsi="宋体" w:cs="宋体"/>
        </w:rPr>
      </w:pPr>
    </w:p>
    <w:p w14:paraId="2D24B301">
      <w:pPr>
        <w:rPr>
          <w:rFonts w:hint="eastAsia" w:ascii="宋体" w:hAnsi="宋体" w:cs="宋体"/>
        </w:rPr>
      </w:pPr>
    </w:p>
    <w:p w14:paraId="73F3F751">
      <w:pPr>
        <w:rPr>
          <w:rFonts w:hint="eastAsia" w:ascii="宋体" w:hAnsi="宋体" w:cs="宋体"/>
        </w:rPr>
      </w:pPr>
    </w:p>
    <w:p w14:paraId="7163C2FA">
      <w:pPr>
        <w:rPr>
          <w:rFonts w:hint="eastAsia" w:ascii="宋体" w:hAnsi="宋体" w:cs="宋体"/>
        </w:rPr>
      </w:pPr>
    </w:p>
    <w:p w14:paraId="1B3BE809">
      <w:pPr>
        <w:rPr>
          <w:rFonts w:hint="eastAsia" w:ascii="宋体" w:hAnsi="宋体" w:cs="宋体"/>
        </w:rPr>
      </w:pPr>
    </w:p>
    <w:p w14:paraId="64415472">
      <w:pPr>
        <w:rPr>
          <w:rFonts w:hint="eastAsia" w:ascii="宋体" w:hAnsi="宋体" w:cs="宋体"/>
        </w:rPr>
      </w:pPr>
    </w:p>
    <w:p w14:paraId="39517594">
      <w:pPr>
        <w:rPr>
          <w:rFonts w:hint="eastAsia" w:ascii="宋体" w:hAnsi="宋体" w:cs="宋体"/>
        </w:rPr>
      </w:pPr>
    </w:p>
    <w:p w14:paraId="05187248">
      <w:pPr>
        <w:rPr>
          <w:rFonts w:hint="eastAsia" w:ascii="宋体" w:hAnsi="宋体" w:cs="宋体"/>
        </w:rPr>
      </w:pPr>
    </w:p>
    <w:p w14:paraId="15E4DA86">
      <w:pPr>
        <w:rPr>
          <w:rFonts w:hint="eastAsia" w:ascii="宋体" w:hAnsi="宋体" w:cs="宋体"/>
        </w:rPr>
      </w:pPr>
    </w:p>
    <w:p w14:paraId="079FFA29">
      <w:pPr>
        <w:rPr>
          <w:rFonts w:hint="eastAsia" w:ascii="宋体" w:hAnsi="宋体" w:cs="宋体"/>
        </w:rPr>
      </w:pPr>
    </w:p>
    <w:p w14:paraId="1F4CA235">
      <w:pPr>
        <w:rPr>
          <w:rFonts w:hint="eastAsia" w:ascii="宋体" w:hAnsi="宋体" w:cs="宋体"/>
        </w:rPr>
      </w:pPr>
    </w:p>
    <w:p w14:paraId="59F77E47">
      <w:pPr>
        <w:rPr>
          <w:rFonts w:hint="eastAsia" w:ascii="宋体" w:hAnsi="宋体" w:cs="宋体"/>
        </w:rPr>
      </w:pPr>
    </w:p>
    <w:p w14:paraId="06B45E63">
      <w:pPr>
        <w:rPr>
          <w:rFonts w:hint="eastAsia" w:ascii="宋体" w:hAnsi="宋体" w:cs="宋体"/>
        </w:rPr>
      </w:pPr>
    </w:p>
    <w:p w14:paraId="5095A15A">
      <w:pPr>
        <w:rPr>
          <w:rFonts w:hint="eastAsia" w:ascii="宋体" w:hAnsi="宋体" w:cs="宋体"/>
        </w:rPr>
      </w:pPr>
    </w:p>
    <w:p w14:paraId="175BEC0A">
      <w:pPr>
        <w:rPr>
          <w:rFonts w:hint="eastAsia" w:ascii="宋体" w:hAnsi="宋体" w:cs="宋体"/>
        </w:rPr>
      </w:pPr>
    </w:p>
    <w:p w14:paraId="3C7AF627">
      <w:pPr>
        <w:rPr>
          <w:rFonts w:hint="eastAsia" w:ascii="宋体" w:hAnsi="宋体" w:cs="宋体"/>
        </w:rPr>
      </w:pPr>
    </w:p>
    <w:p w14:paraId="54420AB0">
      <w:pPr>
        <w:rPr>
          <w:rFonts w:hint="eastAsia" w:ascii="宋体" w:hAnsi="宋体" w:cs="宋体"/>
        </w:rPr>
      </w:pPr>
    </w:p>
    <w:p w14:paraId="04A0D796">
      <w:pPr>
        <w:rPr>
          <w:rFonts w:hint="eastAsia" w:ascii="宋体" w:hAnsi="宋体" w:cs="宋体"/>
        </w:rPr>
      </w:pPr>
    </w:p>
    <w:p w14:paraId="297B3A35">
      <w:pPr>
        <w:rPr>
          <w:rFonts w:hint="eastAsia" w:ascii="宋体" w:hAnsi="宋体" w:cs="宋体"/>
        </w:rPr>
      </w:pPr>
    </w:p>
    <w:p w14:paraId="7774DD3D">
      <w:pPr>
        <w:rPr>
          <w:rFonts w:hint="eastAsia" w:ascii="宋体" w:hAnsi="宋体" w:cs="宋体"/>
        </w:rPr>
      </w:pPr>
    </w:p>
    <w:p w14:paraId="59587321">
      <w:pPr>
        <w:rPr>
          <w:rFonts w:hint="eastAsia" w:ascii="宋体" w:hAnsi="宋体" w:cs="宋体"/>
        </w:rPr>
      </w:pPr>
    </w:p>
    <w:p w14:paraId="3145B080">
      <w:pPr>
        <w:rPr>
          <w:rFonts w:hint="eastAsia" w:ascii="宋体" w:hAnsi="宋体" w:cs="宋体"/>
        </w:rPr>
      </w:pPr>
    </w:p>
    <w:p w14:paraId="27F32608">
      <w:pPr>
        <w:spacing w:before="120" w:beforeLines="50"/>
        <w:jc w:val="center"/>
        <w:rPr>
          <w:rFonts w:hint="eastAsia" w:ascii="Times New Roman" w:hAnsi="Times New Roman" w:eastAsia="宋体"/>
          <w:b/>
          <w:bCs/>
          <w:szCs w:val="21"/>
          <w:lang w:eastAsia="zh-CN"/>
        </w:rPr>
      </w:pPr>
      <w:r>
        <w:rPr>
          <w:rFonts w:hint="eastAsia" w:ascii="Times New Roman" w:hAnsi="Times New Roman" w:eastAsia="宋体"/>
          <w:b/>
          <w:bCs/>
          <w:szCs w:val="21"/>
        </w:rPr>
        <w:t>（三）</w:t>
      </w:r>
      <w:r>
        <w:rPr>
          <w:rFonts w:hint="eastAsia" w:ascii="Times New Roman" w:hAnsi="Times New Roman" w:eastAsia="宋体"/>
          <w:b/>
          <w:bCs/>
          <w:szCs w:val="21"/>
          <w:lang w:val="en-US" w:eastAsia="zh-CN"/>
        </w:rPr>
        <w:t>承诺函</w:t>
      </w:r>
    </w:p>
    <w:p w14:paraId="3606CA0A">
      <w:pPr>
        <w:spacing w:before="120" w:beforeLines="50"/>
        <w:ind w:firstLine="420" w:firstLineChars="200"/>
        <w:rPr>
          <w:rFonts w:hint="eastAsia" w:ascii="宋体" w:hAnsi="宋体" w:eastAsia="宋体" w:cs="宋体"/>
          <w:kern w:val="0"/>
          <w:szCs w:val="21"/>
        </w:rPr>
      </w:pPr>
      <w:r>
        <w:rPr>
          <w:rFonts w:hint="eastAsia" w:ascii="宋体" w:hAnsi="宋体" w:eastAsia="宋体" w:cs="宋体"/>
          <w:kern w:val="0"/>
          <w:szCs w:val="21"/>
        </w:rPr>
        <w:t>单位负责人为同一人或者存在直接控股、管理关系的不同供应商，不得参加同一合同项下的政府采购活动。（提供承诺函，格式自拟）</w:t>
      </w:r>
    </w:p>
    <w:p w14:paraId="3D819FE6">
      <w:pPr>
        <w:autoSpaceDE w:val="0"/>
        <w:autoSpaceDN w:val="0"/>
        <w:adjustRightInd w:val="0"/>
        <w:spacing w:line="480" w:lineRule="exact"/>
        <w:jc w:val="center"/>
        <w:rPr>
          <w:rFonts w:hint="eastAsia" w:ascii="宋体" w:hAnsi="宋体" w:cs="宋体"/>
          <w:kern w:val="0"/>
          <w:sz w:val="24"/>
        </w:rPr>
      </w:pPr>
    </w:p>
    <w:p w14:paraId="30E01239">
      <w:pPr>
        <w:autoSpaceDE w:val="0"/>
        <w:autoSpaceDN w:val="0"/>
        <w:adjustRightInd w:val="0"/>
        <w:spacing w:line="480" w:lineRule="exact"/>
        <w:jc w:val="center"/>
        <w:rPr>
          <w:rFonts w:hint="eastAsia" w:ascii="宋体" w:hAnsi="宋体" w:cs="宋体"/>
          <w:kern w:val="0"/>
          <w:sz w:val="24"/>
        </w:rPr>
      </w:pPr>
    </w:p>
    <w:p w14:paraId="1F27DC1E">
      <w:pPr>
        <w:autoSpaceDE w:val="0"/>
        <w:autoSpaceDN w:val="0"/>
        <w:adjustRightInd w:val="0"/>
        <w:spacing w:line="480" w:lineRule="exact"/>
        <w:jc w:val="center"/>
        <w:rPr>
          <w:rFonts w:hint="eastAsia" w:ascii="宋体" w:hAnsi="宋体" w:cs="宋体"/>
          <w:kern w:val="0"/>
          <w:sz w:val="24"/>
        </w:rPr>
      </w:pPr>
    </w:p>
    <w:p w14:paraId="57342258">
      <w:pPr>
        <w:keepNext/>
        <w:keepLines/>
        <w:spacing w:before="260" w:after="260" w:line="413" w:lineRule="auto"/>
        <w:ind w:firstLine="240" w:firstLineChars="100"/>
        <w:jc w:val="center"/>
        <w:rPr>
          <w:rStyle w:val="44"/>
          <w:rFonts w:hint="eastAsia" w:ascii="宋体" w:hAnsi="宋体" w:eastAsia="宋体" w:cs="宋体"/>
          <w:sz w:val="24"/>
        </w:rPr>
      </w:pPr>
      <w:r>
        <w:rPr>
          <w:rFonts w:hint="eastAsia" w:ascii="宋体" w:hAnsi="宋体" w:cs="宋体"/>
          <w:sz w:val="24"/>
        </w:rPr>
        <w:br w:type="page"/>
      </w:r>
      <w:bookmarkStart w:id="135" w:name="_Toc27292"/>
      <w:bookmarkStart w:id="136" w:name="_Toc8785"/>
      <w:r>
        <w:rPr>
          <w:rFonts w:hint="eastAsia" w:ascii="宋体" w:hAnsi="宋体" w:eastAsia="宋体" w:cs="宋体"/>
          <w:b/>
          <w:bCs/>
          <w:sz w:val="24"/>
        </w:rPr>
        <w:t>（四）其它相关资格证明材料</w:t>
      </w:r>
    </w:p>
    <w:p w14:paraId="061673B2">
      <w:pPr>
        <w:autoSpaceDE w:val="0"/>
        <w:autoSpaceDN w:val="0"/>
        <w:adjustRightInd w:val="0"/>
        <w:spacing w:line="480" w:lineRule="exact"/>
        <w:ind w:firstLine="420" w:firstLineChars="200"/>
        <w:rPr>
          <w:rFonts w:hint="eastAsia" w:ascii="宋体" w:hAnsi="宋体" w:eastAsia="宋体" w:cs="宋体"/>
          <w:kern w:val="0"/>
          <w:szCs w:val="21"/>
        </w:rPr>
      </w:pPr>
      <w:bookmarkStart w:id="137" w:name="_Toc30624"/>
      <w:r>
        <w:rPr>
          <w:rFonts w:hint="eastAsia" w:ascii="宋体" w:hAnsi="宋体" w:eastAsia="宋体" w:cs="宋体"/>
          <w:kern w:val="0"/>
          <w:szCs w:val="21"/>
        </w:rPr>
        <w:t xml:space="preserve">1.法人或其他组织的有效的营业执照等证明文件； </w:t>
      </w:r>
    </w:p>
    <w:bookmarkEnd w:id="135"/>
    <w:bookmarkEnd w:id="136"/>
    <w:bookmarkEnd w:id="137"/>
    <w:p w14:paraId="26613275">
      <w:pPr>
        <w:autoSpaceDE w:val="0"/>
        <w:autoSpaceDN w:val="0"/>
        <w:adjustRightInd w:val="0"/>
        <w:spacing w:line="480" w:lineRule="exact"/>
        <w:ind w:firstLine="420" w:firstLineChars="200"/>
        <w:sectPr>
          <w:pgSz w:w="11905" w:h="16838"/>
          <w:pgMar w:top="1440" w:right="1083" w:bottom="1440" w:left="1083" w:header="850" w:footer="850" w:gutter="0"/>
          <w:cols w:space="0" w:num="1"/>
          <w:titlePg/>
          <w:rtlGutter w:val="0"/>
          <w:docGrid w:linePitch="312" w:charSpace="0"/>
        </w:sectPr>
      </w:pPr>
      <w:bookmarkStart w:id="138" w:name="_Toc480"/>
      <w:bookmarkStart w:id="139" w:name="_Toc4210"/>
      <w:bookmarkStart w:id="140" w:name="_Toc23260"/>
      <w:r>
        <w:rPr>
          <w:rFonts w:hint="eastAsia" w:ascii="宋体" w:hAnsi="宋体" w:eastAsia="宋体" w:cs="宋体"/>
          <w:kern w:val="0"/>
          <w:szCs w:val="21"/>
        </w:rPr>
        <w:t>2.</w:t>
      </w:r>
      <w:bookmarkEnd w:id="138"/>
      <w:bookmarkEnd w:id="139"/>
      <w:bookmarkEnd w:id="140"/>
      <w:r>
        <w:rPr>
          <w:rFonts w:hint="eastAsia" w:ascii="宋体" w:hAnsi="宋体" w:eastAsia="宋体" w:cs="宋体"/>
          <w:kern w:val="0"/>
          <w:szCs w:val="21"/>
        </w:rPr>
        <w:t>招标文件要求或供应商认为需提供的其它相关资格证明材料。</w:t>
      </w:r>
    </w:p>
    <w:bookmarkEnd w:id="131"/>
    <w:bookmarkEnd w:id="132"/>
    <w:bookmarkEnd w:id="133"/>
    <w:bookmarkEnd w:id="134"/>
    <w:p w14:paraId="256651A2">
      <w:pPr>
        <w:pStyle w:val="3"/>
        <w:numPr>
          <w:ilvl w:val="0"/>
          <w:numId w:val="0"/>
        </w:numPr>
        <w:jc w:val="center"/>
        <w:rPr>
          <w:rFonts w:hint="eastAsia" w:ascii="宋体" w:hAnsi="宋体" w:eastAsia="宋体" w:cs="宋体"/>
          <w:b/>
          <w:bCs w:val="0"/>
          <w:sz w:val="28"/>
          <w:szCs w:val="28"/>
        </w:rPr>
      </w:pPr>
      <w:bookmarkStart w:id="141" w:name="_Toc20087"/>
      <w:bookmarkStart w:id="142" w:name="_Toc31427"/>
      <w:bookmarkStart w:id="143" w:name="_Toc331008148"/>
      <w:bookmarkStart w:id="144" w:name="_Toc330919339"/>
      <w:bookmarkStart w:id="145" w:name="_Toc331008688"/>
      <w:bookmarkStart w:id="146" w:name="_Toc330914699"/>
      <w:r>
        <w:rPr>
          <w:rFonts w:hint="eastAsia" w:ascii="宋体" w:hAnsi="宋体" w:eastAsia="宋体" w:cs="宋体"/>
          <w:b/>
          <w:bCs w:val="0"/>
          <w:sz w:val="28"/>
          <w:szCs w:val="28"/>
        </w:rPr>
        <w:t>四、</w:t>
      </w:r>
      <w:bookmarkEnd w:id="141"/>
      <w:r>
        <w:rPr>
          <w:rFonts w:hint="eastAsia" w:ascii="宋体" w:hAnsi="宋体" w:eastAsia="宋体" w:cs="宋体"/>
          <w:b/>
          <w:bCs w:val="0"/>
          <w:sz w:val="28"/>
          <w:szCs w:val="28"/>
        </w:rPr>
        <w:t>技术部分</w:t>
      </w:r>
      <w:bookmarkEnd w:id="142"/>
    </w:p>
    <w:p w14:paraId="61566DEB">
      <w:pPr>
        <w:rPr>
          <w:sz w:val="24"/>
        </w:rPr>
      </w:pPr>
    </w:p>
    <w:p w14:paraId="4BC3C7CE">
      <w:pPr>
        <w:jc w:val="center"/>
        <w:rPr>
          <w:rFonts w:hint="eastAsia" w:ascii="宋体" w:hAnsi="宋体" w:eastAsia="宋体" w:cs="宋体"/>
          <w:szCs w:val="21"/>
        </w:rPr>
      </w:pPr>
      <w:r>
        <w:rPr>
          <w:rFonts w:hint="eastAsia" w:ascii="宋体" w:hAnsi="宋体" w:eastAsia="宋体" w:cs="宋体"/>
          <w:szCs w:val="21"/>
        </w:rPr>
        <w:t>根据“第三章评标办法”相关条款格式自拟</w:t>
      </w:r>
    </w:p>
    <w:p w14:paraId="30D51835">
      <w:pPr>
        <w:pStyle w:val="23"/>
        <w:rPr>
          <w:rFonts w:hint="eastAsia" w:ascii="华文中宋" w:hAnsi="华文中宋" w:eastAsia="华文中宋" w:cs="华文中宋"/>
          <w:highlight w:val="yellow"/>
        </w:rPr>
      </w:pPr>
    </w:p>
    <w:p w14:paraId="7A0E7215">
      <w:pPr>
        <w:pStyle w:val="23"/>
        <w:rPr>
          <w:rFonts w:hint="eastAsia" w:ascii="华文中宋" w:hAnsi="华文中宋" w:eastAsia="华文中宋" w:cs="华文中宋"/>
          <w:highlight w:val="yellow"/>
        </w:rPr>
      </w:pPr>
    </w:p>
    <w:p w14:paraId="173B7EC0">
      <w:pPr>
        <w:pStyle w:val="23"/>
        <w:rPr>
          <w:rFonts w:hint="eastAsia" w:ascii="华文中宋" w:hAnsi="华文中宋" w:eastAsia="华文中宋" w:cs="华文中宋"/>
          <w:highlight w:val="yellow"/>
        </w:rPr>
      </w:pPr>
    </w:p>
    <w:p w14:paraId="607A4D9C">
      <w:pPr>
        <w:pStyle w:val="23"/>
        <w:rPr>
          <w:rFonts w:hint="eastAsia" w:ascii="华文中宋" w:hAnsi="华文中宋" w:eastAsia="华文中宋" w:cs="华文中宋"/>
          <w:highlight w:val="yellow"/>
        </w:rPr>
      </w:pPr>
    </w:p>
    <w:p w14:paraId="4F004CE9">
      <w:pPr>
        <w:pStyle w:val="23"/>
        <w:rPr>
          <w:rFonts w:hint="eastAsia" w:ascii="华文中宋" w:hAnsi="华文中宋" w:eastAsia="华文中宋" w:cs="华文中宋"/>
          <w:highlight w:val="yellow"/>
        </w:rPr>
      </w:pPr>
    </w:p>
    <w:p w14:paraId="59936E6B">
      <w:pPr>
        <w:pStyle w:val="23"/>
        <w:rPr>
          <w:rFonts w:hint="eastAsia" w:ascii="华文中宋" w:hAnsi="华文中宋" w:eastAsia="华文中宋" w:cs="华文中宋"/>
          <w:highlight w:val="yellow"/>
        </w:rPr>
      </w:pPr>
    </w:p>
    <w:p w14:paraId="07FFEEAB">
      <w:pPr>
        <w:pStyle w:val="5"/>
        <w:rPr>
          <w:rFonts w:hint="eastAsia" w:ascii="华文中宋" w:hAnsi="华文中宋" w:eastAsia="华文中宋" w:cs="华文中宋"/>
          <w:highlight w:val="yellow"/>
        </w:rPr>
      </w:pPr>
    </w:p>
    <w:p w14:paraId="0073C9E7">
      <w:pPr>
        <w:pStyle w:val="6"/>
        <w:rPr>
          <w:rFonts w:hint="eastAsia" w:ascii="华文中宋" w:hAnsi="华文中宋" w:eastAsia="华文中宋" w:cs="华文中宋"/>
          <w:highlight w:val="yellow"/>
        </w:rPr>
      </w:pPr>
    </w:p>
    <w:p w14:paraId="751543BC">
      <w:pPr>
        <w:pStyle w:val="7"/>
        <w:rPr>
          <w:rFonts w:hint="eastAsia" w:ascii="华文中宋" w:hAnsi="华文中宋" w:eastAsia="华文中宋" w:cs="华文中宋"/>
          <w:highlight w:val="yellow"/>
        </w:rPr>
      </w:pPr>
    </w:p>
    <w:p w14:paraId="4BD47291">
      <w:pPr>
        <w:pStyle w:val="33"/>
        <w:rPr>
          <w:rFonts w:hint="eastAsia" w:ascii="华文中宋" w:hAnsi="华文中宋" w:eastAsia="华文中宋" w:cs="华文中宋"/>
          <w:highlight w:val="yellow"/>
        </w:rPr>
      </w:pPr>
    </w:p>
    <w:p w14:paraId="303C0004">
      <w:pPr>
        <w:pStyle w:val="18"/>
        <w:rPr>
          <w:rFonts w:hint="eastAsia" w:ascii="华文中宋" w:hAnsi="华文中宋" w:eastAsia="华文中宋" w:cs="华文中宋"/>
          <w:highlight w:val="yellow"/>
        </w:rPr>
      </w:pPr>
    </w:p>
    <w:p w14:paraId="08D95D0B">
      <w:pPr>
        <w:pStyle w:val="18"/>
        <w:rPr>
          <w:rFonts w:hint="eastAsia" w:ascii="华文中宋" w:hAnsi="华文中宋" w:eastAsia="华文中宋" w:cs="华文中宋"/>
          <w:highlight w:val="yellow"/>
        </w:rPr>
      </w:pPr>
    </w:p>
    <w:p w14:paraId="15D31C55">
      <w:pPr>
        <w:pStyle w:val="18"/>
        <w:rPr>
          <w:rFonts w:hint="eastAsia" w:ascii="华文中宋" w:hAnsi="华文中宋" w:eastAsia="华文中宋" w:cs="华文中宋"/>
          <w:highlight w:val="yellow"/>
        </w:rPr>
      </w:pPr>
    </w:p>
    <w:p w14:paraId="5EF2983B">
      <w:pPr>
        <w:pStyle w:val="18"/>
        <w:rPr>
          <w:rFonts w:hint="eastAsia" w:ascii="华文中宋" w:hAnsi="华文中宋" w:eastAsia="华文中宋" w:cs="华文中宋"/>
          <w:highlight w:val="yellow"/>
        </w:rPr>
      </w:pPr>
    </w:p>
    <w:p w14:paraId="1BC707D9">
      <w:pPr>
        <w:pStyle w:val="18"/>
        <w:rPr>
          <w:rFonts w:hint="eastAsia" w:ascii="华文中宋" w:hAnsi="华文中宋" w:eastAsia="华文中宋" w:cs="华文中宋"/>
          <w:highlight w:val="yellow"/>
        </w:rPr>
      </w:pPr>
    </w:p>
    <w:p w14:paraId="3D84BF56">
      <w:pPr>
        <w:pStyle w:val="18"/>
        <w:rPr>
          <w:rFonts w:hint="eastAsia" w:ascii="华文中宋" w:hAnsi="华文中宋" w:eastAsia="华文中宋" w:cs="华文中宋"/>
          <w:highlight w:val="yellow"/>
        </w:rPr>
      </w:pPr>
    </w:p>
    <w:p w14:paraId="28AD263A">
      <w:pPr>
        <w:pStyle w:val="18"/>
        <w:rPr>
          <w:rFonts w:hint="eastAsia" w:ascii="华文中宋" w:hAnsi="华文中宋" w:eastAsia="华文中宋" w:cs="华文中宋"/>
          <w:highlight w:val="yellow"/>
        </w:rPr>
      </w:pPr>
    </w:p>
    <w:p w14:paraId="15A04CB3">
      <w:pPr>
        <w:pStyle w:val="18"/>
        <w:rPr>
          <w:rFonts w:hint="eastAsia" w:ascii="华文中宋" w:hAnsi="华文中宋" w:eastAsia="华文中宋" w:cs="华文中宋"/>
          <w:highlight w:val="yellow"/>
        </w:rPr>
      </w:pPr>
    </w:p>
    <w:p w14:paraId="41AB2966">
      <w:pPr>
        <w:pStyle w:val="18"/>
        <w:rPr>
          <w:rFonts w:hint="eastAsia" w:ascii="华文中宋" w:hAnsi="华文中宋" w:eastAsia="华文中宋" w:cs="华文中宋"/>
          <w:highlight w:val="yellow"/>
        </w:rPr>
      </w:pPr>
    </w:p>
    <w:p w14:paraId="5E5FF4A3">
      <w:pPr>
        <w:pStyle w:val="18"/>
        <w:rPr>
          <w:rFonts w:hint="eastAsia" w:ascii="华文中宋" w:hAnsi="华文中宋" w:eastAsia="华文中宋" w:cs="华文中宋"/>
          <w:highlight w:val="yellow"/>
        </w:rPr>
      </w:pPr>
    </w:p>
    <w:p w14:paraId="2238EF1A">
      <w:pPr>
        <w:pStyle w:val="18"/>
        <w:rPr>
          <w:rFonts w:hint="eastAsia" w:ascii="华文中宋" w:hAnsi="华文中宋" w:eastAsia="华文中宋" w:cs="华文中宋"/>
          <w:highlight w:val="yellow"/>
        </w:rPr>
      </w:pPr>
    </w:p>
    <w:p w14:paraId="7D3982C5">
      <w:pPr>
        <w:pStyle w:val="18"/>
        <w:rPr>
          <w:rFonts w:hint="eastAsia" w:ascii="华文中宋" w:hAnsi="华文中宋" w:eastAsia="华文中宋" w:cs="华文中宋"/>
          <w:highlight w:val="yellow"/>
        </w:rPr>
      </w:pPr>
    </w:p>
    <w:p w14:paraId="225AC6F7">
      <w:pPr>
        <w:pStyle w:val="18"/>
        <w:rPr>
          <w:rFonts w:hint="eastAsia" w:ascii="华文中宋" w:hAnsi="华文中宋" w:eastAsia="华文中宋" w:cs="华文中宋"/>
          <w:highlight w:val="yellow"/>
        </w:rPr>
      </w:pPr>
    </w:p>
    <w:p w14:paraId="0F8FADE7">
      <w:pPr>
        <w:pStyle w:val="23"/>
        <w:rPr>
          <w:rFonts w:hint="eastAsia" w:ascii="华文中宋" w:hAnsi="华文中宋" w:eastAsia="华文中宋" w:cs="华文中宋"/>
          <w:highlight w:val="yellow"/>
        </w:rPr>
      </w:pPr>
    </w:p>
    <w:p w14:paraId="160F24ED">
      <w:pPr>
        <w:ind w:left="360" w:firstLine="105" w:firstLineChars="50"/>
        <w:rPr>
          <w:rFonts w:hint="eastAsia" w:ascii="华文中宋" w:hAnsi="华文中宋" w:eastAsia="华文中宋" w:cs="华文中宋"/>
          <w:highlight w:val="yellow"/>
        </w:rPr>
      </w:pPr>
    </w:p>
    <w:p w14:paraId="5E085FCD">
      <w:pPr>
        <w:ind w:left="360" w:firstLine="105" w:firstLineChars="50"/>
        <w:rPr>
          <w:rFonts w:hint="eastAsia" w:ascii="华文中宋" w:hAnsi="华文中宋" w:eastAsia="华文中宋" w:cs="华文中宋"/>
          <w:highlight w:val="yellow"/>
        </w:rPr>
      </w:pPr>
    </w:p>
    <w:p w14:paraId="02503529">
      <w:pPr>
        <w:ind w:left="360" w:firstLine="105" w:firstLineChars="50"/>
        <w:rPr>
          <w:rFonts w:hint="eastAsia" w:ascii="华文中宋" w:hAnsi="华文中宋" w:eastAsia="华文中宋" w:cs="华文中宋"/>
          <w:highlight w:val="yellow"/>
        </w:rPr>
      </w:pPr>
    </w:p>
    <w:p w14:paraId="5A1418C5">
      <w:pPr>
        <w:pStyle w:val="3"/>
        <w:numPr>
          <w:ilvl w:val="0"/>
          <w:numId w:val="0"/>
        </w:numPr>
        <w:jc w:val="center"/>
        <w:rPr>
          <w:rFonts w:hint="eastAsia" w:ascii="宋体" w:hAnsi="宋体" w:eastAsia="宋体" w:cs="宋体"/>
          <w:b/>
          <w:bCs w:val="0"/>
          <w:sz w:val="28"/>
          <w:szCs w:val="28"/>
        </w:rPr>
        <w:sectPr>
          <w:pgSz w:w="11905" w:h="16838"/>
          <w:pgMar w:top="1440" w:right="1083" w:bottom="1440" w:left="1083" w:header="850" w:footer="850" w:gutter="0"/>
          <w:cols w:space="0" w:num="1"/>
          <w:titlePg/>
          <w:rtlGutter w:val="0"/>
          <w:docGrid w:linePitch="312" w:charSpace="0"/>
        </w:sectPr>
      </w:pPr>
      <w:bookmarkStart w:id="147" w:name="_Toc17579"/>
    </w:p>
    <w:p w14:paraId="50072438">
      <w:pPr>
        <w:pStyle w:val="3"/>
        <w:keepNext/>
        <w:keepLines/>
        <w:pageBreakBefore w:val="0"/>
        <w:widowControl w:val="0"/>
        <w:numPr>
          <w:ilvl w:val="0"/>
          <w:numId w:val="0"/>
        </w:numPr>
        <w:kinsoku/>
        <w:wordWrap/>
        <w:overflowPunct/>
        <w:topLinePunct w:val="0"/>
        <w:autoSpaceDE/>
        <w:autoSpaceDN/>
        <w:bidi w:val="0"/>
        <w:adjustRightInd/>
        <w:snapToGrid/>
        <w:spacing w:before="160" w:beforeLines="50"/>
        <w:jc w:val="center"/>
        <w:textAlignment w:val="auto"/>
        <w:rPr>
          <w:rFonts w:hint="eastAsia" w:ascii="宋体" w:hAnsi="宋体" w:eastAsia="宋体" w:cs="宋体"/>
          <w:b/>
          <w:bCs w:val="0"/>
          <w:sz w:val="28"/>
          <w:szCs w:val="28"/>
        </w:rPr>
      </w:pPr>
      <w:bookmarkStart w:id="148" w:name="_Toc8246"/>
      <w:r>
        <w:rPr>
          <w:rFonts w:hint="eastAsia" w:ascii="宋体" w:hAnsi="宋体" w:eastAsia="宋体" w:cs="宋体"/>
          <w:b/>
          <w:bCs w:val="0"/>
          <w:sz w:val="28"/>
          <w:szCs w:val="28"/>
        </w:rPr>
        <w:t>五、</w:t>
      </w:r>
      <w:bookmarkEnd w:id="147"/>
      <w:r>
        <w:rPr>
          <w:rFonts w:hint="eastAsia" w:ascii="宋体" w:hAnsi="宋体" w:eastAsia="宋体" w:cs="宋体"/>
          <w:b/>
          <w:bCs w:val="0"/>
          <w:sz w:val="28"/>
          <w:szCs w:val="28"/>
        </w:rPr>
        <w:t>商务部分</w:t>
      </w:r>
      <w:bookmarkEnd w:id="148"/>
    </w:p>
    <w:p w14:paraId="3D056358">
      <w:pPr>
        <w:pStyle w:val="4"/>
        <w:rPr>
          <w:rFonts w:hint="eastAsia" w:ascii="宋体" w:hAnsi="宋体" w:eastAsia="宋体" w:cs="宋体"/>
          <w:szCs w:val="28"/>
        </w:rPr>
      </w:pPr>
      <w:bookmarkStart w:id="149" w:name="_Toc1585"/>
      <w:bookmarkStart w:id="150" w:name="_Toc19594"/>
      <w:bookmarkStart w:id="151" w:name="_Toc15954"/>
      <w:bookmarkStart w:id="152" w:name="_Toc15411"/>
      <w:bookmarkStart w:id="153" w:name="_Toc570"/>
      <w:bookmarkStart w:id="154" w:name="_Toc1849"/>
      <w:bookmarkStart w:id="155" w:name="_Toc8723"/>
      <w:r>
        <w:rPr>
          <w:rFonts w:hint="eastAsia" w:ascii="宋体" w:hAnsi="宋体" w:eastAsia="宋体" w:cs="宋体"/>
          <w:szCs w:val="28"/>
        </w:rPr>
        <w:t>（一）拟派项目组成员一览表</w:t>
      </w:r>
      <w:bookmarkEnd w:id="149"/>
      <w:bookmarkEnd w:id="150"/>
      <w:bookmarkEnd w:id="151"/>
      <w:bookmarkEnd w:id="152"/>
      <w:bookmarkEnd w:id="153"/>
      <w:bookmarkEnd w:id="154"/>
      <w:bookmarkEnd w:id="155"/>
    </w:p>
    <w:tbl>
      <w:tblPr>
        <w:tblStyle w:val="24"/>
        <w:tblW w:w="8975"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4"/>
        <w:gridCol w:w="1322"/>
        <w:gridCol w:w="1322"/>
        <w:gridCol w:w="1323"/>
        <w:gridCol w:w="1627"/>
        <w:gridCol w:w="1627"/>
      </w:tblGrid>
      <w:tr w14:paraId="43421B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jc w:val="center"/>
        </w:trPr>
        <w:tc>
          <w:tcPr>
            <w:tcW w:w="1754" w:type="dxa"/>
            <w:tcBorders>
              <w:tl2br w:val="nil"/>
              <w:tr2bl w:val="nil"/>
            </w:tcBorders>
            <w:noWrap/>
            <w:vAlign w:val="center"/>
          </w:tcPr>
          <w:p w14:paraId="12C0E922">
            <w:pPr>
              <w:spacing w:line="336" w:lineRule="auto"/>
              <w:jc w:val="center"/>
              <w:rPr>
                <w:rFonts w:hint="eastAsia" w:ascii="宋体" w:hAnsi="宋体" w:eastAsia="宋体" w:cs="宋体"/>
                <w:b/>
                <w:bCs/>
                <w:szCs w:val="21"/>
              </w:rPr>
            </w:pPr>
            <w:r>
              <w:rPr>
                <w:rFonts w:hint="eastAsia" w:ascii="宋体" w:hAnsi="宋体" w:eastAsia="宋体" w:cs="宋体"/>
                <w:b/>
                <w:bCs/>
                <w:szCs w:val="21"/>
              </w:rPr>
              <w:t>姓名</w:t>
            </w:r>
          </w:p>
        </w:tc>
        <w:tc>
          <w:tcPr>
            <w:tcW w:w="1322" w:type="dxa"/>
            <w:tcBorders>
              <w:tl2br w:val="nil"/>
              <w:tr2bl w:val="nil"/>
            </w:tcBorders>
            <w:noWrap/>
            <w:vAlign w:val="center"/>
          </w:tcPr>
          <w:p w14:paraId="0DBC7FBE">
            <w:pPr>
              <w:spacing w:line="336" w:lineRule="auto"/>
              <w:jc w:val="center"/>
              <w:rPr>
                <w:rFonts w:hint="eastAsia" w:ascii="宋体" w:hAnsi="宋体" w:eastAsia="宋体" w:cs="宋体"/>
                <w:b/>
                <w:bCs/>
                <w:szCs w:val="21"/>
              </w:rPr>
            </w:pPr>
            <w:r>
              <w:rPr>
                <w:rFonts w:hint="eastAsia" w:ascii="宋体" w:hAnsi="宋体" w:eastAsia="宋体" w:cs="宋体"/>
                <w:b/>
                <w:bCs/>
                <w:szCs w:val="21"/>
              </w:rPr>
              <w:t>职务</w:t>
            </w:r>
          </w:p>
        </w:tc>
        <w:tc>
          <w:tcPr>
            <w:tcW w:w="1322" w:type="dxa"/>
            <w:tcBorders>
              <w:tl2br w:val="nil"/>
              <w:tr2bl w:val="nil"/>
            </w:tcBorders>
            <w:noWrap/>
            <w:vAlign w:val="center"/>
          </w:tcPr>
          <w:p w14:paraId="137D4CF4">
            <w:pPr>
              <w:spacing w:line="336" w:lineRule="auto"/>
              <w:jc w:val="center"/>
              <w:rPr>
                <w:rFonts w:hint="eastAsia" w:ascii="宋体" w:hAnsi="宋体" w:eastAsia="宋体" w:cs="宋体"/>
                <w:b/>
                <w:bCs/>
                <w:szCs w:val="21"/>
              </w:rPr>
            </w:pPr>
            <w:r>
              <w:rPr>
                <w:rFonts w:hint="eastAsia" w:ascii="宋体" w:hAnsi="宋体" w:eastAsia="宋体" w:cs="宋体"/>
                <w:b/>
                <w:bCs/>
                <w:szCs w:val="21"/>
              </w:rPr>
              <w:t>职称/资格证书</w:t>
            </w:r>
          </w:p>
        </w:tc>
        <w:tc>
          <w:tcPr>
            <w:tcW w:w="1323" w:type="dxa"/>
            <w:tcBorders>
              <w:tl2br w:val="nil"/>
              <w:tr2bl w:val="nil"/>
            </w:tcBorders>
            <w:noWrap/>
            <w:vAlign w:val="center"/>
          </w:tcPr>
          <w:p w14:paraId="48FDF792">
            <w:pPr>
              <w:spacing w:line="336" w:lineRule="auto"/>
              <w:jc w:val="center"/>
              <w:rPr>
                <w:rFonts w:hint="eastAsia" w:ascii="宋体" w:hAnsi="宋体" w:eastAsia="宋体" w:cs="宋体"/>
                <w:b/>
                <w:bCs/>
                <w:szCs w:val="21"/>
              </w:rPr>
            </w:pPr>
            <w:r>
              <w:rPr>
                <w:rFonts w:hint="eastAsia" w:ascii="宋体" w:hAnsi="宋体" w:eastAsia="宋体" w:cs="宋体"/>
                <w:b/>
                <w:bCs/>
                <w:szCs w:val="21"/>
              </w:rPr>
              <w:t>学历</w:t>
            </w:r>
          </w:p>
        </w:tc>
        <w:tc>
          <w:tcPr>
            <w:tcW w:w="1627" w:type="dxa"/>
            <w:tcBorders>
              <w:tl2br w:val="nil"/>
              <w:tr2bl w:val="nil"/>
            </w:tcBorders>
            <w:noWrap/>
            <w:vAlign w:val="center"/>
          </w:tcPr>
          <w:p w14:paraId="520F6817">
            <w:pPr>
              <w:spacing w:line="336" w:lineRule="auto"/>
              <w:jc w:val="center"/>
              <w:rPr>
                <w:rFonts w:hint="eastAsia" w:ascii="宋体" w:hAnsi="宋体" w:eastAsia="宋体" w:cs="宋体"/>
                <w:b/>
                <w:bCs/>
                <w:szCs w:val="21"/>
              </w:rPr>
            </w:pPr>
            <w:r>
              <w:rPr>
                <w:rFonts w:hint="eastAsia" w:ascii="宋体" w:hAnsi="宋体" w:eastAsia="宋体" w:cs="宋体"/>
                <w:b/>
                <w:bCs/>
                <w:szCs w:val="21"/>
              </w:rPr>
              <w:t>在本项目中拟担任的工作</w:t>
            </w:r>
          </w:p>
        </w:tc>
        <w:tc>
          <w:tcPr>
            <w:tcW w:w="1627" w:type="dxa"/>
            <w:tcBorders>
              <w:tl2br w:val="nil"/>
              <w:tr2bl w:val="nil"/>
            </w:tcBorders>
            <w:noWrap/>
            <w:vAlign w:val="center"/>
          </w:tcPr>
          <w:p w14:paraId="34192235">
            <w:pPr>
              <w:spacing w:line="336" w:lineRule="auto"/>
              <w:jc w:val="center"/>
              <w:rPr>
                <w:rFonts w:hint="eastAsia" w:ascii="宋体" w:hAnsi="宋体" w:eastAsia="宋体" w:cs="宋体"/>
                <w:b/>
                <w:bCs/>
                <w:szCs w:val="21"/>
              </w:rPr>
            </w:pPr>
            <w:r>
              <w:rPr>
                <w:rFonts w:hint="eastAsia" w:ascii="宋体" w:hAnsi="宋体" w:eastAsia="宋体" w:cs="宋体"/>
                <w:b/>
                <w:bCs/>
                <w:szCs w:val="21"/>
              </w:rPr>
              <w:t>以往服务作业项目中的经验</w:t>
            </w:r>
          </w:p>
        </w:tc>
      </w:tr>
      <w:tr w14:paraId="3A1884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5A2BABAF">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5866467E">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6AB3B85">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52173ECC">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60D0FE03">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CAD9421">
            <w:pPr>
              <w:spacing w:line="336" w:lineRule="auto"/>
              <w:jc w:val="center"/>
              <w:rPr>
                <w:rFonts w:hint="eastAsia" w:ascii="宋体" w:hAnsi="宋体" w:eastAsia="宋体" w:cs="宋体"/>
                <w:szCs w:val="21"/>
              </w:rPr>
            </w:pPr>
          </w:p>
        </w:tc>
      </w:tr>
      <w:tr w14:paraId="07B958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598F3DFE">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74A0D7E">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1EF47AE9">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241BF1D8">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5F19C3F5">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7A7F7BB2">
            <w:pPr>
              <w:spacing w:line="336" w:lineRule="auto"/>
              <w:jc w:val="center"/>
              <w:rPr>
                <w:rFonts w:hint="eastAsia" w:ascii="宋体" w:hAnsi="宋体" w:eastAsia="宋体" w:cs="宋体"/>
                <w:szCs w:val="21"/>
              </w:rPr>
            </w:pPr>
          </w:p>
        </w:tc>
      </w:tr>
      <w:tr w14:paraId="7A61A2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754" w:type="dxa"/>
            <w:tcBorders>
              <w:tl2br w:val="nil"/>
              <w:tr2bl w:val="nil"/>
            </w:tcBorders>
            <w:noWrap/>
            <w:vAlign w:val="center"/>
          </w:tcPr>
          <w:p w14:paraId="6C932A9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4D4E86C">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56E558DD">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378F0A20">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0584406D">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3DA83E0F">
            <w:pPr>
              <w:spacing w:line="336" w:lineRule="auto"/>
              <w:jc w:val="center"/>
              <w:rPr>
                <w:rFonts w:hint="eastAsia" w:ascii="宋体" w:hAnsi="宋体" w:eastAsia="宋体" w:cs="宋体"/>
                <w:szCs w:val="21"/>
              </w:rPr>
            </w:pPr>
          </w:p>
        </w:tc>
      </w:tr>
      <w:tr w14:paraId="7A9852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0EA725DE">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3D64735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51A8B0B5">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4F8FF821">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612EE4CD">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5F0C6C01">
            <w:pPr>
              <w:spacing w:line="336" w:lineRule="auto"/>
              <w:jc w:val="center"/>
              <w:rPr>
                <w:rFonts w:hint="eastAsia" w:ascii="宋体" w:hAnsi="宋体" w:eastAsia="宋体" w:cs="宋体"/>
                <w:szCs w:val="21"/>
              </w:rPr>
            </w:pPr>
          </w:p>
        </w:tc>
      </w:tr>
      <w:tr w14:paraId="70F518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754" w:type="dxa"/>
            <w:tcBorders>
              <w:tl2br w:val="nil"/>
              <w:tr2bl w:val="nil"/>
            </w:tcBorders>
            <w:noWrap/>
            <w:vAlign w:val="center"/>
          </w:tcPr>
          <w:p w14:paraId="40B1616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FF18AA5">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2060D5ED">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3DFBB3D9">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7C2F61FF">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0CF6F7E">
            <w:pPr>
              <w:spacing w:line="336" w:lineRule="auto"/>
              <w:jc w:val="center"/>
              <w:rPr>
                <w:rFonts w:hint="eastAsia" w:ascii="宋体" w:hAnsi="宋体" w:eastAsia="宋体" w:cs="宋体"/>
                <w:szCs w:val="21"/>
              </w:rPr>
            </w:pPr>
          </w:p>
        </w:tc>
      </w:tr>
      <w:tr w14:paraId="4F02A3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05B41DE6">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9EBB4ED">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1288E707">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2913C5D8">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7699C230">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03BB99A9">
            <w:pPr>
              <w:spacing w:line="336" w:lineRule="auto"/>
              <w:jc w:val="center"/>
              <w:rPr>
                <w:rFonts w:hint="eastAsia" w:ascii="宋体" w:hAnsi="宋体" w:eastAsia="宋体" w:cs="宋体"/>
                <w:szCs w:val="21"/>
              </w:rPr>
            </w:pPr>
          </w:p>
        </w:tc>
      </w:tr>
      <w:tr w14:paraId="1BE054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3341FEC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05D6EF09">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219CD33C">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186069A9">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5C22919">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4AF8078">
            <w:pPr>
              <w:spacing w:line="336" w:lineRule="auto"/>
              <w:jc w:val="center"/>
              <w:rPr>
                <w:rFonts w:hint="eastAsia" w:ascii="宋体" w:hAnsi="宋体" w:eastAsia="宋体" w:cs="宋体"/>
                <w:szCs w:val="21"/>
              </w:rPr>
            </w:pPr>
          </w:p>
        </w:tc>
      </w:tr>
      <w:tr w14:paraId="4A0D7A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0803B775">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11A1B81B">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0420AAEB">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7449BB4E">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BA3998B">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5E464D39">
            <w:pPr>
              <w:spacing w:line="336" w:lineRule="auto"/>
              <w:jc w:val="center"/>
              <w:rPr>
                <w:rFonts w:hint="eastAsia" w:ascii="宋体" w:hAnsi="宋体" w:eastAsia="宋体" w:cs="宋体"/>
                <w:szCs w:val="21"/>
              </w:rPr>
            </w:pPr>
          </w:p>
        </w:tc>
      </w:tr>
      <w:tr w14:paraId="46A2C2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54" w:type="dxa"/>
            <w:tcBorders>
              <w:tl2br w:val="nil"/>
              <w:tr2bl w:val="nil"/>
            </w:tcBorders>
            <w:noWrap/>
            <w:vAlign w:val="center"/>
          </w:tcPr>
          <w:p w14:paraId="022E82F8">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4D63170B">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D77EE9E">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2D0A0A47">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75390867">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2804439E">
            <w:pPr>
              <w:spacing w:line="336" w:lineRule="auto"/>
              <w:jc w:val="center"/>
              <w:rPr>
                <w:rFonts w:hint="eastAsia" w:ascii="宋体" w:hAnsi="宋体" w:eastAsia="宋体" w:cs="宋体"/>
                <w:szCs w:val="21"/>
              </w:rPr>
            </w:pPr>
          </w:p>
        </w:tc>
      </w:tr>
      <w:tr w14:paraId="17B832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754" w:type="dxa"/>
            <w:tcBorders>
              <w:tl2br w:val="nil"/>
              <w:tr2bl w:val="nil"/>
            </w:tcBorders>
            <w:noWrap/>
            <w:vAlign w:val="center"/>
          </w:tcPr>
          <w:p w14:paraId="6D1E4AE7">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3E2C839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4CC0310F">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0426EF0F">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64ADC76C">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79C8642E">
            <w:pPr>
              <w:spacing w:line="336" w:lineRule="auto"/>
              <w:jc w:val="center"/>
              <w:rPr>
                <w:rFonts w:hint="eastAsia" w:ascii="宋体" w:hAnsi="宋体" w:eastAsia="宋体" w:cs="宋体"/>
                <w:szCs w:val="21"/>
              </w:rPr>
            </w:pPr>
          </w:p>
        </w:tc>
      </w:tr>
      <w:tr w14:paraId="613955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754" w:type="dxa"/>
            <w:tcBorders>
              <w:tl2br w:val="nil"/>
              <w:tr2bl w:val="nil"/>
            </w:tcBorders>
            <w:noWrap/>
            <w:vAlign w:val="center"/>
          </w:tcPr>
          <w:p w14:paraId="1080855D">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2D88F370">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79EFE16E">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02A83FB0">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0B9FE6D5">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10672D16">
            <w:pPr>
              <w:spacing w:line="336" w:lineRule="auto"/>
              <w:jc w:val="center"/>
              <w:rPr>
                <w:rFonts w:hint="eastAsia" w:ascii="宋体" w:hAnsi="宋体" w:eastAsia="宋体" w:cs="宋体"/>
                <w:szCs w:val="21"/>
              </w:rPr>
            </w:pPr>
          </w:p>
        </w:tc>
      </w:tr>
      <w:tr w14:paraId="689D33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754" w:type="dxa"/>
            <w:tcBorders>
              <w:tl2br w:val="nil"/>
              <w:tr2bl w:val="nil"/>
            </w:tcBorders>
            <w:noWrap/>
            <w:vAlign w:val="center"/>
          </w:tcPr>
          <w:p w14:paraId="6F9ECDD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3A4AAFA1">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5E40921F">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6E3298E8">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262100D5">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5B29AB4B">
            <w:pPr>
              <w:spacing w:line="336" w:lineRule="auto"/>
              <w:jc w:val="center"/>
              <w:rPr>
                <w:rFonts w:hint="eastAsia" w:ascii="宋体" w:hAnsi="宋体" w:eastAsia="宋体" w:cs="宋体"/>
                <w:szCs w:val="21"/>
              </w:rPr>
            </w:pPr>
          </w:p>
        </w:tc>
      </w:tr>
      <w:tr w14:paraId="7D2E75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4" w:type="dxa"/>
            <w:tcBorders>
              <w:tl2br w:val="nil"/>
              <w:tr2bl w:val="nil"/>
            </w:tcBorders>
            <w:noWrap/>
            <w:vAlign w:val="center"/>
          </w:tcPr>
          <w:p w14:paraId="71D79FAC">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78156F89">
            <w:pPr>
              <w:spacing w:line="336" w:lineRule="auto"/>
              <w:jc w:val="center"/>
              <w:rPr>
                <w:rFonts w:hint="eastAsia" w:ascii="宋体" w:hAnsi="宋体" w:eastAsia="宋体" w:cs="宋体"/>
                <w:szCs w:val="21"/>
              </w:rPr>
            </w:pPr>
          </w:p>
        </w:tc>
        <w:tc>
          <w:tcPr>
            <w:tcW w:w="1322" w:type="dxa"/>
            <w:tcBorders>
              <w:tl2br w:val="nil"/>
              <w:tr2bl w:val="nil"/>
            </w:tcBorders>
            <w:noWrap/>
            <w:vAlign w:val="center"/>
          </w:tcPr>
          <w:p w14:paraId="6964C3E4">
            <w:pPr>
              <w:spacing w:line="336" w:lineRule="auto"/>
              <w:jc w:val="center"/>
              <w:rPr>
                <w:rFonts w:hint="eastAsia" w:ascii="宋体" w:hAnsi="宋体" w:eastAsia="宋体" w:cs="宋体"/>
                <w:szCs w:val="21"/>
              </w:rPr>
            </w:pPr>
          </w:p>
        </w:tc>
        <w:tc>
          <w:tcPr>
            <w:tcW w:w="1323" w:type="dxa"/>
            <w:tcBorders>
              <w:tl2br w:val="nil"/>
              <w:tr2bl w:val="nil"/>
            </w:tcBorders>
            <w:noWrap/>
            <w:vAlign w:val="center"/>
          </w:tcPr>
          <w:p w14:paraId="59BBFC09">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1BC0C8ED">
            <w:pPr>
              <w:spacing w:line="336" w:lineRule="auto"/>
              <w:jc w:val="center"/>
              <w:rPr>
                <w:rFonts w:hint="eastAsia" w:ascii="宋体" w:hAnsi="宋体" w:eastAsia="宋体" w:cs="宋体"/>
                <w:szCs w:val="21"/>
              </w:rPr>
            </w:pPr>
          </w:p>
        </w:tc>
        <w:tc>
          <w:tcPr>
            <w:tcW w:w="1627" w:type="dxa"/>
            <w:tcBorders>
              <w:tl2br w:val="nil"/>
              <w:tr2bl w:val="nil"/>
            </w:tcBorders>
            <w:noWrap/>
            <w:vAlign w:val="center"/>
          </w:tcPr>
          <w:p w14:paraId="4DE8F5E7">
            <w:pPr>
              <w:spacing w:line="336" w:lineRule="auto"/>
              <w:jc w:val="center"/>
              <w:rPr>
                <w:rFonts w:hint="eastAsia" w:ascii="宋体" w:hAnsi="宋体" w:eastAsia="宋体" w:cs="宋体"/>
                <w:szCs w:val="21"/>
              </w:rPr>
            </w:pPr>
          </w:p>
        </w:tc>
      </w:tr>
    </w:tbl>
    <w:p w14:paraId="7A5FE1B5">
      <w:pPr>
        <w:spacing w:line="360" w:lineRule="exact"/>
        <w:ind w:firstLine="3675" w:firstLineChars="1750"/>
        <w:rPr>
          <w:rFonts w:hint="eastAsia" w:ascii="宋体" w:hAnsi="宋体" w:eastAsia="宋体" w:cs="宋体"/>
          <w:szCs w:val="21"/>
        </w:rPr>
      </w:pPr>
    </w:p>
    <w:p w14:paraId="4B62CDF8">
      <w:pPr>
        <w:rPr>
          <w:rFonts w:hint="eastAsia" w:ascii="宋体" w:hAnsi="宋体" w:eastAsia="宋体" w:cs="宋体"/>
          <w:bCs/>
          <w:szCs w:val="21"/>
        </w:rPr>
      </w:pPr>
      <w:r>
        <w:rPr>
          <w:rFonts w:hint="eastAsia" w:ascii="宋体" w:hAnsi="宋体" w:eastAsia="宋体" w:cs="宋体"/>
          <w:bCs/>
          <w:szCs w:val="21"/>
        </w:rPr>
        <w:t>（此表可延长）</w:t>
      </w:r>
    </w:p>
    <w:p w14:paraId="28848E9E">
      <w:pPr>
        <w:rPr>
          <w:rFonts w:hint="eastAsia" w:ascii="宋体" w:hAnsi="宋体" w:eastAsia="宋体" w:cs="宋体"/>
          <w:bCs/>
          <w:szCs w:val="21"/>
        </w:rPr>
      </w:pPr>
      <w:r>
        <w:rPr>
          <w:rFonts w:hint="eastAsia" w:ascii="宋体" w:hAnsi="宋体" w:eastAsia="宋体" w:cs="宋体"/>
          <w:bCs/>
          <w:szCs w:val="21"/>
        </w:rPr>
        <w:t>备注：</w:t>
      </w:r>
      <w:r>
        <w:rPr>
          <w:rFonts w:hint="eastAsia" w:ascii="宋体" w:hAnsi="宋体" w:eastAsia="宋体" w:cs="宋体"/>
          <w:szCs w:val="21"/>
        </w:rPr>
        <w:t>须附</w:t>
      </w:r>
      <w:r>
        <w:rPr>
          <w:rFonts w:hint="eastAsia" w:ascii="宋体" w:hAnsi="宋体" w:eastAsia="宋体" w:cs="宋体"/>
          <w:bCs/>
          <w:szCs w:val="21"/>
        </w:rPr>
        <w:t>资格证书（如有）、劳动合同等证明材料，并加盖单位公章。</w:t>
      </w:r>
    </w:p>
    <w:p w14:paraId="00600FFB">
      <w:pPr>
        <w:rPr>
          <w:rFonts w:hint="eastAsia" w:ascii="宋体" w:hAnsi="宋体" w:eastAsia="宋体" w:cs="宋体"/>
          <w:szCs w:val="21"/>
        </w:rPr>
      </w:pPr>
    </w:p>
    <w:p w14:paraId="0051B5BA">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供应商名称：</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59B5541F">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1C691047">
      <w:pPr>
        <w:autoSpaceDE w:val="0"/>
        <w:autoSpaceDN w:val="0"/>
        <w:adjustRightInd w:val="0"/>
        <w:ind w:firstLine="5670" w:firstLineChars="2700"/>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r>
        <w:rPr>
          <w:rFonts w:hint="eastAsia"/>
        </w:rPr>
        <w:t xml:space="preserve">   </w:t>
      </w:r>
    </w:p>
    <w:p w14:paraId="05A23EA6">
      <w:bookmarkStart w:id="156" w:name="_Toc9748"/>
      <w:bookmarkStart w:id="157" w:name="_Toc3108"/>
      <w:bookmarkStart w:id="158" w:name="_Toc5039"/>
      <w:bookmarkStart w:id="159" w:name="_Toc119"/>
      <w:bookmarkStart w:id="160" w:name="_Toc25436"/>
    </w:p>
    <w:p w14:paraId="3C4A2B64">
      <w:pPr>
        <w:pStyle w:val="4"/>
        <w:rPr>
          <w:rFonts w:hint="eastAsia" w:ascii="宋体" w:hAnsi="宋体" w:eastAsia="宋体" w:cs="宋体"/>
          <w:szCs w:val="28"/>
        </w:rPr>
      </w:pPr>
      <w:bookmarkStart w:id="161" w:name="_Toc3341"/>
      <w:bookmarkStart w:id="162" w:name="_Toc11902"/>
      <w:r>
        <w:rPr>
          <w:rFonts w:hint="eastAsia" w:ascii="宋体" w:hAnsi="宋体" w:eastAsia="宋体" w:cs="宋体"/>
          <w:szCs w:val="28"/>
        </w:rPr>
        <w:t>（二）类似项目业绩一览表</w:t>
      </w:r>
      <w:bookmarkEnd w:id="156"/>
      <w:bookmarkEnd w:id="157"/>
      <w:bookmarkEnd w:id="158"/>
      <w:bookmarkEnd w:id="159"/>
      <w:bookmarkEnd w:id="160"/>
      <w:bookmarkEnd w:id="161"/>
      <w:bookmarkEnd w:id="162"/>
    </w:p>
    <w:p w14:paraId="046F60F1"/>
    <w:tbl>
      <w:tblPr>
        <w:tblStyle w:val="24"/>
        <w:tblpPr w:leftFromText="180" w:rightFromText="180" w:vertAnchor="text" w:horzAnchor="page" w:tblpX="1269" w:tblpY="16"/>
        <w:tblOverlap w:val="never"/>
        <w:tblW w:w="9657"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2876"/>
        <w:gridCol w:w="1438"/>
        <w:gridCol w:w="2089"/>
        <w:gridCol w:w="1332"/>
        <w:gridCol w:w="1241"/>
      </w:tblGrid>
      <w:tr w14:paraId="01F85F3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81" w:type="dxa"/>
            <w:tcBorders>
              <w:top w:val="double" w:color="auto" w:sz="4" w:space="0"/>
              <w:left w:val="double" w:color="auto" w:sz="4" w:space="0"/>
              <w:bottom w:val="single" w:color="auto" w:sz="6" w:space="0"/>
              <w:right w:val="single" w:color="auto" w:sz="6" w:space="0"/>
            </w:tcBorders>
            <w:noWrap/>
            <w:vAlign w:val="center"/>
          </w:tcPr>
          <w:p w14:paraId="3FE6A736">
            <w:pPr>
              <w:spacing w:before="156" w:after="156" w:line="340" w:lineRule="exact"/>
              <w:jc w:val="center"/>
              <w:rPr>
                <w:rFonts w:hint="eastAsia" w:ascii="宋体" w:hAnsi="宋体" w:eastAsia="宋体" w:cs="宋体"/>
                <w:b/>
                <w:szCs w:val="21"/>
              </w:rPr>
            </w:pPr>
            <w:r>
              <w:rPr>
                <w:rFonts w:hint="eastAsia" w:ascii="宋体" w:hAnsi="宋体" w:eastAsia="宋体" w:cs="宋体"/>
                <w:b/>
                <w:szCs w:val="21"/>
              </w:rPr>
              <w:t>序号</w:t>
            </w:r>
          </w:p>
        </w:tc>
        <w:tc>
          <w:tcPr>
            <w:tcW w:w="2876" w:type="dxa"/>
            <w:tcBorders>
              <w:top w:val="double" w:color="auto" w:sz="4" w:space="0"/>
              <w:left w:val="single" w:color="auto" w:sz="6" w:space="0"/>
              <w:bottom w:val="single" w:color="auto" w:sz="6" w:space="0"/>
              <w:right w:val="single" w:color="auto" w:sz="6" w:space="0"/>
            </w:tcBorders>
            <w:noWrap/>
            <w:vAlign w:val="center"/>
          </w:tcPr>
          <w:p w14:paraId="0EA99C29">
            <w:pPr>
              <w:spacing w:before="156" w:after="156" w:line="340" w:lineRule="exact"/>
              <w:jc w:val="center"/>
              <w:rPr>
                <w:rFonts w:hint="eastAsia" w:ascii="宋体" w:hAnsi="宋体" w:eastAsia="宋体" w:cs="宋体"/>
                <w:b/>
                <w:szCs w:val="21"/>
              </w:rPr>
            </w:pPr>
            <w:r>
              <w:rPr>
                <w:rFonts w:hint="eastAsia" w:ascii="宋体" w:hAnsi="宋体" w:eastAsia="宋体" w:cs="宋体"/>
                <w:b/>
                <w:szCs w:val="21"/>
              </w:rPr>
              <w:t>项目名称</w:t>
            </w:r>
          </w:p>
        </w:tc>
        <w:tc>
          <w:tcPr>
            <w:tcW w:w="1438" w:type="dxa"/>
            <w:tcBorders>
              <w:top w:val="double" w:color="auto" w:sz="4" w:space="0"/>
              <w:left w:val="single" w:color="auto" w:sz="6" w:space="0"/>
              <w:bottom w:val="single" w:color="auto" w:sz="6" w:space="0"/>
              <w:right w:val="single" w:color="auto" w:sz="6" w:space="0"/>
            </w:tcBorders>
            <w:noWrap/>
            <w:vAlign w:val="center"/>
          </w:tcPr>
          <w:p w14:paraId="1BD886B2">
            <w:pPr>
              <w:spacing w:before="156" w:after="156" w:line="340" w:lineRule="exact"/>
              <w:jc w:val="center"/>
              <w:rPr>
                <w:rFonts w:hint="eastAsia" w:ascii="宋体" w:hAnsi="宋体" w:eastAsia="宋体" w:cs="宋体"/>
                <w:b/>
                <w:szCs w:val="21"/>
              </w:rPr>
            </w:pPr>
            <w:r>
              <w:rPr>
                <w:rFonts w:hint="eastAsia" w:ascii="宋体" w:hAnsi="宋体" w:eastAsia="宋体" w:cs="宋体"/>
                <w:b/>
                <w:szCs w:val="21"/>
              </w:rPr>
              <w:t>合同金额</w:t>
            </w:r>
          </w:p>
        </w:tc>
        <w:tc>
          <w:tcPr>
            <w:tcW w:w="2089" w:type="dxa"/>
            <w:tcBorders>
              <w:top w:val="double" w:color="auto" w:sz="4" w:space="0"/>
              <w:left w:val="single" w:color="auto" w:sz="6" w:space="0"/>
              <w:bottom w:val="single" w:color="auto" w:sz="6" w:space="0"/>
              <w:right w:val="single" w:color="auto" w:sz="6" w:space="0"/>
            </w:tcBorders>
            <w:noWrap/>
            <w:vAlign w:val="center"/>
          </w:tcPr>
          <w:p w14:paraId="5CB41E2C">
            <w:pPr>
              <w:spacing w:before="156" w:after="156" w:line="340" w:lineRule="exact"/>
              <w:jc w:val="center"/>
              <w:rPr>
                <w:rFonts w:hint="eastAsia" w:ascii="宋体" w:hAnsi="宋体" w:eastAsia="宋体" w:cs="宋体"/>
                <w:b/>
                <w:szCs w:val="21"/>
              </w:rPr>
            </w:pPr>
            <w:r>
              <w:rPr>
                <w:rFonts w:hint="eastAsia" w:ascii="宋体" w:hAnsi="宋体" w:eastAsia="宋体" w:cs="宋体"/>
                <w:b/>
                <w:szCs w:val="21"/>
              </w:rPr>
              <w:t>完成时间</w:t>
            </w:r>
          </w:p>
        </w:tc>
        <w:tc>
          <w:tcPr>
            <w:tcW w:w="1332" w:type="dxa"/>
            <w:tcBorders>
              <w:top w:val="double" w:color="auto" w:sz="4" w:space="0"/>
              <w:left w:val="single" w:color="auto" w:sz="6" w:space="0"/>
              <w:bottom w:val="single" w:color="auto" w:sz="6" w:space="0"/>
              <w:right w:val="single" w:color="auto" w:sz="6" w:space="0"/>
            </w:tcBorders>
            <w:noWrap/>
            <w:vAlign w:val="center"/>
          </w:tcPr>
          <w:p w14:paraId="04F67114">
            <w:pPr>
              <w:spacing w:line="340" w:lineRule="exact"/>
              <w:jc w:val="center"/>
              <w:rPr>
                <w:rFonts w:hint="eastAsia" w:ascii="宋体" w:hAnsi="宋体" w:eastAsia="宋体" w:cs="宋体"/>
                <w:b/>
                <w:bCs/>
                <w:szCs w:val="21"/>
              </w:rPr>
            </w:pPr>
            <w:r>
              <w:rPr>
                <w:rFonts w:hint="eastAsia" w:ascii="宋体" w:hAnsi="宋体" w:eastAsia="宋体" w:cs="宋体"/>
                <w:b/>
                <w:szCs w:val="21"/>
              </w:rPr>
              <w:t>项目</w:t>
            </w:r>
            <w:r>
              <w:rPr>
                <w:rFonts w:hint="eastAsia" w:ascii="宋体" w:hAnsi="宋体" w:eastAsia="宋体" w:cs="宋体"/>
                <w:b/>
                <w:bCs/>
                <w:szCs w:val="21"/>
              </w:rPr>
              <w:t>单位</w:t>
            </w:r>
          </w:p>
          <w:p w14:paraId="7D5CBFBD">
            <w:pPr>
              <w:spacing w:line="340" w:lineRule="exact"/>
              <w:jc w:val="center"/>
              <w:rPr>
                <w:rFonts w:hint="eastAsia" w:ascii="宋体" w:hAnsi="宋体" w:eastAsia="宋体" w:cs="宋体"/>
                <w:b/>
                <w:szCs w:val="21"/>
              </w:rPr>
            </w:pPr>
            <w:r>
              <w:rPr>
                <w:rFonts w:hint="eastAsia" w:ascii="宋体" w:hAnsi="宋体" w:eastAsia="宋体" w:cs="宋体"/>
                <w:b/>
                <w:bCs/>
                <w:szCs w:val="21"/>
              </w:rPr>
              <w:t>联系人电话</w:t>
            </w:r>
          </w:p>
        </w:tc>
        <w:tc>
          <w:tcPr>
            <w:tcW w:w="1241" w:type="dxa"/>
            <w:tcBorders>
              <w:top w:val="double" w:color="auto" w:sz="4" w:space="0"/>
              <w:left w:val="single" w:color="auto" w:sz="6" w:space="0"/>
              <w:bottom w:val="single" w:color="auto" w:sz="6" w:space="0"/>
              <w:right w:val="double" w:color="auto" w:sz="4" w:space="0"/>
            </w:tcBorders>
            <w:noWrap/>
            <w:vAlign w:val="center"/>
          </w:tcPr>
          <w:p w14:paraId="6A34ADB1">
            <w:pPr>
              <w:spacing w:before="156" w:after="156" w:line="340" w:lineRule="exact"/>
              <w:jc w:val="center"/>
              <w:rPr>
                <w:rFonts w:hint="eastAsia" w:ascii="宋体" w:hAnsi="宋体" w:eastAsia="宋体" w:cs="宋体"/>
                <w:b/>
                <w:szCs w:val="21"/>
              </w:rPr>
            </w:pPr>
            <w:r>
              <w:rPr>
                <w:rFonts w:hint="eastAsia" w:ascii="宋体" w:hAnsi="宋体" w:eastAsia="宋体" w:cs="宋体"/>
                <w:b/>
                <w:szCs w:val="21"/>
              </w:rPr>
              <w:t>备注</w:t>
            </w:r>
          </w:p>
        </w:tc>
      </w:tr>
      <w:tr w14:paraId="58EC649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1" w:type="dxa"/>
            <w:tcBorders>
              <w:top w:val="single" w:color="auto" w:sz="6" w:space="0"/>
              <w:left w:val="double" w:color="auto" w:sz="4" w:space="0"/>
              <w:bottom w:val="single" w:color="auto" w:sz="6" w:space="0"/>
              <w:right w:val="single" w:color="auto" w:sz="6" w:space="0"/>
            </w:tcBorders>
            <w:noWrap/>
          </w:tcPr>
          <w:p w14:paraId="30692A0E">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single" w:color="auto" w:sz="6" w:space="0"/>
              <w:right w:val="single" w:color="auto" w:sz="6" w:space="0"/>
            </w:tcBorders>
            <w:noWrap/>
          </w:tcPr>
          <w:p w14:paraId="4D7F1E99">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single" w:color="auto" w:sz="6" w:space="0"/>
              <w:right w:val="single" w:color="auto" w:sz="6" w:space="0"/>
            </w:tcBorders>
            <w:noWrap/>
          </w:tcPr>
          <w:p w14:paraId="20C5B750">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089" w:type="dxa"/>
            <w:tcBorders>
              <w:top w:val="single" w:color="auto" w:sz="6" w:space="0"/>
              <w:left w:val="single" w:color="auto" w:sz="6" w:space="0"/>
              <w:bottom w:val="single" w:color="auto" w:sz="6" w:space="0"/>
              <w:right w:val="single" w:color="auto" w:sz="6" w:space="0"/>
            </w:tcBorders>
            <w:noWrap/>
          </w:tcPr>
          <w:p w14:paraId="5C1648D5">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single" w:color="auto" w:sz="6" w:space="0"/>
              <w:right w:val="single" w:color="auto" w:sz="6" w:space="0"/>
            </w:tcBorders>
            <w:noWrap/>
          </w:tcPr>
          <w:p w14:paraId="5DF50C3D">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single" w:color="auto" w:sz="6" w:space="0"/>
              <w:right w:val="double" w:color="auto" w:sz="4" w:space="0"/>
            </w:tcBorders>
            <w:noWrap/>
          </w:tcPr>
          <w:p w14:paraId="1CE3597A">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r w14:paraId="130CED3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1" w:type="dxa"/>
            <w:tcBorders>
              <w:top w:val="single" w:color="auto" w:sz="6" w:space="0"/>
              <w:left w:val="double" w:color="auto" w:sz="4" w:space="0"/>
              <w:bottom w:val="single" w:color="auto" w:sz="6" w:space="0"/>
              <w:right w:val="single" w:color="auto" w:sz="6" w:space="0"/>
            </w:tcBorders>
            <w:noWrap/>
          </w:tcPr>
          <w:p w14:paraId="7FDB51A3">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single" w:color="auto" w:sz="6" w:space="0"/>
              <w:right w:val="single" w:color="auto" w:sz="6" w:space="0"/>
            </w:tcBorders>
            <w:noWrap/>
          </w:tcPr>
          <w:p w14:paraId="1BD7CC2F">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single" w:color="auto" w:sz="6" w:space="0"/>
              <w:right w:val="single" w:color="auto" w:sz="6" w:space="0"/>
            </w:tcBorders>
            <w:noWrap/>
          </w:tcPr>
          <w:p w14:paraId="40C0E531">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089" w:type="dxa"/>
            <w:tcBorders>
              <w:top w:val="single" w:color="auto" w:sz="6" w:space="0"/>
              <w:left w:val="single" w:color="auto" w:sz="6" w:space="0"/>
              <w:bottom w:val="single" w:color="auto" w:sz="6" w:space="0"/>
              <w:right w:val="single" w:color="auto" w:sz="6" w:space="0"/>
            </w:tcBorders>
            <w:noWrap/>
          </w:tcPr>
          <w:p w14:paraId="43255288">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single" w:color="auto" w:sz="6" w:space="0"/>
              <w:right w:val="single" w:color="auto" w:sz="6" w:space="0"/>
            </w:tcBorders>
            <w:noWrap/>
          </w:tcPr>
          <w:p w14:paraId="09DBFB0F">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single" w:color="auto" w:sz="6" w:space="0"/>
              <w:right w:val="double" w:color="auto" w:sz="4" w:space="0"/>
            </w:tcBorders>
            <w:noWrap/>
          </w:tcPr>
          <w:p w14:paraId="573B2525">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r w14:paraId="4B7E6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1" w:type="dxa"/>
            <w:tcBorders>
              <w:top w:val="single" w:color="auto" w:sz="6" w:space="0"/>
              <w:left w:val="double" w:color="auto" w:sz="4" w:space="0"/>
              <w:bottom w:val="single" w:color="auto" w:sz="6" w:space="0"/>
              <w:right w:val="single" w:color="auto" w:sz="6" w:space="0"/>
            </w:tcBorders>
            <w:noWrap/>
          </w:tcPr>
          <w:p w14:paraId="71F4F240">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single" w:color="auto" w:sz="6" w:space="0"/>
              <w:right w:val="single" w:color="auto" w:sz="6" w:space="0"/>
            </w:tcBorders>
            <w:noWrap/>
          </w:tcPr>
          <w:p w14:paraId="5CFE85F2">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single" w:color="auto" w:sz="6" w:space="0"/>
              <w:right w:val="single" w:color="auto" w:sz="6" w:space="0"/>
            </w:tcBorders>
            <w:noWrap/>
          </w:tcPr>
          <w:p w14:paraId="2B658921">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089" w:type="dxa"/>
            <w:tcBorders>
              <w:top w:val="single" w:color="auto" w:sz="6" w:space="0"/>
              <w:left w:val="single" w:color="auto" w:sz="6" w:space="0"/>
              <w:bottom w:val="single" w:color="auto" w:sz="6" w:space="0"/>
              <w:right w:val="single" w:color="auto" w:sz="6" w:space="0"/>
            </w:tcBorders>
            <w:noWrap/>
          </w:tcPr>
          <w:p w14:paraId="714A8642">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single" w:color="auto" w:sz="6" w:space="0"/>
              <w:right w:val="single" w:color="auto" w:sz="6" w:space="0"/>
            </w:tcBorders>
            <w:noWrap/>
          </w:tcPr>
          <w:p w14:paraId="530D98EC">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single" w:color="auto" w:sz="6" w:space="0"/>
              <w:right w:val="double" w:color="auto" w:sz="4" w:space="0"/>
            </w:tcBorders>
            <w:noWrap/>
          </w:tcPr>
          <w:p w14:paraId="4BB074D1">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r w14:paraId="26A9AD9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1" w:type="dxa"/>
            <w:tcBorders>
              <w:top w:val="single" w:color="auto" w:sz="6" w:space="0"/>
              <w:left w:val="double" w:color="auto" w:sz="4" w:space="0"/>
              <w:bottom w:val="single" w:color="auto" w:sz="6" w:space="0"/>
              <w:right w:val="single" w:color="auto" w:sz="6" w:space="0"/>
            </w:tcBorders>
            <w:noWrap/>
          </w:tcPr>
          <w:p w14:paraId="4AA9A2A3">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single" w:color="auto" w:sz="6" w:space="0"/>
              <w:right w:val="single" w:color="auto" w:sz="6" w:space="0"/>
            </w:tcBorders>
            <w:noWrap/>
          </w:tcPr>
          <w:p w14:paraId="68D12FAA">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single" w:color="auto" w:sz="6" w:space="0"/>
              <w:right w:val="single" w:color="auto" w:sz="6" w:space="0"/>
            </w:tcBorders>
            <w:noWrap/>
          </w:tcPr>
          <w:p w14:paraId="3C1E6E8A">
            <w:pPr>
              <w:pStyle w:val="45"/>
              <w:spacing w:before="156" w:after="156" w:line="340" w:lineRule="exact"/>
              <w:rPr>
                <w:rFonts w:hint="eastAsia" w:ascii="宋体" w:hAnsi="宋体" w:eastAsia="宋体" w:cs="宋体"/>
                <w:spacing w:val="0"/>
                <w:kern w:val="2"/>
                <w:sz w:val="21"/>
                <w:szCs w:val="21"/>
              </w:rPr>
            </w:pPr>
            <w:r>
              <w:rPr>
                <w:rFonts w:hint="eastAsia" w:ascii="宋体" w:hAnsi="宋体" w:eastAsia="宋体" w:cs="宋体"/>
                <w:spacing w:val="0"/>
                <w:kern w:val="2"/>
                <w:sz w:val="21"/>
                <w:szCs w:val="21"/>
              </w:rPr>
              <w:t> </w:t>
            </w:r>
          </w:p>
        </w:tc>
        <w:tc>
          <w:tcPr>
            <w:tcW w:w="2089" w:type="dxa"/>
            <w:tcBorders>
              <w:top w:val="single" w:color="auto" w:sz="6" w:space="0"/>
              <w:left w:val="single" w:color="auto" w:sz="6" w:space="0"/>
              <w:bottom w:val="single" w:color="auto" w:sz="6" w:space="0"/>
              <w:right w:val="single" w:color="auto" w:sz="6" w:space="0"/>
            </w:tcBorders>
            <w:noWrap/>
          </w:tcPr>
          <w:p w14:paraId="76837F8B">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single" w:color="auto" w:sz="6" w:space="0"/>
              <w:right w:val="single" w:color="auto" w:sz="6" w:space="0"/>
            </w:tcBorders>
            <w:noWrap/>
          </w:tcPr>
          <w:p w14:paraId="2DC0E86A">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single" w:color="auto" w:sz="6" w:space="0"/>
              <w:right w:val="double" w:color="auto" w:sz="4" w:space="0"/>
            </w:tcBorders>
            <w:noWrap/>
          </w:tcPr>
          <w:p w14:paraId="5CA0FA28">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r w14:paraId="66E293D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1" w:type="dxa"/>
            <w:tcBorders>
              <w:top w:val="single" w:color="auto" w:sz="6" w:space="0"/>
              <w:left w:val="double" w:color="auto" w:sz="4" w:space="0"/>
              <w:bottom w:val="single" w:color="auto" w:sz="6" w:space="0"/>
              <w:right w:val="single" w:color="auto" w:sz="6" w:space="0"/>
            </w:tcBorders>
            <w:noWrap/>
          </w:tcPr>
          <w:p w14:paraId="56756A9F">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single" w:color="auto" w:sz="6" w:space="0"/>
              <w:right w:val="single" w:color="auto" w:sz="6" w:space="0"/>
            </w:tcBorders>
            <w:noWrap/>
          </w:tcPr>
          <w:p w14:paraId="71883DC2">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single" w:color="auto" w:sz="6" w:space="0"/>
              <w:right w:val="single" w:color="auto" w:sz="6" w:space="0"/>
            </w:tcBorders>
            <w:noWrap/>
          </w:tcPr>
          <w:p w14:paraId="12B6402D">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089" w:type="dxa"/>
            <w:tcBorders>
              <w:top w:val="single" w:color="auto" w:sz="6" w:space="0"/>
              <w:left w:val="single" w:color="auto" w:sz="6" w:space="0"/>
              <w:bottom w:val="single" w:color="auto" w:sz="6" w:space="0"/>
              <w:right w:val="single" w:color="auto" w:sz="6" w:space="0"/>
            </w:tcBorders>
            <w:noWrap/>
          </w:tcPr>
          <w:p w14:paraId="74C8CC32">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single" w:color="auto" w:sz="6" w:space="0"/>
              <w:right w:val="single" w:color="auto" w:sz="6" w:space="0"/>
            </w:tcBorders>
            <w:noWrap/>
          </w:tcPr>
          <w:p w14:paraId="564E8FCD">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single" w:color="auto" w:sz="6" w:space="0"/>
              <w:right w:val="double" w:color="auto" w:sz="4" w:space="0"/>
            </w:tcBorders>
            <w:noWrap/>
          </w:tcPr>
          <w:p w14:paraId="1EEF8C35">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r w14:paraId="21E884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681" w:type="dxa"/>
            <w:tcBorders>
              <w:top w:val="single" w:color="auto" w:sz="6" w:space="0"/>
              <w:left w:val="double" w:color="auto" w:sz="4" w:space="0"/>
              <w:bottom w:val="double" w:color="auto" w:sz="4" w:space="0"/>
              <w:right w:val="single" w:color="auto" w:sz="6" w:space="0"/>
            </w:tcBorders>
            <w:noWrap/>
          </w:tcPr>
          <w:p w14:paraId="1D4E56A1">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876" w:type="dxa"/>
            <w:tcBorders>
              <w:top w:val="single" w:color="auto" w:sz="6" w:space="0"/>
              <w:left w:val="single" w:color="auto" w:sz="6" w:space="0"/>
              <w:bottom w:val="double" w:color="auto" w:sz="4" w:space="0"/>
              <w:right w:val="single" w:color="auto" w:sz="6" w:space="0"/>
            </w:tcBorders>
            <w:noWrap/>
          </w:tcPr>
          <w:p w14:paraId="615E28D1">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438" w:type="dxa"/>
            <w:tcBorders>
              <w:top w:val="single" w:color="auto" w:sz="6" w:space="0"/>
              <w:left w:val="single" w:color="auto" w:sz="6" w:space="0"/>
              <w:bottom w:val="double" w:color="auto" w:sz="4" w:space="0"/>
              <w:right w:val="single" w:color="auto" w:sz="6" w:space="0"/>
            </w:tcBorders>
            <w:noWrap/>
          </w:tcPr>
          <w:p w14:paraId="7450BAF4">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2089" w:type="dxa"/>
            <w:tcBorders>
              <w:top w:val="single" w:color="auto" w:sz="6" w:space="0"/>
              <w:left w:val="single" w:color="auto" w:sz="6" w:space="0"/>
              <w:bottom w:val="double" w:color="auto" w:sz="4" w:space="0"/>
              <w:right w:val="single" w:color="auto" w:sz="6" w:space="0"/>
            </w:tcBorders>
            <w:noWrap/>
          </w:tcPr>
          <w:p w14:paraId="58212B75">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332" w:type="dxa"/>
            <w:tcBorders>
              <w:top w:val="single" w:color="auto" w:sz="6" w:space="0"/>
              <w:left w:val="single" w:color="auto" w:sz="6" w:space="0"/>
              <w:bottom w:val="double" w:color="auto" w:sz="4" w:space="0"/>
              <w:right w:val="single" w:color="auto" w:sz="6" w:space="0"/>
            </w:tcBorders>
            <w:noWrap/>
          </w:tcPr>
          <w:p w14:paraId="0B8D1B6C">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c>
          <w:tcPr>
            <w:tcW w:w="1241" w:type="dxa"/>
            <w:tcBorders>
              <w:top w:val="single" w:color="auto" w:sz="6" w:space="0"/>
              <w:left w:val="single" w:color="auto" w:sz="6" w:space="0"/>
              <w:bottom w:val="double" w:color="auto" w:sz="4" w:space="0"/>
              <w:right w:val="double" w:color="auto" w:sz="4" w:space="0"/>
            </w:tcBorders>
            <w:noWrap/>
          </w:tcPr>
          <w:p w14:paraId="3F61B1A3">
            <w:pPr>
              <w:spacing w:before="156" w:after="156" w:line="340" w:lineRule="exact"/>
              <w:rPr>
                <w:rFonts w:hint="eastAsia" w:ascii="宋体" w:hAnsi="宋体" w:eastAsia="宋体" w:cs="宋体"/>
                <w:szCs w:val="21"/>
              </w:rPr>
            </w:pPr>
            <w:r>
              <w:rPr>
                <w:rFonts w:hint="eastAsia" w:ascii="宋体" w:hAnsi="宋体" w:eastAsia="宋体" w:cs="宋体"/>
                <w:szCs w:val="21"/>
              </w:rPr>
              <w:t> </w:t>
            </w:r>
          </w:p>
        </w:tc>
      </w:tr>
    </w:tbl>
    <w:p w14:paraId="704008E1">
      <w:pPr>
        <w:rPr>
          <w:rFonts w:hint="eastAsia" w:ascii="宋体" w:hAnsi="宋体" w:eastAsia="宋体" w:cs="宋体"/>
          <w:szCs w:val="21"/>
        </w:rPr>
      </w:pPr>
    </w:p>
    <w:p w14:paraId="63A193F3">
      <w:pPr>
        <w:rPr>
          <w:rFonts w:hint="eastAsia" w:ascii="宋体" w:hAnsi="宋体" w:eastAsia="宋体" w:cs="宋体"/>
          <w:bCs/>
          <w:szCs w:val="21"/>
        </w:rPr>
      </w:pPr>
      <w:r>
        <w:rPr>
          <w:rFonts w:hint="eastAsia" w:ascii="宋体" w:hAnsi="宋体" w:eastAsia="宋体" w:cs="宋体"/>
          <w:bCs/>
          <w:szCs w:val="21"/>
        </w:rPr>
        <w:t>（此表可延长）</w:t>
      </w:r>
    </w:p>
    <w:p w14:paraId="48B5C6FD">
      <w:pPr>
        <w:rPr>
          <w:rFonts w:hint="eastAsia" w:ascii="宋体" w:hAnsi="宋体" w:eastAsia="宋体" w:cs="宋体"/>
          <w:bCs/>
          <w:szCs w:val="21"/>
        </w:rPr>
      </w:pPr>
      <w:r>
        <w:rPr>
          <w:rFonts w:hint="eastAsia" w:ascii="宋体" w:hAnsi="宋体" w:eastAsia="宋体" w:cs="宋体"/>
          <w:bCs/>
          <w:szCs w:val="21"/>
        </w:rPr>
        <w:t>备注：供应商需附业绩证明材料，并加盖单位公章。</w:t>
      </w:r>
    </w:p>
    <w:p w14:paraId="009FBF77">
      <w:pPr>
        <w:rPr>
          <w:rFonts w:hint="eastAsia" w:ascii="宋体" w:hAnsi="宋体" w:eastAsia="宋体" w:cs="宋体"/>
          <w:szCs w:val="21"/>
        </w:rPr>
      </w:pPr>
    </w:p>
    <w:p w14:paraId="0B80ECC2">
      <w:pPr>
        <w:rPr>
          <w:rFonts w:hint="eastAsia" w:ascii="宋体" w:hAnsi="宋体" w:eastAsia="宋体" w:cs="宋体"/>
          <w:szCs w:val="21"/>
        </w:rPr>
      </w:pPr>
    </w:p>
    <w:p w14:paraId="6C078E9D">
      <w:pPr>
        <w:rPr>
          <w:rFonts w:hint="eastAsia" w:ascii="宋体" w:hAnsi="宋体" w:eastAsia="宋体" w:cs="宋体"/>
          <w:szCs w:val="21"/>
        </w:rPr>
      </w:pPr>
    </w:p>
    <w:p w14:paraId="78F714F4">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供应商名称：</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39EBDD3C">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289325BC">
      <w:pPr>
        <w:autoSpaceDE w:val="0"/>
        <w:autoSpaceDN w:val="0"/>
        <w:adjustRightInd w:val="0"/>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p>
    <w:p w14:paraId="301B5618">
      <w:pPr>
        <w:ind w:firstLine="4560" w:firstLineChars="1900"/>
        <w:rPr>
          <w:rFonts w:hint="eastAsia" w:ascii="宋体" w:hAnsi="宋体" w:cs="宋体"/>
          <w:sz w:val="24"/>
        </w:rPr>
      </w:pPr>
    </w:p>
    <w:p w14:paraId="23C2A46C">
      <w:pPr>
        <w:pStyle w:val="3"/>
        <w:tabs>
          <w:tab w:val="left" w:pos="4592"/>
        </w:tabs>
        <w:sectPr>
          <w:pgSz w:w="11905" w:h="16838"/>
          <w:pgMar w:top="1440" w:right="1083" w:bottom="1440" w:left="1083" w:header="850" w:footer="850" w:gutter="0"/>
          <w:cols w:space="0" w:num="1"/>
          <w:titlePg/>
          <w:rtlGutter w:val="0"/>
          <w:docGrid w:linePitch="317" w:charSpace="0"/>
        </w:sectPr>
      </w:pPr>
    </w:p>
    <w:p w14:paraId="632CBDDD">
      <w:pPr>
        <w:pStyle w:val="4"/>
        <w:rPr>
          <w:rFonts w:hint="eastAsia" w:ascii="宋体" w:hAnsi="宋体" w:eastAsia="宋体" w:cs="宋体"/>
          <w:szCs w:val="28"/>
        </w:rPr>
      </w:pPr>
      <w:bookmarkStart w:id="163" w:name="_Toc31105"/>
      <w:bookmarkStart w:id="164" w:name="_Toc13833"/>
      <w:r>
        <w:rPr>
          <w:rFonts w:hint="eastAsia" w:ascii="宋体" w:hAnsi="宋体" w:eastAsia="宋体" w:cs="宋体"/>
          <w:szCs w:val="28"/>
        </w:rPr>
        <w:t>（三）服务承诺及合理化建议</w:t>
      </w:r>
      <w:bookmarkEnd w:id="163"/>
      <w:bookmarkEnd w:id="164"/>
    </w:p>
    <w:p w14:paraId="467CA59F">
      <w:pPr>
        <w:rPr>
          <w:rFonts w:hint="eastAsia" w:ascii="华文中宋" w:hAnsi="华文中宋" w:eastAsia="华文中宋" w:cs="华文中宋"/>
        </w:rPr>
      </w:pPr>
    </w:p>
    <w:p w14:paraId="36EA928A">
      <w:pPr>
        <w:jc w:val="center"/>
        <w:rPr>
          <w:rFonts w:hint="eastAsia" w:ascii="宋体" w:hAnsi="宋体" w:eastAsia="宋体" w:cs="宋体"/>
          <w:szCs w:val="21"/>
        </w:rPr>
      </w:pPr>
      <w:r>
        <w:rPr>
          <w:rFonts w:hint="eastAsia" w:ascii="宋体" w:hAnsi="宋体" w:eastAsia="宋体" w:cs="宋体"/>
          <w:szCs w:val="21"/>
        </w:rPr>
        <w:t>根据“第三章评标办法”相关条款格式自拟</w:t>
      </w:r>
    </w:p>
    <w:p w14:paraId="60048070">
      <w:pPr>
        <w:rPr>
          <w:rFonts w:hint="eastAsia" w:ascii="华文中宋" w:hAnsi="华文中宋" w:eastAsia="华文中宋" w:cs="华文中宋"/>
        </w:rPr>
      </w:pPr>
    </w:p>
    <w:p w14:paraId="27C02D65">
      <w:pPr>
        <w:rPr>
          <w:rFonts w:hint="eastAsia" w:ascii="华文中宋" w:hAnsi="华文中宋" w:eastAsia="华文中宋" w:cs="华文中宋"/>
        </w:rPr>
      </w:pPr>
    </w:p>
    <w:p w14:paraId="129A33F7">
      <w:pPr>
        <w:rPr>
          <w:rFonts w:hint="eastAsia" w:ascii="华文中宋" w:hAnsi="华文中宋" w:eastAsia="华文中宋" w:cs="华文中宋"/>
        </w:rPr>
      </w:pPr>
    </w:p>
    <w:p w14:paraId="40C84E04">
      <w:pPr>
        <w:rPr>
          <w:rFonts w:hint="eastAsia" w:ascii="华文中宋" w:hAnsi="华文中宋" w:eastAsia="华文中宋" w:cs="华文中宋"/>
        </w:rPr>
      </w:pPr>
    </w:p>
    <w:p w14:paraId="5F65CDA3">
      <w:pPr>
        <w:rPr>
          <w:rFonts w:hint="eastAsia" w:ascii="华文中宋" w:hAnsi="华文中宋" w:eastAsia="华文中宋" w:cs="华文中宋"/>
        </w:rPr>
      </w:pPr>
    </w:p>
    <w:p w14:paraId="5F8ECC6A">
      <w:pPr>
        <w:rPr>
          <w:rFonts w:hint="eastAsia" w:ascii="华文中宋" w:hAnsi="华文中宋" w:eastAsia="华文中宋" w:cs="华文中宋"/>
        </w:rPr>
      </w:pPr>
    </w:p>
    <w:p w14:paraId="0444F56C">
      <w:pPr>
        <w:rPr>
          <w:rFonts w:hint="eastAsia" w:ascii="华文中宋" w:hAnsi="华文中宋" w:eastAsia="华文中宋" w:cs="华文中宋"/>
        </w:rPr>
      </w:pPr>
    </w:p>
    <w:p w14:paraId="6487EDD3">
      <w:pPr>
        <w:rPr>
          <w:rFonts w:hint="eastAsia" w:ascii="华文中宋" w:hAnsi="华文中宋" w:eastAsia="华文中宋" w:cs="华文中宋"/>
        </w:rPr>
      </w:pPr>
    </w:p>
    <w:p w14:paraId="4DBB9D54">
      <w:pPr>
        <w:rPr>
          <w:rFonts w:hint="eastAsia" w:ascii="华文中宋" w:hAnsi="华文中宋" w:eastAsia="华文中宋" w:cs="华文中宋"/>
        </w:rPr>
      </w:pPr>
    </w:p>
    <w:p w14:paraId="318F8C03">
      <w:pPr>
        <w:rPr>
          <w:rFonts w:hint="eastAsia" w:ascii="华文中宋" w:hAnsi="华文中宋" w:eastAsia="华文中宋" w:cs="华文中宋"/>
        </w:rPr>
      </w:pPr>
    </w:p>
    <w:p w14:paraId="6AFB2987">
      <w:pPr>
        <w:rPr>
          <w:rFonts w:hint="eastAsia" w:ascii="华文中宋" w:hAnsi="华文中宋" w:eastAsia="华文中宋" w:cs="华文中宋"/>
        </w:rPr>
      </w:pPr>
    </w:p>
    <w:p w14:paraId="40750319">
      <w:pPr>
        <w:pStyle w:val="40"/>
        <w:ind w:firstLine="420"/>
        <w:rPr>
          <w:rFonts w:hint="eastAsia" w:ascii="华文中宋" w:hAnsi="华文中宋" w:eastAsia="华文中宋" w:cs="华文中宋"/>
        </w:rPr>
      </w:pPr>
    </w:p>
    <w:p w14:paraId="6404B504">
      <w:pPr>
        <w:pStyle w:val="40"/>
        <w:ind w:firstLine="420"/>
        <w:rPr>
          <w:rFonts w:hint="eastAsia" w:ascii="华文中宋" w:hAnsi="华文中宋" w:eastAsia="华文中宋" w:cs="华文中宋"/>
        </w:rPr>
      </w:pPr>
    </w:p>
    <w:p w14:paraId="23A1399D">
      <w:pPr>
        <w:pStyle w:val="40"/>
        <w:ind w:firstLine="420"/>
        <w:rPr>
          <w:rFonts w:hint="eastAsia" w:ascii="华文中宋" w:hAnsi="华文中宋" w:eastAsia="华文中宋" w:cs="华文中宋"/>
        </w:rPr>
      </w:pPr>
    </w:p>
    <w:p w14:paraId="7B2C09BC">
      <w:pPr>
        <w:pStyle w:val="40"/>
        <w:ind w:firstLine="420"/>
        <w:rPr>
          <w:rFonts w:hint="eastAsia" w:ascii="华文中宋" w:hAnsi="华文中宋" w:eastAsia="华文中宋" w:cs="华文中宋"/>
        </w:rPr>
      </w:pPr>
    </w:p>
    <w:p w14:paraId="637E58FF">
      <w:pPr>
        <w:pStyle w:val="40"/>
        <w:ind w:firstLine="420"/>
        <w:rPr>
          <w:rFonts w:hint="eastAsia" w:ascii="华文中宋" w:hAnsi="华文中宋" w:eastAsia="华文中宋" w:cs="华文中宋"/>
        </w:rPr>
      </w:pPr>
    </w:p>
    <w:p w14:paraId="01291777">
      <w:pPr>
        <w:pStyle w:val="40"/>
        <w:ind w:firstLine="420"/>
        <w:rPr>
          <w:rFonts w:hint="eastAsia" w:ascii="华文中宋" w:hAnsi="华文中宋" w:eastAsia="华文中宋" w:cs="华文中宋"/>
        </w:rPr>
      </w:pPr>
    </w:p>
    <w:p w14:paraId="2075E821">
      <w:pPr>
        <w:pStyle w:val="40"/>
        <w:ind w:firstLine="420"/>
        <w:rPr>
          <w:rFonts w:hint="eastAsia" w:ascii="华文中宋" w:hAnsi="华文中宋" w:eastAsia="华文中宋" w:cs="华文中宋"/>
        </w:rPr>
      </w:pPr>
    </w:p>
    <w:p w14:paraId="665700CB">
      <w:pPr>
        <w:pStyle w:val="40"/>
        <w:ind w:firstLine="420"/>
        <w:rPr>
          <w:rFonts w:hint="eastAsia" w:ascii="华文中宋" w:hAnsi="华文中宋" w:eastAsia="华文中宋" w:cs="华文中宋"/>
        </w:rPr>
      </w:pPr>
    </w:p>
    <w:p w14:paraId="32C66A0A">
      <w:pPr>
        <w:rPr>
          <w:rFonts w:hint="eastAsia" w:ascii="华文中宋" w:hAnsi="华文中宋" w:eastAsia="华文中宋" w:cs="华文中宋"/>
        </w:rPr>
      </w:pPr>
    </w:p>
    <w:p w14:paraId="6A332DA5">
      <w:pPr>
        <w:bidi w:val="0"/>
        <w:rPr>
          <w:rFonts w:hint="eastAsia"/>
        </w:rPr>
      </w:pPr>
    </w:p>
    <w:p w14:paraId="00DECE37">
      <w:pPr>
        <w:rPr>
          <w:rFonts w:hint="eastAsia" w:ascii="华文中宋" w:hAnsi="华文中宋" w:eastAsia="华文中宋" w:cs="华文中宋"/>
        </w:rPr>
      </w:pPr>
    </w:p>
    <w:p w14:paraId="7E99B984">
      <w:pPr>
        <w:rPr>
          <w:rFonts w:hint="eastAsia" w:ascii="华文中宋" w:hAnsi="华文中宋" w:eastAsia="华文中宋" w:cs="华文中宋"/>
        </w:rPr>
      </w:pPr>
    </w:p>
    <w:p w14:paraId="6A6EFD3B">
      <w:pPr>
        <w:pStyle w:val="22"/>
        <w:ind w:firstLine="210"/>
        <w:rPr>
          <w:rFonts w:hint="eastAsia" w:ascii="华文中宋" w:hAnsi="华文中宋" w:eastAsia="华文中宋" w:cs="华文中宋"/>
        </w:rPr>
      </w:pPr>
    </w:p>
    <w:bookmarkEnd w:id="143"/>
    <w:bookmarkEnd w:id="144"/>
    <w:bookmarkEnd w:id="145"/>
    <w:bookmarkEnd w:id="146"/>
    <w:p w14:paraId="3EF5A49D">
      <w:pPr>
        <w:pStyle w:val="3"/>
        <w:numPr>
          <w:ilvl w:val="0"/>
          <w:numId w:val="0"/>
        </w:numPr>
        <w:jc w:val="center"/>
        <w:rPr>
          <w:rFonts w:hint="eastAsia" w:ascii="宋体" w:hAnsi="宋体" w:eastAsia="宋体" w:cs="宋体"/>
          <w:b/>
          <w:bCs w:val="0"/>
          <w:sz w:val="28"/>
          <w:szCs w:val="28"/>
        </w:rPr>
      </w:pPr>
      <w:bookmarkStart w:id="165" w:name="_Toc9256"/>
      <w:bookmarkStart w:id="166" w:name="_Toc21538"/>
      <w:r>
        <w:rPr>
          <w:rFonts w:hint="eastAsia" w:ascii="宋体" w:hAnsi="宋体" w:eastAsia="宋体" w:cs="宋体"/>
          <w:b/>
          <w:bCs w:val="0"/>
          <w:sz w:val="28"/>
          <w:szCs w:val="28"/>
        </w:rPr>
        <w:t>六、</w:t>
      </w:r>
      <w:bookmarkStart w:id="167" w:name="_Toc341104770"/>
      <w:r>
        <w:rPr>
          <w:rFonts w:hint="eastAsia" w:ascii="宋体" w:hAnsi="宋体" w:eastAsia="宋体" w:cs="宋体"/>
          <w:b/>
          <w:bCs w:val="0"/>
          <w:sz w:val="28"/>
          <w:szCs w:val="28"/>
        </w:rPr>
        <w:t>其他资料</w:t>
      </w:r>
      <w:bookmarkEnd w:id="165"/>
      <w:bookmarkEnd w:id="166"/>
      <w:bookmarkEnd w:id="167"/>
    </w:p>
    <w:p w14:paraId="70B8EF40">
      <w:pPr>
        <w:pStyle w:val="4"/>
        <w:autoSpaceDE w:val="0"/>
        <w:autoSpaceDN w:val="0"/>
        <w:spacing w:line="440" w:lineRule="exact"/>
        <w:rPr>
          <w:rFonts w:hint="eastAsia" w:ascii="宋体" w:hAnsi="宋体" w:eastAsia="宋体" w:cs="宋体"/>
          <w:bCs w:val="0"/>
          <w:szCs w:val="28"/>
        </w:rPr>
      </w:pPr>
      <w:bookmarkStart w:id="168" w:name="_Toc11383"/>
      <w:bookmarkStart w:id="169" w:name="_Toc11404"/>
      <w:bookmarkStart w:id="170" w:name="_Toc29709"/>
      <w:bookmarkStart w:id="171" w:name="_Toc7154"/>
      <w:r>
        <w:rPr>
          <w:rFonts w:hint="eastAsia" w:ascii="宋体" w:hAnsi="宋体" w:eastAsia="宋体" w:cs="宋体"/>
          <w:bCs w:val="0"/>
          <w:szCs w:val="28"/>
        </w:rPr>
        <w:t>（一）供应商诚信承诺书</w:t>
      </w:r>
      <w:bookmarkEnd w:id="168"/>
      <w:bookmarkEnd w:id="169"/>
      <w:bookmarkEnd w:id="170"/>
      <w:bookmarkEnd w:id="171"/>
    </w:p>
    <w:p w14:paraId="01BF70C0">
      <w:pPr>
        <w:rPr>
          <w:rFonts w:hint="eastAsia" w:ascii="华文中宋" w:hAnsi="华文中宋" w:eastAsia="华文中宋" w:cs="华文中宋"/>
          <w:szCs w:val="21"/>
        </w:rPr>
      </w:pPr>
      <w:r>
        <w:rPr>
          <w:rFonts w:hint="eastAsia" w:ascii="华文中宋" w:hAnsi="华文中宋" w:eastAsia="华文中宋" w:cs="华文中宋"/>
          <w:szCs w:val="21"/>
        </w:rPr>
        <w:t>我公司承诺：</w:t>
      </w:r>
    </w:p>
    <w:p w14:paraId="28552B07">
      <w:pPr>
        <w:ind w:firstLine="420" w:firstLineChars="200"/>
        <w:rPr>
          <w:rFonts w:hint="eastAsia" w:ascii="华文中宋" w:hAnsi="华文中宋" w:eastAsia="华文中宋" w:cs="华文中宋"/>
          <w:szCs w:val="21"/>
        </w:rPr>
      </w:pPr>
      <w:r>
        <w:rPr>
          <w:rFonts w:hint="eastAsia" w:ascii="华文中宋" w:hAnsi="华文中宋" w:eastAsia="华文中宋" w:cs="华文中宋"/>
          <w:bCs/>
          <w:szCs w:val="21"/>
        </w:rPr>
        <w:t>1、我公司保证在</w:t>
      </w:r>
      <w:r>
        <w:rPr>
          <w:rFonts w:hint="eastAsia" w:ascii="华文中宋" w:hAnsi="华文中宋" w:eastAsia="华文中宋" w:cs="华文中宋"/>
          <w:szCs w:val="21"/>
        </w:rPr>
        <w:t>本次</w:t>
      </w:r>
      <w:r>
        <w:rPr>
          <w:rFonts w:hint="eastAsia" w:ascii="华文中宋" w:hAnsi="华文中宋" w:eastAsia="华文中宋" w:cs="华文中宋"/>
          <w:szCs w:val="21"/>
          <w:u w:val="single"/>
        </w:rPr>
        <w:t>（采购编号、项目名称）</w:t>
      </w:r>
      <w:r>
        <w:rPr>
          <w:rFonts w:hint="eastAsia" w:ascii="华文中宋" w:hAnsi="华文中宋" w:eastAsia="华文中宋" w:cs="华文中宋"/>
          <w:szCs w:val="21"/>
        </w:rPr>
        <w:t>投标过程中</w:t>
      </w:r>
      <w:r>
        <w:rPr>
          <w:rFonts w:hint="eastAsia" w:ascii="华文中宋" w:hAnsi="华文中宋" w:eastAsia="华文中宋" w:cs="华文中宋"/>
          <w:bCs/>
          <w:szCs w:val="21"/>
        </w:rPr>
        <w:t>，完全按照本</w:t>
      </w:r>
      <w:r>
        <w:rPr>
          <w:rFonts w:hint="eastAsia" w:ascii="华文中宋" w:hAnsi="华文中宋" w:eastAsia="华文中宋" w:cs="华文中宋"/>
          <w:szCs w:val="21"/>
          <w:u w:val="single" w:color="FFFFFF"/>
        </w:rPr>
        <w:t>招标</w:t>
      </w:r>
      <w:r>
        <w:rPr>
          <w:rFonts w:hint="eastAsia" w:ascii="华文中宋" w:hAnsi="华文中宋" w:eastAsia="华文中宋" w:cs="华文中宋"/>
          <w:bCs/>
          <w:szCs w:val="21"/>
        </w:rPr>
        <w:t>文件要求，</w:t>
      </w:r>
      <w:r>
        <w:rPr>
          <w:rFonts w:hint="eastAsia" w:ascii="华文中宋" w:hAnsi="华文中宋" w:eastAsia="华文中宋" w:cs="华文中宋"/>
          <w:szCs w:val="21"/>
        </w:rPr>
        <w:t>我公司在本次投标过程中，提供的所有文件材料，均是真实的。一旦发现有虚假材料，我公司自动放弃投标资格。</w:t>
      </w:r>
    </w:p>
    <w:p w14:paraId="666064A3">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2、在本次投标中如果我公司中标，承诺在领取中标通知书时按招标文件的规定及时向采购代理机构缴纳招标代理服务费。</w:t>
      </w:r>
    </w:p>
    <w:p w14:paraId="1B01C1CB">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注：该项内容不得涂改，否则其投标有可能被拒绝。</w:t>
      </w:r>
    </w:p>
    <w:p w14:paraId="2D7456E6">
      <w:pPr>
        <w:ind w:firstLine="420" w:firstLineChars="200"/>
        <w:rPr>
          <w:rFonts w:hint="eastAsia" w:ascii="华文中宋" w:hAnsi="华文中宋" w:eastAsia="华文中宋" w:cs="华文中宋"/>
          <w:szCs w:val="21"/>
        </w:rPr>
      </w:pPr>
    </w:p>
    <w:p w14:paraId="63367A56">
      <w:pPr>
        <w:pStyle w:val="23"/>
        <w:rPr>
          <w:rFonts w:hint="eastAsia" w:ascii="华文中宋" w:hAnsi="华文中宋" w:eastAsia="华文中宋" w:cs="华文中宋"/>
          <w:szCs w:val="21"/>
        </w:rPr>
      </w:pPr>
    </w:p>
    <w:p w14:paraId="3C002BB4"/>
    <w:p w14:paraId="6D9978E5">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供应商名称：</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33BFE799">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64249C8A">
      <w:pPr>
        <w:autoSpaceDE w:val="0"/>
        <w:autoSpaceDN w:val="0"/>
        <w:adjustRightInd w:val="0"/>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p>
    <w:p w14:paraId="6B9650AB">
      <w:pPr>
        <w:ind w:firstLine="210" w:firstLineChars="100"/>
        <w:jc w:val="center"/>
        <w:rPr>
          <w:rFonts w:hint="eastAsia" w:ascii="华文中宋" w:hAnsi="华文中宋" w:eastAsia="华文中宋" w:cs="华文中宋"/>
          <w:szCs w:val="21"/>
        </w:rPr>
      </w:pPr>
    </w:p>
    <w:p w14:paraId="00A1979A">
      <w:pPr>
        <w:ind w:firstLine="210" w:firstLineChars="100"/>
        <w:jc w:val="center"/>
        <w:rPr>
          <w:rFonts w:hint="eastAsia" w:ascii="华文中宋" w:hAnsi="华文中宋" w:eastAsia="华文中宋" w:cs="华文中宋"/>
          <w:szCs w:val="21"/>
        </w:rPr>
      </w:pPr>
    </w:p>
    <w:p w14:paraId="52419C93">
      <w:pPr>
        <w:ind w:firstLine="210" w:firstLineChars="100"/>
        <w:jc w:val="center"/>
        <w:rPr>
          <w:rFonts w:hint="eastAsia" w:ascii="华文中宋" w:hAnsi="华文中宋" w:eastAsia="华文中宋" w:cs="华文中宋"/>
          <w:szCs w:val="21"/>
        </w:rPr>
      </w:pPr>
    </w:p>
    <w:p w14:paraId="3A20A4FF">
      <w:pPr>
        <w:ind w:firstLine="210" w:firstLineChars="100"/>
        <w:jc w:val="center"/>
        <w:rPr>
          <w:rFonts w:hint="eastAsia" w:ascii="华文中宋" w:hAnsi="华文中宋" w:eastAsia="华文中宋" w:cs="华文中宋"/>
          <w:szCs w:val="21"/>
        </w:rPr>
      </w:pPr>
    </w:p>
    <w:p w14:paraId="116697AB">
      <w:pPr>
        <w:ind w:firstLine="210" w:firstLineChars="100"/>
        <w:jc w:val="center"/>
        <w:rPr>
          <w:rFonts w:hint="eastAsia" w:ascii="华文中宋" w:hAnsi="华文中宋" w:eastAsia="华文中宋" w:cs="华文中宋"/>
          <w:szCs w:val="21"/>
        </w:rPr>
      </w:pPr>
    </w:p>
    <w:p w14:paraId="27D5241C">
      <w:pPr>
        <w:ind w:firstLine="210" w:firstLineChars="100"/>
        <w:jc w:val="center"/>
        <w:rPr>
          <w:rFonts w:hint="eastAsia" w:ascii="华文中宋" w:hAnsi="华文中宋" w:eastAsia="华文中宋" w:cs="华文中宋"/>
          <w:szCs w:val="21"/>
        </w:rPr>
      </w:pPr>
    </w:p>
    <w:p w14:paraId="36D7075C">
      <w:pPr>
        <w:ind w:firstLine="210" w:firstLineChars="100"/>
        <w:jc w:val="center"/>
        <w:rPr>
          <w:rFonts w:hint="eastAsia" w:ascii="华文中宋" w:hAnsi="华文中宋" w:eastAsia="华文中宋" w:cs="华文中宋"/>
          <w:szCs w:val="21"/>
        </w:rPr>
      </w:pPr>
    </w:p>
    <w:p w14:paraId="72422F4F">
      <w:pPr>
        <w:pStyle w:val="5"/>
      </w:pPr>
    </w:p>
    <w:p w14:paraId="701DD033">
      <w:pPr>
        <w:ind w:firstLine="210" w:firstLineChars="100"/>
        <w:jc w:val="center"/>
        <w:rPr>
          <w:rFonts w:hint="eastAsia" w:ascii="华文中宋" w:hAnsi="华文中宋" w:eastAsia="华文中宋" w:cs="华文中宋"/>
          <w:szCs w:val="21"/>
        </w:rPr>
      </w:pPr>
    </w:p>
    <w:p w14:paraId="42C920F3">
      <w:pPr>
        <w:ind w:firstLine="210" w:firstLineChars="100"/>
        <w:jc w:val="center"/>
        <w:rPr>
          <w:rFonts w:hint="eastAsia" w:ascii="华文中宋" w:hAnsi="华文中宋" w:eastAsia="华文中宋" w:cs="华文中宋"/>
          <w:szCs w:val="21"/>
        </w:rPr>
      </w:pPr>
    </w:p>
    <w:p w14:paraId="3901DDD3">
      <w:pPr>
        <w:pStyle w:val="40"/>
        <w:ind w:firstLine="420"/>
        <w:rPr>
          <w:rFonts w:hint="eastAsia"/>
        </w:rPr>
      </w:pPr>
    </w:p>
    <w:p w14:paraId="17A7AF70">
      <w:pPr>
        <w:ind w:firstLine="210" w:firstLineChars="100"/>
        <w:jc w:val="center"/>
        <w:rPr>
          <w:rFonts w:hint="eastAsia" w:ascii="华文中宋" w:hAnsi="华文中宋" w:eastAsia="华文中宋" w:cs="华文中宋"/>
          <w:szCs w:val="21"/>
        </w:rPr>
      </w:pPr>
    </w:p>
    <w:p w14:paraId="17020F9E">
      <w:pPr>
        <w:pStyle w:val="37"/>
        <w:rPr>
          <w:rFonts w:hint="eastAsia" w:ascii="华文中宋" w:hAnsi="华文中宋" w:eastAsia="华文中宋" w:cs="华文中宋"/>
          <w:szCs w:val="21"/>
        </w:rPr>
      </w:pPr>
    </w:p>
    <w:p w14:paraId="451DCF27">
      <w:pPr>
        <w:pStyle w:val="37"/>
        <w:rPr>
          <w:rFonts w:hint="eastAsia" w:ascii="华文中宋" w:hAnsi="华文中宋" w:eastAsia="华文中宋" w:cs="华文中宋"/>
          <w:szCs w:val="21"/>
        </w:rPr>
      </w:pPr>
    </w:p>
    <w:p w14:paraId="23A0F232">
      <w:pPr>
        <w:ind w:firstLine="210" w:firstLineChars="100"/>
        <w:jc w:val="center"/>
        <w:rPr>
          <w:rFonts w:hint="eastAsia" w:ascii="华文中宋" w:hAnsi="华文中宋" w:eastAsia="华文中宋" w:cs="华文中宋"/>
          <w:szCs w:val="21"/>
        </w:rPr>
      </w:pPr>
    </w:p>
    <w:p w14:paraId="707838A2">
      <w:pPr>
        <w:pStyle w:val="22"/>
        <w:ind w:firstLine="210"/>
        <w:rPr>
          <w:rFonts w:hint="eastAsia" w:ascii="华文中宋" w:hAnsi="华文中宋" w:eastAsia="华文中宋" w:cs="华文中宋"/>
          <w:kern w:val="0"/>
          <w:szCs w:val="21"/>
          <w:highlight w:val="red"/>
        </w:rPr>
      </w:pPr>
    </w:p>
    <w:p w14:paraId="4F21A233">
      <w:pPr>
        <w:pStyle w:val="4"/>
        <w:autoSpaceDE w:val="0"/>
        <w:autoSpaceDN w:val="0"/>
        <w:spacing w:line="440" w:lineRule="exact"/>
        <w:rPr>
          <w:rFonts w:hint="eastAsia" w:ascii="宋体" w:hAnsi="宋体" w:eastAsia="宋体" w:cs="宋体"/>
          <w:bCs w:val="0"/>
          <w:szCs w:val="28"/>
        </w:rPr>
      </w:pPr>
      <w:bookmarkStart w:id="172" w:name="_Toc12123"/>
      <w:bookmarkStart w:id="173" w:name="_Toc12545"/>
      <w:bookmarkStart w:id="174" w:name="_Toc14008"/>
      <w:bookmarkStart w:id="175" w:name="_Toc14461"/>
      <w:r>
        <w:rPr>
          <w:rFonts w:hint="eastAsia" w:ascii="宋体" w:hAnsi="宋体" w:eastAsia="宋体" w:cs="宋体"/>
          <w:bCs w:val="0"/>
          <w:szCs w:val="28"/>
        </w:rPr>
        <w:t>（二）反商业贿赂承诺书</w:t>
      </w:r>
      <w:bookmarkEnd w:id="172"/>
      <w:bookmarkEnd w:id="173"/>
      <w:bookmarkEnd w:id="174"/>
      <w:bookmarkEnd w:id="175"/>
    </w:p>
    <w:p w14:paraId="58586866">
      <w:pPr>
        <w:rPr>
          <w:rFonts w:hint="eastAsia" w:ascii="华文中宋" w:hAnsi="华文中宋" w:eastAsia="华文中宋" w:cs="华文中宋"/>
          <w:szCs w:val="21"/>
        </w:rPr>
      </w:pPr>
      <w:r>
        <w:rPr>
          <w:rFonts w:hint="eastAsia" w:ascii="华文中宋" w:hAnsi="华文中宋" w:eastAsia="华文中宋" w:cs="华文中宋"/>
          <w:szCs w:val="21"/>
        </w:rPr>
        <w:t>我公司承诺：</w:t>
      </w:r>
    </w:p>
    <w:p w14:paraId="52AA0425">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在</w:t>
      </w:r>
      <w:r>
        <w:rPr>
          <w:rFonts w:hint="eastAsia" w:ascii="华文中宋" w:hAnsi="华文中宋" w:eastAsia="华文中宋" w:cs="华文中宋"/>
          <w:szCs w:val="21"/>
          <w:u w:val="single"/>
        </w:rPr>
        <w:t>（采购编号、项目名称）</w:t>
      </w:r>
      <w:r>
        <w:rPr>
          <w:rFonts w:hint="eastAsia" w:ascii="华文中宋" w:hAnsi="华文中宋" w:eastAsia="华文中宋" w:cs="华文中宋"/>
          <w:szCs w:val="21"/>
        </w:rPr>
        <w:t>招标活动中，我公司保证做到：</w:t>
      </w:r>
    </w:p>
    <w:p w14:paraId="5F6DD947">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一、公平竞争参加本次招标活动。</w:t>
      </w:r>
    </w:p>
    <w:p w14:paraId="143570D5">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1364E67">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三、若出现上述行为，我公司及参与投标的工作人员愿意接受按照国家法律法规等有关规定给予的处罚。</w:t>
      </w:r>
    </w:p>
    <w:p w14:paraId="7B6ABA01">
      <w:pPr>
        <w:rPr>
          <w:rFonts w:hint="eastAsia" w:ascii="华文中宋" w:hAnsi="华文中宋" w:eastAsia="华文中宋" w:cs="华文中宋"/>
          <w:szCs w:val="21"/>
        </w:rPr>
      </w:pPr>
    </w:p>
    <w:p w14:paraId="486EAA7B">
      <w:pPr>
        <w:ind w:firstLine="5670" w:firstLineChars="2700"/>
        <w:rPr>
          <w:rFonts w:hint="eastAsia" w:ascii="华文中宋" w:hAnsi="华文中宋" w:eastAsia="华文中宋" w:cs="华文中宋"/>
          <w:szCs w:val="21"/>
        </w:rPr>
      </w:pPr>
      <w:r>
        <w:rPr>
          <w:rFonts w:hint="eastAsia" w:ascii="华文中宋" w:hAnsi="华文中宋" w:eastAsia="华文中宋" w:cs="华文中宋"/>
          <w:szCs w:val="21"/>
          <w:lang w:val="zh-CN"/>
        </w:rPr>
        <w:t>供应商名称：</w:t>
      </w:r>
      <w:r>
        <w:rPr>
          <w:rFonts w:hint="eastAsia" w:ascii="华文中宋" w:hAnsi="华文中宋" w:eastAsia="华文中宋" w:cs="华文中宋"/>
          <w:szCs w:val="21"/>
          <w:u w:val="single"/>
          <w:lang w:val="zh-CN"/>
        </w:rPr>
        <w:t xml:space="preserve">      </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 xml:space="preserve">（电子签章） </w:t>
      </w:r>
      <w:r>
        <w:rPr>
          <w:rFonts w:hint="eastAsia" w:ascii="华文中宋" w:hAnsi="华文中宋" w:eastAsia="华文中宋" w:cs="华文中宋"/>
          <w:szCs w:val="21"/>
        </w:rPr>
        <w:t xml:space="preserve">              </w:t>
      </w:r>
    </w:p>
    <w:p w14:paraId="588EFCBC">
      <w:pPr>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rPr>
        <w:t>法定代表人</w:t>
      </w:r>
      <w:r>
        <w:rPr>
          <w:rFonts w:hint="eastAsia" w:ascii="华文中宋" w:hAnsi="华文中宋" w:eastAsia="华文中宋" w:cs="华文中宋"/>
          <w:szCs w:val="21"/>
          <w:lang w:val="zh-CN"/>
        </w:rPr>
        <w:t>：</w:t>
      </w:r>
      <w:r>
        <w:rPr>
          <w:rFonts w:hint="eastAsia" w:ascii="华文中宋" w:hAnsi="华文中宋" w:cs="华文中宋"/>
          <w:szCs w:val="21"/>
          <w:u w:val="single"/>
        </w:rPr>
        <w:t xml:space="preserve">     </w:t>
      </w:r>
      <w:r>
        <w:rPr>
          <w:rFonts w:hint="eastAsia" w:ascii="华文中宋" w:hAnsi="华文中宋" w:eastAsia="华文中宋" w:cs="华文中宋"/>
          <w:szCs w:val="21"/>
          <w:lang w:val="zh-CN"/>
        </w:rPr>
        <w:t>（签字或电子签章）</w:t>
      </w:r>
    </w:p>
    <w:p w14:paraId="0082A027">
      <w:pPr>
        <w:autoSpaceDE w:val="0"/>
        <w:autoSpaceDN w:val="0"/>
        <w:adjustRightInd w:val="0"/>
        <w:ind w:firstLine="5670" w:firstLineChars="27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日 期：</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年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 xml:space="preserve">月 </w:t>
      </w:r>
      <w:r>
        <w:rPr>
          <w:rFonts w:hint="eastAsia" w:ascii="华文中宋" w:hAnsi="华文中宋" w:eastAsia="华文中宋" w:cs="华文中宋"/>
          <w:szCs w:val="21"/>
          <w:u w:val="single"/>
          <w:lang w:val="zh-CN"/>
        </w:rPr>
        <w:t xml:space="preserve">    </w:t>
      </w:r>
      <w:r>
        <w:rPr>
          <w:rFonts w:hint="eastAsia" w:ascii="华文中宋" w:hAnsi="华文中宋" w:eastAsia="华文中宋" w:cs="华文中宋"/>
          <w:szCs w:val="21"/>
          <w:lang w:val="zh-CN"/>
        </w:rPr>
        <w:t>日</w:t>
      </w:r>
    </w:p>
    <w:p w14:paraId="2E46A234">
      <w:pPr>
        <w:rPr>
          <w:rFonts w:hint="eastAsia" w:ascii="华文中宋" w:hAnsi="华文中宋" w:eastAsia="华文中宋" w:cs="华文中宋"/>
          <w:szCs w:val="21"/>
        </w:rPr>
      </w:pPr>
    </w:p>
    <w:p w14:paraId="66C97AE8">
      <w:pPr>
        <w:rPr>
          <w:rFonts w:hint="eastAsia" w:ascii="华文中宋" w:hAnsi="华文中宋" w:eastAsia="华文中宋" w:cs="华文中宋"/>
        </w:rPr>
      </w:pPr>
    </w:p>
    <w:p w14:paraId="5A7D0FB4">
      <w:pPr>
        <w:pStyle w:val="40"/>
        <w:ind w:firstLine="420"/>
        <w:rPr>
          <w:rFonts w:hint="eastAsia"/>
        </w:rPr>
      </w:pPr>
    </w:p>
    <w:p w14:paraId="0AD04077">
      <w:pPr>
        <w:pStyle w:val="22"/>
        <w:ind w:firstLine="210"/>
        <w:rPr>
          <w:rFonts w:hint="eastAsia" w:ascii="华文中宋" w:hAnsi="华文中宋" w:eastAsia="华文中宋" w:cs="华文中宋"/>
        </w:rPr>
      </w:pPr>
    </w:p>
    <w:p w14:paraId="7245C110">
      <w:pPr>
        <w:pStyle w:val="22"/>
        <w:ind w:firstLine="210"/>
        <w:rPr>
          <w:rFonts w:hint="eastAsia" w:ascii="华文中宋" w:hAnsi="华文中宋" w:eastAsia="华文中宋" w:cs="华文中宋"/>
        </w:rPr>
      </w:pPr>
    </w:p>
    <w:p w14:paraId="790C669D">
      <w:pPr>
        <w:pStyle w:val="22"/>
        <w:ind w:firstLine="210"/>
        <w:rPr>
          <w:rFonts w:hint="eastAsia" w:ascii="华文中宋" w:hAnsi="华文中宋" w:eastAsia="华文中宋" w:cs="华文中宋"/>
        </w:rPr>
      </w:pPr>
    </w:p>
    <w:p w14:paraId="6BC99323">
      <w:pPr>
        <w:pStyle w:val="22"/>
        <w:ind w:firstLine="210"/>
        <w:rPr>
          <w:rFonts w:hint="eastAsia" w:ascii="华文中宋" w:hAnsi="华文中宋" w:eastAsia="华文中宋" w:cs="华文中宋"/>
        </w:rPr>
      </w:pPr>
    </w:p>
    <w:p w14:paraId="2F1E9A88">
      <w:pPr>
        <w:pStyle w:val="22"/>
        <w:ind w:firstLine="210"/>
        <w:rPr>
          <w:rFonts w:hint="eastAsia" w:ascii="华文中宋" w:hAnsi="华文中宋" w:eastAsia="华文中宋" w:cs="华文中宋"/>
        </w:rPr>
      </w:pPr>
    </w:p>
    <w:p w14:paraId="441B0DC7">
      <w:pPr>
        <w:pStyle w:val="22"/>
        <w:ind w:firstLine="210"/>
        <w:rPr>
          <w:rFonts w:hint="eastAsia" w:ascii="华文中宋" w:hAnsi="华文中宋" w:eastAsia="华文中宋" w:cs="华文中宋"/>
        </w:rPr>
      </w:pPr>
    </w:p>
    <w:p w14:paraId="5CEC51E0">
      <w:pPr>
        <w:pStyle w:val="22"/>
        <w:ind w:firstLine="210"/>
        <w:rPr>
          <w:rFonts w:hint="eastAsia" w:ascii="华文中宋" w:hAnsi="华文中宋" w:eastAsia="华文中宋" w:cs="华文中宋"/>
        </w:rPr>
      </w:pPr>
    </w:p>
    <w:p w14:paraId="710DDC42">
      <w:pPr>
        <w:pStyle w:val="22"/>
        <w:ind w:firstLine="210"/>
        <w:rPr>
          <w:rFonts w:hint="eastAsia" w:ascii="华文中宋" w:hAnsi="华文中宋" w:eastAsia="华文中宋" w:cs="华文中宋"/>
        </w:rPr>
      </w:pPr>
    </w:p>
    <w:p w14:paraId="3BC7C0AB">
      <w:pPr>
        <w:pStyle w:val="22"/>
        <w:ind w:firstLine="210"/>
        <w:rPr>
          <w:rFonts w:hint="eastAsia" w:ascii="华文中宋" w:hAnsi="华文中宋" w:eastAsia="华文中宋" w:cs="华文中宋"/>
        </w:rPr>
      </w:pPr>
    </w:p>
    <w:p w14:paraId="79374126">
      <w:pPr>
        <w:pStyle w:val="22"/>
        <w:ind w:firstLine="210"/>
        <w:rPr>
          <w:rFonts w:hint="eastAsia" w:ascii="华文中宋" w:hAnsi="华文中宋" w:eastAsia="华文中宋" w:cs="华文中宋"/>
        </w:rPr>
      </w:pPr>
    </w:p>
    <w:p w14:paraId="57CB579F">
      <w:pPr>
        <w:pStyle w:val="23"/>
        <w:rPr>
          <w:rFonts w:hint="eastAsia" w:ascii="华文中宋" w:hAnsi="华文中宋" w:eastAsia="华文中宋" w:cs="华文中宋"/>
        </w:rPr>
      </w:pPr>
    </w:p>
    <w:p w14:paraId="2EED62AD">
      <w:pPr>
        <w:pStyle w:val="5"/>
      </w:pPr>
    </w:p>
    <w:p w14:paraId="63EF609C">
      <w:pPr>
        <w:pStyle w:val="22"/>
        <w:ind w:firstLine="210"/>
        <w:rPr>
          <w:rFonts w:hint="eastAsia" w:ascii="华文中宋" w:hAnsi="华文中宋" w:eastAsia="华文中宋" w:cs="华文中宋"/>
        </w:rPr>
      </w:pPr>
    </w:p>
    <w:p w14:paraId="715A31BC">
      <w:pPr>
        <w:pStyle w:val="22"/>
        <w:ind w:firstLine="210"/>
        <w:rPr>
          <w:rFonts w:hint="eastAsia" w:ascii="华文中宋" w:hAnsi="华文中宋" w:eastAsia="华文中宋" w:cs="华文中宋"/>
        </w:rPr>
      </w:pPr>
    </w:p>
    <w:p w14:paraId="2C32FD2C">
      <w:pPr>
        <w:pStyle w:val="37"/>
        <w:rPr>
          <w:rFonts w:hint="eastAsia" w:ascii="华文中宋" w:hAnsi="华文中宋" w:eastAsia="华文中宋" w:cs="华文中宋"/>
          <w:b/>
          <w:bCs/>
          <w:sz w:val="21"/>
          <w:szCs w:val="21"/>
        </w:rPr>
      </w:pPr>
    </w:p>
    <w:p w14:paraId="3B274ED6">
      <w:pPr>
        <w:pStyle w:val="4"/>
        <w:autoSpaceDE w:val="0"/>
        <w:autoSpaceDN w:val="0"/>
        <w:rPr>
          <w:rFonts w:hint="eastAsia" w:ascii="宋体" w:hAnsi="宋体" w:eastAsia="宋体" w:cs="宋体"/>
          <w:bCs w:val="0"/>
          <w:szCs w:val="28"/>
        </w:rPr>
      </w:pPr>
      <w:bookmarkStart w:id="176" w:name="_Toc16852"/>
      <w:bookmarkStart w:id="177" w:name="_Toc24488"/>
      <w:bookmarkStart w:id="178" w:name="_Toc22656"/>
      <w:bookmarkStart w:id="179" w:name="_Toc7001"/>
      <w:r>
        <w:rPr>
          <w:rFonts w:hint="eastAsia" w:ascii="宋体" w:hAnsi="宋体" w:eastAsia="宋体" w:cs="宋体"/>
          <w:bCs w:val="0"/>
          <w:szCs w:val="28"/>
        </w:rPr>
        <w:t>（三）供应商认为需要提供的其他材料</w:t>
      </w:r>
      <w:bookmarkEnd w:id="176"/>
      <w:bookmarkEnd w:id="177"/>
      <w:bookmarkEnd w:id="178"/>
      <w:bookmarkEnd w:id="179"/>
    </w:p>
    <w:p w14:paraId="6E083704">
      <w:pPr>
        <w:jc w:val="center"/>
        <w:rPr>
          <w:rFonts w:hint="eastAsia" w:ascii="华文中宋" w:hAnsi="华文中宋" w:eastAsia="华文中宋" w:cs="华文中宋"/>
        </w:rPr>
      </w:pPr>
      <w:r>
        <w:rPr>
          <w:rFonts w:hint="eastAsia" w:ascii="华文中宋" w:hAnsi="华文中宋" w:eastAsia="华文中宋" w:cs="华文中宋"/>
        </w:rPr>
        <w:t>（格式自拟）</w:t>
      </w:r>
    </w:p>
    <w:p w14:paraId="4C337509">
      <w:pPr>
        <w:pStyle w:val="22"/>
        <w:ind w:firstLine="210"/>
        <w:rPr>
          <w:rFonts w:hint="eastAsia" w:ascii="华文中宋" w:hAnsi="华文中宋" w:eastAsia="华文中宋" w:cs="华文中宋"/>
        </w:rPr>
      </w:pPr>
    </w:p>
    <w:p w14:paraId="6D1DB95A">
      <w:pPr>
        <w:pStyle w:val="23"/>
        <w:rPr>
          <w:rFonts w:hint="eastAsia" w:ascii="华文中宋" w:hAnsi="华文中宋" w:eastAsia="华文中宋" w:cs="华文中宋"/>
        </w:rPr>
      </w:pPr>
    </w:p>
    <w:p w14:paraId="285C9ECB">
      <w:pPr>
        <w:pStyle w:val="5"/>
        <w:rPr>
          <w:rFonts w:hint="eastAsia" w:ascii="华文中宋" w:hAnsi="华文中宋" w:eastAsia="华文中宋" w:cs="华文中宋"/>
        </w:rPr>
      </w:pPr>
    </w:p>
    <w:p w14:paraId="04449735">
      <w:pPr>
        <w:pStyle w:val="6"/>
        <w:rPr>
          <w:rFonts w:hint="eastAsia" w:ascii="华文中宋" w:hAnsi="华文中宋" w:eastAsia="华文中宋" w:cs="华文中宋"/>
        </w:rPr>
      </w:pPr>
    </w:p>
    <w:p w14:paraId="56698E57">
      <w:pPr>
        <w:pStyle w:val="7"/>
        <w:rPr>
          <w:rFonts w:hint="eastAsia" w:ascii="华文中宋" w:hAnsi="华文中宋" w:eastAsia="华文中宋" w:cs="华文中宋"/>
        </w:rPr>
      </w:pPr>
    </w:p>
    <w:p w14:paraId="2A868163">
      <w:pPr>
        <w:pStyle w:val="33"/>
        <w:rPr>
          <w:rFonts w:hint="eastAsia" w:ascii="华文中宋" w:hAnsi="华文中宋" w:eastAsia="华文中宋" w:cs="华文中宋"/>
        </w:rPr>
      </w:pPr>
    </w:p>
    <w:p w14:paraId="051E8E62">
      <w:pPr>
        <w:pStyle w:val="18"/>
        <w:rPr>
          <w:rFonts w:hint="eastAsia" w:ascii="华文中宋" w:hAnsi="华文中宋" w:eastAsia="华文中宋" w:cs="华文中宋"/>
        </w:rPr>
      </w:pPr>
    </w:p>
    <w:p w14:paraId="0048E9CC">
      <w:pPr>
        <w:pStyle w:val="18"/>
        <w:rPr>
          <w:rFonts w:hint="eastAsia" w:ascii="华文中宋" w:hAnsi="华文中宋" w:eastAsia="华文中宋" w:cs="华文中宋"/>
        </w:rPr>
      </w:pPr>
    </w:p>
    <w:p w14:paraId="083DE053">
      <w:pPr>
        <w:pStyle w:val="18"/>
        <w:rPr>
          <w:rFonts w:hint="eastAsia" w:ascii="华文中宋" w:hAnsi="华文中宋" w:eastAsia="华文中宋" w:cs="华文中宋"/>
        </w:rPr>
      </w:pPr>
    </w:p>
    <w:p w14:paraId="48D37FE2">
      <w:pPr>
        <w:pStyle w:val="18"/>
        <w:rPr>
          <w:rFonts w:hint="eastAsia" w:ascii="华文中宋" w:hAnsi="华文中宋" w:eastAsia="华文中宋" w:cs="华文中宋"/>
        </w:rPr>
      </w:pPr>
    </w:p>
    <w:p w14:paraId="74DDDE00">
      <w:pPr>
        <w:pStyle w:val="18"/>
        <w:rPr>
          <w:rFonts w:hint="eastAsia" w:ascii="华文中宋" w:hAnsi="华文中宋" w:eastAsia="华文中宋" w:cs="华文中宋"/>
        </w:rPr>
      </w:pPr>
    </w:p>
    <w:p w14:paraId="7E9A9FE8">
      <w:pPr>
        <w:pStyle w:val="18"/>
        <w:rPr>
          <w:rFonts w:hint="eastAsia" w:ascii="华文中宋" w:hAnsi="华文中宋" w:eastAsia="华文中宋" w:cs="华文中宋"/>
        </w:rPr>
      </w:pPr>
    </w:p>
    <w:p w14:paraId="0CF57581">
      <w:pPr>
        <w:pStyle w:val="18"/>
        <w:rPr>
          <w:rFonts w:hint="eastAsia" w:ascii="华文中宋" w:hAnsi="华文中宋" w:eastAsia="华文中宋" w:cs="华文中宋"/>
        </w:rPr>
      </w:pPr>
    </w:p>
    <w:p w14:paraId="3FA990D5">
      <w:pPr>
        <w:pStyle w:val="18"/>
        <w:rPr>
          <w:rFonts w:hint="eastAsia" w:ascii="华文中宋" w:hAnsi="华文中宋" w:eastAsia="华文中宋" w:cs="华文中宋"/>
        </w:rPr>
      </w:pPr>
    </w:p>
    <w:p w14:paraId="67261358">
      <w:pPr>
        <w:pStyle w:val="18"/>
        <w:rPr>
          <w:rFonts w:hint="eastAsia" w:ascii="华文中宋" w:hAnsi="华文中宋" w:eastAsia="华文中宋" w:cs="华文中宋"/>
        </w:rPr>
      </w:pPr>
    </w:p>
    <w:p w14:paraId="3AC0FA40">
      <w:pPr>
        <w:pStyle w:val="18"/>
        <w:rPr>
          <w:rFonts w:hint="eastAsia" w:ascii="华文中宋" w:hAnsi="华文中宋" w:eastAsia="华文中宋" w:cs="华文中宋"/>
        </w:rPr>
      </w:pPr>
    </w:p>
    <w:p w14:paraId="184D3694">
      <w:pPr>
        <w:pStyle w:val="18"/>
        <w:rPr>
          <w:rFonts w:hint="eastAsia" w:ascii="华文中宋" w:hAnsi="华文中宋" w:eastAsia="华文中宋" w:cs="华文中宋"/>
        </w:rPr>
      </w:pPr>
    </w:p>
    <w:p w14:paraId="6533909F">
      <w:pPr>
        <w:pStyle w:val="18"/>
        <w:rPr>
          <w:rFonts w:hint="eastAsia" w:ascii="华文中宋" w:hAnsi="华文中宋" w:eastAsia="华文中宋" w:cs="华文中宋"/>
        </w:rPr>
      </w:pPr>
    </w:p>
    <w:p w14:paraId="06402132">
      <w:pPr>
        <w:pStyle w:val="18"/>
        <w:rPr>
          <w:rFonts w:hint="eastAsia" w:ascii="华文中宋" w:hAnsi="华文中宋" w:eastAsia="华文中宋" w:cs="华文中宋"/>
        </w:rPr>
      </w:pPr>
    </w:p>
    <w:p w14:paraId="6546312F">
      <w:pPr>
        <w:pStyle w:val="18"/>
        <w:rPr>
          <w:rFonts w:hint="eastAsia" w:ascii="华文中宋" w:hAnsi="华文中宋" w:eastAsia="华文中宋" w:cs="华文中宋"/>
        </w:rPr>
      </w:pPr>
    </w:p>
    <w:p w14:paraId="50D9D6DA">
      <w:pPr>
        <w:pStyle w:val="18"/>
        <w:rPr>
          <w:rFonts w:hint="eastAsia" w:ascii="华文中宋" w:hAnsi="华文中宋" w:eastAsia="华文中宋" w:cs="华文中宋"/>
        </w:rPr>
      </w:pPr>
    </w:p>
    <w:p w14:paraId="50144FEC">
      <w:pPr>
        <w:pStyle w:val="18"/>
        <w:rPr>
          <w:rFonts w:hint="eastAsia" w:ascii="华文中宋" w:hAnsi="华文中宋" w:eastAsia="华文中宋" w:cs="华文中宋"/>
        </w:rPr>
      </w:pPr>
    </w:p>
    <w:p w14:paraId="364AEBB3">
      <w:pPr>
        <w:pStyle w:val="18"/>
        <w:rPr>
          <w:rFonts w:hint="eastAsia" w:ascii="华文中宋" w:hAnsi="华文中宋" w:eastAsia="华文中宋" w:cs="华文中宋"/>
        </w:rPr>
      </w:pPr>
    </w:p>
    <w:p w14:paraId="7340F922">
      <w:pPr>
        <w:pStyle w:val="18"/>
        <w:rPr>
          <w:rFonts w:hint="eastAsia" w:ascii="华文中宋" w:hAnsi="华文中宋" w:eastAsia="华文中宋" w:cs="华文中宋"/>
        </w:rPr>
      </w:pPr>
    </w:p>
    <w:p w14:paraId="1EA275A7">
      <w:pPr>
        <w:pStyle w:val="18"/>
        <w:rPr>
          <w:rFonts w:hint="eastAsia" w:ascii="华文中宋" w:hAnsi="华文中宋" w:eastAsia="华文中宋" w:cs="华文中宋"/>
        </w:rPr>
      </w:pPr>
    </w:p>
    <w:p w14:paraId="59885B83">
      <w:pPr>
        <w:pStyle w:val="18"/>
        <w:rPr>
          <w:rFonts w:hint="eastAsia" w:ascii="华文中宋" w:hAnsi="华文中宋" w:eastAsia="华文中宋" w:cs="华文中宋"/>
        </w:rPr>
      </w:pPr>
    </w:p>
    <w:p w14:paraId="5F2B943E">
      <w:pPr>
        <w:pStyle w:val="18"/>
        <w:rPr>
          <w:rFonts w:hint="eastAsia" w:ascii="华文中宋" w:hAnsi="华文中宋" w:eastAsia="华文中宋" w:cs="华文中宋"/>
        </w:rPr>
      </w:pPr>
    </w:p>
    <w:p w14:paraId="25E2FEB1">
      <w:pPr>
        <w:pStyle w:val="18"/>
        <w:rPr>
          <w:rFonts w:hint="eastAsia" w:ascii="华文中宋" w:hAnsi="华文中宋" w:eastAsia="华文中宋" w:cs="华文中宋"/>
        </w:rPr>
      </w:pPr>
    </w:p>
    <w:p w14:paraId="1051A2EC">
      <w:pPr>
        <w:pStyle w:val="18"/>
        <w:rPr>
          <w:rFonts w:hint="eastAsia" w:ascii="华文中宋" w:hAnsi="华文中宋" w:eastAsia="华文中宋" w:cs="华文中宋"/>
        </w:rPr>
      </w:pPr>
    </w:p>
    <w:bookmarkEnd w:id="106"/>
    <w:bookmarkEnd w:id="107"/>
    <w:bookmarkEnd w:id="108"/>
    <w:p w14:paraId="10A0C9D8">
      <w:pPr>
        <w:pStyle w:val="3"/>
        <w:numPr>
          <w:ilvl w:val="0"/>
          <w:numId w:val="0"/>
        </w:numPr>
        <w:jc w:val="center"/>
        <w:rPr>
          <w:rFonts w:hint="eastAsia" w:ascii="宋体" w:hAnsi="宋体" w:eastAsia="宋体" w:cs="宋体"/>
          <w:b/>
          <w:bCs w:val="0"/>
          <w:sz w:val="28"/>
          <w:szCs w:val="28"/>
        </w:rPr>
      </w:pPr>
      <w:bookmarkStart w:id="180" w:name="_Toc80475373"/>
      <w:bookmarkStart w:id="181" w:name="_Toc23676"/>
      <w:bookmarkStart w:id="182" w:name="_Toc8409"/>
      <w:bookmarkStart w:id="183" w:name="_Toc10439"/>
      <w:r>
        <w:rPr>
          <w:rFonts w:hint="eastAsia" w:ascii="宋体" w:hAnsi="宋体" w:eastAsia="宋体" w:cs="宋体"/>
          <w:b/>
          <w:bCs w:val="0"/>
          <w:sz w:val="28"/>
          <w:szCs w:val="28"/>
        </w:rPr>
        <w:t>七、政府采购政策</w:t>
      </w:r>
      <w:bookmarkEnd w:id="180"/>
      <w:bookmarkEnd w:id="181"/>
      <w:bookmarkEnd w:id="182"/>
      <w:bookmarkEnd w:id="183"/>
    </w:p>
    <w:p w14:paraId="036C2197">
      <w:pPr>
        <w:pStyle w:val="4"/>
        <w:autoSpaceDE w:val="0"/>
        <w:autoSpaceDN w:val="0"/>
        <w:rPr>
          <w:rFonts w:hint="eastAsia" w:ascii="宋体" w:hAnsi="宋体" w:eastAsia="宋体" w:cs="宋体"/>
          <w:bCs w:val="0"/>
          <w:szCs w:val="28"/>
          <w:lang w:val="zh-CN"/>
        </w:rPr>
      </w:pPr>
      <w:bookmarkStart w:id="184" w:name="_Toc18113"/>
      <w:bookmarkStart w:id="185" w:name="_Toc15559"/>
      <w:r>
        <w:rPr>
          <w:rFonts w:hint="eastAsia" w:ascii="宋体" w:hAnsi="宋体" w:eastAsia="宋体" w:cs="宋体"/>
          <w:bCs w:val="0"/>
          <w:szCs w:val="28"/>
          <w:lang w:val="zh-CN"/>
        </w:rPr>
        <w:t>（</w:t>
      </w:r>
      <w:r>
        <w:rPr>
          <w:rFonts w:hint="eastAsia" w:ascii="宋体" w:hAnsi="宋体" w:eastAsia="宋体" w:cs="宋体"/>
          <w:bCs w:val="0"/>
          <w:szCs w:val="28"/>
        </w:rPr>
        <w:t>一</w:t>
      </w:r>
      <w:r>
        <w:rPr>
          <w:rFonts w:hint="eastAsia" w:ascii="宋体" w:hAnsi="宋体" w:eastAsia="宋体" w:cs="宋体"/>
          <w:bCs w:val="0"/>
          <w:szCs w:val="28"/>
          <w:lang w:val="zh-CN"/>
        </w:rPr>
        <w:t>）中小企业声明函（</w:t>
      </w:r>
      <w:r>
        <w:rPr>
          <w:rFonts w:hint="eastAsia" w:ascii="宋体" w:hAnsi="宋体" w:eastAsia="宋体" w:cs="宋体"/>
          <w:bCs w:val="0"/>
          <w:szCs w:val="28"/>
        </w:rPr>
        <w:t>服务</w:t>
      </w:r>
      <w:r>
        <w:rPr>
          <w:rFonts w:hint="eastAsia" w:ascii="宋体" w:hAnsi="宋体" w:eastAsia="宋体" w:cs="宋体"/>
          <w:bCs w:val="0"/>
          <w:szCs w:val="28"/>
          <w:lang w:val="zh-CN"/>
        </w:rPr>
        <w:t>）</w:t>
      </w:r>
      <w:bookmarkEnd w:id="184"/>
      <w:bookmarkEnd w:id="185"/>
    </w:p>
    <w:p w14:paraId="66514138">
      <w:pPr>
        <w:pStyle w:val="14"/>
        <w:spacing w:line="360" w:lineRule="auto"/>
        <w:ind w:left="0" w:leftChars="0" w:firstLine="420" w:firstLineChars="2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本公司（联合体）郑重声明，根据《政府采购促进中小企业发展管理办法》（财库[20</w:t>
      </w:r>
      <w:r>
        <w:rPr>
          <w:rFonts w:hint="eastAsia" w:ascii="华文中宋" w:hAnsi="华文中宋" w:eastAsia="华文中宋" w:cs="华文中宋"/>
          <w:szCs w:val="21"/>
        </w:rPr>
        <w:t>20</w:t>
      </w:r>
      <w:r>
        <w:rPr>
          <w:rFonts w:hint="eastAsia" w:ascii="华文中宋" w:hAnsi="华文中宋" w:eastAsia="华文中宋" w:cs="华文中宋"/>
          <w:szCs w:val="21"/>
          <w:lang w:val="zh-CN"/>
        </w:rPr>
        <w:t>]</w:t>
      </w:r>
      <w:r>
        <w:rPr>
          <w:rFonts w:hint="eastAsia" w:ascii="华文中宋" w:hAnsi="华文中宋" w:eastAsia="华文中宋" w:cs="华文中宋"/>
          <w:szCs w:val="21"/>
        </w:rPr>
        <w:t>46</w:t>
      </w:r>
      <w:r>
        <w:rPr>
          <w:rFonts w:hint="eastAsia" w:ascii="华文中宋" w:hAnsi="华文中宋" w:eastAsia="华文中宋" w:cs="华文中宋"/>
          <w:szCs w:val="21"/>
          <w:lang w:val="zh-CN"/>
        </w:rPr>
        <w:t>号）</w:t>
      </w:r>
    </w:p>
    <w:p w14:paraId="563FF75B">
      <w:pPr>
        <w:pStyle w:val="14"/>
        <w:spacing w:line="360" w:lineRule="auto"/>
        <w:ind w:left="0" w:leftChars="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的规定，本公司（联合体）参加</w:t>
      </w:r>
      <w:r>
        <w:rPr>
          <w:rFonts w:hint="eastAsia" w:ascii="华文中宋" w:hAnsi="华文中宋" w:eastAsia="华文中宋" w:cs="华文中宋"/>
          <w:szCs w:val="21"/>
          <w:u w:val="single"/>
          <w:lang w:val="zh-CN"/>
        </w:rPr>
        <w:t>（单位名称）</w:t>
      </w:r>
      <w:r>
        <w:rPr>
          <w:rFonts w:hint="eastAsia" w:ascii="华文中宋" w:hAnsi="华文中宋" w:eastAsia="华文中宋" w:cs="华文中宋"/>
          <w:szCs w:val="21"/>
          <w:lang w:val="zh-CN"/>
        </w:rPr>
        <w:t>的</w:t>
      </w:r>
      <w:r>
        <w:rPr>
          <w:rFonts w:hint="eastAsia" w:ascii="华文中宋" w:hAnsi="华文中宋" w:eastAsia="华文中宋" w:cs="华文中宋"/>
          <w:szCs w:val="21"/>
          <w:u w:val="single"/>
          <w:lang w:val="zh-CN"/>
        </w:rPr>
        <w:t>（项目名称）</w:t>
      </w:r>
      <w:r>
        <w:rPr>
          <w:rFonts w:hint="eastAsia" w:ascii="华文中宋" w:hAnsi="华文中宋" w:eastAsia="华文中宋" w:cs="华文中宋"/>
          <w:szCs w:val="21"/>
          <w:lang w:val="zh-CN"/>
        </w:rPr>
        <w:t>采购活动，提供的</w:t>
      </w:r>
      <w:r>
        <w:rPr>
          <w:rFonts w:hint="eastAsia" w:ascii="华文中宋" w:hAnsi="华文中宋" w:eastAsia="华文中宋" w:cs="华文中宋"/>
          <w:szCs w:val="21"/>
        </w:rPr>
        <w:t>服务</w:t>
      </w:r>
      <w:r>
        <w:rPr>
          <w:rFonts w:hint="eastAsia" w:ascii="华文中宋" w:hAnsi="华文中宋" w:eastAsia="华文中宋" w:cs="华文中宋"/>
          <w:szCs w:val="21"/>
          <w:lang w:val="zh-CN"/>
        </w:rPr>
        <w:t>全部</w:t>
      </w:r>
      <w:r>
        <w:rPr>
          <w:rFonts w:hint="eastAsia" w:ascii="华文中宋" w:hAnsi="华文中宋" w:eastAsia="华文中宋" w:cs="华文中宋"/>
          <w:szCs w:val="21"/>
        </w:rPr>
        <w:t>为</w:t>
      </w:r>
      <w:r>
        <w:rPr>
          <w:rFonts w:hint="eastAsia" w:ascii="华文中宋" w:hAnsi="华文中宋" w:eastAsia="华文中宋" w:cs="华文中宋"/>
          <w:szCs w:val="21"/>
          <w:lang w:val="zh-CN"/>
        </w:rPr>
        <w:t>符合政策要求</w:t>
      </w:r>
    </w:p>
    <w:p w14:paraId="6F013B1E">
      <w:pPr>
        <w:pStyle w:val="14"/>
        <w:spacing w:line="360" w:lineRule="auto"/>
        <w:ind w:left="0" w:leftChars="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的中小企业。相关企业（含联合体中的中小企业、签订分包意向协议的中小企业）的具体情况如下：</w:t>
      </w:r>
    </w:p>
    <w:p w14:paraId="1D45DEAB">
      <w:pPr>
        <w:pStyle w:val="14"/>
        <w:spacing w:line="360" w:lineRule="auto"/>
        <w:ind w:left="0" w:lef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w:t>
      </w:r>
      <w:r>
        <w:rPr>
          <w:rFonts w:hint="eastAsia" w:ascii="华文中宋" w:hAnsi="华文中宋" w:eastAsia="华文中宋" w:cs="华文中宋"/>
          <w:szCs w:val="21"/>
          <w:u w:val="single"/>
          <w:lang w:val="zh-CN"/>
        </w:rPr>
        <w:t>（标的名称）</w:t>
      </w:r>
      <w:r>
        <w:rPr>
          <w:rFonts w:hint="eastAsia" w:ascii="华文中宋" w:hAnsi="华文中宋" w:eastAsia="华文中宋" w:cs="华文中宋"/>
          <w:szCs w:val="21"/>
          <w:lang w:val="zh-CN"/>
        </w:rPr>
        <w:t>，属于</w:t>
      </w:r>
      <w:r>
        <w:rPr>
          <w:rFonts w:hint="eastAsia" w:ascii="华文中宋" w:hAnsi="华文中宋" w:eastAsia="华文中宋" w:cs="华文中宋"/>
          <w:szCs w:val="21"/>
          <w:u w:val="single"/>
          <w:lang w:val="zh-CN"/>
        </w:rPr>
        <w:t>（采购文件中明确的所属行业）</w:t>
      </w:r>
      <w:r>
        <w:rPr>
          <w:rFonts w:hint="eastAsia" w:ascii="华文中宋" w:hAnsi="华文中宋" w:eastAsia="华文中宋" w:cs="华文中宋"/>
          <w:szCs w:val="21"/>
          <w:lang w:val="zh-CN"/>
        </w:rPr>
        <w:t>行业；制造商为</w:t>
      </w:r>
      <w:r>
        <w:rPr>
          <w:rFonts w:hint="eastAsia" w:ascii="华文中宋" w:hAnsi="华文中宋" w:eastAsia="华文中宋" w:cs="华文中宋"/>
          <w:szCs w:val="21"/>
          <w:u w:val="single"/>
          <w:lang w:val="zh-CN"/>
        </w:rPr>
        <w:t>（企业名称）</w:t>
      </w:r>
      <w:r>
        <w:rPr>
          <w:rFonts w:hint="eastAsia" w:ascii="华文中宋" w:hAnsi="华文中宋" w:eastAsia="华文中宋" w:cs="华文中宋"/>
          <w:szCs w:val="21"/>
          <w:lang w:val="zh-CN"/>
        </w:rPr>
        <w:t>，从业人员</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人，营业收入为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万元，资产总额为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万元，属于</w:t>
      </w:r>
      <w:r>
        <w:rPr>
          <w:rFonts w:hint="eastAsia" w:ascii="华文中宋" w:hAnsi="华文中宋" w:eastAsia="华文中宋" w:cs="华文中宋"/>
          <w:szCs w:val="21"/>
          <w:u w:val="single"/>
        </w:rPr>
        <w:t>（中型企业、小型企业、微型企业）</w:t>
      </w:r>
      <w:r>
        <w:rPr>
          <w:rFonts w:hint="eastAsia" w:ascii="华文中宋" w:hAnsi="华文中宋" w:eastAsia="华文中宋" w:cs="华文中宋"/>
          <w:szCs w:val="21"/>
        </w:rPr>
        <w:t>；</w:t>
      </w:r>
    </w:p>
    <w:p w14:paraId="1C7C07D6">
      <w:pPr>
        <w:pStyle w:val="14"/>
        <w:spacing w:line="360" w:lineRule="auto"/>
        <w:ind w:left="0" w:lef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u w:val="single"/>
        </w:rPr>
        <w:t>（标的名称）</w:t>
      </w:r>
      <w:r>
        <w:rPr>
          <w:rFonts w:hint="eastAsia" w:ascii="华文中宋" w:hAnsi="华文中宋" w:eastAsia="华文中宋" w:cs="华文中宋"/>
          <w:szCs w:val="21"/>
        </w:rPr>
        <w:t>，属于</w:t>
      </w:r>
      <w:r>
        <w:rPr>
          <w:rFonts w:hint="eastAsia" w:ascii="华文中宋" w:hAnsi="华文中宋" w:eastAsia="华文中宋" w:cs="华文中宋"/>
          <w:szCs w:val="21"/>
          <w:u w:val="single"/>
        </w:rPr>
        <w:t>（采购文件中明确的所属行业）</w:t>
      </w:r>
      <w:r>
        <w:rPr>
          <w:rFonts w:hint="eastAsia" w:ascii="华文中宋" w:hAnsi="华文中宋" w:eastAsia="华文中宋" w:cs="华文中宋"/>
          <w:szCs w:val="21"/>
        </w:rPr>
        <w:t>行业；制造商为</w:t>
      </w:r>
      <w:r>
        <w:rPr>
          <w:rFonts w:hint="eastAsia" w:ascii="华文中宋" w:hAnsi="华文中宋" w:eastAsia="华文中宋" w:cs="华文中宋"/>
          <w:szCs w:val="21"/>
          <w:u w:val="single"/>
        </w:rPr>
        <w:t>（企业名称）</w:t>
      </w:r>
      <w:r>
        <w:rPr>
          <w:rFonts w:hint="eastAsia" w:ascii="华文中宋" w:hAnsi="华文中宋" w:eastAsia="华文中宋" w:cs="华文中宋"/>
          <w:szCs w:val="21"/>
        </w:rPr>
        <w:t>，从业人员</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人，营业收入为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万元，资产总额为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万元，属于</w:t>
      </w:r>
      <w:r>
        <w:rPr>
          <w:rFonts w:hint="eastAsia" w:ascii="华文中宋" w:hAnsi="华文中宋" w:eastAsia="华文中宋" w:cs="华文中宋"/>
          <w:szCs w:val="21"/>
          <w:u w:val="single"/>
        </w:rPr>
        <w:t>（中型企业、小型企业、微型企业）</w:t>
      </w:r>
      <w:r>
        <w:rPr>
          <w:rFonts w:hint="eastAsia" w:ascii="华文中宋" w:hAnsi="华文中宋" w:eastAsia="华文中宋" w:cs="华文中宋"/>
          <w:szCs w:val="21"/>
        </w:rPr>
        <w:t>；</w:t>
      </w:r>
    </w:p>
    <w:p w14:paraId="5D455BAE">
      <w:pPr>
        <w:pStyle w:val="14"/>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w:t>
      </w:r>
    </w:p>
    <w:p w14:paraId="48DB123B">
      <w:pPr>
        <w:pStyle w:val="14"/>
        <w:spacing w:line="360" w:lineRule="auto"/>
        <w:ind w:left="0" w:lef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以上企业，不属于大企业的分支机构，不存在控股股东为大企业的情形，也不存在与大企业的负责人为同一人的情形。</w:t>
      </w:r>
    </w:p>
    <w:p w14:paraId="17572A1E">
      <w:pPr>
        <w:pStyle w:val="14"/>
        <w:spacing w:line="360" w:lineRule="auto"/>
        <w:ind w:left="0" w:lef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本企业对上述声明内容的真实性负责。如有虚假，将依法承担相应责任。</w:t>
      </w:r>
    </w:p>
    <w:p w14:paraId="05F77BB9">
      <w:pPr>
        <w:pStyle w:val="14"/>
        <w:spacing w:line="360" w:lineRule="auto"/>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注：从业人员、营业收入、资产总额填报上一年度数据，无上一年度数据的新成立企业可不填报。</w:t>
      </w:r>
    </w:p>
    <w:p w14:paraId="02520BE1">
      <w:pPr>
        <w:pStyle w:val="14"/>
        <w:spacing w:line="360" w:lineRule="auto"/>
        <w:rPr>
          <w:rFonts w:hint="eastAsia" w:ascii="华文中宋" w:hAnsi="华文中宋" w:eastAsia="华文中宋" w:cs="华文中宋"/>
          <w:szCs w:val="21"/>
          <w:lang w:val="zh-CN"/>
        </w:rPr>
      </w:pPr>
    </w:p>
    <w:p w14:paraId="209E5589">
      <w:pPr>
        <w:ind w:firstLine="630" w:firstLineChars="3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 xml:space="preserve">                      </w:t>
      </w:r>
      <w:r>
        <w:rPr>
          <w:rFonts w:hint="eastAsia" w:ascii="华文中宋" w:hAnsi="华文中宋" w:eastAsia="华文中宋" w:cs="华文中宋"/>
          <w:szCs w:val="21"/>
        </w:rPr>
        <w:t xml:space="preserve">               </w:t>
      </w:r>
      <w:r>
        <w:rPr>
          <w:rFonts w:hint="eastAsia" w:ascii="华文中宋" w:hAnsi="华文中宋" w:eastAsia="华文中宋" w:cs="华文中宋"/>
          <w:kern w:val="0"/>
          <w:szCs w:val="21"/>
          <w:lang w:val="zh-CN"/>
        </w:rPr>
        <w:t>企业名称（盖章）：</w:t>
      </w:r>
      <w:r>
        <w:rPr>
          <w:rFonts w:hint="eastAsia" w:ascii="华文中宋" w:hAnsi="华文中宋" w:eastAsia="华文中宋" w:cs="华文中宋"/>
          <w:kern w:val="0"/>
          <w:szCs w:val="21"/>
          <w:u w:val="single"/>
          <w:lang w:val="zh-CN"/>
        </w:rPr>
        <w:t xml:space="preserve">            </w:t>
      </w:r>
      <w:r>
        <w:rPr>
          <w:rFonts w:hint="eastAsia" w:ascii="华文中宋" w:hAnsi="华文中宋" w:eastAsia="华文中宋" w:cs="华文中宋"/>
          <w:kern w:val="0"/>
          <w:szCs w:val="21"/>
          <w:lang w:val="zh-CN"/>
        </w:rPr>
        <w:t xml:space="preserve">  </w:t>
      </w:r>
      <w:r>
        <w:rPr>
          <w:rFonts w:hint="eastAsia" w:ascii="华文中宋" w:hAnsi="华文中宋" w:eastAsia="华文中宋" w:cs="华文中宋"/>
          <w:szCs w:val="21"/>
          <w:lang w:val="zh-CN"/>
        </w:rPr>
        <w:t xml:space="preserve">         </w:t>
      </w:r>
    </w:p>
    <w:p w14:paraId="75443558">
      <w:pPr>
        <w:ind w:firstLine="2520" w:firstLineChars="1200"/>
        <w:rPr>
          <w:rFonts w:hint="eastAsia" w:ascii="华文中宋" w:hAnsi="华文中宋" w:eastAsia="华文中宋" w:cs="华文中宋"/>
          <w:szCs w:val="21"/>
        </w:rPr>
      </w:pPr>
      <w:r>
        <w:rPr>
          <w:rFonts w:hint="eastAsia" w:ascii="华文中宋" w:hAnsi="华文中宋" w:eastAsia="华文中宋" w:cs="华文中宋"/>
          <w:szCs w:val="21"/>
          <w:lang w:val="zh-CN"/>
        </w:rPr>
        <w:t xml:space="preserve">     </w:t>
      </w:r>
      <w:r>
        <w:rPr>
          <w:rFonts w:hint="eastAsia" w:ascii="华文中宋" w:hAnsi="华文中宋" w:eastAsia="华文中宋" w:cs="华文中宋"/>
          <w:szCs w:val="21"/>
        </w:rPr>
        <w:t xml:space="preserve">              日期：</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年</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月</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日</w:t>
      </w:r>
    </w:p>
    <w:p w14:paraId="54BF7A3D">
      <w:pPr>
        <w:pStyle w:val="37"/>
        <w:rPr>
          <w:rFonts w:hint="eastAsia" w:ascii="华文中宋" w:hAnsi="华文中宋" w:eastAsia="华文中宋" w:cs="华文中宋"/>
          <w:sz w:val="28"/>
          <w:szCs w:val="28"/>
        </w:rPr>
      </w:pPr>
    </w:p>
    <w:p w14:paraId="50C14702">
      <w:pPr>
        <w:ind w:firstLine="2880" w:firstLineChars="1200"/>
        <w:rPr>
          <w:rFonts w:hint="eastAsia" w:ascii="华文中宋" w:hAnsi="华文中宋" w:eastAsia="华文中宋" w:cs="华文中宋"/>
          <w:sz w:val="24"/>
        </w:rPr>
      </w:pPr>
    </w:p>
    <w:p w14:paraId="21CDF131">
      <w:pPr>
        <w:pStyle w:val="23"/>
      </w:pPr>
    </w:p>
    <w:p w14:paraId="74AAB9FE">
      <w:pPr>
        <w:pStyle w:val="22"/>
        <w:ind w:firstLine="240"/>
        <w:rPr>
          <w:rFonts w:hint="eastAsia" w:ascii="华文中宋" w:hAnsi="华文中宋" w:eastAsia="华文中宋" w:cs="华文中宋"/>
          <w:sz w:val="24"/>
        </w:rPr>
      </w:pPr>
    </w:p>
    <w:p w14:paraId="54AE3344">
      <w:pPr>
        <w:pStyle w:val="23"/>
      </w:pPr>
    </w:p>
    <w:p w14:paraId="39F1AA6B">
      <w:pPr>
        <w:pStyle w:val="23"/>
        <w:ind w:firstLine="480"/>
        <w:rPr>
          <w:rFonts w:hint="eastAsia" w:ascii="华文中宋" w:hAnsi="华文中宋" w:eastAsia="华文中宋" w:cs="华文中宋"/>
          <w:sz w:val="24"/>
        </w:rPr>
      </w:pPr>
    </w:p>
    <w:p w14:paraId="0723A83C">
      <w:pPr>
        <w:pStyle w:val="5"/>
        <w:ind w:firstLine="480"/>
        <w:rPr>
          <w:rFonts w:hint="eastAsia" w:ascii="华文中宋" w:hAnsi="华文中宋" w:eastAsia="华文中宋" w:cs="华文中宋"/>
          <w:sz w:val="24"/>
        </w:rPr>
      </w:pPr>
    </w:p>
    <w:p w14:paraId="7DF9C5B5">
      <w:pPr>
        <w:pStyle w:val="6"/>
        <w:rPr>
          <w:rFonts w:hint="eastAsia" w:ascii="华文中宋" w:hAnsi="华文中宋" w:eastAsia="华文中宋" w:cs="华文中宋"/>
          <w:sz w:val="24"/>
        </w:rPr>
      </w:pPr>
    </w:p>
    <w:p w14:paraId="7222AEA1">
      <w:pPr>
        <w:pStyle w:val="4"/>
        <w:autoSpaceDE w:val="0"/>
        <w:autoSpaceDN w:val="0"/>
        <w:spacing w:line="440" w:lineRule="exact"/>
        <w:rPr>
          <w:rFonts w:hint="eastAsia" w:ascii="宋体" w:hAnsi="宋体" w:eastAsia="宋体" w:cs="宋体"/>
          <w:bCs w:val="0"/>
          <w:szCs w:val="28"/>
          <w:lang w:val="zh-CN"/>
        </w:rPr>
      </w:pPr>
      <w:bookmarkStart w:id="186" w:name="_Toc24550"/>
      <w:bookmarkStart w:id="187" w:name="_Toc13738"/>
      <w:r>
        <w:rPr>
          <w:rFonts w:hint="eastAsia" w:ascii="宋体" w:hAnsi="宋体" w:eastAsia="宋体" w:cs="宋体"/>
          <w:bCs w:val="0"/>
          <w:szCs w:val="28"/>
        </w:rPr>
        <w:t>（二）</w:t>
      </w:r>
      <w:r>
        <w:rPr>
          <w:rFonts w:hint="eastAsia" w:ascii="宋体" w:hAnsi="宋体" w:eastAsia="宋体" w:cs="宋体"/>
          <w:bCs w:val="0"/>
          <w:szCs w:val="28"/>
          <w:lang w:val="zh-CN"/>
        </w:rPr>
        <w:t>关于监狱企业（如有）</w:t>
      </w:r>
      <w:bookmarkEnd w:id="186"/>
      <w:bookmarkEnd w:id="187"/>
    </w:p>
    <w:p w14:paraId="37925CB0">
      <w:pPr>
        <w:pStyle w:val="37"/>
        <w:rPr>
          <w:rFonts w:hint="eastAsia" w:ascii="华文中宋" w:hAnsi="华文中宋" w:eastAsia="华文中宋" w:cs="华文中宋"/>
          <w:lang w:val="zh-CN"/>
        </w:rPr>
      </w:pPr>
    </w:p>
    <w:p w14:paraId="04FA8BB5">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1、政府采购政策</w:t>
      </w:r>
    </w:p>
    <w:p w14:paraId="1ACE41F9">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财政部、司法部关于政府采购支持监狱企业发展有关问题的通知（财库【2014】68 号）</w:t>
      </w:r>
    </w:p>
    <w:p w14:paraId="75C5AF2B">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2、附证明材料</w:t>
      </w:r>
    </w:p>
    <w:p w14:paraId="3BDDE9ED">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提供由省级以上监狱管理局、戒毒管理局（含新疆生产建设兵团）出具的属于监狱企业的证明文件。</w:t>
      </w:r>
    </w:p>
    <w:p w14:paraId="4B63F2C0">
      <w:pPr>
        <w:autoSpaceDE w:val="0"/>
        <w:autoSpaceDN w:val="0"/>
        <w:adjustRightInd w:val="0"/>
        <w:snapToGrid w:val="0"/>
        <w:jc w:val="left"/>
        <w:rPr>
          <w:rFonts w:hint="eastAsia" w:ascii="华文中宋" w:hAnsi="华文中宋" w:eastAsia="华文中宋" w:cs="华文中宋"/>
          <w:kern w:val="0"/>
          <w:sz w:val="24"/>
          <w:lang w:val="zh-CN"/>
        </w:rPr>
      </w:pPr>
      <w:r>
        <w:rPr>
          <w:rFonts w:hint="eastAsia" w:ascii="华文中宋" w:hAnsi="华文中宋" w:eastAsia="华文中宋" w:cs="华文中宋"/>
          <w:kern w:val="0"/>
          <w:sz w:val="24"/>
          <w:lang w:val="zh-CN"/>
        </w:rPr>
        <w:t xml:space="preserve"> </w:t>
      </w:r>
    </w:p>
    <w:p w14:paraId="54649ECB">
      <w:pPr>
        <w:pStyle w:val="37"/>
        <w:rPr>
          <w:rFonts w:hint="eastAsia" w:ascii="华文中宋" w:hAnsi="华文中宋" w:eastAsia="华文中宋" w:cs="华文中宋"/>
          <w:sz w:val="28"/>
          <w:szCs w:val="28"/>
          <w:lang w:val="zh-CN"/>
        </w:rPr>
      </w:pPr>
    </w:p>
    <w:p w14:paraId="332CB2EE">
      <w:pPr>
        <w:pStyle w:val="37"/>
        <w:rPr>
          <w:rFonts w:hint="eastAsia" w:ascii="华文中宋" w:hAnsi="华文中宋" w:eastAsia="华文中宋" w:cs="华文中宋"/>
          <w:sz w:val="28"/>
          <w:szCs w:val="28"/>
          <w:lang w:val="zh-CN"/>
        </w:rPr>
      </w:pPr>
    </w:p>
    <w:p w14:paraId="54D91E7D">
      <w:pPr>
        <w:pStyle w:val="37"/>
        <w:rPr>
          <w:rFonts w:hint="eastAsia" w:ascii="华文中宋" w:hAnsi="华文中宋" w:eastAsia="华文中宋" w:cs="华文中宋"/>
          <w:sz w:val="28"/>
          <w:szCs w:val="28"/>
          <w:lang w:val="zh-CN"/>
        </w:rPr>
      </w:pPr>
    </w:p>
    <w:p w14:paraId="28738CEF">
      <w:pPr>
        <w:pStyle w:val="37"/>
        <w:rPr>
          <w:rFonts w:hint="eastAsia" w:ascii="华文中宋" w:hAnsi="华文中宋" w:eastAsia="华文中宋" w:cs="华文中宋"/>
          <w:sz w:val="28"/>
          <w:szCs w:val="28"/>
          <w:lang w:val="zh-CN"/>
        </w:rPr>
      </w:pPr>
    </w:p>
    <w:p w14:paraId="73F27966">
      <w:pPr>
        <w:pStyle w:val="37"/>
        <w:rPr>
          <w:rFonts w:hint="eastAsia" w:ascii="华文中宋" w:hAnsi="华文中宋" w:eastAsia="华文中宋" w:cs="华文中宋"/>
          <w:sz w:val="28"/>
          <w:szCs w:val="28"/>
          <w:lang w:val="zh-CN"/>
        </w:rPr>
      </w:pPr>
    </w:p>
    <w:p w14:paraId="38283052">
      <w:pPr>
        <w:pStyle w:val="37"/>
        <w:rPr>
          <w:rFonts w:hint="eastAsia" w:ascii="华文中宋" w:hAnsi="华文中宋" w:eastAsia="华文中宋" w:cs="华文中宋"/>
          <w:sz w:val="28"/>
          <w:szCs w:val="28"/>
          <w:lang w:val="zh-CN"/>
        </w:rPr>
      </w:pPr>
    </w:p>
    <w:p w14:paraId="78D293C6">
      <w:pPr>
        <w:pStyle w:val="37"/>
        <w:rPr>
          <w:rFonts w:hint="eastAsia" w:ascii="华文中宋" w:hAnsi="华文中宋" w:eastAsia="华文中宋" w:cs="华文中宋"/>
          <w:sz w:val="28"/>
          <w:szCs w:val="28"/>
          <w:lang w:val="zh-CN"/>
        </w:rPr>
      </w:pPr>
    </w:p>
    <w:p w14:paraId="417C18E7">
      <w:pPr>
        <w:pStyle w:val="37"/>
        <w:rPr>
          <w:rFonts w:hint="eastAsia" w:ascii="华文中宋" w:hAnsi="华文中宋" w:eastAsia="华文中宋" w:cs="华文中宋"/>
          <w:sz w:val="28"/>
          <w:szCs w:val="28"/>
          <w:lang w:val="zh-CN"/>
        </w:rPr>
      </w:pPr>
    </w:p>
    <w:p w14:paraId="50D42711">
      <w:pPr>
        <w:pStyle w:val="37"/>
        <w:rPr>
          <w:rFonts w:hint="eastAsia" w:ascii="华文中宋" w:hAnsi="华文中宋" w:eastAsia="华文中宋" w:cs="华文中宋"/>
          <w:sz w:val="28"/>
          <w:szCs w:val="28"/>
          <w:lang w:val="zh-CN"/>
        </w:rPr>
      </w:pPr>
    </w:p>
    <w:p w14:paraId="75EB8626">
      <w:pPr>
        <w:pStyle w:val="37"/>
        <w:rPr>
          <w:rFonts w:hint="eastAsia" w:ascii="华文中宋" w:hAnsi="华文中宋" w:eastAsia="华文中宋" w:cs="华文中宋"/>
          <w:sz w:val="28"/>
          <w:szCs w:val="28"/>
          <w:lang w:val="zh-CN"/>
        </w:rPr>
      </w:pPr>
    </w:p>
    <w:p w14:paraId="67864AE0">
      <w:pPr>
        <w:pStyle w:val="37"/>
        <w:rPr>
          <w:rFonts w:hint="eastAsia" w:ascii="华文中宋" w:hAnsi="华文中宋" w:eastAsia="华文中宋" w:cs="华文中宋"/>
          <w:sz w:val="28"/>
          <w:szCs w:val="28"/>
          <w:lang w:val="zh-CN"/>
        </w:rPr>
      </w:pPr>
    </w:p>
    <w:p w14:paraId="25F362F2">
      <w:pPr>
        <w:pStyle w:val="37"/>
        <w:rPr>
          <w:rFonts w:hint="eastAsia" w:ascii="华文中宋" w:hAnsi="华文中宋" w:eastAsia="华文中宋" w:cs="华文中宋"/>
          <w:sz w:val="28"/>
          <w:szCs w:val="28"/>
          <w:lang w:val="zh-CN"/>
        </w:rPr>
      </w:pPr>
    </w:p>
    <w:p w14:paraId="0527A327">
      <w:pPr>
        <w:pStyle w:val="37"/>
        <w:rPr>
          <w:rFonts w:hint="eastAsia" w:ascii="华文中宋" w:hAnsi="华文中宋" w:eastAsia="华文中宋" w:cs="华文中宋"/>
          <w:sz w:val="28"/>
          <w:szCs w:val="28"/>
          <w:lang w:val="zh-CN"/>
        </w:rPr>
      </w:pPr>
    </w:p>
    <w:p w14:paraId="5CAABC59">
      <w:pPr>
        <w:pStyle w:val="37"/>
        <w:rPr>
          <w:rFonts w:hint="eastAsia" w:ascii="华文中宋" w:hAnsi="华文中宋" w:eastAsia="华文中宋" w:cs="华文中宋"/>
          <w:sz w:val="28"/>
          <w:szCs w:val="28"/>
          <w:lang w:val="zh-CN"/>
        </w:rPr>
      </w:pPr>
    </w:p>
    <w:p w14:paraId="1D08907B">
      <w:pPr>
        <w:pStyle w:val="37"/>
        <w:rPr>
          <w:rFonts w:hint="eastAsia" w:ascii="华文中宋" w:hAnsi="华文中宋" w:eastAsia="华文中宋" w:cs="华文中宋"/>
          <w:sz w:val="28"/>
          <w:szCs w:val="28"/>
          <w:lang w:val="zh-CN"/>
        </w:rPr>
      </w:pPr>
    </w:p>
    <w:p w14:paraId="6C9B729B">
      <w:pPr>
        <w:pStyle w:val="37"/>
        <w:rPr>
          <w:rFonts w:hint="eastAsia" w:ascii="华文中宋" w:hAnsi="华文中宋" w:eastAsia="华文中宋" w:cs="华文中宋"/>
          <w:sz w:val="28"/>
          <w:szCs w:val="28"/>
          <w:lang w:val="zh-CN"/>
        </w:rPr>
      </w:pPr>
    </w:p>
    <w:p w14:paraId="22889FCB">
      <w:pPr>
        <w:pStyle w:val="37"/>
        <w:rPr>
          <w:rFonts w:hint="eastAsia" w:ascii="华文中宋" w:hAnsi="华文中宋" w:eastAsia="华文中宋" w:cs="华文中宋"/>
          <w:sz w:val="28"/>
          <w:szCs w:val="28"/>
          <w:lang w:val="zh-CN"/>
        </w:rPr>
      </w:pPr>
    </w:p>
    <w:p w14:paraId="6E66EF68">
      <w:pPr>
        <w:pStyle w:val="37"/>
        <w:rPr>
          <w:rFonts w:hint="eastAsia" w:ascii="华文中宋" w:hAnsi="华文中宋" w:eastAsia="华文中宋" w:cs="华文中宋"/>
          <w:sz w:val="28"/>
          <w:szCs w:val="28"/>
          <w:lang w:val="zh-CN"/>
        </w:rPr>
      </w:pPr>
    </w:p>
    <w:p w14:paraId="7DFB5F9D">
      <w:pPr>
        <w:pStyle w:val="37"/>
        <w:rPr>
          <w:rFonts w:hint="eastAsia" w:ascii="华文中宋" w:hAnsi="华文中宋" w:eastAsia="华文中宋" w:cs="华文中宋"/>
          <w:sz w:val="28"/>
          <w:szCs w:val="28"/>
          <w:lang w:val="zh-CN"/>
        </w:rPr>
      </w:pPr>
    </w:p>
    <w:p w14:paraId="2F900D89">
      <w:pPr>
        <w:pStyle w:val="37"/>
        <w:rPr>
          <w:rFonts w:hint="eastAsia" w:ascii="华文中宋" w:hAnsi="华文中宋" w:eastAsia="华文中宋" w:cs="华文中宋"/>
          <w:sz w:val="28"/>
          <w:szCs w:val="28"/>
          <w:lang w:val="zh-CN"/>
        </w:rPr>
      </w:pPr>
    </w:p>
    <w:p w14:paraId="44641237">
      <w:pPr>
        <w:pStyle w:val="37"/>
        <w:rPr>
          <w:rFonts w:hint="eastAsia" w:ascii="华文中宋" w:hAnsi="华文中宋" w:eastAsia="华文中宋" w:cs="华文中宋"/>
          <w:sz w:val="28"/>
          <w:szCs w:val="28"/>
          <w:lang w:val="zh-CN"/>
        </w:rPr>
      </w:pPr>
    </w:p>
    <w:p w14:paraId="4E1BB2D4">
      <w:pPr>
        <w:pStyle w:val="37"/>
        <w:rPr>
          <w:rFonts w:hint="eastAsia" w:ascii="华文中宋" w:hAnsi="华文中宋" w:eastAsia="华文中宋" w:cs="华文中宋"/>
          <w:sz w:val="28"/>
          <w:szCs w:val="28"/>
          <w:lang w:val="zh-CN"/>
        </w:rPr>
      </w:pPr>
    </w:p>
    <w:p w14:paraId="17A8499B">
      <w:pPr>
        <w:pStyle w:val="37"/>
        <w:rPr>
          <w:rFonts w:hint="eastAsia" w:ascii="华文中宋" w:hAnsi="华文中宋" w:eastAsia="华文中宋" w:cs="华文中宋"/>
          <w:sz w:val="28"/>
          <w:szCs w:val="28"/>
          <w:lang w:val="zh-CN"/>
        </w:rPr>
      </w:pPr>
    </w:p>
    <w:p w14:paraId="2E1C89F0">
      <w:pPr>
        <w:pStyle w:val="37"/>
        <w:rPr>
          <w:rFonts w:hint="eastAsia" w:ascii="华文中宋" w:hAnsi="华文中宋" w:eastAsia="华文中宋" w:cs="华文中宋"/>
          <w:sz w:val="28"/>
          <w:szCs w:val="28"/>
          <w:lang w:val="zh-CN"/>
        </w:rPr>
      </w:pPr>
    </w:p>
    <w:p w14:paraId="17E492BC">
      <w:pPr>
        <w:autoSpaceDE w:val="0"/>
        <w:autoSpaceDN w:val="0"/>
        <w:adjustRightInd w:val="0"/>
        <w:snapToGrid w:val="0"/>
        <w:jc w:val="left"/>
        <w:rPr>
          <w:rFonts w:hint="eastAsia" w:ascii="华文中宋" w:hAnsi="华文中宋" w:eastAsia="华文中宋" w:cs="华文中宋"/>
          <w:kern w:val="0"/>
          <w:sz w:val="28"/>
          <w:szCs w:val="28"/>
          <w:lang w:val="zh-CN"/>
        </w:rPr>
      </w:pPr>
    </w:p>
    <w:p w14:paraId="36DDE1E8">
      <w:pPr>
        <w:pStyle w:val="9"/>
        <w:rPr>
          <w:rFonts w:hint="eastAsia" w:ascii="华文中宋" w:hAnsi="华文中宋" w:eastAsia="华文中宋" w:cs="华文中宋"/>
          <w:lang w:val="zh-CN"/>
        </w:rPr>
      </w:pPr>
    </w:p>
    <w:p w14:paraId="7930502D">
      <w:pPr>
        <w:pStyle w:val="4"/>
        <w:autoSpaceDE w:val="0"/>
        <w:autoSpaceDN w:val="0"/>
        <w:spacing w:line="440" w:lineRule="exact"/>
        <w:rPr>
          <w:rFonts w:hint="eastAsia" w:ascii="宋体" w:hAnsi="宋体" w:eastAsia="宋体" w:cs="宋体"/>
          <w:bCs w:val="0"/>
          <w:szCs w:val="28"/>
          <w:lang w:val="zh-CN"/>
        </w:rPr>
      </w:pPr>
      <w:bookmarkStart w:id="188" w:name="_Toc25452"/>
      <w:bookmarkStart w:id="189" w:name="_Toc10669"/>
      <w:r>
        <w:rPr>
          <w:rFonts w:hint="eastAsia" w:ascii="宋体" w:hAnsi="宋体" w:eastAsia="宋体" w:cs="宋体"/>
          <w:bCs w:val="0"/>
          <w:szCs w:val="28"/>
        </w:rPr>
        <w:t>（三）</w:t>
      </w:r>
      <w:r>
        <w:rPr>
          <w:rFonts w:hint="eastAsia" w:ascii="宋体" w:hAnsi="宋体" w:eastAsia="宋体" w:cs="宋体"/>
          <w:bCs w:val="0"/>
          <w:szCs w:val="28"/>
          <w:lang w:val="zh-CN"/>
        </w:rPr>
        <w:t>关于促进残疾人就业的政府采购政策（如有）</w:t>
      </w:r>
      <w:bookmarkEnd w:id="188"/>
      <w:bookmarkEnd w:id="189"/>
    </w:p>
    <w:p w14:paraId="4D80D8D1">
      <w:pPr>
        <w:pStyle w:val="37"/>
        <w:rPr>
          <w:rFonts w:hint="eastAsia" w:ascii="华文中宋" w:hAnsi="华文中宋" w:eastAsia="华文中宋" w:cs="华文中宋"/>
          <w:lang w:val="zh-CN"/>
        </w:rPr>
      </w:pPr>
    </w:p>
    <w:p w14:paraId="630A972D">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1、政府采购政策</w:t>
      </w:r>
    </w:p>
    <w:p w14:paraId="28567D9A">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关于促进残疾人就业政府采购政策的通知（财库〔2017〕141 号）</w:t>
      </w:r>
    </w:p>
    <w:p w14:paraId="191D5823">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2、附残疾人福利性单位声明函</w:t>
      </w:r>
    </w:p>
    <w:p w14:paraId="15CAEC5E">
      <w:pPr>
        <w:autoSpaceDE w:val="0"/>
        <w:autoSpaceDN w:val="0"/>
        <w:adjustRightInd w:val="0"/>
        <w:snapToGrid w:val="0"/>
        <w:ind w:firstLine="420" w:firstLineChars="2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本单位郑重声明，根据《财政部民政部中国残疾人联合会关于促进残疾人就业政府</w:t>
      </w:r>
    </w:p>
    <w:p w14:paraId="24DA87B9">
      <w:pPr>
        <w:autoSpaceDE w:val="0"/>
        <w:autoSpaceDN w:val="0"/>
        <w:adjustRightInd w:val="0"/>
        <w:snapToGrid w:val="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采购政策的通知》（财库〔2017〕141 号）的规定，本单位为符合条件的残疾人福利性单位，且本单位参加</w:t>
      </w:r>
      <w:r>
        <w:rPr>
          <w:rFonts w:hint="eastAsia" w:ascii="华文中宋" w:hAnsi="华文中宋" w:eastAsia="华文中宋" w:cs="华文中宋"/>
          <w:kern w:val="0"/>
          <w:szCs w:val="21"/>
          <w:u w:val="single"/>
        </w:rPr>
        <w:t xml:space="preserve">            </w:t>
      </w:r>
      <w:r>
        <w:rPr>
          <w:rFonts w:hint="eastAsia" w:ascii="华文中宋" w:hAnsi="华文中宋" w:eastAsia="华文中宋" w:cs="华文中宋"/>
          <w:kern w:val="0"/>
          <w:szCs w:val="21"/>
          <w:lang w:val="zh-CN"/>
        </w:rPr>
        <w:t>单位的</w:t>
      </w:r>
      <w:r>
        <w:rPr>
          <w:rFonts w:hint="eastAsia" w:ascii="华文中宋" w:hAnsi="华文中宋" w:eastAsia="华文中宋" w:cs="华文中宋"/>
          <w:kern w:val="0"/>
          <w:szCs w:val="21"/>
          <w:u w:val="single"/>
        </w:rPr>
        <w:t xml:space="preserve">               </w:t>
      </w:r>
      <w:r>
        <w:rPr>
          <w:rFonts w:hint="eastAsia" w:ascii="华文中宋" w:hAnsi="华文中宋" w:eastAsia="华文中宋" w:cs="华文中宋"/>
          <w:kern w:val="0"/>
          <w:szCs w:val="21"/>
          <w:lang w:val="zh-CN"/>
        </w:rPr>
        <w:t>项目采购活动提供本单位制造的货物（由本单位承担工程/提供服务），或者提供其他残疾人福利性单位制造的货物（不包括使用非残疾人福利性单位注册商标的货物）。</w:t>
      </w:r>
    </w:p>
    <w:p w14:paraId="6E95992C">
      <w:pPr>
        <w:autoSpaceDE w:val="0"/>
        <w:autoSpaceDN w:val="0"/>
        <w:adjustRightInd w:val="0"/>
        <w:snapToGrid w:val="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本单位对上述声明的真实性负责。如有虚假，将依法承担相应责任。</w:t>
      </w:r>
    </w:p>
    <w:p w14:paraId="7C222C6F">
      <w:pPr>
        <w:autoSpaceDE w:val="0"/>
        <w:autoSpaceDN w:val="0"/>
        <w:adjustRightInd w:val="0"/>
        <w:snapToGrid w:val="0"/>
        <w:ind w:firstLine="2100" w:firstLineChars="1000"/>
        <w:jc w:val="left"/>
        <w:rPr>
          <w:rFonts w:hint="eastAsia" w:ascii="华文中宋" w:hAnsi="华文中宋" w:eastAsia="华文中宋" w:cs="华文中宋"/>
          <w:kern w:val="0"/>
          <w:szCs w:val="21"/>
          <w:lang w:val="zh-CN"/>
        </w:rPr>
      </w:pPr>
    </w:p>
    <w:p w14:paraId="460F9D7A">
      <w:pPr>
        <w:autoSpaceDE w:val="0"/>
        <w:autoSpaceDN w:val="0"/>
        <w:adjustRightInd w:val="0"/>
        <w:snapToGrid w:val="0"/>
        <w:ind w:firstLine="2100" w:firstLineChars="1000"/>
        <w:jc w:val="left"/>
        <w:rPr>
          <w:rFonts w:hint="eastAsia" w:ascii="华文中宋" w:hAnsi="华文中宋" w:eastAsia="华文中宋" w:cs="华文中宋"/>
          <w:kern w:val="0"/>
          <w:szCs w:val="21"/>
          <w:lang w:val="zh-CN"/>
        </w:rPr>
      </w:pPr>
    </w:p>
    <w:p w14:paraId="60193499">
      <w:pPr>
        <w:autoSpaceDE w:val="0"/>
        <w:autoSpaceDN w:val="0"/>
        <w:adjustRightInd w:val="0"/>
        <w:snapToGrid w:val="0"/>
        <w:ind w:firstLine="4830" w:firstLineChars="23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供应商名称：          （盖单位公章）</w:t>
      </w:r>
    </w:p>
    <w:p w14:paraId="4203C546">
      <w:pPr>
        <w:autoSpaceDE w:val="0"/>
        <w:autoSpaceDN w:val="0"/>
        <w:adjustRightInd w:val="0"/>
        <w:snapToGrid w:val="0"/>
        <w:ind w:firstLine="6930" w:firstLineChars="3300"/>
        <w:jc w:val="left"/>
        <w:rPr>
          <w:rFonts w:hint="eastAsia" w:ascii="华文中宋" w:hAnsi="华文中宋" w:eastAsia="华文中宋" w:cs="华文中宋"/>
          <w:kern w:val="0"/>
          <w:szCs w:val="21"/>
          <w:lang w:val="zh-CN"/>
        </w:rPr>
      </w:pPr>
      <w:r>
        <w:rPr>
          <w:rFonts w:hint="eastAsia" w:ascii="华文中宋" w:hAnsi="华文中宋" w:eastAsia="华文中宋" w:cs="华文中宋"/>
          <w:kern w:val="0"/>
          <w:szCs w:val="21"/>
          <w:lang w:val="zh-CN"/>
        </w:rPr>
        <w:t>年    月    日</w:t>
      </w:r>
    </w:p>
    <w:p w14:paraId="25B3D34A">
      <w:pPr>
        <w:pStyle w:val="14"/>
        <w:rPr>
          <w:rFonts w:hint="eastAsia" w:ascii="华文中宋" w:hAnsi="华文中宋" w:eastAsia="华文中宋" w:cs="华文中宋"/>
          <w:szCs w:val="28"/>
        </w:rPr>
      </w:pPr>
    </w:p>
    <w:p w14:paraId="7EBD94F2">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说明：不属于残疾人福利性单位的投标文件中无需提供此声明函。</w:t>
      </w:r>
    </w:p>
    <w:p w14:paraId="4A080AAA">
      <w:pPr>
        <w:spacing w:line="440" w:lineRule="exact"/>
        <w:rPr>
          <w:rFonts w:hint="eastAsia" w:ascii="华文中宋" w:hAnsi="华文中宋" w:eastAsia="华文中宋" w:cs="华文中宋"/>
          <w:sz w:val="24"/>
        </w:rPr>
      </w:pPr>
    </w:p>
    <w:p w14:paraId="318DF440">
      <w:pPr>
        <w:pStyle w:val="5"/>
        <w:spacing w:line="560" w:lineRule="exact"/>
        <w:ind w:firstLine="480"/>
        <w:rPr>
          <w:rFonts w:hint="eastAsia" w:ascii="华文中宋" w:hAnsi="华文中宋" w:eastAsia="华文中宋" w:cs="华文中宋"/>
          <w:b/>
          <w:bCs/>
          <w:sz w:val="24"/>
        </w:rPr>
      </w:pPr>
    </w:p>
    <w:p w14:paraId="2DE00295">
      <w:pPr>
        <w:pStyle w:val="4"/>
        <w:autoSpaceDE w:val="0"/>
        <w:autoSpaceDN w:val="0"/>
        <w:spacing w:line="440" w:lineRule="exact"/>
        <w:rPr>
          <w:rFonts w:hint="eastAsia" w:ascii="宋体" w:hAnsi="宋体" w:cs="宋体"/>
          <w:kern w:val="0"/>
          <w:sz w:val="22"/>
          <w:szCs w:val="22"/>
        </w:rPr>
      </w:pPr>
      <w:r>
        <w:rPr>
          <w:rFonts w:hint="eastAsia" w:ascii="华文中宋" w:hAnsi="华文中宋" w:cs="华文中宋"/>
          <w:sz w:val="24"/>
        </w:rPr>
        <w:br w:type="page"/>
      </w:r>
      <w:bookmarkStart w:id="190" w:name="_Toc7076"/>
      <w:bookmarkStart w:id="191" w:name="_Toc21912"/>
      <w:r>
        <w:rPr>
          <w:rFonts w:hint="eastAsia" w:ascii="宋体" w:hAnsi="宋体" w:eastAsia="宋体" w:cs="宋体"/>
          <w:bCs w:val="0"/>
          <w:szCs w:val="28"/>
          <w:lang w:val="zh-CN"/>
        </w:rPr>
        <w:t>（</w:t>
      </w:r>
      <w:r>
        <w:rPr>
          <w:rFonts w:hint="eastAsia" w:ascii="宋体" w:hAnsi="宋体" w:eastAsia="宋体" w:cs="宋体"/>
          <w:bCs w:val="0"/>
          <w:szCs w:val="28"/>
        </w:rPr>
        <w:t>四</w:t>
      </w:r>
      <w:r>
        <w:rPr>
          <w:rFonts w:hint="eastAsia" w:ascii="宋体" w:hAnsi="宋体" w:eastAsia="宋体" w:cs="宋体"/>
          <w:bCs w:val="0"/>
          <w:szCs w:val="28"/>
          <w:lang w:val="zh-CN"/>
        </w:rPr>
        <w:t>）其他政府采购政策及证明材料（如有）</w:t>
      </w:r>
      <w:bookmarkEnd w:id="190"/>
      <w:bookmarkEnd w:id="191"/>
    </w:p>
    <w:p w14:paraId="05CFE4FA">
      <w:pPr>
        <w:pStyle w:val="11"/>
        <w:ind w:left="0" w:leftChars="0" w:firstLine="0" w:firstLineChars="0"/>
        <w:jc w:val="left"/>
        <w:rPr>
          <w:rFonts w:hint="eastAsia" w:ascii="宋体" w:hAnsi="宋体" w:cs="宋体"/>
          <w:b/>
          <w:bCs/>
          <w:kern w:val="0"/>
          <w:sz w:val="22"/>
          <w:szCs w:val="22"/>
        </w:rPr>
      </w:pPr>
    </w:p>
    <w:p w14:paraId="138FEBF1">
      <w:pPr>
        <w:pStyle w:val="4"/>
        <w:autoSpaceDE w:val="0"/>
        <w:autoSpaceDN w:val="0"/>
        <w:spacing w:line="440" w:lineRule="exact"/>
        <w:rPr>
          <w:rFonts w:hint="eastAsia" w:ascii="宋体" w:hAnsi="宋体" w:eastAsia="宋体" w:cs="宋体"/>
          <w:bCs w:val="0"/>
          <w:szCs w:val="28"/>
          <w:lang w:val="zh-CN"/>
        </w:rPr>
      </w:pPr>
      <w:bookmarkStart w:id="192" w:name="_Toc27404"/>
      <w:bookmarkStart w:id="193" w:name="_Toc32424"/>
      <w:r>
        <w:rPr>
          <w:rFonts w:hint="eastAsia" w:ascii="宋体" w:hAnsi="宋体" w:eastAsia="宋体" w:cs="宋体"/>
          <w:bCs w:val="0"/>
          <w:szCs w:val="28"/>
        </w:rPr>
        <w:t>1、</w:t>
      </w:r>
      <w:r>
        <w:rPr>
          <w:rFonts w:hint="eastAsia" w:ascii="宋体" w:hAnsi="宋体" w:eastAsia="宋体" w:cs="宋体"/>
          <w:bCs w:val="0"/>
          <w:szCs w:val="28"/>
          <w:lang w:val="zh-CN"/>
        </w:rPr>
        <w:t>银政易贷</w:t>
      </w:r>
      <w:bookmarkEnd w:id="192"/>
      <w:bookmarkEnd w:id="193"/>
    </w:p>
    <w:p w14:paraId="135B3AF8">
      <w:pPr>
        <w:rPr>
          <w:rFonts w:hint="eastAsia" w:ascii="宋体" w:hAnsi="宋体" w:eastAsia="宋体" w:cs="宋体"/>
          <w:kern w:val="0"/>
        </w:rPr>
      </w:pPr>
      <w:r>
        <w:rPr>
          <w:rFonts w:hint="eastAsia" w:ascii="宋体" w:hAnsi="宋体" w:eastAsia="宋体" w:cs="宋体"/>
          <w:kern w:val="0"/>
        </w:rPr>
        <w:t>尊敬的政府采购供应商：</w:t>
      </w:r>
    </w:p>
    <w:p w14:paraId="2DF1FB56">
      <w:pPr>
        <w:ind w:firstLine="420" w:firstLineChars="200"/>
        <w:rPr>
          <w:rFonts w:hint="eastAsia" w:ascii="宋体" w:hAnsi="宋体" w:eastAsia="宋体" w:cs="宋体"/>
          <w:kern w:val="0"/>
        </w:rPr>
      </w:pPr>
      <w:r>
        <w:rPr>
          <w:rFonts w:hint="eastAsia" w:ascii="宋体" w:hAnsi="宋体" w:eastAsia="宋体" w:cs="宋体"/>
          <w:kern w:val="0"/>
        </w:rPr>
        <w:t>您好！</w:t>
      </w:r>
    </w:p>
    <w:p w14:paraId="3743D168">
      <w:pPr>
        <w:ind w:firstLine="420" w:firstLineChars="200"/>
        <w:rPr>
          <w:rFonts w:hint="eastAsia" w:ascii="宋体" w:hAnsi="宋体" w:eastAsia="宋体" w:cs="宋体"/>
          <w:kern w:val="0"/>
        </w:rPr>
      </w:pPr>
      <w:r>
        <w:rPr>
          <w:rFonts w:hint="eastAsia" w:ascii="宋体" w:hAnsi="宋体" w:eastAsia="宋体" w:cs="宋体"/>
          <w:kern w:val="0"/>
        </w:rPr>
        <w:t>欢迎您参与政府采购业务！感谢您对我区经济社会发展做出的贡献！</w:t>
      </w:r>
    </w:p>
    <w:p w14:paraId="3FC56157">
      <w:pPr>
        <w:ind w:firstLine="420" w:firstLineChars="200"/>
        <w:rPr>
          <w:rFonts w:hint="eastAsia" w:ascii="宋体" w:hAnsi="宋体" w:eastAsia="宋体" w:cs="宋体"/>
          <w:kern w:val="0"/>
        </w:rPr>
      </w:pPr>
      <w:r>
        <w:rPr>
          <w:rFonts w:hint="eastAsia" w:ascii="宋体" w:hAnsi="宋体" w:eastAsia="宋体" w:cs="宋体"/>
          <w:kern w:val="0"/>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 3000 元-500 万元的贷款业务，在融资审查、审批流程、利率优惠等方面切实给予中小微企业快捷高效融资支持。</w:t>
      </w:r>
    </w:p>
    <w:p w14:paraId="1234294A">
      <w:pPr>
        <w:ind w:firstLine="420" w:firstLineChars="200"/>
        <w:rPr>
          <w:rFonts w:hint="eastAsia" w:ascii="宋体" w:hAnsi="宋体" w:eastAsia="宋体" w:cs="宋体"/>
          <w:kern w:val="0"/>
        </w:rPr>
      </w:pPr>
      <w:r>
        <w:rPr>
          <w:rFonts w:hint="eastAsia" w:ascii="宋体" w:hAnsi="宋体" w:eastAsia="宋体" w:cs="宋体"/>
          <w:kern w:val="0"/>
        </w:rPr>
        <w:t>目前，平顶山银行和市政府采购合同融资工作已全面开始，如有意向享受我市政府采购合同融资政策，请登录平顶山市政府采购网（http：//pingdingshan.hngp.gov.cn）或</w:t>
      </w:r>
    </w:p>
    <w:p w14:paraId="7620B7D3">
      <w:pPr>
        <w:rPr>
          <w:rFonts w:hint="eastAsia" w:ascii="宋体" w:hAnsi="宋体" w:eastAsia="宋体" w:cs="宋体"/>
          <w:kern w:val="0"/>
        </w:rPr>
      </w:pPr>
      <w:r>
        <w:rPr>
          <w:rFonts w:hint="eastAsia" w:ascii="宋体" w:hAnsi="宋体" w:eastAsia="宋体" w:cs="宋体"/>
          <w:kern w:val="0"/>
        </w:rPr>
        <w:t>拨打平顶山银行联系电话 0375-2980538 自主选择融资服务机构，按程序进行融资。</w:t>
      </w:r>
    </w:p>
    <w:p w14:paraId="6038FF7A">
      <w:pPr>
        <w:ind w:firstLine="420" w:firstLineChars="200"/>
        <w:rPr>
          <w:rFonts w:hint="eastAsia" w:ascii="宋体" w:hAnsi="宋体" w:eastAsia="宋体" w:cs="宋体"/>
          <w:kern w:val="0"/>
        </w:rPr>
      </w:pPr>
      <w:r>
        <w:rPr>
          <w:rFonts w:hint="eastAsia" w:ascii="宋体" w:hAnsi="宋体" w:eastAsia="宋体" w:cs="宋体"/>
          <w:kern w:val="0"/>
        </w:rPr>
        <w:t>期待您一如既往支持政府采购工作！</w:t>
      </w:r>
    </w:p>
    <w:p w14:paraId="05ADE5D5">
      <w:pPr>
        <w:pStyle w:val="4"/>
        <w:autoSpaceDE w:val="0"/>
        <w:autoSpaceDN w:val="0"/>
        <w:spacing w:line="440" w:lineRule="exact"/>
        <w:rPr>
          <w:rFonts w:hint="eastAsia" w:ascii="宋体" w:hAnsi="宋体" w:cs="宋体"/>
          <w:kern w:val="0"/>
          <w:sz w:val="22"/>
          <w:szCs w:val="22"/>
        </w:rPr>
      </w:pPr>
      <w:r>
        <w:rPr>
          <w:rFonts w:hint="eastAsia" w:ascii="宋体" w:hAnsi="宋体" w:cs="宋体"/>
          <w:kern w:val="0"/>
          <w:sz w:val="22"/>
          <w:szCs w:val="22"/>
        </w:rPr>
        <w:br w:type="page"/>
      </w:r>
      <w:bookmarkStart w:id="194" w:name="_Toc4954"/>
      <w:bookmarkStart w:id="195" w:name="_Toc28395"/>
      <w:r>
        <w:rPr>
          <w:rFonts w:hint="eastAsia" w:ascii="宋体" w:hAnsi="宋体" w:eastAsia="宋体" w:cs="宋体"/>
          <w:bCs w:val="0"/>
          <w:szCs w:val="28"/>
        </w:rPr>
        <w:t>2、</w:t>
      </w:r>
      <w:r>
        <w:rPr>
          <w:rFonts w:hint="eastAsia" w:ascii="宋体" w:hAnsi="宋体" w:eastAsia="宋体" w:cs="宋体"/>
          <w:bCs w:val="0"/>
          <w:szCs w:val="28"/>
          <w:lang w:val="zh-CN"/>
        </w:rPr>
        <w:t>河南省政府采购合同融资政策告知函</w:t>
      </w:r>
      <w:bookmarkEnd w:id="194"/>
      <w:bookmarkEnd w:id="195"/>
    </w:p>
    <w:p w14:paraId="7B56CF2D">
      <w:pPr>
        <w:ind w:firstLine="420" w:firstLineChars="200"/>
        <w:rPr>
          <w:rFonts w:hint="eastAsia" w:ascii="宋体" w:hAnsi="宋体" w:eastAsia="宋体" w:cs="宋体"/>
          <w:kern w:val="0"/>
        </w:rPr>
      </w:pPr>
      <w:r>
        <w:rPr>
          <w:rFonts w:hint="eastAsia" w:ascii="宋体" w:hAnsi="宋体" w:eastAsia="宋体" w:cs="宋体"/>
          <w:kern w:val="0"/>
        </w:rPr>
        <w:t>各供应商∶</w:t>
      </w:r>
    </w:p>
    <w:p w14:paraId="4C56F765">
      <w:pPr>
        <w:ind w:firstLine="420" w:firstLineChars="200"/>
        <w:rPr>
          <w:rFonts w:hint="eastAsia" w:ascii="宋体" w:hAnsi="宋体" w:eastAsia="宋体" w:cs="宋体"/>
          <w:kern w:val="0"/>
        </w:rPr>
      </w:pPr>
      <w:r>
        <w:rPr>
          <w:rFonts w:hint="eastAsia" w:ascii="宋体" w:hAnsi="宋体" w:eastAsia="宋体" w:cs="宋体"/>
          <w:kern w:val="0"/>
        </w:rPr>
        <w:t>欢迎贵公司参与河南省政府采购活动!</w:t>
      </w:r>
    </w:p>
    <w:p w14:paraId="3F5DB5E2">
      <w:pPr>
        <w:ind w:firstLine="420" w:firstLineChars="200"/>
        <w:rPr>
          <w:rFonts w:hint="eastAsia" w:ascii="宋体" w:hAnsi="宋体" w:eastAsia="宋体" w:cs="宋体"/>
          <w:kern w:val="0"/>
        </w:rPr>
      </w:pPr>
      <w:r>
        <w:rPr>
          <w:rFonts w:hint="eastAsia" w:ascii="宋体" w:hAnsi="宋体" w:eastAsia="宋体" w:cs="宋体"/>
          <w:kern w:val="0"/>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91770ED">
      <w:pPr>
        <w:ind w:firstLine="420" w:firstLineChars="200"/>
        <w:rPr>
          <w:rFonts w:hint="eastAsia" w:ascii="宋体" w:hAnsi="宋体" w:eastAsia="宋体" w:cs="宋体"/>
          <w:kern w:val="0"/>
        </w:rPr>
      </w:pPr>
      <w:r>
        <w:rPr>
          <w:rFonts w:hint="eastAsia" w:ascii="宋体" w:hAnsi="宋体" w:eastAsia="宋体" w:cs="宋体"/>
          <w:kern w:val="0"/>
        </w:rPr>
        <w:t>贷款渠道和提供贷款的金融机构，可在河南省政府采购网"河南省政府采购合同融资平台"查询联系。</w:t>
      </w:r>
    </w:p>
    <w:p w14:paraId="6353F50F">
      <w:pPr>
        <w:ind w:firstLine="420" w:firstLineChars="200"/>
        <w:rPr>
          <w:rFonts w:hint="eastAsia" w:ascii="宋体" w:hAnsi="宋体" w:eastAsia="宋体" w:cs="宋体"/>
          <w:kern w:val="0"/>
        </w:rPr>
      </w:pPr>
    </w:p>
    <w:p w14:paraId="26ED2CCC">
      <w:pPr>
        <w:pStyle w:val="14"/>
        <w:rPr>
          <w:rStyle w:val="42"/>
          <w:rFonts w:hint="eastAsia" w:ascii="宋体" w:hAnsi="宋体" w:cs="宋体"/>
          <w:sz w:val="30"/>
          <w:szCs w:val="30"/>
        </w:rPr>
      </w:pPr>
    </w:p>
    <w:p w14:paraId="73DC5A9C">
      <w:pPr>
        <w:pStyle w:val="14"/>
        <w:rPr>
          <w:rStyle w:val="42"/>
          <w:rFonts w:hint="eastAsia" w:ascii="宋体" w:hAnsi="宋体" w:cs="宋体"/>
          <w:sz w:val="30"/>
          <w:szCs w:val="30"/>
        </w:rPr>
      </w:pPr>
    </w:p>
    <w:p w14:paraId="678CFDF8">
      <w:pPr>
        <w:pStyle w:val="14"/>
        <w:rPr>
          <w:rStyle w:val="42"/>
          <w:rFonts w:hint="eastAsia" w:ascii="宋体" w:hAnsi="宋体" w:cs="宋体"/>
          <w:sz w:val="30"/>
          <w:szCs w:val="30"/>
        </w:rPr>
      </w:pPr>
    </w:p>
    <w:p w14:paraId="26F7F121">
      <w:pPr>
        <w:pStyle w:val="14"/>
        <w:rPr>
          <w:rStyle w:val="42"/>
          <w:rFonts w:hint="eastAsia" w:ascii="宋体" w:hAnsi="宋体" w:cs="宋体"/>
          <w:sz w:val="30"/>
          <w:szCs w:val="30"/>
        </w:rPr>
      </w:pPr>
    </w:p>
    <w:p w14:paraId="10EA5742">
      <w:pPr>
        <w:pStyle w:val="14"/>
        <w:rPr>
          <w:rStyle w:val="42"/>
          <w:rFonts w:hint="eastAsia" w:ascii="宋体" w:hAnsi="宋体" w:cs="宋体"/>
          <w:sz w:val="30"/>
          <w:szCs w:val="30"/>
        </w:rPr>
      </w:pPr>
    </w:p>
    <w:p w14:paraId="09223168">
      <w:pPr>
        <w:pStyle w:val="14"/>
        <w:rPr>
          <w:rStyle w:val="42"/>
          <w:rFonts w:hint="eastAsia" w:ascii="宋体" w:hAnsi="宋体" w:cs="宋体"/>
          <w:sz w:val="30"/>
          <w:szCs w:val="30"/>
        </w:rPr>
      </w:pPr>
    </w:p>
    <w:p w14:paraId="7FCE1F9F">
      <w:pPr>
        <w:pStyle w:val="14"/>
        <w:rPr>
          <w:rStyle w:val="42"/>
          <w:rFonts w:hint="eastAsia" w:ascii="宋体" w:hAnsi="宋体" w:cs="宋体"/>
          <w:sz w:val="30"/>
          <w:szCs w:val="30"/>
        </w:rPr>
      </w:pPr>
    </w:p>
    <w:p w14:paraId="21A0037C">
      <w:pPr>
        <w:pStyle w:val="14"/>
        <w:rPr>
          <w:rStyle w:val="42"/>
          <w:rFonts w:hint="eastAsia" w:ascii="宋体" w:hAnsi="宋体" w:cs="宋体"/>
          <w:sz w:val="30"/>
          <w:szCs w:val="30"/>
        </w:rPr>
      </w:pPr>
    </w:p>
    <w:p w14:paraId="12B2751B">
      <w:pPr>
        <w:pStyle w:val="14"/>
        <w:rPr>
          <w:rStyle w:val="42"/>
          <w:rFonts w:hint="eastAsia" w:ascii="宋体" w:hAnsi="宋体" w:cs="宋体"/>
          <w:sz w:val="30"/>
          <w:szCs w:val="30"/>
        </w:rPr>
      </w:pPr>
    </w:p>
    <w:p w14:paraId="6343441B">
      <w:pPr>
        <w:pStyle w:val="14"/>
        <w:rPr>
          <w:rStyle w:val="42"/>
          <w:rFonts w:hint="eastAsia" w:ascii="宋体" w:hAnsi="宋体" w:cs="宋体"/>
          <w:sz w:val="30"/>
          <w:szCs w:val="30"/>
        </w:rPr>
      </w:pPr>
    </w:p>
    <w:p w14:paraId="26989B99">
      <w:pPr>
        <w:pStyle w:val="14"/>
        <w:rPr>
          <w:rStyle w:val="42"/>
          <w:rFonts w:hint="eastAsia" w:ascii="宋体" w:hAnsi="宋体" w:cs="宋体"/>
          <w:sz w:val="30"/>
          <w:szCs w:val="30"/>
        </w:rPr>
      </w:pPr>
    </w:p>
    <w:p w14:paraId="4796039D">
      <w:pPr>
        <w:pStyle w:val="4"/>
        <w:autoSpaceDE w:val="0"/>
        <w:autoSpaceDN w:val="0"/>
        <w:rPr>
          <w:kern w:val="0"/>
        </w:rPr>
      </w:pPr>
      <w:bookmarkStart w:id="196" w:name="_Toc27946"/>
      <w:bookmarkStart w:id="197" w:name="_Toc23870"/>
      <w:bookmarkStart w:id="198" w:name="_Toc917"/>
      <w:r>
        <w:rPr>
          <w:rFonts w:hint="eastAsia" w:ascii="宋体" w:hAnsi="宋体" w:eastAsia="宋体" w:cs="宋体"/>
          <w:bCs w:val="0"/>
          <w:szCs w:val="28"/>
          <w:lang w:val="zh-CN"/>
        </w:rPr>
        <w:t>工信部联企业〔</w:t>
      </w:r>
      <w:bookmarkEnd w:id="196"/>
      <w:r>
        <w:rPr>
          <w:rFonts w:hint="eastAsia" w:ascii="宋体" w:hAnsi="宋体" w:eastAsia="宋体" w:cs="宋体"/>
          <w:bCs w:val="0"/>
          <w:szCs w:val="28"/>
          <w:lang w:val="zh-CN"/>
        </w:rPr>
        <w:t>2011〕300号</w:t>
      </w:r>
      <w:bookmarkEnd w:id="197"/>
      <w:bookmarkEnd w:id="198"/>
    </w:p>
    <w:p w14:paraId="61157F5E">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各省、自治区、直辖市人民政府，国务院各部委、各直属机构及有关单位：</w:t>
      </w:r>
    </w:p>
    <w:p w14:paraId="10C4111E">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CD168D1">
      <w:pPr>
        <w:widowControl/>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工业和信息化部</w:t>
      </w:r>
    </w:p>
    <w:p w14:paraId="18AEE741">
      <w:pPr>
        <w:widowControl/>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国家统计局</w:t>
      </w:r>
    </w:p>
    <w:p w14:paraId="08EA6D7A">
      <w:pPr>
        <w:widowControl/>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国家发展和改革委员会</w:t>
      </w:r>
    </w:p>
    <w:p w14:paraId="24769207">
      <w:pPr>
        <w:widowControl/>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财政部</w:t>
      </w:r>
    </w:p>
    <w:p w14:paraId="73CCCC90">
      <w:pPr>
        <w:widowControl/>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二○一一年六月十八日</w:t>
      </w:r>
      <w:bookmarkStart w:id="199" w:name="_Toc19819"/>
      <w:bookmarkEnd w:id="199"/>
      <w:bookmarkStart w:id="200" w:name="_Toc13328"/>
      <w:bookmarkEnd w:id="200"/>
      <w:bookmarkStart w:id="201" w:name="_Toc4126"/>
      <w:bookmarkEnd w:id="201"/>
      <w:r>
        <w:rPr>
          <w:rFonts w:hint="eastAsia" w:ascii="宋体" w:hAnsi="宋体" w:eastAsia="宋体" w:cs="宋体"/>
          <w:kern w:val="0"/>
          <w:szCs w:val="21"/>
        </w:rPr>
        <w:t> </w:t>
      </w:r>
    </w:p>
    <w:p w14:paraId="12D0AF18">
      <w:pPr>
        <w:widowControl/>
        <w:ind w:firstLine="420" w:firstLineChars="200"/>
        <w:jc w:val="center"/>
        <w:rPr>
          <w:rFonts w:hint="eastAsia" w:ascii="宋体" w:hAnsi="宋体" w:eastAsia="宋体" w:cs="宋体"/>
          <w:kern w:val="0"/>
          <w:szCs w:val="21"/>
        </w:rPr>
      </w:pPr>
      <w:bookmarkStart w:id="202" w:name="_Toc6557"/>
      <w:r>
        <w:rPr>
          <w:rFonts w:hint="eastAsia" w:ascii="宋体" w:hAnsi="宋体" w:eastAsia="宋体" w:cs="宋体"/>
          <w:kern w:val="0"/>
          <w:szCs w:val="21"/>
        </w:rPr>
        <w:t>中小企业划型标准规定</w:t>
      </w:r>
      <w:bookmarkEnd w:id="202"/>
    </w:p>
    <w:p w14:paraId="6AD9EC14">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w:t>
      </w:r>
    </w:p>
    <w:p w14:paraId="4542BC98">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一、根据《中华人民共和国中小企业促进法》和《国务院关于进一步促进中小企业发展的若干意见》(国发〔2009〕36号)，制定本规定。</w:t>
      </w:r>
    </w:p>
    <w:p w14:paraId="2C49DA7A">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二、中小企业划分为中型、小型、微型三种类型，具体标准根据企业从业人员、营业收入、资产总额等指标，结合行业特点制定。</w:t>
      </w:r>
    </w:p>
    <w:p w14:paraId="284F4A32">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DE2BC5">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四、各行业划型标准为：</w:t>
      </w:r>
    </w:p>
    <w:p w14:paraId="5A41E29B">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（一）农、林、牧、渔业。营业收入20000万元以下的为中小微型企业。其中，营业收入500万元及以上的为中型企业，营业收入50万元及以上的为小型企业，营业收入50万元以下的为微型企业。</w:t>
      </w:r>
    </w:p>
    <w:p w14:paraId="2C9F3D6F">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049F17">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583867">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78BBC9">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C8C4F1">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3830DC">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4B74390">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A7A469">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5B135B">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026146">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65AA4C0">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6F5049">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F67E7FF">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3BF5A2">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4B1314">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（十六）其他未列明行业。从业人员300人以下的为中小微型企业。其中，从业人员100人及以上的为中型企业；从业人员10人及以上的为小型企业；从业人员10人以下的为微型企业。</w:t>
      </w:r>
    </w:p>
    <w:p w14:paraId="4627CE31">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五、企业类型的划分以统计部门的统计数据为依据。</w:t>
      </w:r>
    </w:p>
    <w:p w14:paraId="001E052C">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六、本规定适用于在中华人民共和国境内依法设立的各类所有制和各种组织形式的企业。个体工商户和本规定以外的行业，参照本规定进行划型。</w:t>
      </w:r>
    </w:p>
    <w:p w14:paraId="1AB91485">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4954FA40">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八、本规定由工业和信息化部、国家统计局会同有关部门根据《国民经济行业分类》修订情况和企业发展变化情况适时修订。</w:t>
      </w:r>
    </w:p>
    <w:p w14:paraId="5C11397F">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九、本规定由工业和信息化部、国家统计局会同有关部门负责解释。</w:t>
      </w:r>
    </w:p>
    <w:p w14:paraId="1BD7AB95">
      <w:pPr>
        <w:rPr>
          <w:rFonts w:hint="eastAsia" w:ascii="宋体" w:hAnsi="宋体" w:eastAsia="宋体" w:cs="宋体"/>
          <w:szCs w:val="21"/>
        </w:rPr>
      </w:pPr>
      <w:r>
        <w:rPr>
          <w:rFonts w:hint="eastAsia" w:ascii="宋体" w:hAnsi="宋体" w:eastAsia="宋体" w:cs="宋体"/>
          <w:szCs w:val="21"/>
        </w:rPr>
        <w:t>十、本规定自发布之日起执行，原国家经贸委、原国家计委、财政部和国家统计局2003年颁布的《中小企业标准暂行规定》同时废止。</w:t>
      </w:r>
    </w:p>
    <w:p w14:paraId="3BDE42EE">
      <w:pPr>
        <w:ind w:firstLine="420"/>
        <w:rPr>
          <w:rFonts w:hint="eastAsia" w:ascii="宋体" w:hAnsi="宋体" w:eastAsia="宋体" w:cs="宋体"/>
          <w:szCs w:val="21"/>
        </w:rPr>
      </w:pPr>
    </w:p>
    <w:p w14:paraId="58BA6918">
      <w:pPr>
        <w:ind w:firstLine="420"/>
        <w:rPr>
          <w:rFonts w:hint="eastAsia" w:ascii="宋体" w:hAnsi="宋体" w:eastAsia="宋体" w:cs="宋体"/>
          <w:szCs w:val="21"/>
        </w:rPr>
      </w:pPr>
    </w:p>
    <w:p w14:paraId="025EA63F">
      <w:pPr>
        <w:ind w:firstLine="420"/>
        <w:rPr>
          <w:rFonts w:hint="eastAsia" w:ascii="宋体" w:hAnsi="宋体" w:eastAsia="宋体" w:cs="宋体"/>
          <w:szCs w:val="21"/>
        </w:rPr>
      </w:pPr>
    </w:p>
    <w:p w14:paraId="041C8147">
      <w:pPr>
        <w:pStyle w:val="14"/>
        <w:spacing w:line="360" w:lineRule="auto"/>
        <w:rPr>
          <w:rStyle w:val="42"/>
          <w:rFonts w:hint="eastAsia" w:ascii="宋体" w:hAnsi="宋体" w:eastAsia="宋体" w:cs="宋体"/>
          <w:szCs w:val="21"/>
        </w:rPr>
      </w:pPr>
    </w:p>
    <w:p w14:paraId="549831B9">
      <w:pPr>
        <w:pStyle w:val="14"/>
        <w:rPr>
          <w:rStyle w:val="42"/>
          <w:rFonts w:hint="eastAsia" w:ascii="宋体" w:hAnsi="宋体" w:cs="宋体"/>
          <w:sz w:val="30"/>
          <w:szCs w:val="30"/>
        </w:rPr>
      </w:pPr>
    </w:p>
    <w:p w14:paraId="6DB86820">
      <w:pPr>
        <w:pStyle w:val="4"/>
        <w:autoSpaceDE w:val="0"/>
        <w:autoSpaceDN w:val="0"/>
        <w:rPr>
          <w:rStyle w:val="42"/>
          <w:rFonts w:hint="eastAsia" w:ascii="宋体" w:hAnsi="宋体" w:cs="宋体"/>
          <w:sz w:val="30"/>
          <w:szCs w:val="30"/>
        </w:rPr>
      </w:pPr>
      <w:r>
        <w:rPr>
          <w:rFonts w:hint="eastAsia" w:ascii="宋体" w:hAnsi="宋体" w:cs="宋体"/>
          <w:szCs w:val="22"/>
        </w:rPr>
        <w:br w:type="page"/>
      </w:r>
      <w:bookmarkStart w:id="203" w:name="_Toc31939"/>
      <w:bookmarkStart w:id="204" w:name="_Toc4260"/>
      <w:bookmarkStart w:id="205" w:name="_Toc12642"/>
      <w:r>
        <w:rPr>
          <w:rFonts w:hint="eastAsia" w:ascii="宋体" w:hAnsi="宋体" w:eastAsia="宋体" w:cs="宋体"/>
          <w:bCs w:val="0"/>
          <w:szCs w:val="28"/>
          <w:lang w:val="zh-CN"/>
        </w:rPr>
        <w:t>全流程电子化交易注意事项</w:t>
      </w:r>
      <w:bookmarkEnd w:id="203"/>
      <w:bookmarkEnd w:id="204"/>
      <w:bookmarkEnd w:id="205"/>
    </w:p>
    <w:p w14:paraId="567F940D">
      <w:pPr>
        <w:ind w:firstLine="315" w:firstLineChars="150"/>
        <w:textAlignment w:val="baseline"/>
        <w:rPr>
          <w:rStyle w:val="42"/>
          <w:rFonts w:hint="eastAsia" w:ascii="宋体" w:hAnsi="宋体" w:eastAsia="宋体" w:cs="宋体"/>
          <w:szCs w:val="21"/>
        </w:rPr>
      </w:pPr>
      <w:r>
        <w:rPr>
          <w:rStyle w:val="42"/>
          <w:rFonts w:hint="eastAsia" w:ascii="宋体" w:hAnsi="宋体" w:eastAsia="宋体" w:cs="宋体"/>
          <w:szCs w:val="21"/>
        </w:rPr>
        <w:t>电子化交易项目响应文件是投标人、供应商（以下简称“投标人”）通过中心响应文件制作系统制作，并经过签章和加密后生成的电子版响应文件。（电子化响应文件具体制作教材请投标人通过CA证书登录公共资源电子化交易系统在右上角“组件下载”中查看）制作电子化响应文件，需仔细阅读以下条款。</w:t>
      </w:r>
    </w:p>
    <w:p w14:paraId="775F9D72">
      <w:pPr>
        <w:textAlignment w:val="baseline"/>
        <w:rPr>
          <w:rStyle w:val="42"/>
          <w:rFonts w:hint="eastAsia" w:ascii="宋体" w:hAnsi="宋体" w:eastAsia="宋体" w:cs="宋体"/>
          <w:szCs w:val="21"/>
        </w:rPr>
      </w:pPr>
      <w:bookmarkStart w:id="206" w:name="_Toc23210"/>
      <w:r>
        <w:rPr>
          <w:rStyle w:val="42"/>
          <w:rFonts w:hint="eastAsia" w:ascii="宋体" w:hAnsi="宋体" w:eastAsia="宋体" w:cs="宋体"/>
          <w:szCs w:val="21"/>
        </w:rPr>
        <w:t>一、电子化投标</w:t>
      </w:r>
      <w:bookmarkEnd w:id="206"/>
    </w:p>
    <w:p w14:paraId="2A281FBE">
      <w:pPr>
        <w:textAlignment w:val="baseline"/>
        <w:rPr>
          <w:rStyle w:val="42"/>
          <w:rFonts w:hint="eastAsia" w:ascii="宋体" w:hAnsi="宋体" w:eastAsia="宋体" w:cs="宋体"/>
          <w:szCs w:val="21"/>
        </w:rPr>
      </w:pPr>
      <w:r>
        <w:rPr>
          <w:rStyle w:val="42"/>
          <w:rFonts w:hint="eastAsia" w:ascii="宋体" w:hAnsi="宋体" w:eastAsia="宋体" w:cs="宋体"/>
          <w:szCs w:val="21"/>
        </w:rPr>
        <w:t>（一）网上投标保证金的缴纳</w:t>
      </w:r>
    </w:p>
    <w:p w14:paraId="60568347">
      <w:pPr>
        <w:textAlignment w:val="baseline"/>
        <w:rPr>
          <w:rStyle w:val="42"/>
          <w:rFonts w:hint="eastAsia" w:ascii="宋体" w:hAnsi="宋体" w:eastAsia="宋体" w:cs="宋体"/>
          <w:szCs w:val="21"/>
        </w:rPr>
      </w:pPr>
      <w:r>
        <w:rPr>
          <w:rStyle w:val="42"/>
          <w:rFonts w:hint="eastAsia" w:ascii="宋体" w:hAnsi="宋体" w:eastAsia="宋体" w:cs="宋体"/>
          <w:szCs w:val="21"/>
        </w:rPr>
        <w:t>1、递交形式: 投标人的投标保证金必须通过投标人基本账户以转账或电汇的形式缴纳（账户必须是已加入平顶山市公共资源交易投标人或供应商诚信库中的账户）。</w:t>
      </w:r>
    </w:p>
    <w:p w14:paraId="71F73107">
      <w:pPr>
        <w:textAlignment w:val="baseline"/>
        <w:rPr>
          <w:rStyle w:val="42"/>
          <w:rFonts w:hint="eastAsia" w:ascii="宋体" w:hAnsi="宋体" w:eastAsia="宋体" w:cs="宋体"/>
          <w:szCs w:val="21"/>
        </w:rPr>
      </w:pPr>
      <w:r>
        <w:rPr>
          <w:rStyle w:val="42"/>
          <w:rFonts w:hint="eastAsia" w:ascii="宋体" w:hAnsi="宋体" w:eastAsia="宋体" w:cs="宋体"/>
          <w:szCs w:val="21"/>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3320CB83">
      <w:pPr>
        <w:textAlignment w:val="baseline"/>
        <w:rPr>
          <w:rStyle w:val="42"/>
          <w:rFonts w:hint="eastAsia" w:ascii="宋体" w:hAnsi="宋体" w:eastAsia="宋体" w:cs="宋体"/>
          <w:szCs w:val="21"/>
        </w:rPr>
      </w:pPr>
      <w:r>
        <w:rPr>
          <w:rStyle w:val="42"/>
          <w:rFonts w:hint="eastAsia" w:ascii="宋体" w:hAnsi="宋体" w:eastAsia="宋体" w:cs="宋体"/>
          <w:szCs w:val="21"/>
        </w:rPr>
        <w:t>3、投标人在成功绑定后，可以将系统生成的回执单图片制作在响应文件中，作为缴纳保证金的依据。</w:t>
      </w:r>
    </w:p>
    <w:p w14:paraId="0C2C1EB5">
      <w:pPr>
        <w:textAlignment w:val="baseline"/>
        <w:rPr>
          <w:rStyle w:val="42"/>
          <w:rFonts w:hint="eastAsia" w:ascii="宋体" w:hAnsi="宋体" w:eastAsia="宋体" w:cs="宋体"/>
          <w:szCs w:val="21"/>
        </w:rPr>
      </w:pPr>
      <w:r>
        <w:rPr>
          <w:rStyle w:val="42"/>
          <w:rFonts w:hint="eastAsia" w:ascii="宋体" w:hAnsi="宋体" w:eastAsia="宋体" w:cs="宋体"/>
          <w:szCs w:val="21"/>
        </w:rPr>
        <w:t>4、投标人应仔细阅读操作手册并充分考虑异地跨行转账到账时间等因素，因投标人操作不当或银行到账时间等问题造成保证金无法正常绑定影响投标的，由投标人自行承担后果。</w:t>
      </w:r>
    </w:p>
    <w:p w14:paraId="13A2CF7D">
      <w:pPr>
        <w:textAlignment w:val="baseline"/>
        <w:rPr>
          <w:rStyle w:val="42"/>
          <w:rFonts w:hint="eastAsia" w:ascii="宋体" w:hAnsi="宋体" w:eastAsia="宋体" w:cs="宋体"/>
          <w:szCs w:val="21"/>
        </w:rPr>
      </w:pPr>
      <w:r>
        <w:rPr>
          <w:rStyle w:val="42"/>
          <w:rFonts w:hint="eastAsia" w:ascii="宋体" w:hAnsi="宋体" w:eastAsia="宋体" w:cs="宋体"/>
          <w:szCs w:val="21"/>
        </w:rPr>
        <w:t>5、未中标投标人的投标保证金在项目结束后，由</w:t>
      </w:r>
      <w:r>
        <w:rPr>
          <w:rStyle w:val="42"/>
          <w:rFonts w:hint="eastAsia" w:ascii="宋体" w:hAnsi="宋体" w:eastAsia="宋体" w:cs="宋体"/>
          <w:szCs w:val="21"/>
          <w:lang w:eastAsia="zh-CN"/>
        </w:rPr>
        <w:t>代理机构</w:t>
      </w:r>
      <w:r>
        <w:rPr>
          <w:rStyle w:val="42"/>
          <w:rFonts w:hint="eastAsia" w:ascii="宋体" w:hAnsi="宋体" w:eastAsia="宋体" w:cs="宋体"/>
          <w:szCs w:val="21"/>
        </w:rPr>
        <w:t>向中心项目负责人提出退款申请，项目负责人同意并经财务部门核对后，通过中心交易平台退还给投标人。</w:t>
      </w:r>
    </w:p>
    <w:p w14:paraId="67FE97B2">
      <w:pPr>
        <w:textAlignment w:val="baseline"/>
        <w:rPr>
          <w:rStyle w:val="42"/>
          <w:rFonts w:hint="eastAsia" w:ascii="宋体" w:hAnsi="宋体" w:eastAsia="宋体" w:cs="宋体"/>
          <w:szCs w:val="21"/>
        </w:rPr>
      </w:pPr>
      <w:r>
        <w:rPr>
          <w:rStyle w:val="42"/>
          <w:rFonts w:hint="eastAsia" w:ascii="宋体" w:hAnsi="宋体" w:eastAsia="宋体" w:cs="宋体"/>
          <w:szCs w:val="21"/>
        </w:rPr>
        <w:t>（二）电子化响应文件的签章</w:t>
      </w:r>
    </w:p>
    <w:p w14:paraId="2D0E64BA">
      <w:pPr>
        <w:textAlignment w:val="baseline"/>
        <w:rPr>
          <w:rStyle w:val="42"/>
          <w:rFonts w:hint="eastAsia" w:ascii="宋体" w:hAnsi="宋体" w:eastAsia="宋体" w:cs="宋体"/>
          <w:szCs w:val="21"/>
        </w:rPr>
      </w:pPr>
      <w:r>
        <w:rPr>
          <w:rStyle w:val="42"/>
          <w:rFonts w:hint="eastAsia" w:ascii="宋体" w:hAnsi="宋体" w:eastAsia="宋体" w:cs="宋体"/>
          <w:szCs w:val="21"/>
        </w:rPr>
        <w:t>1、投标人在生成电子化响应文件后，应对电子化响应文件进行签章，未进行签章的视为无效投标。</w:t>
      </w:r>
    </w:p>
    <w:p w14:paraId="1C3AFDFA">
      <w:pPr>
        <w:textAlignment w:val="baseline"/>
        <w:rPr>
          <w:rStyle w:val="42"/>
          <w:rFonts w:hint="eastAsia" w:ascii="宋体" w:hAnsi="宋体" w:eastAsia="宋体" w:cs="宋体"/>
          <w:szCs w:val="21"/>
        </w:rPr>
      </w:pPr>
      <w:r>
        <w:rPr>
          <w:rStyle w:val="42"/>
          <w:rFonts w:hint="eastAsia" w:ascii="宋体" w:hAnsi="宋体" w:eastAsia="宋体" w:cs="宋体"/>
          <w:szCs w:val="21"/>
        </w:rPr>
        <w:t>2、招标文件中要求法定代表人或授权委托人签字或盖章的，投标人在进行电子化响应文件签章时，以签盖法定代表人签章为准。电子化响应文件具体制作教材请投标人通过CA证书登录平顶山市公共资源电子化交易系统在右上角“组件下载”中查看。</w:t>
      </w:r>
    </w:p>
    <w:p w14:paraId="1E2E2176">
      <w:pPr>
        <w:textAlignment w:val="baseline"/>
        <w:rPr>
          <w:rStyle w:val="42"/>
          <w:rFonts w:hint="eastAsia" w:ascii="宋体" w:hAnsi="宋体" w:eastAsia="宋体" w:cs="宋体"/>
          <w:szCs w:val="21"/>
        </w:rPr>
      </w:pPr>
      <w:r>
        <w:rPr>
          <w:rStyle w:val="42"/>
          <w:rFonts w:hint="eastAsia" w:ascii="宋体" w:hAnsi="宋体" w:eastAsia="宋体" w:cs="宋体"/>
          <w:szCs w:val="21"/>
        </w:rPr>
        <w:t>（三）电子化响应文件的格式及上传投标</w:t>
      </w:r>
    </w:p>
    <w:p w14:paraId="6AC663D6">
      <w:pPr>
        <w:textAlignment w:val="baseline"/>
        <w:rPr>
          <w:rStyle w:val="42"/>
          <w:rFonts w:hint="eastAsia" w:ascii="宋体" w:hAnsi="宋体" w:eastAsia="宋体" w:cs="宋体"/>
          <w:szCs w:val="21"/>
        </w:rPr>
      </w:pPr>
      <w:r>
        <w:rPr>
          <w:rStyle w:val="42"/>
          <w:rFonts w:hint="eastAsia" w:ascii="宋体" w:hAnsi="宋体" w:eastAsia="宋体" w:cs="宋体"/>
          <w:szCs w:val="21"/>
        </w:rPr>
        <w:t>1、投标人所上传的电子化响应文件，应是通过中心响应文件制作系统制作的，经过签章和加密后生成的电子版响应文件。生成的电子版响应文件包含用于响应文件上传的主文件（项目文件格式为：xxx公司_ 项目名称.file）和用于应急补救的响应文件备份文件（项目文件格式为：xxx公司_ 项目名称.bin），备份文件主要用于电子化开标出现技术问题后的补救，请投标人随身携带。</w:t>
      </w:r>
    </w:p>
    <w:p w14:paraId="57F0FCE1">
      <w:pPr>
        <w:textAlignment w:val="baseline"/>
        <w:rPr>
          <w:rStyle w:val="42"/>
          <w:rFonts w:hint="eastAsia" w:ascii="宋体" w:hAnsi="宋体" w:eastAsia="宋体" w:cs="宋体"/>
          <w:b/>
          <w:bCs/>
          <w:szCs w:val="21"/>
        </w:rPr>
      </w:pPr>
      <w:r>
        <w:rPr>
          <w:rStyle w:val="42"/>
          <w:rFonts w:hint="eastAsia" w:ascii="宋体" w:hAnsi="宋体" w:eastAsia="宋体" w:cs="宋体"/>
          <w:b/>
          <w:bCs/>
          <w:szCs w:val="21"/>
        </w:rPr>
        <w:t>注：（1）投标人投报多个标段的，根据标段制作各个标段的响应文件后上传</w:t>
      </w:r>
    </w:p>
    <w:p w14:paraId="5322328E">
      <w:pPr>
        <w:textAlignment w:val="baseline"/>
        <w:rPr>
          <w:rStyle w:val="42"/>
          <w:rFonts w:hint="eastAsia" w:ascii="宋体" w:hAnsi="宋体" w:eastAsia="宋体" w:cs="宋体"/>
          <w:szCs w:val="21"/>
        </w:rPr>
      </w:pPr>
      <w:r>
        <w:rPr>
          <w:rStyle w:val="42"/>
          <w:rFonts w:hint="eastAsia" w:ascii="宋体" w:hAnsi="宋体" w:eastAsia="宋体" w:cs="宋体"/>
          <w:szCs w:val="21"/>
        </w:rPr>
        <w:t>2、电子化响应文件应在投标截止时间前成功上传至平顶山市公共资源电子化交易系统。至投标截止时间止，仍未上传成功的电子化响应文件将不予接收。</w:t>
      </w:r>
    </w:p>
    <w:p w14:paraId="61FA6439">
      <w:pPr>
        <w:textAlignment w:val="baseline"/>
        <w:rPr>
          <w:rStyle w:val="42"/>
          <w:rFonts w:hint="eastAsia" w:ascii="宋体" w:hAnsi="宋体" w:eastAsia="宋体" w:cs="宋体"/>
          <w:b/>
          <w:bCs/>
          <w:szCs w:val="21"/>
        </w:rPr>
      </w:pPr>
      <w:r>
        <w:rPr>
          <w:rStyle w:val="42"/>
          <w:rFonts w:hint="eastAsia" w:ascii="宋体" w:hAnsi="宋体" w:eastAsia="宋体" w:cs="宋体"/>
          <w:b/>
          <w:bCs/>
          <w:szCs w:val="21"/>
        </w:rPr>
        <w:t>注：如按照电子化投标操作教材制作完成的电子化响应文件无法上传的，投标人应在投标截止时间前尽早的联系中心技术人员，以便有充分的时间进行处理。投标人应充分考虑到处理技术问题和上传数据等工作所需的时间问题，响应文件未在投标截止时间前成功上传的，其响应文件不予接收。</w:t>
      </w:r>
    </w:p>
    <w:p w14:paraId="5DE3DB76">
      <w:pPr>
        <w:textAlignment w:val="baseline"/>
        <w:rPr>
          <w:rStyle w:val="42"/>
          <w:rFonts w:hint="eastAsia" w:ascii="宋体" w:hAnsi="宋体" w:eastAsia="宋体" w:cs="宋体"/>
          <w:szCs w:val="21"/>
        </w:rPr>
      </w:pPr>
      <w:r>
        <w:rPr>
          <w:rStyle w:val="42"/>
          <w:rFonts w:hint="eastAsia" w:ascii="宋体" w:hAnsi="宋体" w:eastAsia="宋体" w:cs="宋体"/>
          <w:szCs w:val="21"/>
        </w:rPr>
        <w:t>（四）电子化项目开标、解密、唱标、评标</w:t>
      </w:r>
    </w:p>
    <w:p w14:paraId="09672845">
      <w:pPr>
        <w:textAlignment w:val="baseline"/>
        <w:rPr>
          <w:rStyle w:val="42"/>
          <w:rFonts w:hint="eastAsia" w:ascii="宋体" w:hAnsi="宋体" w:eastAsia="宋体" w:cs="宋体"/>
          <w:szCs w:val="21"/>
        </w:rPr>
      </w:pPr>
      <w:r>
        <w:rPr>
          <w:rStyle w:val="42"/>
          <w:rFonts w:hint="eastAsia" w:ascii="宋体" w:hAnsi="宋体" w:eastAsia="宋体" w:cs="宋体"/>
          <w:szCs w:val="21"/>
        </w:rPr>
        <w:t>1、</w:t>
      </w:r>
      <w:r>
        <w:rPr>
          <w:rStyle w:val="42"/>
          <w:rFonts w:hint="eastAsia" w:ascii="宋体" w:hAnsi="宋体" w:eastAsia="宋体" w:cs="宋体"/>
          <w:kern w:val="0"/>
          <w:szCs w:val="21"/>
        </w:rPr>
        <w:t>电子化响应文件采用加密方式。开标时，由投标人使用CA证书，在规定时间内对其电子化响应文件进行解密</w:t>
      </w:r>
      <w:r>
        <w:rPr>
          <w:rStyle w:val="42"/>
          <w:rFonts w:hint="eastAsia" w:ascii="宋体" w:hAnsi="宋体" w:eastAsia="宋体" w:cs="宋体"/>
          <w:szCs w:val="21"/>
        </w:rPr>
        <w:t>。</w:t>
      </w:r>
    </w:p>
    <w:p w14:paraId="55808FD8">
      <w:pPr>
        <w:textAlignment w:val="baseline"/>
        <w:rPr>
          <w:rStyle w:val="42"/>
          <w:rFonts w:hint="eastAsia" w:ascii="宋体" w:hAnsi="宋体" w:eastAsia="宋体" w:cs="宋体"/>
          <w:szCs w:val="21"/>
        </w:rPr>
      </w:pPr>
      <w:r>
        <w:rPr>
          <w:rStyle w:val="42"/>
          <w:rFonts w:hint="eastAsia" w:ascii="宋体" w:hAnsi="宋体" w:eastAsia="宋体" w:cs="宋体"/>
          <w:szCs w:val="21"/>
        </w:rPr>
        <w:t>2、电子化响应文件解密异常的处理</w:t>
      </w:r>
    </w:p>
    <w:p w14:paraId="401B34D3">
      <w:pPr>
        <w:textAlignment w:val="baseline"/>
        <w:rPr>
          <w:rStyle w:val="42"/>
          <w:rFonts w:hint="eastAsia" w:ascii="宋体" w:hAnsi="宋体" w:eastAsia="宋体" w:cs="宋体"/>
          <w:szCs w:val="21"/>
        </w:rPr>
      </w:pPr>
      <w:r>
        <w:rPr>
          <w:rStyle w:val="42"/>
          <w:rFonts w:hint="eastAsia" w:ascii="宋体" w:hAnsi="宋体" w:eastAsia="宋体" w:cs="宋体"/>
          <w:szCs w:val="21"/>
        </w:rPr>
        <w:t>如出现投标人的电子响应文件无法解密的情况，投标人应及时联系</w:t>
      </w:r>
      <w:r>
        <w:rPr>
          <w:rStyle w:val="42"/>
          <w:rFonts w:hint="eastAsia" w:ascii="宋体" w:hAnsi="宋体" w:eastAsia="宋体" w:cs="宋体"/>
          <w:szCs w:val="21"/>
          <w:lang w:eastAsia="zh-CN"/>
        </w:rPr>
        <w:t>代理机构</w:t>
      </w:r>
      <w:r>
        <w:rPr>
          <w:rStyle w:val="42"/>
          <w:rFonts w:hint="eastAsia" w:ascii="宋体" w:hAnsi="宋体" w:eastAsia="宋体" w:cs="宋体"/>
          <w:szCs w:val="21"/>
        </w:rPr>
        <w:t>说明。响应文件解密异常，按以下步骤进行处理：</w:t>
      </w:r>
    </w:p>
    <w:p w14:paraId="6EC656F2">
      <w:pPr>
        <w:textAlignment w:val="baseline"/>
        <w:rPr>
          <w:rStyle w:val="42"/>
          <w:rFonts w:hint="eastAsia" w:ascii="宋体" w:hAnsi="宋体" w:eastAsia="宋体" w:cs="宋体"/>
          <w:szCs w:val="21"/>
        </w:rPr>
      </w:pPr>
      <w:r>
        <w:rPr>
          <w:rStyle w:val="42"/>
          <w:rFonts w:hint="eastAsia" w:ascii="宋体" w:hAnsi="宋体" w:eastAsia="宋体" w:cs="宋体"/>
          <w:szCs w:val="21"/>
        </w:rPr>
        <w:t>（1）首先由技术人员进行问题排查。</w:t>
      </w:r>
    </w:p>
    <w:p w14:paraId="4A026904">
      <w:pPr>
        <w:textAlignment w:val="baseline"/>
        <w:rPr>
          <w:rStyle w:val="42"/>
          <w:rFonts w:hint="eastAsia" w:ascii="宋体" w:hAnsi="宋体" w:eastAsia="宋体" w:cs="宋体"/>
          <w:szCs w:val="21"/>
        </w:rPr>
      </w:pPr>
      <w:r>
        <w:rPr>
          <w:rStyle w:val="42"/>
          <w:rFonts w:hint="eastAsia" w:ascii="宋体" w:hAnsi="宋体" w:eastAsia="宋体" w:cs="宋体"/>
          <w:szCs w:val="21"/>
        </w:rPr>
        <w:t>（2）经技术人员排查后，是投标人文件自身问题导致响应文件无法解密的，该响应文件将不予接收、解密和唱标，开标会议继续进行。</w:t>
      </w:r>
    </w:p>
    <w:p w14:paraId="598395E5">
      <w:pPr>
        <w:textAlignment w:val="baseline"/>
        <w:rPr>
          <w:rStyle w:val="42"/>
          <w:rFonts w:hint="eastAsia" w:ascii="宋体" w:hAnsi="宋体" w:eastAsia="宋体" w:cs="宋体"/>
          <w:szCs w:val="21"/>
        </w:rPr>
      </w:pPr>
      <w:r>
        <w:rPr>
          <w:rStyle w:val="42"/>
          <w:rFonts w:hint="eastAsia" w:ascii="宋体" w:hAnsi="宋体" w:eastAsia="宋体" w:cs="宋体"/>
          <w:szCs w:val="21"/>
        </w:rPr>
        <w:t>（3）经技术人员排查后，如果是电子化交易系统问题造成响应文件无法解密的，将由技术人员对问题进行处理。如短时间内问题无法解决的，将由</w:t>
      </w:r>
      <w:r>
        <w:rPr>
          <w:rStyle w:val="42"/>
          <w:rFonts w:hint="eastAsia" w:ascii="宋体" w:hAnsi="宋体" w:eastAsia="宋体" w:cs="宋体"/>
          <w:szCs w:val="21"/>
          <w:lang w:eastAsia="zh-CN"/>
        </w:rPr>
        <w:t>代理机构</w:t>
      </w:r>
      <w:r>
        <w:rPr>
          <w:rStyle w:val="42"/>
          <w:rFonts w:hint="eastAsia" w:ascii="宋体" w:hAnsi="宋体" w:eastAsia="宋体" w:cs="宋体"/>
          <w:szCs w:val="21"/>
        </w:rPr>
        <w:t>向监督部门申请，经监督部门同意后，暂停开标会议，待问题解决后继续开标。</w:t>
      </w:r>
    </w:p>
    <w:p w14:paraId="281A4B0F">
      <w:pPr>
        <w:textAlignment w:val="baseline"/>
        <w:rPr>
          <w:rStyle w:val="42"/>
          <w:rFonts w:hint="eastAsia" w:ascii="宋体" w:hAnsi="宋体" w:eastAsia="宋体" w:cs="宋体"/>
          <w:szCs w:val="21"/>
        </w:rPr>
      </w:pPr>
      <w:r>
        <w:rPr>
          <w:rStyle w:val="42"/>
          <w:rFonts w:hint="eastAsia" w:ascii="宋体" w:hAnsi="宋体" w:eastAsia="宋体" w:cs="宋体"/>
          <w:szCs w:val="21"/>
        </w:rPr>
        <w:t>3、待所有投标人响应文件解密完成后，由</w:t>
      </w:r>
      <w:r>
        <w:rPr>
          <w:rStyle w:val="42"/>
          <w:rFonts w:hint="eastAsia" w:ascii="宋体" w:hAnsi="宋体" w:eastAsia="宋体" w:cs="宋体"/>
          <w:szCs w:val="21"/>
          <w:lang w:eastAsia="zh-CN"/>
        </w:rPr>
        <w:t>代理机构</w:t>
      </w:r>
      <w:r>
        <w:rPr>
          <w:rStyle w:val="42"/>
          <w:rFonts w:hint="eastAsia" w:ascii="宋体" w:hAnsi="宋体" w:eastAsia="宋体" w:cs="宋体"/>
          <w:szCs w:val="21"/>
        </w:rPr>
        <w:t>操作，对所有已解密响应文件进行唱标。</w:t>
      </w:r>
    </w:p>
    <w:p w14:paraId="13BE4243">
      <w:pPr>
        <w:textAlignment w:val="baseline"/>
        <w:rPr>
          <w:rStyle w:val="42"/>
          <w:rFonts w:hint="eastAsia" w:ascii="宋体" w:hAnsi="宋体" w:eastAsia="宋体" w:cs="宋体"/>
          <w:szCs w:val="21"/>
        </w:rPr>
      </w:pPr>
      <w:r>
        <w:rPr>
          <w:rStyle w:val="42"/>
          <w:rFonts w:hint="eastAsia" w:ascii="宋体" w:hAnsi="宋体" w:eastAsia="宋体" w:cs="宋体"/>
          <w:szCs w:val="21"/>
        </w:rPr>
        <w:t>4、评标时，评标委员会对电子化响应文件有质疑的，将通过电子化交易系统对投标人发起质疑。质疑回复内容确认后，投标人的回复文件必须以经过投标人和其法定代表人签章的PDF格式文件为准，并通过电子化交易系统提交至评标委员会。</w:t>
      </w:r>
    </w:p>
    <w:p w14:paraId="0500C695">
      <w:pPr>
        <w:textAlignment w:val="baseline"/>
        <w:rPr>
          <w:rStyle w:val="42"/>
          <w:rFonts w:hint="eastAsia" w:ascii="宋体" w:hAnsi="宋体" w:eastAsia="宋体" w:cs="宋体"/>
          <w:szCs w:val="21"/>
        </w:rPr>
      </w:pPr>
      <w:r>
        <w:rPr>
          <w:rStyle w:val="42"/>
          <w:rFonts w:hint="eastAsia" w:ascii="宋体" w:hAnsi="宋体" w:eastAsia="宋体" w:cs="宋体"/>
          <w:szCs w:val="21"/>
        </w:rPr>
        <w:t>5、如评标委员会对需要回复的投标人回复内容有异议的，经过几次回复仍不清楚的，需在监督下进行免提电话进行质疑。</w:t>
      </w:r>
    </w:p>
    <w:p w14:paraId="09CEE520">
      <w:pPr>
        <w:textAlignment w:val="baseline"/>
        <w:rPr>
          <w:rStyle w:val="42"/>
          <w:rFonts w:hint="eastAsia" w:ascii="宋体" w:hAnsi="宋体" w:eastAsia="宋体" w:cs="宋体"/>
          <w:szCs w:val="21"/>
        </w:rPr>
      </w:pPr>
      <w:r>
        <w:rPr>
          <w:rStyle w:val="42"/>
          <w:rFonts w:hint="eastAsia" w:ascii="宋体" w:hAnsi="宋体" w:eastAsia="宋体" w:cs="宋体"/>
          <w:szCs w:val="21"/>
        </w:rPr>
        <w:t>6、评标时如因系统异常、停电、电脑病毒、网络堵塞等原因无法正常进行的，由技术人员排查解决，短时间无法解决的，经监督部门同意后，暂停评标活动，待问题解决后继续评标。</w:t>
      </w:r>
    </w:p>
    <w:p w14:paraId="6138A96E">
      <w:pPr>
        <w:rPr>
          <w:rFonts w:hint="eastAsia" w:ascii="宋体" w:hAnsi="宋体" w:eastAsia="宋体" w:cs="宋体"/>
          <w:szCs w:val="21"/>
        </w:rPr>
      </w:pPr>
    </w:p>
    <w:p w14:paraId="55C8D2A0"/>
    <w:sectPr>
      <w:footerReference r:id="rId13" w:type="first"/>
      <w:footerReference r:id="rId12" w:type="default"/>
      <w:pgSz w:w="11905" w:h="16838"/>
      <w:pgMar w:top="1440" w:right="1083" w:bottom="1440" w:left="1083" w:header="850" w:footer="850" w:gutter="0"/>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Times">
    <w:altName w:val="Times New Roman"/>
    <w:panose1 w:val="02020603050405020304"/>
    <w:charset w:val="00"/>
    <w:family w:val="roman"/>
    <w:pitch w:val="default"/>
    <w:sig w:usb0="00000000" w:usb1="00000000" w:usb2="00000009" w:usb3="00000000" w:csb0="000001F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EF65">
    <w:pPr>
      <w:pStyle w:val="15"/>
      <w:jc w:val="center"/>
      <w:rPr>
        <w:rFonts w:hint="eastAsia"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2F65">
    <w:pPr>
      <w:pStyle w:val="15"/>
      <w:jc w:val="cente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-1270</wp:posOffset>
              </wp:positionV>
              <wp:extent cx="6134100" cy="12700"/>
              <wp:effectExtent l="0" t="6350" r="0" b="9525"/>
              <wp:wrapTopAndBottom/>
              <wp:docPr id="10" name="直接连接符 10"/>
              <wp:cNvGraphicFramePr/>
              <a:graphic xmlns:a="http://schemas.openxmlformats.org/drawingml/2006/main">
                <a:graphicData uri="http://schemas.microsoft.com/office/word/2010/wordprocessingShape">
                  <wps:wsp>
                    <wps:cNvCnPr/>
                    <wps:spPr>
                      <a:xfrm>
                        <a:off x="0" y="0"/>
                        <a:ext cx="6134100" cy="12700"/>
                      </a:xfrm>
                      <a:prstGeom prst="line">
                        <a:avLst/>
                      </a:prstGeom>
                      <a:ln w="1270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2pt;margin-top:-0.1pt;height:1pt;width:483pt;mso-wrap-distance-bottom:0pt;mso-wrap-distance-top:0pt;z-index:251662336;mso-width-relative:page;mso-height-relative:page;" filled="f" stroked="t" coordsize="21600,21600" o:gfxdata="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aUXfvPAAAA&#10;BQEAAA8AAAAAAAAAAQAgAAAAIgAAAGRycy9kb3ducmV2LnhtbFBLAQIUABQAAAAIAIdO4kAFuPf/&#10;7QEAAN8DAAAOAAAAAAAAAAEAIAAAAB4BAABkcnMvZTJvRG9jLnhtbFBLBQYAAAAABgAGAFkBAAB9&#10;BQAAAAA=&#10;">
              <v:fill on="f" focussize="0,0"/>
              <v:stroke weight="1pt" color="#800000" joinstyle="round"/>
              <v:imagedata o:title=""/>
              <o:lock v:ext="edit" aspectratio="f"/>
              <w10:wrap type="topAndBottom"/>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-30480</wp:posOffset>
              </wp:positionV>
              <wp:extent cx="6134100" cy="12700"/>
              <wp:effectExtent l="0" t="4445" r="0" b="11430"/>
              <wp:wrapTopAndBottom/>
              <wp:docPr id="2" name="直接连接符 2"/>
              <wp:cNvGraphicFramePr/>
              <a:graphic xmlns:a="http://schemas.openxmlformats.org/drawingml/2006/main">
                <a:graphicData uri="http://schemas.microsoft.com/office/word/2010/wordprocessingShape">
                  <wps:wsp>
                    <wps:cNvCnPr/>
                    <wps:spPr>
                      <a:xfrm>
                        <a:off x="0" y="0"/>
                        <a:ext cx="6134100" cy="12700"/>
                      </a:xfrm>
                      <a:prstGeom prst="line">
                        <a:avLst/>
                      </a:prstGeom>
                      <a:ln w="3175"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9pt;margin-top:-2.4pt;height:1pt;width:483pt;mso-wrap-distance-bottom:0pt;mso-wrap-distance-top:0pt;z-index:251661312;mso-width-relative:page;mso-height-relative:page;" filled="f" stroked="t" coordsize="21600,21600" o:gfxdata="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AfPV1gAAAAcBAAAPAAAAAAAAAAEAIAAAACIAAABkcnMvZG93bnJldi54bWxQSwECFAAUAAAA&#10;CACHTuJA9fdXvvABAADcAwAADgAAAAAAAAABACAAAAAlAQAAZHJzL2Uyb0RvYy54bWxQSwUGAAAA&#10;AAYABgBZAQAAhwUAAAAA&#10;">
              <v:fill on="f" focussize="0,0"/>
              <v:stroke weight="0.25pt" color="#800000" joinstyle="round"/>
              <v:imagedata o:title=""/>
              <o:lock v:ext="edit" aspectratio="f"/>
              <w10:wrap type="topAndBottom"/>
            </v:line>
          </w:pict>
        </mc:Fallback>
      </mc:AlternateContent>
    </w:r>
    <w:r>
      <w:rPr>
        <w:rFonts w:hint="eastAsia" w:ascii="宋体" w:hAnsi="宋体" w:eastAsia="宋体" w:cs="宋体"/>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B4FA">
    <w:pPr>
      <w:pStyle w:val="15"/>
      <w:jc w:val="cente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5037">
                          <w:pPr>
                            <w:pStyle w:val="1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58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6AD5037">
                    <w:pPr>
                      <w:pStyle w:val="1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58</w:t>
                    </w:r>
                    <w:r>
                      <w:t xml:space="preserve"> 页</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-2540</wp:posOffset>
              </wp:positionV>
              <wp:extent cx="6134100" cy="12700"/>
              <wp:effectExtent l="0" t="6350" r="0" b="9525"/>
              <wp:wrapTopAndBottom/>
              <wp:docPr id="7" name="直接连接符 7"/>
              <wp:cNvGraphicFramePr/>
              <a:graphic xmlns:a="http://schemas.openxmlformats.org/drawingml/2006/main">
                <a:graphicData uri="http://schemas.microsoft.com/office/word/2010/wordprocessingShape">
                  <wps:wsp>
                    <wps:cNvCnPr/>
                    <wps:spPr>
                      <a:xfrm>
                        <a:off x="0" y="0"/>
                        <a:ext cx="6134100" cy="12700"/>
                      </a:xfrm>
                      <a:prstGeom prst="line">
                        <a:avLst/>
                      </a:prstGeom>
                      <a:ln w="1270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05pt;margin-top:-0.2pt;height:1pt;width:483pt;mso-wrap-distance-bottom:0pt;mso-wrap-distance-top:0pt;z-index:251666432;mso-width-relative:page;mso-height-relative:page;" filled="f" stroked="t" coordsize="21600,21600" o:gfxdata="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1UyJs8AAAAF&#10;AQAADwAAAAAAAAABACAAAAAiAAAAZHJzL2Rvd25yZXYueG1sUEsBAhQAFAAAAAgAh07iQIZsfaTs&#10;AQAA3QMAAA4AAAAAAAAAAQAgAAAAHgEAAGRycy9lMm9Eb2MueG1sUEsFBgAAAAAGAAYAWQEAAHwF&#10;AAAAAA==&#10;">
              <v:fill on="f" focussize="0,0"/>
              <v:stroke weight="1pt" color="#800000" joinstyle="round"/>
              <v:imagedata o:title=""/>
              <o:lock v:ext="edit" aspectratio="f"/>
              <w10:wrap type="topAndBottom"/>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-30480</wp:posOffset>
              </wp:positionV>
              <wp:extent cx="6134100" cy="12700"/>
              <wp:effectExtent l="0" t="4445" r="0" b="11430"/>
              <wp:wrapTopAndBottom/>
              <wp:docPr id="9" name="直接连接符 9"/>
              <wp:cNvGraphicFramePr/>
              <a:graphic xmlns:a="http://schemas.openxmlformats.org/drawingml/2006/main">
                <a:graphicData uri="http://schemas.microsoft.com/office/word/2010/wordprocessingShape">
                  <wps:wsp>
                    <wps:cNvCnPr/>
                    <wps:spPr>
                      <a:xfrm>
                        <a:off x="0" y="0"/>
                        <a:ext cx="6134100" cy="12700"/>
                      </a:xfrm>
                      <a:prstGeom prst="line">
                        <a:avLst/>
                      </a:prstGeom>
                      <a:ln w="635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4pt;height:1pt;width:483pt;mso-wrap-distance-bottom:0pt;mso-wrap-distance-top:0pt;z-index:251665408;mso-width-relative:page;mso-height-relative:page;" filled="f" stroked="t" coordsize="21600,21600" o:gfxdata="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0TfvXAAAABgEAAA8AAAAAAAAAAQAgAAAAIgAAAGRycy9kb3ducmV2LnhtbFBLAQIUABQAAAAI&#10;AIdO4kD25G7h7gEAANwDAAAOAAAAAAAAAAEAIAAAACYBAABkcnMvZTJvRG9jLnhtbFBLBQYAAAAA&#10;BgAGAFkBAACGBQAAAAA=&#10;">
              <v:fill on="f" focussize="0,0"/>
              <v:stroke weight="0.5pt" color="#800000" joinstyle="round"/>
              <v:imagedata o:title=""/>
              <o:lock v:ext="edit" aspectratio="f"/>
              <w10:wrap type="topAndBottom"/>
            </v:line>
          </w:pict>
        </mc:Fallback>
      </mc:AlternateContent>
    </w:r>
    <w:r>
      <w:rPr>
        <w:rFonts w:hint="eastAsia" w:ascii="宋体" w:hAnsi="宋体" w:eastAsia="宋体" w:cs="宋体"/>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5641">
    <w:pPr>
      <w:pStyle w:val="15"/>
      <w:jc w:val="cente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1D7FE">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58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241D7FE">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58</w:t>
                    </w:r>
                    <w:r>
                      <w:t xml:space="preserve"> 页</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-2540</wp:posOffset>
              </wp:positionV>
              <wp:extent cx="6134100" cy="12700"/>
              <wp:effectExtent l="0" t="6350" r="0" b="9525"/>
              <wp:wrapTopAndBottom/>
              <wp:docPr id="3" name="直接连接符 3"/>
              <wp:cNvGraphicFramePr/>
              <a:graphic xmlns:a="http://schemas.openxmlformats.org/drawingml/2006/main">
                <a:graphicData uri="http://schemas.microsoft.com/office/word/2010/wordprocessingShape">
                  <wps:wsp>
                    <wps:cNvCnPr/>
                    <wps:spPr>
                      <a:xfrm>
                        <a:off x="0" y="0"/>
                        <a:ext cx="6134100" cy="12700"/>
                      </a:xfrm>
                      <a:prstGeom prst="line">
                        <a:avLst/>
                      </a:prstGeom>
                      <a:ln w="1270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05pt;margin-top:-0.2pt;height:1pt;width:483pt;mso-wrap-distance-bottom:0pt;mso-wrap-distance-top:0pt;z-index:251664384;mso-width-relative:page;mso-height-relative:page;" filled="f" stroked="t" coordsize="21600,21600" o:gfxdata="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1UyJs8AAAAF&#10;AQAADwAAAAAAAAABACAAAAAiAAAAZHJzL2Rvd25yZXYueG1sUEsBAhQAFAAAAAgAh07iQE8IhWbs&#10;AQAA3QMAAA4AAAAAAAAAAQAgAAAAHgEAAGRycy9lMm9Eb2MueG1sUEsFBgAAAAAGAAYAWQEAAHwF&#10;AAAAAA==&#10;">
              <v:fill on="f" focussize="0,0"/>
              <v:stroke weight="1pt" color="#800000" joinstyle="round"/>
              <v:imagedata o:title=""/>
              <o:lock v:ext="edit" aspectratio="f"/>
              <w10:wrap type="topAndBottom"/>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6134100" cy="12700"/>
              <wp:effectExtent l="0" t="4445" r="0" b="11430"/>
              <wp:wrapTopAndBottom/>
              <wp:docPr id="1" name="直接连接符 1"/>
              <wp:cNvGraphicFramePr/>
              <a:graphic xmlns:a="http://schemas.openxmlformats.org/drawingml/2006/main">
                <a:graphicData uri="http://schemas.microsoft.com/office/word/2010/wordprocessingShape">
                  <wps:wsp>
                    <wps:cNvCnPr/>
                    <wps:spPr>
                      <a:xfrm>
                        <a:off x="0" y="0"/>
                        <a:ext cx="6134100" cy="12700"/>
                      </a:xfrm>
                      <a:prstGeom prst="line">
                        <a:avLst/>
                      </a:prstGeom>
                      <a:ln w="635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4pt;height:1pt;width:483pt;mso-wrap-distance-bottom:0pt;mso-wrap-distance-top:0pt;z-index:251663360;mso-width-relative:page;mso-height-relative:page;" filled="f" stroked="t" coordsize="21600,21600" o:gfxdata="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vRN+9cAAAAGAQAADwAAAAAAAAABACAAAAAiAAAAZHJzL2Rvd25yZXYueG1sUEsBAhQAFAAAAAgA&#10;h07iQI45WL7tAQAA3AMAAA4AAAAAAAAAAQAgAAAAJgEAAGRycy9lMm9Eb2MueG1sUEsFBgAAAAAG&#10;AAYAWQEAAIUFAAAAAA==&#10;">
              <v:fill on="f" focussize="0,0"/>
              <v:stroke weight="0.5pt" color="#800000" joinstyle="round"/>
              <v:imagedata o:title=""/>
              <o:lock v:ext="edit" aspectratio="f"/>
              <w10:wrap type="topAndBottom"/>
            </v:line>
          </w:pict>
        </mc:Fallback>
      </mc:AlternateContent>
    </w:r>
    <w:r>
      <w:rPr>
        <w:rFonts w:hint="eastAsia" w:ascii="宋体" w:hAnsi="宋体" w:eastAsia="宋体" w:cs="宋体"/>
        <w:sz w:val="21"/>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D638">
    <w:pPr>
      <w:pStyle w:val="15"/>
      <w:jc w:val="cente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433E7">
                          <w:pPr>
                            <w:pStyle w:val="15"/>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rPr>
                            <w:t>58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03433E7">
                    <w:pPr>
                      <w:pStyle w:val="15"/>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rPr>
                      <w:t>58</w:t>
                    </w:r>
                    <w:r>
                      <w:t xml:space="preserve"> 页</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-2540</wp:posOffset>
              </wp:positionV>
              <wp:extent cx="6134100" cy="12700"/>
              <wp:effectExtent l="0" t="6350" r="0" b="9525"/>
              <wp:wrapTopAndBottom/>
              <wp:docPr id="15" name="直接连接符 15"/>
              <wp:cNvGraphicFramePr/>
              <a:graphic xmlns:a="http://schemas.openxmlformats.org/drawingml/2006/main">
                <a:graphicData uri="http://schemas.microsoft.com/office/word/2010/wordprocessingShape">
                  <wps:wsp>
                    <wps:cNvCnPr/>
                    <wps:spPr>
                      <a:xfrm>
                        <a:off x="0" y="0"/>
                        <a:ext cx="6134100" cy="12700"/>
                      </a:xfrm>
                      <a:prstGeom prst="line">
                        <a:avLst/>
                      </a:prstGeom>
                      <a:ln w="1270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05pt;margin-top:-0.2pt;height:1pt;width:483pt;mso-wrap-distance-bottom:0pt;mso-wrap-distance-top:0pt;z-index:251668480;mso-width-relative:page;mso-height-relative:page;" filled="f" stroked="t" coordsize="21600,21600" o:gfxdata="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9VMibPAAAA&#10;BQEAAA8AAAAAAAAAAQAgAAAAIgAAAGRycy9kb3ducmV2LnhtbFBLAQIUABQAAAAIAIdO4kDJkK/F&#10;7QEAAN8DAAAOAAAAAAAAAAEAIAAAAB4BAABkcnMvZTJvRG9jLnhtbFBLBQYAAAAABgAGAFkBAAB9&#10;BQAAAAA=&#10;">
              <v:fill on="f" focussize="0,0"/>
              <v:stroke weight="1pt" color="#800000" joinstyle="round"/>
              <v:imagedata o:title=""/>
              <o:lock v:ext="edit" aspectratio="f"/>
              <w10:wrap type="topAndBottom"/>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-30480</wp:posOffset>
              </wp:positionV>
              <wp:extent cx="6134100" cy="12700"/>
              <wp:effectExtent l="0" t="4445" r="0" b="11430"/>
              <wp:wrapTopAndBottom/>
              <wp:docPr id="16" name="直接连接符 16"/>
              <wp:cNvGraphicFramePr/>
              <a:graphic xmlns:a="http://schemas.openxmlformats.org/drawingml/2006/main">
                <a:graphicData uri="http://schemas.microsoft.com/office/word/2010/wordprocessingShape">
                  <wps:wsp>
                    <wps:cNvCnPr/>
                    <wps:spPr>
                      <a:xfrm>
                        <a:off x="0" y="0"/>
                        <a:ext cx="6134100" cy="12700"/>
                      </a:xfrm>
                      <a:prstGeom prst="line">
                        <a:avLst/>
                      </a:prstGeom>
                      <a:ln w="635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4pt;height:1pt;width:483pt;mso-wrap-distance-bottom:0pt;mso-wrap-distance-top:0pt;z-index:251667456;mso-width-relative:page;mso-height-relative:page;" filled="f" stroked="t" coordsize="21600,21600" o:gfxdata="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0TfvXAAAABgEAAA8AAAAAAAAAAQAgAAAAIgAAAGRycy9kb3ducmV2LnhtbFBLAQIUABQAAAAI&#10;AIdO4kBSf/XS7gEAAN4DAAAOAAAAAAAAAAEAIAAAACYBAABkcnMvZTJvRG9jLnhtbFBLBQYAAAAA&#10;BgAGAFkBAACGBQAAAAA=&#10;">
              <v:fill on="f" focussize="0,0"/>
              <v:stroke weight="0.5pt" color="#800000" joinstyle="round"/>
              <v:imagedata o:title=""/>
              <o:lock v:ext="edit" aspectratio="f"/>
              <w10:wrap type="topAndBottom"/>
            </v:line>
          </w:pict>
        </mc:Fallback>
      </mc:AlternateContent>
    </w:r>
    <w:r>
      <w:rPr>
        <w:rFonts w:hint="eastAsia" w:ascii="宋体" w:hAnsi="宋体" w:eastAsia="宋体" w:cs="宋体"/>
        <w:sz w:val="21"/>
        <w:szCs w:val="21"/>
      </w:rPr>
      <w:t xml:space="preserve"> </w:t>
    </w:r>
  </w:p>
  <w:p w14:paraId="1A6FFC09">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6CFE">
    <w:pPr>
      <w:pStyle w:val="15"/>
      <w:jc w:val="cente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19E68">
                          <w:pPr>
                            <w:pStyle w:val="1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4919E68">
                    <w:pPr>
                      <w:pStyle w:val="1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-2540</wp:posOffset>
              </wp:positionV>
              <wp:extent cx="6134100" cy="12700"/>
              <wp:effectExtent l="0" t="6350" r="0" b="9525"/>
              <wp:wrapTopAndBottom/>
              <wp:docPr id="12" name="直接连接符 12"/>
              <wp:cNvGraphicFramePr/>
              <a:graphic xmlns:a="http://schemas.openxmlformats.org/drawingml/2006/main">
                <a:graphicData uri="http://schemas.microsoft.com/office/word/2010/wordprocessingShape">
                  <wps:wsp>
                    <wps:cNvCnPr/>
                    <wps:spPr>
                      <a:xfrm>
                        <a:off x="0" y="0"/>
                        <a:ext cx="6134100" cy="12700"/>
                      </a:xfrm>
                      <a:prstGeom prst="line">
                        <a:avLst/>
                      </a:prstGeom>
                      <a:ln w="1270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1.05pt;margin-top:-0.2pt;height:1pt;width:483pt;mso-wrap-distance-bottom:0pt;mso-wrap-distance-top:0pt;z-index:251670528;mso-width-relative:page;mso-height-relative:page;" filled="f" stroked="t" coordsize="21600,21600" o:gfxdata="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9VMibPAAAA&#10;BQEAAA8AAAAAAAAAAQAgAAAAIgAAAGRycy9kb3ducmV2LnhtbFBLAQIUABQAAAAIAIdO4kBoVp2J&#10;7QEAAN8DAAAOAAAAAAAAAAEAIAAAAB4BAABkcnMvZTJvRG9jLnhtbFBLBQYAAAAABgAGAFkBAAB9&#10;BQAAAAA=&#10;">
              <v:fill on="f" focussize="0,0"/>
              <v:stroke weight="1pt" color="#800000" joinstyle="round"/>
              <v:imagedata o:title=""/>
              <o:lock v:ext="edit" aspectratio="f"/>
              <w10:wrap type="topAndBottom"/>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-30480</wp:posOffset>
              </wp:positionV>
              <wp:extent cx="6134100" cy="12700"/>
              <wp:effectExtent l="0" t="4445" r="0" b="11430"/>
              <wp:wrapTopAndBottom/>
              <wp:docPr id="13" name="直接连接符 13"/>
              <wp:cNvGraphicFramePr/>
              <a:graphic xmlns:a="http://schemas.openxmlformats.org/drawingml/2006/main">
                <a:graphicData uri="http://schemas.microsoft.com/office/word/2010/wordprocessingShape">
                  <wps:wsp>
                    <wps:cNvCnPr/>
                    <wps:spPr>
                      <a:xfrm>
                        <a:off x="0" y="0"/>
                        <a:ext cx="6134100" cy="12700"/>
                      </a:xfrm>
                      <a:prstGeom prst="line">
                        <a:avLst/>
                      </a:prstGeom>
                      <a:ln w="6350" cap="flat" cmpd="sng">
                        <a:solidFill>
                          <a:srgbClr val="8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4pt;height:1pt;width:483pt;mso-wrap-distance-bottom:0pt;mso-wrap-distance-top:0pt;z-index:251669504;mso-width-relative:page;mso-height-relative:page;" filled="f" stroked="t" coordsize="21600,21600" o:gfxdata="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0TfvXAAAABgEAAA8AAAAAAAAAAQAgAAAAIgAAAGRycy9kb3ducmV2LnhtbFBLAQIUABQAAAAI&#10;AIdO4kAzfYw/7gEAAN4DAAAOAAAAAAAAAAEAIAAAACYBAABkcnMvZTJvRG9jLnhtbFBLBQYAAAAA&#10;BgAGAFkBAACGBQAAAAA=&#10;">
              <v:fill on="f" focussize="0,0"/>
              <v:stroke weight="0.5pt" color="#800000" joinstyle="round"/>
              <v:imagedata o:title=""/>
              <o:lock v:ext="edit" aspectratio="f"/>
              <w10:wrap type="topAndBottom"/>
            </v:line>
          </w:pict>
        </mc:Fallback>
      </mc:AlternateContent>
    </w:r>
    <w:r>
      <w:rPr>
        <w:rFonts w:hint="eastAsia" w:ascii="宋体" w:hAnsi="宋体" w:eastAsia="宋体" w:cs="宋体"/>
        <w:sz w:val="21"/>
        <w:szCs w:val="21"/>
      </w:rPr>
      <w:t xml:space="preserve"> </w:t>
    </w:r>
  </w:p>
  <w:p w14:paraId="5F86401C">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6CD5">
    <w:pPr>
      <w:pStyle w:val="16"/>
      <w:pBdr>
        <w:bottom w:val="thinThickSmallGap" w:color="800000" w:sz="12" w:space="1"/>
      </w:pBdr>
      <w:spacing w:line="300" w:lineRule="exact"/>
      <w:jc w:val="right"/>
      <w:rPr>
        <w:sz w:val="21"/>
        <w:szCs w:val="21"/>
      </w:rPr>
    </w:pPr>
    <w:r>
      <w:rPr>
        <w:rFonts w:hint="eastAsia" w:ascii="宋体" w:hAnsi="宋体" w:eastAsia="宋体" w:cs="宋体"/>
        <w:b/>
        <w:kern w:val="0"/>
        <w:sz w:val="21"/>
        <w:szCs w:val="21"/>
      </w:rPr>
      <w:t>平顶山市夕阳红老年公寓关于采购照料护理服务项目招标文件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E38D">
    <w:pPr>
      <w:pStyle w:val="16"/>
      <w:pBdr>
        <w:bottom w:val="thinThickSmallGap" w:color="800000" w:sz="12" w:space="1"/>
      </w:pBdr>
      <w:spacing w:line="300" w:lineRule="exact"/>
      <w:jc w:val="right"/>
    </w:pPr>
    <w:r>
      <w:rPr>
        <w:rFonts w:hint="eastAsia" w:ascii="宋体" w:hAnsi="宋体" w:eastAsia="宋体" w:cs="宋体"/>
        <w:b/>
        <w:kern w:val="0"/>
        <w:sz w:val="21"/>
        <w:szCs w:val="21"/>
      </w:rPr>
      <w:t>平顶山市夕阳红老年公寓关于采购照料护理服务项目招标文件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BDEE">
    <w:pPr>
      <w:pStyle w:val="16"/>
      <w:pBdr>
        <w:bottom w:val="thinThickSmallGap" w:color="800000" w:sz="12" w:space="1"/>
      </w:pBdr>
      <w:spacing w:line="300" w:lineRule="exact"/>
      <w:jc w:val="right"/>
    </w:pPr>
    <w:r>
      <w:rPr>
        <w:rFonts w:hint="eastAsia" w:ascii="宋体" w:hAnsi="宋体" w:eastAsia="宋体" w:cs="宋体"/>
        <w:b/>
        <w:kern w:val="0"/>
        <w:sz w:val="21"/>
        <w:szCs w:val="21"/>
      </w:rPr>
      <w:t>平顶山市夕阳红老年公寓关于采购照料护理服务项目招标文件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605B1"/>
    <w:multiLevelType w:val="singleLevel"/>
    <w:tmpl w:val="DE9605B1"/>
    <w:lvl w:ilvl="0" w:tentative="0">
      <w:start w:val="3"/>
      <w:numFmt w:val="chineseCounting"/>
      <w:suff w:val="nothing"/>
      <w:lvlText w:val="%1、"/>
      <w:lvlJc w:val="left"/>
      <w:rPr>
        <w:rFonts w:hint="eastAsia"/>
      </w:rPr>
    </w:lvl>
  </w:abstractNum>
  <w:abstractNum w:abstractNumId="1">
    <w:nsid w:val="FD65B52B"/>
    <w:multiLevelType w:val="singleLevel"/>
    <w:tmpl w:val="FD65B52B"/>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chineseCountingThousand"/>
      <w:pStyle w:val="8"/>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9"/>
    <w:multiLevelType w:val="multilevel"/>
    <w:tmpl w:val="00000009"/>
    <w:lvl w:ilvl="0" w:tentative="0">
      <w:start w:val="1"/>
      <w:numFmt w:val="decimal"/>
      <w:pStyle w:val="3"/>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b/>
        <w:sz w:val="21"/>
        <w:szCs w:val="21"/>
      </w:rPr>
    </w:lvl>
    <w:lvl w:ilvl="2" w:tentative="0">
      <w:start w:val="1"/>
      <w:numFmt w:val="decimal"/>
      <w:lvlText w:val="%1.%2.%3"/>
      <w:lvlJc w:val="left"/>
      <w:pPr>
        <w:tabs>
          <w:tab w:val="left" w:pos="350"/>
        </w:tabs>
        <w:ind w:left="350" w:hanging="170"/>
      </w:pPr>
      <w:rPr>
        <w:rFonts w:hint="eastAsia"/>
        <w:b w:val="0"/>
        <w:color w:val="auto"/>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6555230"/>
    <w:multiLevelType w:val="singleLevel"/>
    <w:tmpl w:val="16555230"/>
    <w:lvl w:ilvl="0" w:tentative="0">
      <w:start w:val="1"/>
      <w:numFmt w:val="chineseCounting"/>
      <w:suff w:val="space"/>
      <w:lvlText w:val="第%1章"/>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95F71"/>
    <w:rsid w:val="00122094"/>
    <w:rsid w:val="00165914"/>
    <w:rsid w:val="001A2A75"/>
    <w:rsid w:val="002D777C"/>
    <w:rsid w:val="004B676B"/>
    <w:rsid w:val="01924450"/>
    <w:rsid w:val="036F440C"/>
    <w:rsid w:val="051756DA"/>
    <w:rsid w:val="05213A01"/>
    <w:rsid w:val="068A3C77"/>
    <w:rsid w:val="06AF5D18"/>
    <w:rsid w:val="083A5D0B"/>
    <w:rsid w:val="091C2D7B"/>
    <w:rsid w:val="0B5818E1"/>
    <w:rsid w:val="0C186E28"/>
    <w:rsid w:val="0FA56B81"/>
    <w:rsid w:val="0FE4089C"/>
    <w:rsid w:val="11AE6719"/>
    <w:rsid w:val="125C6E10"/>
    <w:rsid w:val="141645AB"/>
    <w:rsid w:val="146F0FA4"/>
    <w:rsid w:val="14FC7A79"/>
    <w:rsid w:val="15122DA5"/>
    <w:rsid w:val="15247018"/>
    <w:rsid w:val="16041350"/>
    <w:rsid w:val="17513A0B"/>
    <w:rsid w:val="18636D30"/>
    <w:rsid w:val="19B65058"/>
    <w:rsid w:val="1EED050B"/>
    <w:rsid w:val="1F2666CC"/>
    <w:rsid w:val="214913AA"/>
    <w:rsid w:val="2254541C"/>
    <w:rsid w:val="23DD5B01"/>
    <w:rsid w:val="24000D54"/>
    <w:rsid w:val="24193972"/>
    <w:rsid w:val="24543F81"/>
    <w:rsid w:val="252A31B9"/>
    <w:rsid w:val="29392744"/>
    <w:rsid w:val="2A0065E6"/>
    <w:rsid w:val="2A1677D8"/>
    <w:rsid w:val="2AE73A9E"/>
    <w:rsid w:val="2C7D37B3"/>
    <w:rsid w:val="2ED34BCB"/>
    <w:rsid w:val="2F4A6A9E"/>
    <w:rsid w:val="2FEA5CD0"/>
    <w:rsid w:val="2FF06E00"/>
    <w:rsid w:val="34034E22"/>
    <w:rsid w:val="357C6B75"/>
    <w:rsid w:val="35AD3C5E"/>
    <w:rsid w:val="36F13995"/>
    <w:rsid w:val="37270673"/>
    <w:rsid w:val="38A030F9"/>
    <w:rsid w:val="392C6831"/>
    <w:rsid w:val="39562F13"/>
    <w:rsid w:val="3A6A10B6"/>
    <w:rsid w:val="3C077417"/>
    <w:rsid w:val="3DA45043"/>
    <w:rsid w:val="3DE76086"/>
    <w:rsid w:val="3E4E163C"/>
    <w:rsid w:val="3EAE327E"/>
    <w:rsid w:val="3FB4291A"/>
    <w:rsid w:val="3FC921F2"/>
    <w:rsid w:val="442D2478"/>
    <w:rsid w:val="45234B7B"/>
    <w:rsid w:val="45C95F71"/>
    <w:rsid w:val="47A42A90"/>
    <w:rsid w:val="4905487C"/>
    <w:rsid w:val="4A534079"/>
    <w:rsid w:val="4AEF6D45"/>
    <w:rsid w:val="4AFE7BC6"/>
    <w:rsid w:val="4BF90C50"/>
    <w:rsid w:val="4D0E66E5"/>
    <w:rsid w:val="4E4C7F4F"/>
    <w:rsid w:val="4F734BFD"/>
    <w:rsid w:val="4FC357FD"/>
    <w:rsid w:val="52806B1B"/>
    <w:rsid w:val="534A3E95"/>
    <w:rsid w:val="54247B91"/>
    <w:rsid w:val="57534EEC"/>
    <w:rsid w:val="583345AB"/>
    <w:rsid w:val="585C3C05"/>
    <w:rsid w:val="5CF44F03"/>
    <w:rsid w:val="5D053352"/>
    <w:rsid w:val="5DB55ACE"/>
    <w:rsid w:val="5EE64E08"/>
    <w:rsid w:val="5EF82B3F"/>
    <w:rsid w:val="5F28334E"/>
    <w:rsid w:val="60D90C5C"/>
    <w:rsid w:val="613D30F9"/>
    <w:rsid w:val="621E2A56"/>
    <w:rsid w:val="62FA39D5"/>
    <w:rsid w:val="649A6A46"/>
    <w:rsid w:val="64A81896"/>
    <w:rsid w:val="682B3FB3"/>
    <w:rsid w:val="6A900E9E"/>
    <w:rsid w:val="6C59463A"/>
    <w:rsid w:val="6C7F14FA"/>
    <w:rsid w:val="6E742AAE"/>
    <w:rsid w:val="70386C15"/>
    <w:rsid w:val="721675B7"/>
    <w:rsid w:val="730257DC"/>
    <w:rsid w:val="737B7E88"/>
    <w:rsid w:val="745F4E81"/>
    <w:rsid w:val="748E73F7"/>
    <w:rsid w:val="74A7099A"/>
    <w:rsid w:val="74E00C3D"/>
    <w:rsid w:val="763C357C"/>
    <w:rsid w:val="77137297"/>
    <w:rsid w:val="77250C14"/>
    <w:rsid w:val="7931117A"/>
    <w:rsid w:val="7BDE0F2D"/>
    <w:rsid w:val="7CD96C55"/>
    <w:rsid w:val="7D1D5525"/>
    <w:rsid w:val="7E15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黑体" w:cs="Times New Roman"/>
      <w:kern w:val="2"/>
      <w:sz w:val="21"/>
      <w:szCs w:val="24"/>
      <w:lang w:val="en-US" w:eastAsia="zh-CN" w:bidi="ar-SA"/>
    </w:rPr>
  </w:style>
  <w:style w:type="paragraph" w:styleId="2">
    <w:name w:val="heading 1"/>
    <w:basedOn w:val="1"/>
    <w:next w:val="1"/>
    <w:link w:val="44"/>
    <w:qFormat/>
    <w:uiPriority w:val="0"/>
    <w:pPr>
      <w:keepNext/>
      <w:keepLines/>
      <w:spacing w:beforeLines="100" w:afterLines="100"/>
      <w:outlineLvl w:val="0"/>
    </w:pPr>
    <w:rPr>
      <w:rFonts w:eastAsia="宋体"/>
      <w:b/>
      <w:bCs/>
      <w:kern w:val="44"/>
      <w:sz w:val="32"/>
      <w:szCs w:val="44"/>
    </w:rPr>
  </w:style>
  <w:style w:type="paragraph" w:styleId="3">
    <w:name w:val="heading 2"/>
    <w:basedOn w:val="1"/>
    <w:next w:val="1"/>
    <w:qFormat/>
    <w:uiPriority w:val="9"/>
    <w:pPr>
      <w:keepNext/>
      <w:keepLines/>
      <w:numPr>
        <w:ilvl w:val="0"/>
        <w:numId w:val="1"/>
      </w:numPr>
      <w:outlineLvl w:val="1"/>
    </w:pPr>
    <w:rPr>
      <w:rFonts w:ascii="Arial" w:hAnsi="Arial"/>
      <w:bCs/>
      <w:sz w:val="30"/>
      <w:szCs w:val="32"/>
    </w:rPr>
  </w:style>
  <w:style w:type="paragraph" w:styleId="4">
    <w:name w:val="heading 3"/>
    <w:basedOn w:val="1"/>
    <w:next w:val="1"/>
    <w:qFormat/>
    <w:uiPriority w:val="0"/>
    <w:pPr>
      <w:keepNext/>
      <w:keepLines/>
      <w:jc w:val="center"/>
      <w:outlineLvl w:val="2"/>
    </w:pPr>
    <w:rPr>
      <w:rFonts w:eastAsia="华文中宋"/>
      <w:b/>
      <w:bCs/>
      <w:sz w:val="28"/>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560" w:firstLineChars="200"/>
    </w:pPr>
    <w:rPr>
      <w:sz w:val="28"/>
    </w:rPr>
  </w:style>
  <w:style w:type="paragraph" w:styleId="6">
    <w:name w:val="Body Text 2"/>
    <w:basedOn w:val="1"/>
    <w:next w:val="7"/>
    <w:unhideWhenUsed/>
    <w:qFormat/>
    <w:uiPriority w:val="99"/>
    <w:pPr>
      <w:spacing w:after="120" w:line="480" w:lineRule="auto"/>
    </w:pPr>
  </w:style>
  <w:style w:type="paragraph" w:styleId="7">
    <w:name w:val="Body Text"/>
    <w:basedOn w:val="1"/>
    <w:next w:val="8"/>
    <w:qFormat/>
    <w:uiPriority w:val="0"/>
    <w:pPr>
      <w:spacing w:after="120"/>
    </w:pPr>
  </w:style>
  <w:style w:type="paragraph" w:customStyle="1" w:styleId="8">
    <w:name w:val="正文文本 21"/>
    <w:basedOn w:val="1"/>
    <w:qFormat/>
    <w:uiPriority w:val="0"/>
    <w:pPr>
      <w:widowControl/>
      <w:numPr>
        <w:ilvl w:val="0"/>
        <w:numId w:val="2"/>
      </w:numPr>
      <w:spacing w:before="156" w:beforeLines="50" w:line="336" w:lineRule="auto"/>
      <w:ind w:left="0" w:firstLine="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Date"/>
    <w:basedOn w:val="1"/>
    <w:next w:val="1"/>
    <w:semiHidden/>
    <w:unhideWhenUsed/>
    <w:qFormat/>
    <w:uiPriority w:val="99"/>
    <w:pPr>
      <w:ind w:left="100" w:leftChars="2500"/>
    </w:pPr>
  </w:style>
  <w:style w:type="paragraph" w:styleId="14">
    <w:name w:val="Body Text Indent 2"/>
    <w:basedOn w:val="1"/>
    <w:unhideWhenUsed/>
    <w:qFormat/>
    <w:uiPriority w:val="99"/>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840"/>
        <w:tab w:val="right" w:leader="dot" w:pos="8820"/>
      </w:tabs>
      <w:adjustRightInd w:val="0"/>
      <w:snapToGrid w:val="0"/>
      <w:spacing w:line="264" w:lineRule="auto"/>
      <w:jc w:val="left"/>
    </w:pPr>
    <w:rPr>
      <w:bCs/>
      <w:caps/>
      <w:szCs w:val="20"/>
    </w:rPr>
  </w:style>
  <w:style w:type="paragraph" w:styleId="18">
    <w:name w:val="footnote text"/>
    <w:basedOn w:val="1"/>
    <w:semiHidden/>
    <w:qFormat/>
    <w:uiPriority w:val="0"/>
    <w:pPr>
      <w:snapToGrid w:val="0"/>
      <w:jc w:val="left"/>
    </w:pPr>
    <w:rPr>
      <w:kern w:val="0"/>
      <w:sz w:val="18"/>
      <w:szCs w:val="18"/>
    </w:rPr>
  </w:style>
  <w:style w:type="paragraph" w:styleId="19">
    <w:name w:val="table of figures"/>
    <w:basedOn w:val="1"/>
    <w:next w:val="1"/>
    <w:qFormat/>
    <w:uiPriority w:val="0"/>
    <w:pPr>
      <w:ind w:left="200" w:leftChars="200" w:hanging="200" w:hangingChars="200"/>
    </w:pPr>
  </w:style>
  <w:style w:type="paragraph" w:styleId="20">
    <w:name w:val="toc 2"/>
    <w:basedOn w:val="1"/>
    <w:next w:val="1"/>
    <w:qFormat/>
    <w:uiPriority w:val="39"/>
    <w:pPr>
      <w:tabs>
        <w:tab w:val="left" w:pos="630"/>
        <w:tab w:val="right" w:leader="dot" w:pos="8820"/>
      </w:tabs>
      <w:ind w:left="210"/>
      <w:jc w:val="left"/>
    </w:pPr>
    <w:rPr>
      <w:smallCaps/>
      <w:sz w:val="20"/>
      <w:szCs w:val="20"/>
    </w:rPr>
  </w:style>
  <w:style w:type="paragraph" w:styleId="21">
    <w:name w:val="Normal (Web)"/>
    <w:basedOn w:val="1"/>
    <w:qFormat/>
    <w:uiPriority w:val="0"/>
    <w:pPr>
      <w:spacing w:before="100" w:beforeAutospacing="1" w:after="100" w:afterAutospacing="1"/>
    </w:pPr>
    <w:rPr>
      <w:rFonts w:ascii="宋体" w:hAnsi="宋体"/>
      <w:color w:val="000000"/>
    </w:rPr>
  </w:style>
  <w:style w:type="paragraph" w:styleId="22">
    <w:name w:val="Body Text First Indent"/>
    <w:basedOn w:val="7"/>
    <w:next w:val="23"/>
    <w:qFormat/>
    <w:uiPriority w:val="0"/>
    <w:pPr>
      <w:spacing w:line="240" w:lineRule="auto"/>
      <w:ind w:firstLine="420" w:firstLineChars="100"/>
    </w:pPr>
    <w:rPr>
      <w:rFonts w:ascii="Times New Roman" w:hAnsi="Times New Roman" w:eastAsia="宋体"/>
      <w:szCs w:val="20"/>
    </w:rPr>
  </w:style>
  <w:style w:type="paragraph" w:styleId="23">
    <w:name w:val="Body Text First Indent 2"/>
    <w:basedOn w:val="9"/>
    <w:next w:val="1"/>
    <w:qFormat/>
    <w:uiPriority w:val="99"/>
    <w:pPr>
      <w:spacing w:line="240" w:lineRule="auto"/>
      <w:ind w:firstLine="420" w:firstLineChars="200"/>
    </w:pPr>
    <w:rPr>
      <w:rFonts w:eastAsia="宋体"/>
    </w:rPr>
  </w:style>
  <w:style w:type="character" w:styleId="26">
    <w:name w:val="Strong"/>
    <w:basedOn w:val="25"/>
    <w:qFormat/>
    <w:uiPriority w:val="0"/>
    <w:rPr>
      <w:b/>
      <w:bCs/>
    </w:rPr>
  </w:style>
  <w:style w:type="character" w:styleId="27">
    <w:name w:val="FollowedHyperlink"/>
    <w:basedOn w:val="25"/>
    <w:qFormat/>
    <w:uiPriority w:val="0"/>
    <w:rPr>
      <w:color w:val="1F3149"/>
      <w:u w:val="none"/>
    </w:rPr>
  </w:style>
  <w:style w:type="character" w:styleId="28">
    <w:name w:val="HTML Definition"/>
    <w:basedOn w:val="25"/>
    <w:qFormat/>
    <w:uiPriority w:val="0"/>
    <w:rPr>
      <w:i/>
      <w:iCs/>
    </w:rPr>
  </w:style>
  <w:style w:type="character" w:styleId="29">
    <w:name w:val="Hyperlink"/>
    <w:basedOn w:val="25"/>
    <w:qFormat/>
    <w:uiPriority w:val="0"/>
    <w:rPr>
      <w:color w:val="0000FF"/>
      <w:u w:val="none"/>
    </w:rPr>
  </w:style>
  <w:style w:type="character" w:styleId="30">
    <w:name w:val="HTML Code"/>
    <w:basedOn w:val="25"/>
    <w:qFormat/>
    <w:uiPriority w:val="0"/>
    <w:rPr>
      <w:rFonts w:ascii="Consolas" w:hAnsi="Consolas" w:eastAsia="Consolas" w:cs="Consolas"/>
      <w:color w:val="C7254E"/>
      <w:sz w:val="21"/>
      <w:szCs w:val="21"/>
      <w:shd w:val="clear" w:fill="F9F2F4"/>
    </w:rPr>
  </w:style>
  <w:style w:type="character" w:styleId="31">
    <w:name w:val="HTML Keyboard"/>
    <w:basedOn w:val="25"/>
    <w:qFormat/>
    <w:uiPriority w:val="0"/>
    <w:rPr>
      <w:rFonts w:hint="default" w:ascii="Consolas" w:hAnsi="Consolas" w:eastAsia="Consolas" w:cs="Consolas"/>
      <w:color w:val="FFFFFF"/>
      <w:sz w:val="21"/>
      <w:szCs w:val="21"/>
      <w:shd w:val="clear" w:fill="333333"/>
    </w:rPr>
  </w:style>
  <w:style w:type="character" w:styleId="32">
    <w:name w:val="HTML Sample"/>
    <w:basedOn w:val="25"/>
    <w:qFormat/>
    <w:uiPriority w:val="0"/>
    <w:rPr>
      <w:rFonts w:hint="default" w:ascii="Consolas" w:hAnsi="Consolas" w:eastAsia="Consolas" w:cs="Consolas"/>
      <w:sz w:val="21"/>
      <w:szCs w:val="21"/>
    </w:rPr>
  </w:style>
  <w:style w:type="paragraph" w:customStyle="1" w:styleId="33">
    <w:name w:val="Default"/>
    <w:next w:val="3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Char Char10 Char Char Char Char"/>
    <w:basedOn w:val="1"/>
    <w:next w:val="35"/>
    <w:qFormat/>
    <w:uiPriority w:val="0"/>
    <w:rPr>
      <w:kern w:val="0"/>
    </w:rPr>
  </w:style>
  <w:style w:type="paragraph" w:customStyle="1" w:styleId="35">
    <w:name w:val="xl87"/>
    <w:basedOn w:val="1"/>
    <w:next w:val="36"/>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36">
    <w:name w:val="xl72"/>
    <w:basedOn w:val="1"/>
    <w:next w:val="1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无间隔1"/>
    <w:basedOn w:val="1"/>
    <w:next w:val="38"/>
    <w:qFormat/>
    <w:uiPriority w:val="99"/>
    <w:pPr>
      <w:spacing w:line="400" w:lineRule="exact"/>
    </w:pPr>
    <w:rPr>
      <w:rFonts w:eastAsia="宋体"/>
      <w:sz w:val="24"/>
    </w:rPr>
  </w:style>
  <w:style w:type="paragraph" w:customStyle="1" w:styleId="38">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39">
    <w:name w:val="标题 1 字符"/>
    <w:basedOn w:val="25"/>
    <w:qFormat/>
    <w:uiPriority w:val="0"/>
    <w:rPr>
      <w:rFonts w:eastAsia="宋体"/>
      <w:b/>
      <w:bCs/>
      <w:kern w:val="44"/>
      <w:sz w:val="32"/>
      <w:szCs w:val="44"/>
    </w:rPr>
  </w:style>
  <w:style w:type="paragraph" w:customStyle="1" w:styleId="40">
    <w:name w:val="*正文"/>
    <w:basedOn w:val="1"/>
    <w:qFormat/>
    <w:uiPriority w:val="0"/>
    <w:pPr>
      <w:keepNext/>
      <w:keepLines/>
      <w:ind w:firstLine="200" w:firstLineChars="200"/>
    </w:pPr>
    <w:rPr>
      <w:rFonts w:ascii="宋体" w:hAnsi="宋体"/>
    </w:rPr>
  </w:style>
  <w:style w:type="paragraph" w:customStyle="1" w:styleId="41">
    <w:name w:val="Null"/>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42">
    <w:name w:val="NormalCharacter"/>
    <w:qFormat/>
    <w:uiPriority w:val="0"/>
  </w:style>
  <w:style w:type="paragraph" w:customStyle="1" w:styleId="43">
    <w:name w:val="首行缩进"/>
    <w:basedOn w:val="1"/>
    <w:qFormat/>
    <w:uiPriority w:val="0"/>
    <w:pPr>
      <w:ind w:firstLine="200" w:firstLineChars="200"/>
    </w:pPr>
    <w:rPr>
      <w:sz w:val="24"/>
    </w:rPr>
  </w:style>
  <w:style w:type="character" w:customStyle="1" w:styleId="44">
    <w:name w:val="标题 1 字符1"/>
    <w:link w:val="2"/>
    <w:qFormat/>
    <w:uiPriority w:val="0"/>
    <w:rPr>
      <w:sz w:val="28"/>
    </w:rPr>
  </w:style>
  <w:style w:type="paragraph" w:customStyle="1" w:styleId="45">
    <w:name w:val="表格文字"/>
    <w:basedOn w:val="1"/>
    <w:next w:val="7"/>
    <w:qFormat/>
    <w:uiPriority w:val="0"/>
    <w:pPr>
      <w:spacing w:before="25" w:after="25" w:line="300" w:lineRule="auto"/>
    </w:pPr>
    <w:rPr>
      <w:rFonts w:ascii="Times" w:hAnsi="Times"/>
      <w:spacing w:val="10"/>
      <w:kern w:val="0"/>
      <w:sz w:val="24"/>
    </w:rPr>
  </w:style>
  <w:style w:type="character" w:customStyle="1" w:styleId="46">
    <w:name w:val="l_11"/>
    <w:basedOn w:val="25"/>
    <w:qFormat/>
    <w:uiPriority w:val="0"/>
  </w:style>
  <w:style w:type="character" w:customStyle="1" w:styleId="47">
    <w:name w:val="l_111"/>
    <w:basedOn w:val="25"/>
    <w:qFormat/>
    <w:uiPriority w:val="0"/>
  </w:style>
  <w:style w:type="character" w:customStyle="1" w:styleId="48">
    <w:name w:val="layui-laypage-curr"/>
    <w:basedOn w:val="25"/>
    <w:qFormat/>
    <w:uiPriority w:val="0"/>
  </w:style>
  <w:style w:type="character" w:customStyle="1" w:styleId="49">
    <w:name w:val="icon_cxkcyry"/>
    <w:basedOn w:val="25"/>
    <w:qFormat/>
    <w:uiPriority w:val="0"/>
  </w:style>
  <w:style w:type="character" w:customStyle="1" w:styleId="50">
    <w:name w:val="icon_dljg"/>
    <w:basedOn w:val="25"/>
    <w:qFormat/>
    <w:uiPriority w:val="0"/>
  </w:style>
  <w:style w:type="character" w:customStyle="1" w:styleId="51">
    <w:name w:val="color-blue"/>
    <w:basedOn w:val="25"/>
    <w:qFormat/>
    <w:uiPriority w:val="0"/>
    <w:rPr>
      <w:color w:val="1890FF"/>
      <w:sz w:val="18"/>
      <w:szCs w:val="18"/>
      <w:bdr w:val="single" w:color="1890FF" w:sz="6" w:space="0"/>
    </w:rPr>
  </w:style>
  <w:style w:type="character" w:customStyle="1" w:styleId="52">
    <w:name w:val="l_13"/>
    <w:basedOn w:val="25"/>
    <w:qFormat/>
    <w:uiPriority w:val="0"/>
  </w:style>
  <w:style w:type="character" w:customStyle="1" w:styleId="53">
    <w:name w:val="l_5"/>
    <w:basedOn w:val="25"/>
    <w:qFormat/>
    <w:uiPriority w:val="0"/>
  </w:style>
  <w:style w:type="character" w:customStyle="1" w:styleId="54">
    <w:name w:val="l_51"/>
    <w:basedOn w:val="25"/>
    <w:qFormat/>
    <w:uiPriority w:val="0"/>
  </w:style>
  <w:style w:type="character" w:customStyle="1" w:styleId="55">
    <w:name w:val="l_3"/>
    <w:basedOn w:val="25"/>
    <w:qFormat/>
    <w:uiPriority w:val="0"/>
  </w:style>
  <w:style w:type="character" w:customStyle="1" w:styleId="56">
    <w:name w:val="l_31"/>
    <w:basedOn w:val="25"/>
    <w:qFormat/>
    <w:uiPriority w:val="0"/>
  </w:style>
  <w:style w:type="character" w:customStyle="1" w:styleId="57">
    <w:name w:val="color_cdyy"/>
    <w:basedOn w:val="25"/>
    <w:qFormat/>
    <w:uiPriority w:val="0"/>
    <w:rPr>
      <w:color w:val="FFFFFF"/>
      <w:bdr w:val="single" w:color="FFFFFF" w:sz="6" w:space="0"/>
    </w:rPr>
  </w:style>
  <w:style w:type="character" w:customStyle="1" w:styleId="58">
    <w:name w:val="color-yellow"/>
    <w:basedOn w:val="25"/>
    <w:qFormat/>
    <w:uiPriority w:val="0"/>
    <w:rPr>
      <w:color w:val="FAAD14"/>
      <w:sz w:val="18"/>
      <w:szCs w:val="18"/>
      <w:bdr w:val="single" w:color="FAAD14" w:sz="6" w:space="0"/>
    </w:rPr>
  </w:style>
  <w:style w:type="character" w:customStyle="1" w:styleId="59">
    <w:name w:val="color-yellow1"/>
    <w:basedOn w:val="25"/>
    <w:qFormat/>
    <w:uiPriority w:val="0"/>
    <w:rPr>
      <w:color w:val="FAAD14"/>
      <w:sz w:val="18"/>
      <w:szCs w:val="18"/>
      <w:bdr w:val="single" w:color="FAAD14" w:sz="6" w:space="0"/>
    </w:rPr>
  </w:style>
  <w:style w:type="character" w:customStyle="1" w:styleId="60">
    <w:name w:val="icon_lzrz"/>
    <w:basedOn w:val="25"/>
    <w:qFormat/>
    <w:uiPriority w:val="0"/>
  </w:style>
  <w:style w:type="character" w:customStyle="1" w:styleId="61">
    <w:name w:val="m-text"/>
    <w:basedOn w:val="25"/>
    <w:qFormat/>
    <w:uiPriority w:val="0"/>
  </w:style>
  <w:style w:type="character" w:customStyle="1" w:styleId="62">
    <w:name w:val="l_1"/>
    <w:basedOn w:val="25"/>
    <w:qFormat/>
    <w:uiPriority w:val="0"/>
  </w:style>
  <w:style w:type="character" w:customStyle="1" w:styleId="63">
    <w:name w:val="l_12"/>
    <w:basedOn w:val="25"/>
    <w:qFormat/>
    <w:uiPriority w:val="0"/>
  </w:style>
  <w:style w:type="character" w:customStyle="1" w:styleId="64">
    <w:name w:val="l_0"/>
    <w:basedOn w:val="25"/>
    <w:qFormat/>
    <w:uiPriority w:val="0"/>
  </w:style>
  <w:style w:type="character" w:customStyle="1" w:styleId="65">
    <w:name w:val="l_15"/>
    <w:basedOn w:val="25"/>
    <w:qFormat/>
    <w:uiPriority w:val="0"/>
  </w:style>
  <w:style w:type="character" w:customStyle="1" w:styleId="66">
    <w:name w:val="l_151"/>
    <w:basedOn w:val="25"/>
    <w:qFormat/>
    <w:uiPriority w:val="0"/>
  </w:style>
  <w:style w:type="character" w:customStyle="1" w:styleId="67">
    <w:name w:val="l_121"/>
    <w:basedOn w:val="25"/>
    <w:qFormat/>
    <w:uiPriority w:val="0"/>
  </w:style>
  <w:style w:type="character" w:customStyle="1" w:styleId="68">
    <w:name w:val="l_122"/>
    <w:basedOn w:val="25"/>
    <w:qFormat/>
    <w:uiPriority w:val="0"/>
  </w:style>
  <w:style w:type="character" w:customStyle="1" w:styleId="69">
    <w:name w:val="l_6"/>
    <w:basedOn w:val="25"/>
    <w:qFormat/>
    <w:uiPriority w:val="0"/>
  </w:style>
  <w:style w:type="character" w:customStyle="1" w:styleId="70">
    <w:name w:val="l_61"/>
    <w:basedOn w:val="25"/>
    <w:qFormat/>
    <w:uiPriority w:val="0"/>
  </w:style>
  <w:style w:type="character" w:customStyle="1" w:styleId="71">
    <w:name w:val="l_8"/>
    <w:basedOn w:val="25"/>
    <w:qFormat/>
    <w:uiPriority w:val="0"/>
  </w:style>
  <w:style w:type="character" w:customStyle="1" w:styleId="72">
    <w:name w:val="l_81"/>
    <w:basedOn w:val="25"/>
    <w:qFormat/>
    <w:uiPriority w:val="0"/>
  </w:style>
  <w:style w:type="character" w:customStyle="1" w:styleId="73">
    <w:name w:val="icon_cxktbr"/>
    <w:basedOn w:val="25"/>
    <w:qFormat/>
    <w:uiPriority w:val="0"/>
  </w:style>
  <w:style w:type="character" w:customStyle="1" w:styleId="74">
    <w:name w:val="l_7"/>
    <w:basedOn w:val="25"/>
    <w:qFormat/>
    <w:uiPriority w:val="0"/>
  </w:style>
  <w:style w:type="character" w:customStyle="1" w:styleId="75">
    <w:name w:val="l_71"/>
    <w:basedOn w:val="25"/>
    <w:qFormat/>
    <w:uiPriority w:val="0"/>
  </w:style>
  <w:style w:type="character" w:customStyle="1" w:styleId="76">
    <w:name w:val="l_14"/>
    <w:basedOn w:val="25"/>
    <w:qFormat/>
    <w:uiPriority w:val="0"/>
  </w:style>
  <w:style w:type="character" w:customStyle="1" w:styleId="77">
    <w:name w:val="icon_xglc"/>
    <w:basedOn w:val="25"/>
    <w:qFormat/>
    <w:uiPriority w:val="0"/>
  </w:style>
  <w:style w:type="character" w:customStyle="1" w:styleId="78">
    <w:name w:val="icon_xzry"/>
    <w:basedOn w:val="25"/>
    <w:qFormat/>
    <w:uiPriority w:val="0"/>
  </w:style>
  <w:style w:type="character" w:customStyle="1" w:styleId="79">
    <w:name w:val="icon_gzkj"/>
    <w:basedOn w:val="25"/>
    <w:qFormat/>
    <w:uiPriority w:val="0"/>
  </w:style>
  <w:style w:type="character" w:customStyle="1" w:styleId="80">
    <w:name w:val="l_2"/>
    <w:basedOn w:val="25"/>
    <w:qFormat/>
    <w:uiPriority w:val="0"/>
  </w:style>
  <w:style w:type="character" w:customStyle="1" w:styleId="81">
    <w:name w:val="l_21"/>
    <w:basedOn w:val="25"/>
    <w:qFormat/>
    <w:uiPriority w:val="0"/>
  </w:style>
  <w:style w:type="character" w:customStyle="1" w:styleId="82">
    <w:name w:val="l_4"/>
    <w:basedOn w:val="25"/>
    <w:qFormat/>
    <w:uiPriority w:val="0"/>
  </w:style>
  <w:style w:type="character" w:customStyle="1" w:styleId="83">
    <w:name w:val="l_41"/>
    <w:basedOn w:val="25"/>
    <w:qFormat/>
    <w:uiPriority w:val="0"/>
  </w:style>
  <w:style w:type="character" w:customStyle="1" w:styleId="84">
    <w:name w:val="l_9"/>
    <w:basedOn w:val="25"/>
    <w:qFormat/>
    <w:uiPriority w:val="0"/>
  </w:style>
  <w:style w:type="character" w:customStyle="1" w:styleId="85">
    <w:name w:val="l_91"/>
    <w:basedOn w:val="25"/>
    <w:qFormat/>
    <w:uiPriority w:val="0"/>
  </w:style>
  <w:style w:type="character" w:customStyle="1" w:styleId="86">
    <w:name w:val="l_10"/>
    <w:basedOn w:val="25"/>
    <w:qFormat/>
    <w:uiPriority w:val="0"/>
  </w:style>
  <w:style w:type="character" w:customStyle="1" w:styleId="87">
    <w:name w:val="l_101"/>
    <w:basedOn w:val="25"/>
    <w:qFormat/>
    <w:uiPriority w:val="0"/>
  </w:style>
  <w:style w:type="character" w:customStyle="1" w:styleId="88">
    <w:name w:val="first-child1"/>
    <w:basedOn w:val="25"/>
    <w:qFormat/>
    <w:uiPriority w:val="0"/>
  </w:style>
  <w:style w:type="character" w:customStyle="1" w:styleId="89">
    <w:name w:val="l_141"/>
    <w:basedOn w:val="25"/>
    <w:qFormat/>
    <w:uiPriority w:val="0"/>
  </w:style>
  <w:style w:type="character" w:customStyle="1" w:styleId="90">
    <w:name w:val="l_131"/>
    <w:basedOn w:val="25"/>
    <w:qFormat/>
    <w:uiPriority w:val="0"/>
  </w:style>
  <w:style w:type="character" w:customStyle="1" w:styleId="91">
    <w:name w:val="l_01"/>
    <w:basedOn w:val="25"/>
    <w:qFormat/>
    <w:uiPriority w:val="0"/>
  </w:style>
  <w:style w:type="character" w:customStyle="1" w:styleId="92">
    <w:name w:val="l_112"/>
    <w:basedOn w:val="25"/>
    <w:qFormat/>
    <w:uiPriority w:val="0"/>
  </w:style>
  <w:style w:type="character" w:customStyle="1" w:styleId="93">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32946</Words>
  <Characters>34227</Characters>
  <Lines>1181</Lines>
  <Paragraphs>1129</Paragraphs>
  <TotalTime>0</TotalTime>
  <ScaleCrop>false</ScaleCrop>
  <LinksUpToDate>false</LinksUpToDate>
  <CharactersWithSpaces>35752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2026-03-18T09:46:00Z</dcterms:created>
  <dc:creator>Better me</dc:creator>
  <cp:lastModifiedBy>柒墨</cp:lastModifiedBy>
  <dcterms:modified xsi:type="dcterms:W3CDTF">2026-04-28T03:01:44Z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754BCADE4E4B484686A8595210C5ABDB_11</vt:lpwstr>
  </property>
  <property fmtid="{D5CDD505-2E9C-101B-9397-08002B2CF9AE}" pid="4" name="KSOTemplateDocerSaveRecord">
    <vt:lpwstr>eyJoZGlkIjoiMzEwNTM5NzYwMDRjMzkwZTVkZjY2ODkwMGIxNGU0OTUiLCJ1c2VySWQiOiIxNTYxMzA4NTExIn0=</vt:lpwstr>
  </property>
</Properties>
</file>