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5A023">
      <w:pPr>
        <w:jc w:val="both"/>
        <w:rPr>
          <w:rFonts w:hint="eastAsia" w:ascii="宋体" w:hAnsi="宋体" w:eastAsia="宋体" w:cs="宋体"/>
          <w:b/>
          <w:bCs/>
          <w:color w:val="000000" w:themeColor="text1"/>
          <w:sz w:val="44"/>
          <w:szCs w:val="44"/>
          <w:highlight w:val="none"/>
          <w:lang w:val="en-US" w:eastAsia="zh-CN"/>
          <w14:textFill>
            <w14:solidFill>
              <w14:schemeClr w14:val="tx1"/>
            </w14:solidFill>
          </w14:textFill>
        </w:rPr>
      </w:pPr>
      <w:bookmarkStart w:id="0" w:name="_Toc144974478"/>
      <w:bookmarkStart w:id="1" w:name="_Toc152042286"/>
      <w:bookmarkStart w:id="2" w:name="_Toc144974479"/>
      <w:bookmarkStart w:id="3" w:name="_Toc28817"/>
      <w:bookmarkStart w:id="4" w:name="_Toc246996900"/>
      <w:bookmarkStart w:id="5" w:name="_Toc152045511"/>
      <w:bookmarkStart w:id="6" w:name="_Toc179632527"/>
      <w:bookmarkStart w:id="7" w:name="_Toc246996157"/>
      <w:bookmarkStart w:id="8" w:name="_Toc152042287"/>
      <w:bookmarkStart w:id="9" w:name="_Toc247096243"/>
      <w:bookmarkStart w:id="10" w:name="_Toc247085671"/>
      <w:bookmarkStart w:id="11" w:name="_Toc27850"/>
      <w:r>
        <w:rPr>
          <w:rFonts w:hint="eastAsia" w:ascii="宋体" w:hAnsi="宋体" w:eastAsia="宋体" w:cs="宋体"/>
          <w:b/>
          <w:bCs/>
          <w:color w:val="000000" w:themeColor="text1"/>
          <w:sz w:val="44"/>
          <w:szCs w:val="44"/>
          <w:highlight w:val="none"/>
          <w:lang w:val="en-US" w:eastAsia="zh-CN"/>
          <w14:textFill>
            <w14:solidFill>
              <w14:schemeClr w14:val="tx1"/>
            </w14:solidFill>
          </w14:textFill>
        </w:rPr>
        <w:drawing>
          <wp:inline distT="0" distB="0" distL="114300" distR="114300">
            <wp:extent cx="5949950" cy="8883015"/>
            <wp:effectExtent l="0" t="0" r="12700" b="13335"/>
            <wp:docPr id="1" name="图片 1" descr="微信图片_20260709192744_16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709192744_16_17"/>
                    <pic:cNvPicPr>
                      <a:picLocks noChangeAspect="1"/>
                    </pic:cNvPicPr>
                  </pic:nvPicPr>
                  <pic:blipFill>
                    <a:blip r:embed="rId9"/>
                    <a:stretch>
                      <a:fillRect/>
                    </a:stretch>
                  </pic:blipFill>
                  <pic:spPr>
                    <a:xfrm>
                      <a:off x="0" y="0"/>
                      <a:ext cx="5949950" cy="8883015"/>
                    </a:xfrm>
                    <a:prstGeom prst="rect">
                      <a:avLst/>
                    </a:prstGeom>
                  </pic:spPr>
                </pic:pic>
              </a:graphicData>
            </a:graphic>
          </wp:inline>
        </w:drawing>
      </w:r>
    </w:p>
    <w:p w14:paraId="4C49AD05">
      <w:pPr>
        <w:bidi w:val="0"/>
        <w:rPr>
          <w:rFonts w:hint="eastAsia" w:ascii="宋体" w:hAnsi="宋体" w:eastAsia="宋体" w:cs="宋体"/>
          <w:color w:val="000000" w:themeColor="text1"/>
          <w:highlight w:val="none"/>
          <w:lang w:val="en-US" w:eastAsia="zh-CN"/>
          <w14:textFill>
            <w14:solidFill>
              <w14:schemeClr w14:val="tx1"/>
            </w14:solidFill>
          </w14:textFill>
        </w:rPr>
      </w:pPr>
    </w:p>
    <w:p w14:paraId="25F56296">
      <w:pPr>
        <w:pStyle w:val="3"/>
        <w:bidi w:val="0"/>
        <w:rPr>
          <w:rFonts w:hint="eastAsia"/>
          <w:color w:val="000000" w:themeColor="text1"/>
          <w:sz w:val="52"/>
          <w:szCs w:val="52"/>
          <w:highlight w:val="none"/>
          <w:lang w:eastAsia="zh-CN"/>
          <w14:textFill>
            <w14:solidFill>
              <w14:schemeClr w14:val="tx1"/>
            </w14:solidFill>
          </w14:textFill>
        </w:rPr>
      </w:pPr>
      <w:bookmarkStart w:id="12" w:name="_Toc325"/>
      <w:r>
        <w:rPr>
          <w:rFonts w:hint="eastAsia"/>
          <w:color w:val="000000" w:themeColor="text1"/>
          <w:sz w:val="52"/>
          <w:szCs w:val="52"/>
          <w:highlight w:val="none"/>
          <w:lang w:eastAsia="zh-CN"/>
          <w14:textFill>
            <w14:solidFill>
              <w14:schemeClr w14:val="tx1"/>
            </w14:solidFill>
          </w14:textFill>
        </w:rPr>
        <w:t>叶县辛店镇人民政府叶县2026年辛店镇省、市派第一书记联村共建养殖场基地设备提升项目</w:t>
      </w:r>
      <w:bookmarkEnd w:id="12"/>
      <w:r>
        <w:rPr>
          <w:rFonts w:hint="eastAsia"/>
          <w:color w:val="000000" w:themeColor="text1"/>
          <w:sz w:val="52"/>
          <w:szCs w:val="52"/>
          <w:highlight w:val="none"/>
          <w:lang w:eastAsia="zh-CN"/>
          <w14:textFill>
            <w14:solidFill>
              <w14:schemeClr w14:val="tx1"/>
            </w14:solidFill>
          </w14:textFill>
        </w:rPr>
        <w:tab/>
      </w:r>
    </w:p>
    <w:p w14:paraId="07E7C34B">
      <w:pPr>
        <w:pStyle w:val="10"/>
        <w:jc w:val="center"/>
        <w:rPr>
          <w:rFonts w:hint="eastAsia" w:ascii="宋体" w:hAnsi="宋体" w:eastAsia="宋体" w:cs="宋体"/>
          <w:b/>
          <w:color w:val="000000" w:themeColor="text1"/>
          <w:sz w:val="72"/>
          <w:szCs w:val="20"/>
          <w:highlight w:val="none"/>
          <w:lang w:eastAsia="zh-CN"/>
          <w14:textFill>
            <w14:solidFill>
              <w14:schemeClr w14:val="tx1"/>
            </w14:solidFill>
          </w14:textFill>
        </w:rPr>
      </w:pPr>
    </w:p>
    <w:p w14:paraId="55412E0A">
      <w:pPr>
        <w:pStyle w:val="9"/>
        <w:rPr>
          <w:rFonts w:hint="eastAsia" w:ascii="宋体" w:hAnsi="宋体" w:eastAsia="宋体" w:cs="宋体"/>
          <w:color w:val="000000" w:themeColor="text1"/>
          <w:highlight w:val="none"/>
          <w:lang w:eastAsia="zh-CN"/>
          <w14:textFill>
            <w14:solidFill>
              <w14:schemeClr w14:val="tx1"/>
            </w14:solidFill>
          </w14:textFill>
        </w:rPr>
      </w:pPr>
    </w:p>
    <w:p w14:paraId="08A4443A">
      <w:pPr>
        <w:rPr>
          <w:rFonts w:hint="eastAsia" w:ascii="宋体" w:hAnsi="宋体" w:eastAsia="宋体" w:cs="宋体"/>
          <w:color w:val="000000" w:themeColor="text1"/>
          <w:highlight w:val="none"/>
          <w:lang w:eastAsia="zh-CN"/>
          <w14:textFill>
            <w14:solidFill>
              <w14:schemeClr w14:val="tx1"/>
            </w14:solidFill>
          </w14:textFill>
        </w:rPr>
      </w:pPr>
    </w:p>
    <w:p w14:paraId="531C9854">
      <w:pPr>
        <w:pStyle w:val="17"/>
        <w:rPr>
          <w:rFonts w:hint="eastAsia" w:ascii="宋体" w:hAnsi="宋体" w:eastAsia="宋体" w:cs="宋体"/>
          <w:color w:val="000000" w:themeColor="text1"/>
          <w:highlight w:val="none"/>
          <w:lang w:eastAsia="zh-CN"/>
          <w14:textFill>
            <w14:solidFill>
              <w14:schemeClr w14:val="tx1"/>
            </w14:solidFill>
          </w14:textFill>
        </w:rPr>
      </w:pPr>
    </w:p>
    <w:p w14:paraId="2B6E11B6">
      <w:pPr>
        <w:rPr>
          <w:rFonts w:hint="eastAsia" w:ascii="宋体" w:hAnsi="宋体" w:eastAsia="宋体" w:cs="宋体"/>
          <w:color w:val="000000" w:themeColor="text1"/>
          <w:highlight w:val="none"/>
          <w:lang w:eastAsia="zh-CN"/>
          <w14:textFill>
            <w14:solidFill>
              <w14:schemeClr w14:val="tx1"/>
            </w14:solidFill>
          </w14:textFill>
        </w:rPr>
      </w:pPr>
    </w:p>
    <w:p w14:paraId="3B679907">
      <w:pPr>
        <w:pStyle w:val="17"/>
        <w:rPr>
          <w:rFonts w:hint="eastAsia" w:ascii="宋体" w:hAnsi="宋体" w:eastAsia="宋体" w:cs="宋体"/>
          <w:color w:val="000000" w:themeColor="text1"/>
          <w:highlight w:val="none"/>
          <w:lang w:eastAsia="zh-CN"/>
          <w14:textFill>
            <w14:solidFill>
              <w14:schemeClr w14:val="tx1"/>
            </w14:solidFill>
          </w14:textFill>
        </w:rPr>
      </w:pPr>
    </w:p>
    <w:p w14:paraId="72192B66">
      <w:pPr>
        <w:rPr>
          <w:rFonts w:hint="eastAsia" w:ascii="宋体" w:hAnsi="宋体" w:eastAsia="宋体" w:cs="宋体"/>
          <w:color w:val="000000" w:themeColor="text1"/>
          <w:highlight w:val="none"/>
          <w:lang w:eastAsia="zh-CN"/>
          <w14:textFill>
            <w14:solidFill>
              <w14:schemeClr w14:val="tx1"/>
            </w14:solidFill>
          </w14:textFill>
        </w:rPr>
      </w:pPr>
    </w:p>
    <w:p w14:paraId="2F392BC3">
      <w:pPr>
        <w:pStyle w:val="10"/>
        <w:jc w:val="center"/>
        <w:rPr>
          <w:rFonts w:hint="eastAsia" w:ascii="宋体" w:hAnsi="宋体" w:eastAsia="宋体" w:cs="宋体"/>
          <w:b/>
          <w:bCs/>
          <w:color w:val="000000" w:themeColor="text1"/>
          <w:sz w:val="32"/>
          <w:highlight w:val="none"/>
          <w14:textFill>
            <w14:solidFill>
              <w14:schemeClr w14:val="tx1"/>
            </w14:solidFill>
          </w14:textFill>
        </w:rPr>
      </w:pPr>
      <w:r>
        <w:rPr>
          <w:rFonts w:hint="eastAsia" w:ascii="宋体" w:hAnsi="宋体" w:eastAsia="宋体" w:cs="宋体"/>
          <w:b/>
          <w:color w:val="000000" w:themeColor="text1"/>
          <w:sz w:val="72"/>
          <w:szCs w:val="20"/>
          <w:highlight w:val="none"/>
          <w:lang w:val="en-US" w:eastAsia="zh-CN"/>
          <w14:textFill>
            <w14:solidFill>
              <w14:schemeClr w14:val="tx1"/>
            </w14:solidFill>
          </w14:textFill>
        </w:rPr>
        <w:t>招标</w:t>
      </w:r>
      <w:r>
        <w:rPr>
          <w:rFonts w:hint="eastAsia" w:ascii="宋体" w:hAnsi="宋体" w:eastAsia="宋体" w:cs="宋体"/>
          <w:b/>
          <w:color w:val="000000" w:themeColor="text1"/>
          <w:sz w:val="72"/>
          <w:szCs w:val="20"/>
          <w:highlight w:val="none"/>
          <w:lang w:eastAsia="zh-CN"/>
          <w14:textFill>
            <w14:solidFill>
              <w14:schemeClr w14:val="tx1"/>
            </w14:solidFill>
          </w14:textFill>
        </w:rPr>
        <w:t>文件</w:t>
      </w:r>
    </w:p>
    <w:p w14:paraId="766A7612">
      <w:pPr>
        <w:pStyle w:val="11"/>
        <w:rPr>
          <w:rFonts w:hint="eastAsia" w:ascii="宋体" w:hAnsi="宋体" w:eastAsia="宋体" w:cs="宋体"/>
          <w:color w:val="000000" w:themeColor="text1"/>
          <w:highlight w:val="none"/>
          <w14:textFill>
            <w14:solidFill>
              <w14:schemeClr w14:val="tx1"/>
            </w14:solidFill>
          </w14:textFill>
        </w:rPr>
      </w:pPr>
    </w:p>
    <w:p w14:paraId="781BE735">
      <w:pPr>
        <w:pStyle w:val="10"/>
        <w:rPr>
          <w:rFonts w:hint="eastAsia" w:ascii="宋体" w:hAnsi="宋体" w:eastAsia="宋体" w:cs="宋体"/>
          <w:color w:val="000000" w:themeColor="text1"/>
          <w:highlight w:val="none"/>
          <w14:textFill>
            <w14:solidFill>
              <w14:schemeClr w14:val="tx1"/>
            </w14:solidFill>
          </w14:textFill>
        </w:rPr>
      </w:pPr>
    </w:p>
    <w:p w14:paraId="2D3CFF8B">
      <w:pPr>
        <w:pStyle w:val="10"/>
        <w:rPr>
          <w:rFonts w:hint="eastAsia" w:ascii="宋体" w:hAnsi="宋体" w:eastAsia="宋体" w:cs="宋体"/>
          <w:color w:val="000000" w:themeColor="text1"/>
          <w:highlight w:val="none"/>
          <w14:textFill>
            <w14:solidFill>
              <w14:schemeClr w14:val="tx1"/>
            </w14:solidFill>
          </w14:textFill>
        </w:rPr>
      </w:pPr>
    </w:p>
    <w:p w14:paraId="3A1C1E88">
      <w:pPr>
        <w:pStyle w:val="10"/>
        <w:rPr>
          <w:rFonts w:hint="eastAsia" w:ascii="宋体" w:hAnsi="宋体" w:eastAsia="宋体" w:cs="宋体"/>
          <w:color w:val="000000" w:themeColor="text1"/>
          <w:highlight w:val="none"/>
          <w14:textFill>
            <w14:solidFill>
              <w14:schemeClr w14:val="tx1"/>
            </w14:solidFill>
          </w14:textFill>
        </w:rPr>
      </w:pPr>
    </w:p>
    <w:p w14:paraId="73148D75">
      <w:pPr>
        <w:pStyle w:val="10"/>
        <w:rPr>
          <w:rFonts w:hint="eastAsia" w:ascii="宋体" w:hAnsi="宋体" w:eastAsia="宋体" w:cs="宋体"/>
          <w:color w:val="000000" w:themeColor="text1"/>
          <w:highlight w:val="none"/>
          <w14:textFill>
            <w14:solidFill>
              <w14:schemeClr w14:val="tx1"/>
            </w14:solidFill>
          </w14:textFill>
        </w:rPr>
      </w:pPr>
    </w:p>
    <w:p w14:paraId="0587B876">
      <w:pPr>
        <w:pStyle w:val="10"/>
        <w:rPr>
          <w:rFonts w:hint="eastAsia" w:ascii="宋体" w:hAnsi="宋体" w:eastAsia="宋体" w:cs="宋体"/>
          <w:color w:val="000000" w:themeColor="text1"/>
          <w:highlight w:val="none"/>
          <w14:textFill>
            <w14:solidFill>
              <w14:schemeClr w14:val="tx1"/>
            </w14:solidFill>
          </w14:textFill>
        </w:rPr>
      </w:pPr>
    </w:p>
    <w:p w14:paraId="3ADF7D1B">
      <w:pPr>
        <w:pStyle w:val="10"/>
        <w:rPr>
          <w:rFonts w:hint="eastAsia" w:ascii="宋体" w:hAnsi="宋体" w:eastAsia="宋体" w:cs="宋体"/>
          <w:color w:val="000000" w:themeColor="text1"/>
          <w:highlight w:val="none"/>
          <w14:textFill>
            <w14:solidFill>
              <w14:schemeClr w14:val="tx1"/>
            </w14:solidFill>
          </w14:textFill>
        </w:rPr>
      </w:pPr>
    </w:p>
    <w:p w14:paraId="373F9CD0">
      <w:pPr>
        <w:pStyle w:val="10"/>
        <w:rPr>
          <w:rFonts w:hint="eastAsia" w:ascii="宋体" w:hAnsi="宋体" w:eastAsia="宋体" w:cs="宋体"/>
          <w:color w:val="000000" w:themeColor="text1"/>
          <w:highlight w:val="none"/>
          <w14:textFill>
            <w14:solidFill>
              <w14:schemeClr w14:val="tx1"/>
            </w14:solidFill>
          </w14:textFill>
        </w:rPr>
      </w:pPr>
    </w:p>
    <w:p w14:paraId="73B8A1D7">
      <w:pPr>
        <w:pStyle w:val="10"/>
        <w:rPr>
          <w:rFonts w:hint="eastAsia" w:ascii="宋体" w:hAnsi="宋体" w:eastAsia="宋体" w:cs="宋体"/>
          <w:color w:val="000000" w:themeColor="text1"/>
          <w:highlight w:val="none"/>
          <w14:textFill>
            <w14:solidFill>
              <w14:schemeClr w14:val="tx1"/>
            </w14:solidFill>
          </w14:textFill>
        </w:rPr>
      </w:pPr>
    </w:p>
    <w:p w14:paraId="1C8EEFFB">
      <w:pPr>
        <w:pStyle w:val="10"/>
        <w:rPr>
          <w:rFonts w:hint="eastAsia" w:ascii="宋体" w:hAnsi="宋体" w:eastAsia="宋体" w:cs="宋体"/>
          <w:color w:val="000000" w:themeColor="text1"/>
          <w:highlight w:val="none"/>
          <w14:textFill>
            <w14:solidFill>
              <w14:schemeClr w14:val="tx1"/>
            </w14:solidFill>
          </w14:textFill>
        </w:rPr>
      </w:pPr>
    </w:p>
    <w:p w14:paraId="48B94129">
      <w:pPr>
        <w:keepNext w:val="0"/>
        <w:keepLines w:val="0"/>
        <w:pageBreakBefore w:val="0"/>
        <w:widowControl w:val="0"/>
        <w:kinsoku/>
        <w:wordWrap/>
        <w:overflowPunct/>
        <w:topLinePunct w:val="0"/>
        <w:autoSpaceDE/>
        <w:autoSpaceDN/>
        <w:bidi w:val="0"/>
        <w:adjustRightInd/>
        <w:snapToGrid/>
        <w:spacing w:line="360" w:lineRule="auto"/>
        <w:ind w:firstLine="1259" w:firstLineChars="392"/>
        <w:textAlignment w:val="auto"/>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highlight w:val="none"/>
          <w14:textFill>
            <w14:solidFill>
              <w14:schemeClr w14:val="tx1"/>
            </w14:solidFill>
          </w14:textFill>
        </w:rPr>
        <w:t xml:space="preserve"> </w:t>
      </w:r>
      <w:r>
        <w:rPr>
          <w:rFonts w:hint="eastAsia" w:ascii="宋体" w:hAnsi="宋体" w:eastAsia="宋体" w:cs="宋体"/>
          <w:b/>
          <w:bCs/>
          <w:color w:val="000000" w:themeColor="text1"/>
          <w:sz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highlight w:val="none"/>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eastAsia="zh-CN"/>
          <w14:textFill>
            <w14:solidFill>
              <w14:schemeClr w14:val="tx1"/>
            </w14:solidFill>
          </w14:textFill>
        </w:rPr>
        <w:t>采</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eastAsia="zh-CN"/>
          <w14:textFill>
            <w14:solidFill>
              <w14:schemeClr w14:val="tx1"/>
            </w14:solidFill>
          </w14:textFill>
        </w:rPr>
        <w:t>购</w:t>
      </w:r>
      <w:r>
        <w:rPr>
          <w:rFonts w:hint="eastAsia" w:ascii="宋体" w:hAnsi="宋体" w:eastAsia="宋体" w:cs="宋体"/>
          <w:b/>
          <w:bCs/>
          <w:color w:val="000000" w:themeColor="text1"/>
          <w:sz w:val="32"/>
          <w:szCs w:val="32"/>
          <w:highlight w:val="none"/>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14:textFill>
            <w14:solidFill>
              <w14:schemeClr w14:val="tx1"/>
            </w14:solidFill>
          </w14:textFill>
        </w:rPr>
        <w:t>人：叶县辛店镇人民政府</w:t>
      </w:r>
    </w:p>
    <w:p w14:paraId="3841C131">
      <w:pPr>
        <w:keepNext w:val="0"/>
        <w:keepLines w:val="0"/>
        <w:pageBreakBefore w:val="0"/>
        <w:widowControl w:val="0"/>
        <w:kinsoku/>
        <w:wordWrap/>
        <w:overflowPunct/>
        <w:topLinePunct w:val="0"/>
        <w:autoSpaceDE/>
        <w:autoSpaceDN/>
        <w:bidi w:val="0"/>
        <w:adjustRightInd/>
        <w:snapToGrid/>
        <w:spacing w:line="360" w:lineRule="auto"/>
        <w:ind w:firstLine="1259" w:firstLineChars="392"/>
        <w:textAlignment w:val="auto"/>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eastAsia="zh-CN"/>
          <w14:textFill>
            <w14:solidFill>
              <w14:schemeClr w14:val="tx1"/>
            </w14:solidFill>
          </w14:textFill>
        </w:rPr>
        <w:t>采购</w:t>
      </w:r>
      <w:r>
        <w:rPr>
          <w:rFonts w:hint="eastAsia" w:ascii="宋体" w:hAnsi="宋体" w:eastAsia="宋体" w:cs="宋体"/>
          <w:b/>
          <w:bCs/>
          <w:color w:val="000000" w:themeColor="text1"/>
          <w:sz w:val="32"/>
          <w:szCs w:val="32"/>
          <w:highlight w:val="none"/>
          <w14:textFill>
            <w14:solidFill>
              <w14:schemeClr w14:val="tx1"/>
            </w14:solidFill>
          </w14:textFill>
        </w:rPr>
        <w:t>代理机构：</w:t>
      </w:r>
      <w:r>
        <w:rPr>
          <w:rFonts w:hint="eastAsia" w:ascii="宋体" w:hAnsi="宋体" w:eastAsia="宋体" w:cs="宋体"/>
          <w:b/>
          <w:bCs/>
          <w:color w:val="000000" w:themeColor="text1"/>
          <w:sz w:val="32"/>
          <w:szCs w:val="32"/>
          <w:highlight w:val="none"/>
          <w:lang w:val="zh-CN"/>
          <w14:textFill>
            <w14:solidFill>
              <w14:schemeClr w14:val="tx1"/>
            </w14:solidFill>
          </w14:textFill>
        </w:rPr>
        <w:t>河南平业咨询有限公司</w:t>
      </w:r>
    </w:p>
    <w:p w14:paraId="7B7F1EF1">
      <w:pPr>
        <w:keepNext w:val="0"/>
        <w:keepLines w:val="0"/>
        <w:pageBreakBefore w:val="0"/>
        <w:widowControl w:val="0"/>
        <w:kinsoku/>
        <w:wordWrap/>
        <w:overflowPunct/>
        <w:topLinePunct w:val="0"/>
        <w:autoSpaceDE/>
        <w:autoSpaceDN/>
        <w:bidi w:val="0"/>
        <w:adjustRightInd/>
        <w:snapToGrid/>
        <w:spacing w:line="360" w:lineRule="auto"/>
        <w:ind w:firstLine="1902" w:firstLineChars="592"/>
        <w:textAlignment w:val="auto"/>
        <w:rPr>
          <w:rFonts w:hint="eastAsia" w:ascii="宋体" w:hAnsi="宋体" w:eastAsia="宋体" w:cs="宋体"/>
          <w:b/>
          <w:bCs/>
          <w:color w:val="000000" w:themeColor="text1"/>
          <w:sz w:val="32"/>
          <w:szCs w:val="32"/>
          <w:highlight w:val="none"/>
          <w:lang w:val="en-US" w:eastAsia="zh-CN"/>
          <w14:textFill>
            <w14:solidFill>
              <w14:schemeClr w14:val="tx1"/>
            </w14:solidFill>
          </w14:textFill>
        </w:rPr>
        <w:sectPr>
          <w:headerReference r:id="rId3" w:type="default"/>
          <w:pgSz w:w="11906" w:h="16838"/>
          <w:pgMar w:top="1418" w:right="1134" w:bottom="1418" w:left="1134" w:header="779" w:footer="713"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eastAsia="宋体" w:cs="宋体"/>
          <w:b/>
          <w:bCs/>
          <w:color w:val="000000" w:themeColor="text1"/>
          <w:sz w:val="32"/>
          <w:szCs w:val="32"/>
          <w:highlight w:val="none"/>
          <w14:textFill>
            <w14:solidFill>
              <w14:schemeClr w14:val="tx1"/>
            </w14:solidFill>
          </w14:textFill>
        </w:rPr>
        <w:t>日        期：</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2026</w:t>
      </w:r>
      <w:r>
        <w:rPr>
          <w:rFonts w:hint="eastAsia" w:ascii="宋体" w:hAnsi="宋体" w:eastAsia="宋体" w:cs="宋体"/>
          <w:b/>
          <w:bCs/>
          <w:color w:val="000000" w:themeColor="text1"/>
          <w:sz w:val="32"/>
          <w:szCs w:val="32"/>
          <w:highlight w:val="none"/>
          <w14:textFill>
            <w14:solidFill>
              <w14:schemeClr w14:val="tx1"/>
            </w14:solidFill>
          </w14:textFill>
        </w:rPr>
        <w:t>年</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6月</w:t>
      </w:r>
    </w:p>
    <w:bookmarkEnd w:id="0"/>
    <w:bookmarkEnd w:id="1"/>
    <w:p w14:paraId="053E3638">
      <w:pPr>
        <w:ind w:right="-512" w:rightChars="-244"/>
        <w:jc w:val="center"/>
        <w:rPr>
          <w:rFonts w:hint="eastAsia" w:ascii="宋体" w:hAnsi="宋体" w:eastAsia="宋体" w:cs="宋体"/>
          <w:b/>
          <w:bCs/>
          <w:color w:val="000000" w:themeColor="text1"/>
          <w:sz w:val="28"/>
          <w:szCs w:val="28"/>
          <w:highlight w:val="none"/>
          <w14:textFill>
            <w14:solidFill>
              <w14:schemeClr w14:val="tx1"/>
            </w14:solidFill>
          </w14:textFill>
        </w:rPr>
      </w:pPr>
      <w:bookmarkStart w:id="13" w:name="_Toc110"/>
      <w:bookmarkStart w:id="14" w:name="_Toc421804081"/>
      <w:bookmarkStart w:id="15" w:name="_Toc246996898"/>
      <w:bookmarkStart w:id="16" w:name="_Toc417334135"/>
      <w:bookmarkStart w:id="17" w:name="_Toc415232455"/>
      <w:bookmarkStart w:id="18" w:name="_Toc296602400"/>
      <w:bookmarkStart w:id="19" w:name="_Toc454446146"/>
      <w:bookmarkStart w:id="20" w:name="_Toc415819184"/>
      <w:bookmarkStart w:id="21" w:name="_Toc247085669"/>
      <w:bookmarkStart w:id="22" w:name="_Toc417334340"/>
      <w:bookmarkStart w:id="23" w:name="_Toc417333957"/>
    </w:p>
    <w:p w14:paraId="0122925B">
      <w:pPr>
        <w:ind w:right="-512" w:rightChars="-244"/>
        <w:jc w:val="center"/>
        <w:rPr>
          <w:rFonts w:hint="eastAsia" w:ascii="宋体" w:hAnsi="宋体" w:eastAsia="宋体" w:cs="宋体"/>
          <w:b/>
          <w:bCs/>
          <w:cap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目 录</w:t>
      </w:r>
      <w:bookmarkEnd w:id="2"/>
      <w:bookmarkEnd w:id="3"/>
      <w:bookmarkEnd w:id="4"/>
      <w:bookmarkEnd w:id="5"/>
      <w:bookmarkEnd w:id="6"/>
      <w:bookmarkEnd w:id="7"/>
      <w:bookmarkEnd w:id="8"/>
      <w:bookmarkEnd w:id="9"/>
      <w:bookmarkEnd w:id="10"/>
      <w:bookmarkEnd w:id="11"/>
      <w:bookmarkEnd w:id="13"/>
      <w:bookmarkEnd w:id="14"/>
      <w:bookmarkEnd w:id="15"/>
      <w:bookmarkEnd w:id="16"/>
      <w:bookmarkEnd w:id="17"/>
      <w:bookmarkEnd w:id="18"/>
      <w:bookmarkEnd w:id="19"/>
      <w:bookmarkEnd w:id="20"/>
      <w:bookmarkEnd w:id="21"/>
      <w:bookmarkEnd w:id="22"/>
      <w:bookmarkEnd w:id="23"/>
      <w:bookmarkStart w:id="24" w:name="_Toc135648883"/>
      <w:bookmarkStart w:id="25" w:name="_Toc179632544"/>
      <w:bookmarkStart w:id="26" w:name="_Toc24048"/>
      <w:bookmarkStart w:id="27" w:name="_Toc247085687"/>
      <w:bookmarkStart w:id="28" w:name="_Toc246996916"/>
      <w:bookmarkStart w:id="29" w:name="_Toc144974495"/>
      <w:bookmarkStart w:id="30" w:name="_Toc18031"/>
      <w:bookmarkStart w:id="31" w:name="_Toc246996173"/>
      <w:bookmarkStart w:id="32" w:name="_Toc13712"/>
      <w:bookmarkStart w:id="33" w:name="_Toc152045527"/>
      <w:bookmarkStart w:id="34" w:name="_Toc152042303"/>
      <w:r>
        <w:rPr>
          <w:rFonts w:hint="eastAsia" w:ascii="宋体" w:hAnsi="宋体" w:eastAsia="宋体" w:cs="宋体"/>
          <w:b/>
          <w:bCs/>
          <w:cap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aps/>
          <w:color w:val="000000" w:themeColor="text1"/>
          <w:sz w:val="24"/>
          <w:szCs w:val="24"/>
          <w:highlight w:val="none"/>
          <w14:textFill>
            <w14:solidFill>
              <w14:schemeClr w14:val="tx1"/>
            </w14:solidFill>
          </w14:textFill>
        </w:rPr>
        <w:instrText xml:space="preserve"> TOC \o "1-3" \h \z \u </w:instrText>
      </w:r>
      <w:r>
        <w:rPr>
          <w:rFonts w:hint="eastAsia" w:ascii="宋体" w:hAnsi="宋体" w:eastAsia="宋体" w:cs="宋体"/>
          <w:b/>
          <w:bCs/>
          <w:caps/>
          <w:color w:val="000000" w:themeColor="text1"/>
          <w:sz w:val="24"/>
          <w:szCs w:val="24"/>
          <w:highlight w:val="none"/>
          <w14:textFill>
            <w14:solidFill>
              <w14:schemeClr w14:val="tx1"/>
            </w14:solidFill>
          </w14:textFill>
        </w:rPr>
        <w:fldChar w:fldCharType="separate"/>
      </w:r>
    </w:p>
    <w:sdt>
      <w:sdtPr>
        <w:rPr>
          <w:rFonts w:ascii="宋体" w:hAnsi="宋体" w:eastAsia="宋体" w:cs="Times New Roman"/>
          <w:color w:val="000000" w:themeColor="text1"/>
          <w:kern w:val="2"/>
          <w:sz w:val="24"/>
          <w:szCs w:val="24"/>
          <w:lang w:val="en-US" w:eastAsia="zh-CN" w:bidi="ar-SA"/>
          <w14:textFill>
            <w14:solidFill>
              <w14:schemeClr w14:val="tx1"/>
            </w14:solidFill>
          </w14:textFill>
        </w:rPr>
        <w:id w:val="147477648"/>
        <w15:color w:val="DBDBDB"/>
        <w:docPartObj>
          <w:docPartGallery w:val="Table of Contents"/>
          <w:docPartUnique/>
        </w:docPartObj>
      </w:sdtPr>
      <w:sdtEndPr>
        <w:rPr>
          <w:rFonts w:hint="eastAsia" w:ascii="宋体" w:hAnsi="宋体" w:eastAsia="宋体" w:cs="宋体"/>
          <w:bCs/>
          <w:caps/>
          <w:color w:val="000000" w:themeColor="text1"/>
          <w:kern w:val="2"/>
          <w:sz w:val="21"/>
          <w:szCs w:val="24"/>
          <w:highlight w:val="none"/>
          <w:lang w:val="en-US" w:eastAsia="zh-CN" w:bidi="ar-SA"/>
          <w14:textFill>
            <w14:solidFill>
              <w14:schemeClr w14:val="tx1"/>
            </w14:solidFill>
          </w14:textFill>
        </w:rPr>
      </w:sdtEndPr>
      <w:sdtContent>
        <w:p w14:paraId="24CC2A80">
          <w:pPr>
            <w:spacing w:before="0" w:beforeLines="0" w:after="0" w:afterLines="0" w:line="240" w:lineRule="auto"/>
            <w:ind w:left="0" w:leftChars="0" w:right="0" w:rightChars="0" w:firstLine="0" w:firstLineChars="0"/>
            <w:jc w:val="center"/>
            <w:rPr>
              <w:color w:val="000000" w:themeColor="text1"/>
              <w:sz w:val="24"/>
              <w:szCs w:val="24"/>
              <w14:textFill>
                <w14:solidFill>
                  <w14:schemeClr w14:val="tx1"/>
                </w14:solidFill>
              </w14:textFill>
            </w:rPr>
          </w:pPr>
        </w:p>
        <w:p w14:paraId="65497063">
          <w:pPr>
            <w:pStyle w:val="14"/>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color w:val="000000" w:themeColor="text1"/>
              <w:sz w:val="24"/>
              <w:szCs w:val="24"/>
              <w14:textFill>
                <w14:solidFill>
                  <w14:schemeClr w14:val="tx1"/>
                </w14:solidFill>
              </w14:textFill>
            </w:rPr>
          </w:pPr>
          <w:r>
            <w:rPr>
              <w:rFonts w:hint="eastAsia" w:ascii="宋体" w:hAnsi="宋体" w:eastAsia="宋体" w:cs="宋体"/>
              <w:b/>
              <w:bCs/>
              <w:caps/>
              <w:color w:val="000000" w:themeColor="text1"/>
              <w:sz w:val="24"/>
              <w:szCs w:val="24"/>
              <w:highlight w:val="none"/>
              <w14:textFill>
                <w14:solidFill>
                  <w14:schemeClr w14:val="tx1"/>
                </w14:solidFill>
              </w14:textFill>
            </w:rPr>
            <w:fldChar w:fldCharType="begin"/>
          </w:r>
          <w:r>
            <w:rPr>
              <w:rFonts w:hint="eastAsia" w:ascii="宋体" w:hAnsi="宋体" w:eastAsia="宋体" w:cs="宋体"/>
              <w:b/>
              <w:bCs/>
              <w:caps/>
              <w:color w:val="000000" w:themeColor="text1"/>
              <w:sz w:val="24"/>
              <w:szCs w:val="24"/>
              <w:highlight w:val="none"/>
              <w14:textFill>
                <w14:solidFill>
                  <w14:schemeClr w14:val="tx1"/>
                </w14:solidFill>
              </w14:textFill>
            </w:rPr>
            <w:instrText xml:space="preserve">TOC \o "1-1" \h \u </w:instrText>
          </w:r>
          <w:r>
            <w:rPr>
              <w:rFonts w:hint="eastAsia" w:ascii="宋体" w:hAnsi="宋体" w:eastAsia="宋体" w:cs="宋体"/>
              <w:b/>
              <w:bCs/>
              <w:caps/>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aps/>
              <w:color w:val="000000" w:themeColor="text1"/>
              <w:sz w:val="24"/>
              <w:szCs w:val="24"/>
              <w:highlight w:val="none"/>
              <w14:textFill>
                <w14:solidFill>
                  <w14:schemeClr w14:val="tx1"/>
                </w14:solidFill>
              </w14:textFill>
            </w:rPr>
            <w:fldChar w:fldCharType="begin"/>
          </w:r>
          <w:r>
            <w:rPr>
              <w:rFonts w:hint="eastAsia" w:ascii="宋体" w:hAnsi="宋体" w:eastAsia="宋体" w:cs="宋体"/>
              <w:bCs/>
              <w:caps/>
              <w:color w:val="000000" w:themeColor="text1"/>
              <w:sz w:val="24"/>
              <w:szCs w:val="24"/>
              <w:highlight w:val="none"/>
              <w14:textFill>
                <w14:solidFill>
                  <w14:schemeClr w14:val="tx1"/>
                </w14:solidFill>
              </w14:textFill>
            </w:rPr>
            <w:instrText xml:space="preserve"> HYPERLINK \l _Toc2786 </w:instrText>
          </w:r>
          <w:r>
            <w:rPr>
              <w:rFonts w:hint="eastAsia" w:ascii="宋体" w:hAnsi="宋体" w:eastAsia="宋体" w:cs="宋体"/>
              <w:bCs/>
              <w:caps/>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14:textFill>
                <w14:solidFill>
                  <w14:schemeClr w14:val="tx1"/>
                </w14:solidFill>
              </w14:textFill>
            </w:rPr>
            <w:t>第一章 招标公告</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_Toc2786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w:t>
          </w:r>
          <w:r>
            <w:rPr>
              <w:color w:val="000000" w:themeColor="text1"/>
              <w:sz w:val="24"/>
              <w:szCs w:val="24"/>
              <w14:textFill>
                <w14:solidFill>
                  <w14:schemeClr w14:val="tx1"/>
                </w14:solidFill>
              </w14:textFill>
            </w:rPr>
            <w:fldChar w:fldCharType="end"/>
          </w:r>
          <w:r>
            <w:rPr>
              <w:rFonts w:hint="eastAsia" w:ascii="宋体" w:hAnsi="宋体" w:eastAsia="宋体" w:cs="宋体"/>
              <w:bCs/>
              <w:caps/>
              <w:color w:val="000000" w:themeColor="text1"/>
              <w:sz w:val="24"/>
              <w:szCs w:val="24"/>
              <w:highlight w:val="none"/>
              <w14:textFill>
                <w14:solidFill>
                  <w14:schemeClr w14:val="tx1"/>
                </w14:solidFill>
              </w14:textFill>
            </w:rPr>
            <w:fldChar w:fldCharType="end"/>
          </w:r>
        </w:p>
        <w:p w14:paraId="00C34C29">
          <w:pPr>
            <w:pStyle w:val="14"/>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color w:val="000000" w:themeColor="text1"/>
              <w:sz w:val="24"/>
              <w:szCs w:val="24"/>
              <w14:textFill>
                <w14:solidFill>
                  <w14:schemeClr w14:val="tx1"/>
                </w14:solidFill>
              </w14:textFill>
            </w:rPr>
          </w:pPr>
          <w:r>
            <w:rPr>
              <w:rFonts w:hint="eastAsia" w:ascii="宋体" w:hAnsi="宋体" w:eastAsia="宋体" w:cs="宋体"/>
              <w:bCs/>
              <w:caps/>
              <w:color w:val="000000" w:themeColor="text1"/>
              <w:sz w:val="24"/>
              <w:szCs w:val="24"/>
              <w:highlight w:val="none"/>
              <w14:textFill>
                <w14:solidFill>
                  <w14:schemeClr w14:val="tx1"/>
                </w14:solidFill>
              </w14:textFill>
            </w:rPr>
            <w:fldChar w:fldCharType="begin"/>
          </w:r>
          <w:r>
            <w:rPr>
              <w:rFonts w:hint="eastAsia" w:ascii="宋体" w:hAnsi="宋体" w:eastAsia="宋体" w:cs="宋体"/>
              <w:bCs/>
              <w:caps/>
              <w:color w:val="000000" w:themeColor="text1"/>
              <w:sz w:val="24"/>
              <w:szCs w:val="24"/>
              <w:highlight w:val="none"/>
              <w14:textFill>
                <w14:solidFill>
                  <w14:schemeClr w14:val="tx1"/>
                </w14:solidFill>
              </w14:textFill>
            </w:rPr>
            <w:instrText xml:space="preserve"> HYPERLINK \l _Toc19313 </w:instrText>
          </w:r>
          <w:r>
            <w:rPr>
              <w:rFonts w:hint="eastAsia" w:ascii="宋体" w:hAnsi="宋体" w:eastAsia="宋体" w:cs="宋体"/>
              <w:bCs/>
              <w:caps/>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14:textFill>
                <w14:solidFill>
                  <w14:schemeClr w14:val="tx1"/>
                </w14:solidFill>
              </w14:textFill>
            </w:rPr>
            <w:t>第二章 投标人须知</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_Toc19313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w:t>
          </w:r>
          <w:r>
            <w:rPr>
              <w:color w:val="000000" w:themeColor="text1"/>
              <w:sz w:val="24"/>
              <w:szCs w:val="24"/>
              <w14:textFill>
                <w14:solidFill>
                  <w14:schemeClr w14:val="tx1"/>
                </w14:solidFill>
              </w14:textFill>
            </w:rPr>
            <w:fldChar w:fldCharType="end"/>
          </w:r>
          <w:r>
            <w:rPr>
              <w:rFonts w:hint="eastAsia" w:ascii="宋体" w:hAnsi="宋体" w:eastAsia="宋体" w:cs="宋体"/>
              <w:bCs/>
              <w:caps/>
              <w:color w:val="000000" w:themeColor="text1"/>
              <w:sz w:val="24"/>
              <w:szCs w:val="24"/>
              <w:highlight w:val="none"/>
              <w14:textFill>
                <w14:solidFill>
                  <w14:schemeClr w14:val="tx1"/>
                </w14:solidFill>
              </w14:textFill>
            </w:rPr>
            <w:fldChar w:fldCharType="end"/>
          </w:r>
        </w:p>
        <w:p w14:paraId="365A9D3B">
          <w:pPr>
            <w:pStyle w:val="14"/>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color w:val="000000" w:themeColor="text1"/>
              <w:sz w:val="24"/>
              <w:szCs w:val="24"/>
              <w14:textFill>
                <w14:solidFill>
                  <w14:schemeClr w14:val="tx1"/>
                </w14:solidFill>
              </w14:textFill>
            </w:rPr>
          </w:pPr>
          <w:r>
            <w:rPr>
              <w:rFonts w:hint="eastAsia" w:ascii="宋体" w:hAnsi="宋体" w:eastAsia="宋体" w:cs="宋体"/>
              <w:bCs/>
              <w:caps/>
              <w:color w:val="000000" w:themeColor="text1"/>
              <w:sz w:val="24"/>
              <w:szCs w:val="24"/>
              <w:highlight w:val="none"/>
              <w14:textFill>
                <w14:solidFill>
                  <w14:schemeClr w14:val="tx1"/>
                </w14:solidFill>
              </w14:textFill>
            </w:rPr>
            <w:fldChar w:fldCharType="begin"/>
          </w:r>
          <w:r>
            <w:rPr>
              <w:rFonts w:hint="eastAsia" w:ascii="宋体" w:hAnsi="宋体" w:eastAsia="宋体" w:cs="宋体"/>
              <w:bCs/>
              <w:caps/>
              <w:color w:val="000000" w:themeColor="text1"/>
              <w:sz w:val="24"/>
              <w:szCs w:val="24"/>
              <w:highlight w:val="none"/>
              <w14:textFill>
                <w14:solidFill>
                  <w14:schemeClr w14:val="tx1"/>
                </w14:solidFill>
              </w14:textFill>
            </w:rPr>
            <w:instrText xml:space="preserve"> HYPERLINK \l _Toc30531 </w:instrText>
          </w:r>
          <w:r>
            <w:rPr>
              <w:rFonts w:hint="eastAsia" w:ascii="宋体" w:hAnsi="宋体" w:eastAsia="宋体" w:cs="宋体"/>
              <w:bCs/>
              <w:caps/>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14:textFill>
                <w14:solidFill>
                  <w14:schemeClr w14:val="tx1"/>
                </w14:solidFill>
              </w14:textFill>
            </w:rPr>
            <w:t>第三章 评标办法（综合评分法）</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_Toc30531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20</w:t>
          </w:r>
          <w:r>
            <w:rPr>
              <w:color w:val="000000" w:themeColor="text1"/>
              <w:sz w:val="24"/>
              <w:szCs w:val="24"/>
              <w14:textFill>
                <w14:solidFill>
                  <w14:schemeClr w14:val="tx1"/>
                </w14:solidFill>
              </w14:textFill>
            </w:rPr>
            <w:fldChar w:fldCharType="end"/>
          </w:r>
          <w:r>
            <w:rPr>
              <w:rFonts w:hint="eastAsia" w:ascii="宋体" w:hAnsi="宋体" w:eastAsia="宋体" w:cs="宋体"/>
              <w:bCs/>
              <w:caps/>
              <w:color w:val="000000" w:themeColor="text1"/>
              <w:sz w:val="24"/>
              <w:szCs w:val="24"/>
              <w:highlight w:val="none"/>
              <w14:textFill>
                <w14:solidFill>
                  <w14:schemeClr w14:val="tx1"/>
                </w14:solidFill>
              </w14:textFill>
            </w:rPr>
            <w:fldChar w:fldCharType="end"/>
          </w:r>
        </w:p>
        <w:p w14:paraId="6B1CEE84">
          <w:pPr>
            <w:pStyle w:val="14"/>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color w:val="000000" w:themeColor="text1"/>
              <w:sz w:val="24"/>
              <w:szCs w:val="24"/>
              <w14:textFill>
                <w14:solidFill>
                  <w14:schemeClr w14:val="tx1"/>
                </w14:solidFill>
              </w14:textFill>
            </w:rPr>
          </w:pPr>
          <w:r>
            <w:rPr>
              <w:rFonts w:hint="eastAsia" w:ascii="宋体" w:hAnsi="宋体" w:eastAsia="宋体" w:cs="宋体"/>
              <w:bCs/>
              <w:caps/>
              <w:color w:val="000000" w:themeColor="text1"/>
              <w:sz w:val="24"/>
              <w:szCs w:val="24"/>
              <w:highlight w:val="none"/>
              <w14:textFill>
                <w14:solidFill>
                  <w14:schemeClr w14:val="tx1"/>
                </w14:solidFill>
              </w14:textFill>
            </w:rPr>
            <w:fldChar w:fldCharType="begin"/>
          </w:r>
          <w:r>
            <w:rPr>
              <w:rFonts w:hint="eastAsia" w:ascii="宋体" w:hAnsi="宋体" w:eastAsia="宋体" w:cs="宋体"/>
              <w:bCs/>
              <w:caps/>
              <w:color w:val="000000" w:themeColor="text1"/>
              <w:sz w:val="24"/>
              <w:szCs w:val="24"/>
              <w:highlight w:val="none"/>
              <w14:textFill>
                <w14:solidFill>
                  <w14:schemeClr w14:val="tx1"/>
                </w14:solidFill>
              </w14:textFill>
            </w:rPr>
            <w:instrText xml:space="preserve"> HYPERLINK \l _Toc23104 </w:instrText>
          </w:r>
          <w:r>
            <w:rPr>
              <w:rFonts w:hint="eastAsia" w:ascii="宋体" w:hAnsi="宋体" w:eastAsia="宋体" w:cs="宋体"/>
              <w:bCs/>
              <w:caps/>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14:textFill>
                <w14:solidFill>
                  <w14:schemeClr w14:val="tx1"/>
                </w14:solidFill>
              </w14:textFill>
            </w:rPr>
            <w:t>第四章  采购内容及要求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_Toc23104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27</w:t>
          </w:r>
          <w:r>
            <w:rPr>
              <w:color w:val="000000" w:themeColor="text1"/>
              <w:sz w:val="24"/>
              <w:szCs w:val="24"/>
              <w14:textFill>
                <w14:solidFill>
                  <w14:schemeClr w14:val="tx1"/>
                </w14:solidFill>
              </w14:textFill>
            </w:rPr>
            <w:fldChar w:fldCharType="end"/>
          </w:r>
          <w:r>
            <w:rPr>
              <w:rFonts w:hint="eastAsia" w:ascii="宋体" w:hAnsi="宋体" w:eastAsia="宋体" w:cs="宋体"/>
              <w:bCs/>
              <w:caps/>
              <w:color w:val="000000" w:themeColor="text1"/>
              <w:sz w:val="24"/>
              <w:szCs w:val="24"/>
              <w:highlight w:val="none"/>
              <w14:textFill>
                <w14:solidFill>
                  <w14:schemeClr w14:val="tx1"/>
                </w14:solidFill>
              </w14:textFill>
            </w:rPr>
            <w:fldChar w:fldCharType="end"/>
          </w:r>
        </w:p>
        <w:p w14:paraId="01689013">
          <w:pPr>
            <w:pStyle w:val="14"/>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color w:val="000000" w:themeColor="text1"/>
              <w:sz w:val="24"/>
              <w:szCs w:val="24"/>
              <w14:textFill>
                <w14:solidFill>
                  <w14:schemeClr w14:val="tx1"/>
                </w14:solidFill>
              </w14:textFill>
            </w:rPr>
          </w:pPr>
          <w:r>
            <w:rPr>
              <w:rFonts w:hint="eastAsia" w:ascii="宋体" w:hAnsi="宋体" w:eastAsia="宋体" w:cs="宋体"/>
              <w:bCs/>
              <w:caps/>
              <w:color w:val="000000" w:themeColor="text1"/>
              <w:sz w:val="24"/>
              <w:szCs w:val="24"/>
              <w:highlight w:val="none"/>
              <w14:textFill>
                <w14:solidFill>
                  <w14:schemeClr w14:val="tx1"/>
                </w14:solidFill>
              </w14:textFill>
            </w:rPr>
            <w:fldChar w:fldCharType="begin"/>
          </w:r>
          <w:r>
            <w:rPr>
              <w:rFonts w:hint="eastAsia" w:ascii="宋体" w:hAnsi="宋体" w:eastAsia="宋体" w:cs="宋体"/>
              <w:bCs/>
              <w:caps/>
              <w:color w:val="000000" w:themeColor="text1"/>
              <w:sz w:val="24"/>
              <w:szCs w:val="24"/>
              <w:highlight w:val="none"/>
              <w14:textFill>
                <w14:solidFill>
                  <w14:schemeClr w14:val="tx1"/>
                </w14:solidFill>
              </w14:textFill>
            </w:rPr>
            <w:instrText xml:space="preserve"> HYPERLINK \l _Toc12576 </w:instrText>
          </w:r>
          <w:r>
            <w:rPr>
              <w:rFonts w:hint="eastAsia" w:ascii="宋体" w:hAnsi="宋体" w:eastAsia="宋体" w:cs="宋体"/>
              <w:bCs/>
              <w:caps/>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14:textFill>
                <w14:solidFill>
                  <w14:schemeClr w14:val="tx1"/>
                </w14:solidFill>
              </w14:textFill>
            </w:rPr>
            <w:t>第五章 合同条款及格式</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_Toc12576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32</w:t>
          </w:r>
          <w:r>
            <w:rPr>
              <w:color w:val="000000" w:themeColor="text1"/>
              <w:sz w:val="24"/>
              <w:szCs w:val="24"/>
              <w14:textFill>
                <w14:solidFill>
                  <w14:schemeClr w14:val="tx1"/>
                </w14:solidFill>
              </w14:textFill>
            </w:rPr>
            <w:fldChar w:fldCharType="end"/>
          </w:r>
          <w:r>
            <w:rPr>
              <w:rFonts w:hint="eastAsia" w:ascii="宋体" w:hAnsi="宋体" w:eastAsia="宋体" w:cs="宋体"/>
              <w:bCs/>
              <w:caps/>
              <w:color w:val="000000" w:themeColor="text1"/>
              <w:sz w:val="24"/>
              <w:szCs w:val="24"/>
              <w:highlight w:val="none"/>
              <w14:textFill>
                <w14:solidFill>
                  <w14:schemeClr w14:val="tx1"/>
                </w14:solidFill>
              </w14:textFill>
            </w:rPr>
            <w:fldChar w:fldCharType="end"/>
          </w:r>
        </w:p>
        <w:p w14:paraId="2B47F6BB">
          <w:pPr>
            <w:pStyle w:val="14"/>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color w:val="000000" w:themeColor="text1"/>
              <w:sz w:val="24"/>
              <w:szCs w:val="24"/>
              <w14:textFill>
                <w14:solidFill>
                  <w14:schemeClr w14:val="tx1"/>
                </w14:solidFill>
              </w14:textFill>
            </w:rPr>
          </w:pPr>
          <w:r>
            <w:rPr>
              <w:rFonts w:hint="eastAsia" w:ascii="宋体" w:hAnsi="宋体" w:eastAsia="宋体" w:cs="宋体"/>
              <w:bCs/>
              <w:caps/>
              <w:color w:val="000000" w:themeColor="text1"/>
              <w:sz w:val="24"/>
              <w:szCs w:val="24"/>
              <w:highlight w:val="none"/>
              <w14:textFill>
                <w14:solidFill>
                  <w14:schemeClr w14:val="tx1"/>
                </w14:solidFill>
              </w14:textFill>
            </w:rPr>
            <w:fldChar w:fldCharType="begin"/>
          </w:r>
          <w:r>
            <w:rPr>
              <w:rFonts w:hint="eastAsia" w:ascii="宋体" w:hAnsi="宋体" w:eastAsia="宋体" w:cs="宋体"/>
              <w:bCs/>
              <w:caps/>
              <w:color w:val="000000" w:themeColor="text1"/>
              <w:sz w:val="24"/>
              <w:szCs w:val="24"/>
              <w:highlight w:val="none"/>
              <w14:textFill>
                <w14:solidFill>
                  <w14:schemeClr w14:val="tx1"/>
                </w14:solidFill>
              </w14:textFill>
            </w:rPr>
            <w:instrText xml:space="preserve"> HYPERLINK \l _Toc21355 </w:instrText>
          </w:r>
          <w:r>
            <w:rPr>
              <w:rFonts w:hint="eastAsia" w:ascii="宋体" w:hAnsi="宋体" w:eastAsia="宋体" w:cs="宋体"/>
              <w:bCs/>
              <w:caps/>
              <w:color w:val="000000" w:themeColor="text1"/>
              <w:sz w:val="24"/>
              <w:szCs w:val="24"/>
              <w:highlight w:val="none"/>
              <w14:textFill>
                <w14:solidFill>
                  <w14:schemeClr w14:val="tx1"/>
                </w14:solidFill>
              </w14:textFill>
            </w:rPr>
            <w:fldChar w:fldCharType="separate"/>
          </w:r>
          <w:r>
            <w:rPr>
              <w:rFonts w:hint="eastAsia"/>
              <w:color w:val="000000" w:themeColor="text1"/>
              <w:sz w:val="24"/>
              <w:szCs w:val="24"/>
              <w14:textFill>
                <w14:solidFill>
                  <w14:schemeClr w14:val="tx1"/>
                </w14:solidFill>
              </w14:textFill>
            </w:rPr>
            <w:t>第六章  投标文件格式</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_Toc21355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36</w:t>
          </w:r>
          <w:r>
            <w:rPr>
              <w:color w:val="000000" w:themeColor="text1"/>
              <w:sz w:val="24"/>
              <w:szCs w:val="24"/>
              <w14:textFill>
                <w14:solidFill>
                  <w14:schemeClr w14:val="tx1"/>
                </w14:solidFill>
              </w14:textFill>
            </w:rPr>
            <w:fldChar w:fldCharType="end"/>
          </w:r>
          <w:r>
            <w:rPr>
              <w:rFonts w:hint="eastAsia" w:ascii="宋体" w:hAnsi="宋体" w:eastAsia="宋体" w:cs="宋体"/>
              <w:bCs/>
              <w:caps/>
              <w:color w:val="000000" w:themeColor="text1"/>
              <w:sz w:val="24"/>
              <w:szCs w:val="24"/>
              <w:highlight w:val="none"/>
              <w14:textFill>
                <w14:solidFill>
                  <w14:schemeClr w14:val="tx1"/>
                </w14:solidFill>
              </w14:textFill>
            </w:rPr>
            <w:fldChar w:fldCharType="end"/>
          </w:r>
        </w:p>
        <w:p w14:paraId="1EE0DD8F">
          <w:pPr>
            <w:keepNext w:val="0"/>
            <w:keepLines w:val="0"/>
            <w:pageBreakBefore w:val="0"/>
            <w:widowControl w:val="0"/>
            <w:tabs>
              <w:tab w:val="right" w:leader="dot" w:pos="9345"/>
            </w:tabs>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bCs/>
              <w:cap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Cs/>
              <w:caps/>
              <w:color w:val="000000" w:themeColor="text1"/>
              <w:sz w:val="24"/>
              <w:szCs w:val="24"/>
              <w:highlight w:val="none"/>
              <w14:textFill>
                <w14:solidFill>
                  <w14:schemeClr w14:val="tx1"/>
                </w14:solidFill>
              </w14:textFill>
            </w:rPr>
            <w:fldChar w:fldCharType="end"/>
          </w:r>
        </w:p>
      </w:sdtContent>
    </w:sdt>
    <w:p w14:paraId="5998573B">
      <w:pPr>
        <w:keepNext w:val="0"/>
        <w:keepLines w:val="0"/>
        <w:pageBreakBefore w:val="0"/>
        <w:widowControl w:val="0"/>
        <w:tabs>
          <w:tab w:val="right" w:leader="dot" w:pos="9345"/>
        </w:tabs>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bCs/>
          <w:caps/>
          <w:color w:val="000000" w:themeColor="text1"/>
          <w:kern w:val="2"/>
          <w:sz w:val="21"/>
          <w:szCs w:val="24"/>
          <w:highlight w:val="none"/>
          <w:lang w:val="en-US" w:eastAsia="zh-CN" w:bidi="ar-SA"/>
          <w14:textFill>
            <w14:solidFill>
              <w14:schemeClr w14:val="tx1"/>
            </w14:solidFill>
          </w14:textFill>
        </w:rPr>
      </w:pPr>
    </w:p>
    <w:p w14:paraId="3F3CFA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zh-CN"/>
          <w14:textFill>
            <w14:solidFill>
              <w14:schemeClr w14:val="tx1"/>
            </w14:solidFill>
          </w14:textFill>
        </w:rPr>
        <w:fldChar w:fldCharType="end"/>
      </w:r>
    </w:p>
    <w:p w14:paraId="2B09F010">
      <w:pPr>
        <w:ind w:right="-512" w:rightChars="-244"/>
        <w:jc w:val="center"/>
        <w:rPr>
          <w:rFonts w:hint="eastAsia" w:ascii="宋体" w:hAnsi="宋体" w:eastAsia="宋体" w:cs="宋体"/>
          <w:b/>
          <w:bCs/>
          <w:color w:val="000000" w:themeColor="text1"/>
          <w:sz w:val="24"/>
          <w:szCs w:val="24"/>
          <w:highlight w:val="none"/>
          <w14:textFill>
            <w14:solidFill>
              <w14:schemeClr w14:val="tx1"/>
            </w14:solidFill>
          </w14:textFill>
        </w:rPr>
      </w:pPr>
    </w:p>
    <w:p w14:paraId="1FA51555">
      <w:pPr>
        <w:ind w:right="-512" w:rightChars="-244"/>
        <w:jc w:val="center"/>
        <w:rPr>
          <w:rFonts w:hint="eastAsia" w:ascii="宋体" w:hAnsi="宋体" w:eastAsia="宋体" w:cs="宋体"/>
          <w:b/>
          <w:bCs/>
          <w:color w:val="000000" w:themeColor="text1"/>
          <w:sz w:val="24"/>
          <w:szCs w:val="24"/>
          <w:highlight w:val="none"/>
          <w14:textFill>
            <w14:solidFill>
              <w14:schemeClr w14:val="tx1"/>
            </w14:solidFill>
          </w14:textFill>
        </w:rPr>
      </w:pPr>
    </w:p>
    <w:p w14:paraId="5CDB9B67">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50D3C548">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52E76748">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7EE7A20F">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0A76B9A8">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177F694A">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11FAD7B7">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5EA19131">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78A97C1E">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7E67ED29">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786E10DF">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2589B2A9">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0E40B1A1">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1A05BC47">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53E8CA70">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6513F1B3">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280CD0F3">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10785F43">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5EB39581">
      <w:pPr>
        <w:ind w:right="-512" w:rightChars="-244"/>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3501711A">
      <w:pPr>
        <w:bidi w:val="0"/>
        <w:rPr>
          <w:rFonts w:hint="eastAsia"/>
          <w:color w:val="000000" w:themeColor="text1"/>
          <w14:textFill>
            <w14:solidFill>
              <w14:schemeClr w14:val="tx1"/>
            </w14:solidFill>
          </w14:textFill>
        </w:rPr>
      </w:pPr>
    </w:p>
    <w:p w14:paraId="3807AB63">
      <w:pPr>
        <w:pStyle w:val="3"/>
        <w:bidi w:val="0"/>
        <w:rPr>
          <w:rFonts w:hint="eastAsia"/>
          <w:color w:val="000000" w:themeColor="text1"/>
          <w14:textFill>
            <w14:solidFill>
              <w14:schemeClr w14:val="tx1"/>
            </w14:solidFill>
          </w14:textFill>
        </w:rPr>
      </w:pPr>
      <w:bookmarkStart w:id="35" w:name="_Toc135922534"/>
      <w:bookmarkStart w:id="36" w:name="_Toc2786"/>
      <w:r>
        <w:rPr>
          <w:rFonts w:hint="eastAsia"/>
          <w:color w:val="000000" w:themeColor="text1"/>
          <w14:textFill>
            <w14:solidFill>
              <w14:schemeClr w14:val="tx1"/>
            </w14:solidFill>
          </w14:textFill>
        </w:rPr>
        <w:t>第一章 招标公告</w:t>
      </w:r>
      <w:bookmarkEnd w:id="24"/>
      <w:bookmarkEnd w:id="35"/>
      <w:bookmarkEnd w:id="36"/>
    </w:p>
    <w:p w14:paraId="7D3FA719">
      <w:pPr>
        <w:spacing w:line="360" w:lineRule="auto"/>
        <w:jc w:val="center"/>
        <w:rPr>
          <w:rFonts w:hint="eastAsia" w:ascii="宋体" w:hAnsi="宋体" w:eastAsia="宋体" w:cs="宋体"/>
          <w:color w:val="000000" w:themeColor="text1"/>
          <w:highlight w:val="none"/>
          <w14:textFill>
            <w14:solidFill>
              <w14:schemeClr w14:val="tx1"/>
            </w14:solidFill>
          </w14:textFill>
        </w:rPr>
      </w:pPr>
    </w:p>
    <w:p w14:paraId="183AF67A">
      <w:pPr>
        <w:spacing w:line="360" w:lineRule="auto"/>
        <w:jc w:val="center"/>
        <w:rPr>
          <w:rFonts w:hint="eastAsia" w:ascii="宋体" w:hAnsi="宋体" w:eastAsia="宋体" w:cs="宋体"/>
          <w:b/>
          <w:bCs/>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szCs w:val="28"/>
          <w:highlight w:val="none"/>
          <w14:textFill>
            <w14:solidFill>
              <w14:schemeClr w14:val="tx1"/>
            </w14:solidFill>
          </w14:textFill>
        </w:rPr>
        <w:t>【平公资采</w:t>
      </w:r>
      <w:r>
        <w:rPr>
          <w:rFonts w:hint="eastAsia" w:ascii="宋体" w:hAnsi="宋体" w:cs="宋体"/>
          <w:b/>
          <w:bCs/>
          <w:color w:val="000000" w:themeColor="text1"/>
          <w:sz w:val="24"/>
          <w:szCs w:val="28"/>
          <w:highlight w:val="none"/>
          <w:lang w:val="en-US" w:eastAsia="zh-CN"/>
          <w14:textFill>
            <w14:solidFill>
              <w14:schemeClr w14:val="tx1"/>
            </w14:solidFill>
          </w14:textFill>
        </w:rPr>
        <w:t>2026670</w:t>
      </w:r>
      <w:r>
        <w:rPr>
          <w:rFonts w:hint="eastAsia" w:ascii="宋体" w:hAnsi="宋体" w:eastAsia="宋体" w:cs="宋体"/>
          <w:b/>
          <w:bCs/>
          <w:color w:val="000000" w:themeColor="text1"/>
          <w:sz w:val="24"/>
          <w:szCs w:val="28"/>
          <w:highlight w:val="none"/>
          <w14:textFill>
            <w14:solidFill>
              <w14:schemeClr w14:val="tx1"/>
            </w14:solidFill>
          </w14:textFill>
        </w:rPr>
        <w:t>号】</w:t>
      </w:r>
      <w:r>
        <w:rPr>
          <w:rFonts w:hint="eastAsia" w:ascii="宋体" w:hAnsi="宋体" w:cs="宋体"/>
          <w:b/>
          <w:bCs/>
          <w:color w:val="000000" w:themeColor="text1"/>
          <w:sz w:val="24"/>
          <w:szCs w:val="28"/>
          <w:highlight w:val="none"/>
          <w:lang w:eastAsia="zh-CN"/>
          <w14:textFill>
            <w14:solidFill>
              <w14:schemeClr w14:val="tx1"/>
            </w14:solidFill>
          </w14:textFill>
        </w:rPr>
        <w:t>叶县辛店镇人民政府叶县2026年辛店镇省、市派第一书记联村共建养殖场基地设备提升项目</w:t>
      </w:r>
      <w:r>
        <w:rPr>
          <w:rFonts w:hint="eastAsia" w:ascii="宋体" w:hAnsi="宋体" w:eastAsia="宋体" w:cs="宋体"/>
          <w:b/>
          <w:bCs/>
          <w:color w:val="000000" w:themeColor="text1"/>
          <w:sz w:val="24"/>
          <w:szCs w:val="28"/>
          <w:highlight w:val="none"/>
          <w14:textFill>
            <w14:solidFill>
              <w14:schemeClr w14:val="tx1"/>
            </w14:solidFill>
          </w14:textFill>
        </w:rPr>
        <w:t>公开招标公告</w:t>
      </w:r>
    </w:p>
    <w:p w14:paraId="7610AF66">
      <w:pPr>
        <w:spacing w:line="360" w:lineRule="auto"/>
        <w:ind w:firstLine="211" w:firstLineChars="1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项目概况</w:t>
      </w:r>
      <w:bookmarkStart w:id="890" w:name="_GoBack"/>
      <w:bookmarkEnd w:id="890"/>
    </w:p>
    <w:p w14:paraId="780F50AA">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叶县辛店镇人民政府叶县2026年辛店镇省、市派第一书记联村共建养殖场基地设备提升项目</w:t>
      </w:r>
      <w:r>
        <w:rPr>
          <w:rFonts w:hint="eastAsia" w:ascii="宋体" w:hAnsi="宋体" w:eastAsia="宋体" w:cs="宋体"/>
          <w:color w:val="000000" w:themeColor="text1"/>
          <w:highlight w:val="none"/>
          <w14:textFill>
            <w14:solidFill>
              <w14:schemeClr w14:val="tx1"/>
            </w14:solidFill>
          </w14:textFill>
        </w:rPr>
        <w:t>招标项目的潜在投标人应在《全国公共资源交易平台（河南省</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平顶山市）》</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"http://www.pdsggzy.com/）获取招标文件，并于2023年"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获取招标文件，并于202</w:t>
      </w:r>
      <w:r>
        <w:rPr>
          <w:rFonts w:hint="eastAsia" w:ascii="宋体" w:hAnsi="宋体" w:eastAsia="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30</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lang w:val="en-US" w:eastAsia="zh-CN"/>
          <w14:textFill>
            <w14:solidFill>
              <w14:schemeClr w14:val="tx1"/>
            </w14:solidFill>
          </w14:textFill>
        </w:rPr>
        <w:t>30</w:t>
      </w:r>
      <w:r>
        <w:rPr>
          <w:rFonts w:hint="eastAsia" w:ascii="宋体" w:hAnsi="宋体" w:eastAsia="宋体" w:cs="宋体"/>
          <w:color w:val="000000" w:themeColor="text1"/>
          <w:highlight w:val="none"/>
          <w14:textFill>
            <w14:solidFill>
              <w14:schemeClr w14:val="tx1"/>
            </w14:solidFill>
          </w14:textFill>
        </w:rPr>
        <w:t>分（北京时间）前递交投标文件。</w:t>
      </w:r>
    </w:p>
    <w:p w14:paraId="733BF85E">
      <w:pPr>
        <w:widowControl/>
        <w:spacing w:line="360" w:lineRule="auto"/>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一、项目基本情况</w:t>
      </w:r>
    </w:p>
    <w:p w14:paraId="582FA493">
      <w:pPr>
        <w:spacing w:line="360" w:lineRule="auto"/>
        <w:ind w:firstLine="424" w:firstLineChars="201"/>
        <w:rPr>
          <w:rFonts w:hint="default"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1、项目编号：</w:t>
      </w:r>
      <w:r>
        <w:rPr>
          <w:rFonts w:hint="eastAsia" w:ascii="宋体" w:hAnsi="宋体" w:eastAsia="宋体" w:cs="宋体"/>
          <w:bCs/>
          <w:color w:val="000000" w:themeColor="text1"/>
          <w:szCs w:val="21"/>
          <w:highlight w:val="none"/>
          <w:lang w:eastAsia="zh-CN"/>
          <w14:textFill>
            <w14:solidFill>
              <w14:schemeClr w14:val="tx1"/>
            </w14:solidFill>
          </w14:textFill>
        </w:rPr>
        <w:t>叶财招标-2026-</w:t>
      </w:r>
      <w:r>
        <w:rPr>
          <w:rFonts w:hint="eastAsia" w:ascii="宋体" w:hAnsi="宋体" w:cs="宋体"/>
          <w:bCs/>
          <w:color w:val="000000" w:themeColor="text1"/>
          <w:szCs w:val="21"/>
          <w:highlight w:val="none"/>
          <w:lang w:val="en-US" w:eastAsia="zh-CN"/>
          <w14:textFill>
            <w14:solidFill>
              <w14:schemeClr w14:val="tx1"/>
            </w14:solidFill>
          </w14:textFill>
        </w:rPr>
        <w:t>35</w:t>
      </w:r>
    </w:p>
    <w:p w14:paraId="2DA3E04E">
      <w:pPr>
        <w:spacing w:line="360" w:lineRule="auto"/>
        <w:ind w:firstLine="424" w:firstLineChars="201"/>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2、项目名称：</w:t>
      </w:r>
      <w:r>
        <w:rPr>
          <w:rFonts w:hint="eastAsia" w:ascii="宋体" w:hAnsi="宋体" w:cs="宋体"/>
          <w:color w:val="000000" w:themeColor="text1"/>
          <w:szCs w:val="21"/>
          <w:highlight w:val="none"/>
          <w:lang w:eastAsia="zh-CN"/>
          <w14:textFill>
            <w14:solidFill>
              <w14:schemeClr w14:val="tx1"/>
            </w14:solidFill>
          </w14:textFill>
        </w:rPr>
        <w:t>叶县辛店镇人民政府叶县2026年辛店镇省、市派第一书记联村共建养殖场基地设备提升项目</w:t>
      </w:r>
    </w:p>
    <w:p w14:paraId="55DB3F66">
      <w:pPr>
        <w:spacing w:line="360" w:lineRule="auto"/>
        <w:ind w:firstLine="424" w:firstLineChars="201"/>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3、采购方式：</w:t>
      </w:r>
      <w:r>
        <w:rPr>
          <w:rFonts w:hint="eastAsia" w:ascii="宋体" w:hAnsi="宋体" w:eastAsia="宋体" w:cs="宋体"/>
          <w:color w:val="000000" w:themeColor="text1"/>
          <w:szCs w:val="21"/>
          <w:highlight w:val="none"/>
          <w14:textFill>
            <w14:solidFill>
              <w14:schemeClr w14:val="tx1"/>
            </w14:solidFill>
          </w14:textFill>
        </w:rPr>
        <w:t>公开招标</w:t>
      </w:r>
    </w:p>
    <w:p w14:paraId="5F58C120">
      <w:pPr>
        <w:spacing w:line="360" w:lineRule="auto"/>
        <w:ind w:firstLine="424" w:firstLineChars="20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4、预算金额：</w:t>
      </w:r>
      <w:r>
        <w:rPr>
          <w:rFonts w:hint="eastAsia" w:ascii="宋体" w:hAnsi="宋体" w:eastAsia="宋体" w:cs="宋体"/>
          <w:color w:val="000000" w:themeColor="text1"/>
          <w:szCs w:val="21"/>
          <w:highlight w:val="none"/>
          <w:lang w:val="en-US" w:eastAsia="zh-CN"/>
          <w14:textFill>
            <w14:solidFill>
              <w14:schemeClr w14:val="tx1"/>
            </w14:solidFill>
          </w14:textFill>
        </w:rPr>
        <w:t>2100000</w:t>
      </w:r>
      <w:r>
        <w:rPr>
          <w:rFonts w:hint="eastAsia" w:ascii="宋体" w:hAnsi="宋体" w:eastAsia="宋体" w:cs="宋体"/>
          <w:color w:val="000000" w:themeColor="text1"/>
          <w:szCs w:val="21"/>
          <w:highlight w:val="none"/>
          <w:lang w:eastAsia="zh-CN"/>
          <w14:textFill>
            <w14:solidFill>
              <w14:schemeClr w14:val="tx1"/>
            </w14:solidFill>
          </w14:textFill>
        </w:rPr>
        <w:t>.00</w:t>
      </w:r>
      <w:r>
        <w:rPr>
          <w:rFonts w:hint="eastAsia" w:ascii="宋体" w:hAnsi="宋体" w:eastAsia="宋体" w:cs="宋体"/>
          <w:color w:val="000000" w:themeColor="text1"/>
          <w:szCs w:val="21"/>
          <w:highlight w:val="none"/>
          <w14:textFill>
            <w14:solidFill>
              <w14:schemeClr w14:val="tx1"/>
            </w14:solidFill>
          </w14:textFill>
        </w:rPr>
        <w:t>元</w:t>
      </w:r>
    </w:p>
    <w:p w14:paraId="43911F2F">
      <w:pPr>
        <w:spacing w:line="360" w:lineRule="auto"/>
        <w:ind w:firstLine="843" w:firstLineChars="4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最高限价：</w:t>
      </w:r>
      <w:r>
        <w:rPr>
          <w:rFonts w:hint="eastAsia" w:ascii="宋体" w:hAnsi="宋体" w:eastAsia="宋体" w:cs="宋体"/>
          <w:color w:val="000000" w:themeColor="text1"/>
          <w:szCs w:val="21"/>
          <w:highlight w:val="none"/>
          <w:lang w:val="en-US" w:eastAsia="zh-CN"/>
          <w14:textFill>
            <w14:solidFill>
              <w14:schemeClr w14:val="tx1"/>
            </w14:solidFill>
          </w14:textFill>
        </w:rPr>
        <w:t>2100000</w:t>
      </w:r>
      <w:r>
        <w:rPr>
          <w:rFonts w:hint="eastAsia" w:ascii="宋体" w:hAnsi="宋体" w:eastAsia="宋体" w:cs="宋体"/>
          <w:color w:val="000000" w:themeColor="text1"/>
          <w:szCs w:val="21"/>
          <w:highlight w:val="none"/>
          <w:lang w:eastAsia="zh-CN"/>
          <w14:textFill>
            <w14:solidFill>
              <w14:schemeClr w14:val="tx1"/>
            </w14:solidFill>
          </w14:textFill>
        </w:rPr>
        <w:t>.00</w:t>
      </w:r>
      <w:r>
        <w:rPr>
          <w:rFonts w:hint="eastAsia" w:ascii="宋体" w:hAnsi="宋体" w:eastAsia="宋体" w:cs="宋体"/>
          <w:color w:val="000000" w:themeColor="text1"/>
          <w:szCs w:val="21"/>
          <w:highlight w:val="none"/>
          <w14:textFill>
            <w14:solidFill>
              <w14:schemeClr w14:val="tx1"/>
            </w14:solidFill>
          </w14:textFill>
        </w:rPr>
        <w:t>元</w:t>
      </w:r>
    </w:p>
    <w:tbl>
      <w:tblPr>
        <w:tblStyle w:val="18"/>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1820"/>
        <w:gridCol w:w="2441"/>
        <w:gridCol w:w="1717"/>
        <w:gridCol w:w="2301"/>
      </w:tblGrid>
      <w:tr w14:paraId="1EC8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77" w:type="dxa"/>
            <w:noWrap w:val="0"/>
            <w:vAlign w:val="center"/>
          </w:tcPr>
          <w:p w14:paraId="4C73D92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820" w:type="dxa"/>
            <w:noWrap w:val="0"/>
            <w:vAlign w:val="center"/>
          </w:tcPr>
          <w:p w14:paraId="7B61FE4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包号</w:t>
            </w:r>
          </w:p>
        </w:tc>
        <w:tc>
          <w:tcPr>
            <w:tcW w:w="2441" w:type="dxa"/>
            <w:noWrap w:val="0"/>
            <w:vAlign w:val="center"/>
          </w:tcPr>
          <w:p w14:paraId="4060876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包名称</w:t>
            </w:r>
          </w:p>
        </w:tc>
        <w:tc>
          <w:tcPr>
            <w:tcW w:w="1717" w:type="dxa"/>
            <w:noWrap w:val="0"/>
            <w:vAlign w:val="center"/>
          </w:tcPr>
          <w:p w14:paraId="02513F46">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包预算（元）</w:t>
            </w:r>
          </w:p>
        </w:tc>
        <w:tc>
          <w:tcPr>
            <w:tcW w:w="2301" w:type="dxa"/>
            <w:noWrap w:val="0"/>
            <w:vAlign w:val="center"/>
          </w:tcPr>
          <w:p w14:paraId="566233D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包最高限价（元）</w:t>
            </w:r>
          </w:p>
        </w:tc>
      </w:tr>
      <w:tr w14:paraId="4115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777" w:type="dxa"/>
            <w:noWrap w:val="0"/>
            <w:vAlign w:val="center"/>
          </w:tcPr>
          <w:p w14:paraId="6EC94C3E">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820" w:type="dxa"/>
            <w:noWrap w:val="0"/>
            <w:vAlign w:val="center"/>
          </w:tcPr>
          <w:p w14:paraId="0AEE2B06">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平公资采</w:t>
            </w:r>
            <w:r>
              <w:rPr>
                <w:rFonts w:hint="eastAsia" w:ascii="宋体" w:hAnsi="宋体" w:cs="宋体"/>
                <w:color w:val="000000" w:themeColor="text1"/>
                <w:szCs w:val="21"/>
                <w:highlight w:val="none"/>
                <w:lang w:val="en-US" w:eastAsia="zh-CN"/>
                <w14:textFill>
                  <w14:solidFill>
                    <w14:schemeClr w14:val="tx1"/>
                  </w14:solidFill>
                </w14:textFill>
              </w:rPr>
              <w:t>2026670</w:t>
            </w:r>
            <w:r>
              <w:rPr>
                <w:rFonts w:hint="eastAsia" w:ascii="宋体" w:hAnsi="宋体" w:eastAsia="宋体" w:cs="宋体"/>
                <w:color w:val="000000" w:themeColor="text1"/>
                <w:szCs w:val="21"/>
                <w:highlight w:val="none"/>
                <w14:textFill>
                  <w14:solidFill>
                    <w14:schemeClr w14:val="tx1"/>
                  </w14:solidFill>
                </w14:textFill>
              </w:rPr>
              <w:t>号-1</w:t>
            </w:r>
          </w:p>
        </w:tc>
        <w:tc>
          <w:tcPr>
            <w:tcW w:w="2441" w:type="dxa"/>
            <w:noWrap w:val="0"/>
            <w:vAlign w:val="center"/>
          </w:tcPr>
          <w:p w14:paraId="1330567E">
            <w:pPr>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叶县辛店镇人民政府叶县2026年辛店镇省、市派第一书记联村共建养殖场基地设备提升项目</w:t>
            </w:r>
          </w:p>
        </w:tc>
        <w:tc>
          <w:tcPr>
            <w:tcW w:w="1717" w:type="dxa"/>
            <w:noWrap w:val="0"/>
            <w:vAlign w:val="center"/>
          </w:tcPr>
          <w:p w14:paraId="26D3FEDC">
            <w:pPr>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2100000.00</w:t>
            </w:r>
          </w:p>
        </w:tc>
        <w:tc>
          <w:tcPr>
            <w:tcW w:w="2301" w:type="dxa"/>
            <w:noWrap w:val="0"/>
            <w:vAlign w:val="center"/>
          </w:tcPr>
          <w:p w14:paraId="3B599F52">
            <w:pPr>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2100000.00</w:t>
            </w:r>
          </w:p>
        </w:tc>
      </w:tr>
    </w:tbl>
    <w:p w14:paraId="0B2938EA">
      <w:pPr>
        <w:spacing w:line="360" w:lineRule="auto"/>
        <w:ind w:firstLine="422" w:firstLineChars="201"/>
        <w:rPr>
          <w:rFonts w:hint="eastAsia" w:ascii="宋体" w:hAnsi="宋体" w:eastAsia="宋体" w:cs="宋体"/>
          <w:color w:val="000000" w:themeColor="text1"/>
          <w:highlight w:val="none"/>
          <w14:textFill>
            <w14:solidFill>
              <w14:schemeClr w14:val="tx1"/>
            </w14:solidFill>
          </w14:textFill>
        </w:rPr>
      </w:pPr>
    </w:p>
    <w:p w14:paraId="45F99396">
      <w:pPr>
        <w:spacing w:line="360" w:lineRule="auto"/>
        <w:ind w:firstLine="424" w:firstLineChars="201"/>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5、采购需求：（包括但不限于标的的名称、数量、简要技术需求或服务要求等）</w:t>
      </w:r>
    </w:p>
    <w:p w14:paraId="3482FE6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（1）采购内容：</w:t>
      </w:r>
      <w:r>
        <w:rPr>
          <w:rFonts w:hint="eastAsia" w:ascii="宋体" w:hAnsi="宋体" w:eastAsia="宋体" w:cs="宋体"/>
          <w:color w:val="000000" w:themeColor="text1"/>
          <w:szCs w:val="21"/>
          <w:highlight w:val="none"/>
          <w:lang w:eastAsia="zh-CN"/>
          <w14:textFill>
            <w14:solidFill>
              <w14:schemeClr w14:val="tx1"/>
            </w14:solidFill>
          </w14:textFill>
        </w:rPr>
        <w:t>叶县2026年辛店镇养殖场基地设备提升项目</w:t>
      </w:r>
      <w:r>
        <w:rPr>
          <w:rFonts w:hint="eastAsia" w:ascii="宋体" w:hAnsi="宋体" w:eastAsia="宋体" w:cs="宋体"/>
          <w:color w:val="000000" w:themeColor="text1"/>
          <w:szCs w:val="21"/>
          <w:highlight w:val="none"/>
          <w14:textFill>
            <w14:solidFill>
              <w14:schemeClr w14:val="tx1"/>
            </w14:solidFill>
          </w14:textFill>
        </w:rPr>
        <w:t>，具体内容及要求详见招标文件。</w:t>
      </w:r>
    </w:p>
    <w:p w14:paraId="69129D61">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（2）标包划分：本项目共划分一个包段；</w:t>
      </w:r>
    </w:p>
    <w:p w14:paraId="32BB9E0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（3）质量要求：符合国家及行业相关规范和标准</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满足采购人要求</w:t>
      </w:r>
      <w:r>
        <w:rPr>
          <w:rFonts w:hint="eastAsia" w:ascii="宋体" w:hAnsi="宋体" w:eastAsia="宋体" w:cs="宋体"/>
          <w:color w:val="000000" w:themeColor="text1"/>
          <w:szCs w:val="21"/>
          <w:highlight w:val="none"/>
          <w14:textFill>
            <w14:solidFill>
              <w14:schemeClr w14:val="tx1"/>
            </w14:solidFill>
          </w14:textFill>
        </w:rPr>
        <w:t>；</w:t>
      </w:r>
    </w:p>
    <w:p w14:paraId="177AE4A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（4）交货及安装期：</w:t>
      </w:r>
      <w:r>
        <w:rPr>
          <w:rFonts w:hint="eastAsia" w:ascii="宋体" w:hAnsi="宋体" w:eastAsia="宋体" w:cs="宋体"/>
          <w:color w:val="000000" w:themeColor="text1"/>
          <w:szCs w:val="21"/>
          <w:highlight w:val="none"/>
          <w:lang w:val="en-US" w:eastAsia="zh-CN"/>
          <w14:textFill>
            <w14:solidFill>
              <w14:schemeClr w14:val="tx1"/>
            </w14:solidFill>
          </w14:textFill>
        </w:rPr>
        <w:t>60</w:t>
      </w:r>
      <w:r>
        <w:rPr>
          <w:rFonts w:hint="eastAsia" w:ascii="宋体" w:hAnsi="宋体" w:eastAsia="宋体" w:cs="宋体"/>
          <w:color w:val="000000" w:themeColor="text1"/>
          <w:szCs w:val="21"/>
          <w:highlight w:val="none"/>
          <w14:textFill>
            <w14:solidFill>
              <w14:schemeClr w14:val="tx1"/>
            </w14:solidFill>
          </w14:textFill>
        </w:rPr>
        <w:t>日历天内供货、安装、调试完毕；</w:t>
      </w:r>
    </w:p>
    <w:p w14:paraId="5BFB56E0">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（5）质保期：</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年；</w:t>
      </w:r>
    </w:p>
    <w:p w14:paraId="7CE4553A">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（6）交货及安装地点:采购人指定地点。</w:t>
      </w:r>
    </w:p>
    <w:p w14:paraId="161B5372">
      <w:pPr>
        <w:adjustRightInd w:val="0"/>
        <w:snapToGrid w:val="0"/>
        <w:spacing w:line="360" w:lineRule="auto"/>
        <w:ind w:right="-317" w:rightChars="-151" w:firstLine="424" w:firstLineChars="201"/>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6、合同履行期限：</w:t>
      </w:r>
      <w:r>
        <w:rPr>
          <w:rFonts w:hint="eastAsia" w:ascii="宋体" w:hAnsi="宋体" w:eastAsia="宋体" w:cs="宋体"/>
          <w:b/>
          <w:color w:val="000000" w:themeColor="text1"/>
          <w:kern w:val="0"/>
          <w:szCs w:val="21"/>
          <w:highlight w:val="none"/>
          <w:lang w:val="en-US" w:eastAsia="zh-CN"/>
          <w14:textFill>
            <w14:solidFill>
              <w14:schemeClr w14:val="tx1"/>
            </w14:solidFill>
          </w14:textFill>
        </w:rPr>
        <w:t>60</w:t>
      </w:r>
      <w:r>
        <w:rPr>
          <w:rFonts w:hint="eastAsia" w:ascii="宋体" w:hAnsi="宋体" w:eastAsia="宋体" w:cs="宋体"/>
          <w:b/>
          <w:color w:val="000000" w:themeColor="text1"/>
          <w:kern w:val="0"/>
          <w:szCs w:val="21"/>
          <w:highlight w:val="none"/>
          <w14:textFill>
            <w14:solidFill>
              <w14:schemeClr w14:val="tx1"/>
            </w14:solidFill>
          </w14:textFill>
        </w:rPr>
        <w:t>日历天</w:t>
      </w:r>
      <w:r>
        <w:rPr>
          <w:rFonts w:hint="eastAsia" w:ascii="宋体" w:hAnsi="宋体" w:eastAsia="宋体" w:cs="宋体"/>
          <w:color w:val="000000" w:themeColor="text1"/>
          <w:kern w:val="0"/>
          <w:szCs w:val="21"/>
          <w:highlight w:val="none"/>
          <w14:textFill>
            <w14:solidFill>
              <w14:schemeClr w14:val="tx1"/>
            </w14:solidFill>
          </w14:textFill>
        </w:rPr>
        <w:t>。</w:t>
      </w:r>
    </w:p>
    <w:p w14:paraId="2A2EF90B">
      <w:pPr>
        <w:adjustRightInd w:val="0"/>
        <w:snapToGrid w:val="0"/>
        <w:spacing w:line="360" w:lineRule="auto"/>
        <w:ind w:right="-317" w:rightChars="-151" w:firstLine="424" w:firstLineChars="201"/>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7、本项目是否接受联合体投标：</w:t>
      </w:r>
      <w:r>
        <w:rPr>
          <w:rFonts w:hint="eastAsia" w:ascii="宋体" w:hAnsi="宋体" w:eastAsia="宋体" w:cs="宋体"/>
          <w:color w:val="000000" w:themeColor="text1"/>
          <w:kern w:val="0"/>
          <w:szCs w:val="21"/>
          <w:highlight w:val="none"/>
          <w14:textFill>
            <w14:solidFill>
              <w14:schemeClr w14:val="tx1"/>
            </w14:solidFill>
          </w14:textFill>
        </w:rPr>
        <w:t>否</w:t>
      </w:r>
    </w:p>
    <w:p w14:paraId="66B2C936">
      <w:pPr>
        <w:adjustRightInd w:val="0"/>
        <w:snapToGrid w:val="0"/>
        <w:spacing w:line="360" w:lineRule="auto"/>
        <w:ind w:right="-317" w:rightChars="-151" w:firstLine="424" w:firstLineChars="201"/>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8、是否接受进口产品：</w:t>
      </w:r>
      <w:r>
        <w:rPr>
          <w:rFonts w:hint="eastAsia" w:ascii="宋体" w:hAnsi="宋体" w:eastAsia="宋体" w:cs="宋体"/>
          <w:color w:val="000000" w:themeColor="text1"/>
          <w:kern w:val="0"/>
          <w:szCs w:val="21"/>
          <w:highlight w:val="none"/>
          <w14:textFill>
            <w14:solidFill>
              <w14:schemeClr w14:val="tx1"/>
            </w14:solidFill>
          </w14:textFill>
        </w:rPr>
        <w:t>否</w:t>
      </w:r>
    </w:p>
    <w:p w14:paraId="18078FA9">
      <w:pPr>
        <w:spacing w:line="360" w:lineRule="auto"/>
        <w:ind w:firstLine="424" w:firstLineChars="201"/>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9、是否专门面向中小企业：</w:t>
      </w:r>
      <w:r>
        <w:rPr>
          <w:rFonts w:hint="eastAsia" w:ascii="宋体" w:hAnsi="宋体" w:eastAsia="宋体" w:cs="宋体"/>
          <w:color w:val="000000" w:themeColor="text1"/>
          <w:highlight w:val="none"/>
          <w14:textFill>
            <w14:solidFill>
              <w14:schemeClr w14:val="tx1"/>
            </w14:solidFill>
          </w14:textFill>
        </w:rPr>
        <w:t>否</w:t>
      </w:r>
    </w:p>
    <w:p w14:paraId="1CB46BE9">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二、申请人资格要求：</w:t>
      </w:r>
    </w:p>
    <w:p w14:paraId="64CE9458">
      <w:pPr>
        <w:spacing w:line="360" w:lineRule="auto"/>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1、满足《中华人民共和国政府采购法》第二十二条规定；</w:t>
      </w:r>
    </w:p>
    <w:p w14:paraId="29706641">
      <w:pPr>
        <w:spacing w:line="360" w:lineRule="auto"/>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2、落实政府采购政策满足的资格要求：</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p>
    <w:p w14:paraId="6753CEFF">
      <w:pPr>
        <w:spacing w:line="360" w:lineRule="auto"/>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3、本项目的特定资格要求：</w:t>
      </w:r>
      <w:bookmarkStart w:id="37" w:name="_Toc358534657"/>
      <w:bookmarkStart w:id="38" w:name="_Toc358202146"/>
      <w:bookmarkStart w:id="39" w:name="_Toc358563805"/>
      <w:bookmarkStart w:id="40" w:name="_Toc358534849"/>
      <w:bookmarkStart w:id="41" w:name="_Toc358534729"/>
    </w:p>
    <w:p w14:paraId="0B1EA7CF">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3.1供应商具有独立法人资格，持有有效的营业执照(或电子营业执照)；</w:t>
      </w:r>
    </w:p>
    <w:p w14:paraId="3EBA7BC9">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为贯彻落实《关于促进政府采购公平竞争优化营商环境的通知》（财库〔2019〕38号）和《关于全面推行证明事项和涉企经营许可事项告知承诺制的指导意见》（国办发〔2020〕42号），降低供应商参与政府采购活动的制度性交易成本，持续优化政府采购营商环境。在本次招标活动中，投标人只需提供叶县政府采购供应商信用承诺书（格式详见采购文件），不再需要提供以下证明材料：</w:t>
      </w:r>
    </w:p>
    <w:p w14:paraId="460E51EF">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①具有良好的商业信誉的证明材料：</w:t>
      </w:r>
    </w:p>
    <w:p w14:paraId="48BA97C3">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②符合国家相关规定的财务状况报告：</w:t>
      </w:r>
    </w:p>
    <w:p w14:paraId="2661E2A7">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③具备履行政府采购合同所必需的设备和专业技术能力的证明材料：</w:t>
      </w:r>
    </w:p>
    <w:p w14:paraId="5B5C33D7">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④依法缴纳税收和社会保障资金的证明材料：</w:t>
      </w:r>
    </w:p>
    <w:p w14:paraId="57DE7CDD">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⑤参加政府采购活动前三年内在经营活动中没有重大违法记录的证明材料：</w:t>
      </w:r>
    </w:p>
    <w:p w14:paraId="5F4E5C64">
      <w:pPr>
        <w:spacing w:line="360" w:lineRule="auto"/>
        <w:ind w:firstLine="424" w:firstLineChars="202"/>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3.3提供“中国执行信息公开网”网站的“失信被执行人”、“信用中国”网站的“重大税收违法失信主体”和“中国政府采购”网站的“政府采购严重违法失信行为记录名单”查询结果页面截图，不得有不良记录（执行财库【2016】125号文）</w:t>
      </w:r>
    </w:p>
    <w:p w14:paraId="3F3B744F">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单位负责人为同一人或者存在直接控股、管理关系的不同投标人，不得参加同一合同项下的政府采购活动（</w:t>
      </w:r>
      <w:r>
        <w:rPr>
          <w:rFonts w:hint="eastAsia" w:ascii="宋体" w:hAnsi="宋体" w:eastAsia="宋体" w:cs="宋体"/>
          <w:color w:val="000000" w:themeColor="text1"/>
          <w:szCs w:val="21"/>
          <w:highlight w:val="none"/>
          <w:lang w:val="en-US" w:eastAsia="zh-CN"/>
          <w14:textFill>
            <w14:solidFill>
              <w14:schemeClr w14:val="tx1"/>
            </w14:solidFill>
          </w14:textFill>
        </w:rPr>
        <w:t>提供承诺函，格式自拟</w:t>
      </w:r>
      <w:r>
        <w:rPr>
          <w:rFonts w:hint="eastAsia" w:ascii="宋体" w:hAnsi="宋体" w:eastAsia="宋体" w:cs="宋体"/>
          <w:color w:val="000000" w:themeColor="text1"/>
          <w:szCs w:val="21"/>
          <w:highlight w:val="none"/>
          <w14:textFill>
            <w14:solidFill>
              <w14:schemeClr w14:val="tx1"/>
            </w14:solidFill>
          </w14:textFill>
        </w:rPr>
        <w:t>）；</w:t>
      </w:r>
    </w:p>
    <w:p w14:paraId="14E40F7D">
      <w:pPr>
        <w:spacing w:line="360" w:lineRule="auto"/>
        <w:ind w:firstLine="424" w:firstLineChars="202"/>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lang w:val="zh-CN"/>
          <w14:textFill>
            <w14:solidFill>
              <w14:schemeClr w14:val="tx1"/>
            </w14:solidFill>
          </w14:textFill>
        </w:rPr>
        <w:t>本次招标不接受联合体投标，采用资格后审。</w:t>
      </w:r>
    </w:p>
    <w:p w14:paraId="08828125">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注：（1）如供应商为新成立企业，可提供注册后的相关证明材料。（2）投标人须保证投标期间提供的所有资料真实有效，并愿意承担因提供虚假资料引起的一切不良后果（提供加盖公章的承诺书）。</w:t>
      </w:r>
    </w:p>
    <w:p w14:paraId="1FA9A601">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三、获取招标文件</w:t>
      </w:r>
    </w:p>
    <w:p w14:paraId="6AA36127">
      <w:pPr>
        <w:adjustRightInd w:val="0"/>
        <w:snapToGrid w:val="0"/>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1、时间：202</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日至202</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29</w:t>
      </w:r>
      <w:r>
        <w:rPr>
          <w:rFonts w:hint="eastAsia" w:ascii="宋体" w:hAnsi="宋体" w:eastAsia="宋体" w:cs="宋体"/>
          <w:color w:val="000000" w:themeColor="text1"/>
          <w:szCs w:val="21"/>
          <w:highlight w:val="none"/>
          <w14:textFill>
            <w14:solidFill>
              <w14:schemeClr w14:val="tx1"/>
            </w14:solidFill>
          </w14:textFill>
        </w:rPr>
        <w:t>日，每天上午00:00至12:00，下午12:00至23:59（北京时间，法定节假日除外。）</w:t>
      </w:r>
    </w:p>
    <w:p w14:paraId="3AF8811A">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2、地点：《全国公共资源交易平台（河南省·平顶山市）》(http://ggzy.pds.gov.cn)</w:t>
      </w:r>
    </w:p>
    <w:p w14:paraId="04664AA8">
      <w:pPr>
        <w:widowControl/>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3、方式：潜在投标人需凭CA数字证书通过全国公共资源交易平台（河南省·平顶山市）（网址：</w:t>
      </w: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color w:val="000000" w:themeColor="text1"/>
          <w:szCs w:val="21"/>
          <w:highlight w:val="none"/>
          <w14:textFill>
            <w14:solidFill>
              <w14:schemeClr w14:val="tx1"/>
            </w14:solidFill>
          </w14:textFill>
        </w:rPr>
        <w:instrText xml:space="preserve"> HYPERLINK "http://www.pdsggzy.com/" </w:instrText>
      </w:r>
      <w:r>
        <w:rPr>
          <w:rFonts w:hint="eastAsia" w:ascii="宋体" w:hAnsi="宋体" w:eastAsia="宋体" w:cs="宋体"/>
          <w:color w:val="000000" w:themeColor="text1"/>
          <w:szCs w:val="21"/>
          <w:highlight w:val="none"/>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http://ggzy.pds.gov.cn</w:t>
      </w:r>
      <w:r>
        <w:rPr>
          <w:rFonts w:hint="eastAsia" w:ascii="宋体" w:hAnsi="宋体" w:eastAsia="宋体" w:cs="宋体"/>
          <w:color w:val="000000" w:themeColor="text1"/>
          <w:szCs w:val="21"/>
          <w:highlight w:val="none"/>
          <w14:textFill>
            <w14:solidFill>
              <w14:schemeClr w14:val="tx1"/>
            </w14:solidFill>
          </w14:textFill>
        </w:rPr>
        <w:fldChar w:fldCharType="end"/>
      </w:r>
      <w:r>
        <w:rPr>
          <w:rFonts w:hint="eastAsia" w:ascii="宋体" w:hAnsi="宋体" w:eastAsia="宋体" w:cs="宋体"/>
          <w:color w:val="000000" w:themeColor="text1"/>
          <w:szCs w:val="21"/>
          <w:highlight w:val="none"/>
          <w14:textFill>
            <w14:solidFill>
              <w14:schemeClr w14:val="tx1"/>
            </w14:solidFill>
          </w14:textFill>
        </w:rPr>
        <w:t>）“交易主体登录”入口进入交易系统进行文件下载。具体操作请查看以下链接：</w:t>
      </w:r>
    </w:p>
    <w:p w14:paraId="156AC136">
      <w:pPr>
        <w:widowControl/>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链接地址：</w:t>
      </w: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color w:val="000000" w:themeColor="text1"/>
          <w:szCs w:val="21"/>
          <w:highlight w:val="none"/>
          <w14:textFill>
            <w14:solidFill>
              <w14:schemeClr w14:val="tx1"/>
            </w14:solidFill>
          </w14:textFill>
        </w:rPr>
        <w:instrText xml:space="preserve"> HYPERLINK "http://www.pdsggzy.com/fwzn/11020.jhtml" </w:instrText>
      </w:r>
      <w:r>
        <w:rPr>
          <w:rFonts w:hint="eastAsia" w:ascii="宋体" w:hAnsi="宋体" w:eastAsia="宋体" w:cs="宋体"/>
          <w:color w:val="000000" w:themeColor="text1"/>
          <w:szCs w:val="21"/>
          <w:highlight w:val="none"/>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http://ggzy.pds.gov.cn/fwzn/11020.jhtml</w:t>
      </w:r>
      <w:r>
        <w:rPr>
          <w:rFonts w:hint="eastAsia" w:ascii="宋体" w:hAnsi="宋体" w:eastAsia="宋体" w:cs="宋体"/>
          <w:color w:val="000000" w:themeColor="text1"/>
          <w:szCs w:val="21"/>
          <w:highlight w:val="none"/>
          <w14:textFill>
            <w14:solidFill>
              <w14:schemeClr w14:val="tx1"/>
            </w14:solidFill>
          </w14:textFill>
        </w:rPr>
        <w:fldChar w:fldCharType="end"/>
      </w:r>
    </w:p>
    <w:p w14:paraId="3C1497FF">
      <w:pPr>
        <w:widowControl/>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办理CA证书：</w:t>
      </w:r>
      <w:r>
        <w:rPr>
          <w:rFonts w:hint="eastAsia" w:ascii="宋体" w:hAnsi="宋体" w:eastAsia="宋体" w:cs="宋体"/>
          <w:color w:val="000000" w:themeColor="text1"/>
          <w:szCs w:val="21"/>
          <w:highlight w:val="none"/>
          <w14:textFill>
            <w14:solidFill>
              <w14:schemeClr w14:val="tx1"/>
            </w14:solidFill>
          </w14:textFill>
        </w:rPr>
        <w:fldChar w:fldCharType="begin"/>
      </w:r>
      <w:r>
        <w:rPr>
          <w:rFonts w:hint="eastAsia" w:ascii="宋体" w:hAnsi="宋体" w:eastAsia="宋体" w:cs="宋体"/>
          <w:color w:val="000000" w:themeColor="text1"/>
          <w:szCs w:val="21"/>
          <w:highlight w:val="none"/>
          <w14:textFill>
            <w14:solidFill>
              <w14:schemeClr w14:val="tx1"/>
            </w14:solidFill>
          </w14:textFill>
        </w:rPr>
        <w:instrText xml:space="preserve"> HYPERLINK "http://www.pdsggzy.com/tzgg/10814.jhtml" </w:instrText>
      </w:r>
      <w:r>
        <w:rPr>
          <w:rFonts w:hint="eastAsia" w:ascii="宋体" w:hAnsi="宋体" w:eastAsia="宋体" w:cs="宋体"/>
          <w:color w:val="000000" w:themeColor="text1"/>
          <w:szCs w:val="21"/>
          <w:highlight w:val="none"/>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http://ggzy.pds.gov.cn/tzgg/10814.jhtml</w:t>
      </w:r>
      <w:r>
        <w:rPr>
          <w:rFonts w:hint="eastAsia" w:ascii="宋体" w:hAnsi="宋体" w:eastAsia="宋体" w:cs="宋体"/>
          <w:color w:val="000000" w:themeColor="text1"/>
          <w:szCs w:val="21"/>
          <w:highlight w:val="none"/>
          <w14:textFill>
            <w14:solidFill>
              <w14:schemeClr w14:val="tx1"/>
            </w14:solidFill>
          </w14:textFill>
        </w:rPr>
        <w:fldChar w:fldCharType="end"/>
      </w:r>
    </w:p>
    <w:p w14:paraId="7CFEE1DD">
      <w:pPr>
        <w:widowControl/>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4、售价：0元。</w:t>
      </w:r>
    </w:p>
    <w:p w14:paraId="211CA15A">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四、投标截止时间及地点</w:t>
      </w:r>
    </w:p>
    <w:bookmarkEnd w:id="37"/>
    <w:bookmarkEnd w:id="38"/>
    <w:bookmarkEnd w:id="39"/>
    <w:bookmarkEnd w:id="40"/>
    <w:bookmarkEnd w:id="41"/>
    <w:p w14:paraId="2E9BB3F3">
      <w:pPr>
        <w:widowControl/>
        <w:spacing w:line="360" w:lineRule="auto"/>
        <w:ind w:firstLine="424" w:firstLineChars="202"/>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1、时间：202</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时</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分（北京时间）</w:t>
      </w:r>
    </w:p>
    <w:p w14:paraId="2A81352D">
      <w:pPr>
        <w:spacing w:line="360" w:lineRule="auto"/>
        <w:ind w:right="-283" w:rightChars="-135"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2、地点：</w:t>
      </w:r>
      <w:r>
        <w:rPr>
          <w:rFonts w:hint="eastAsia" w:ascii="宋体" w:hAnsi="宋体" w:eastAsia="宋体" w:cs="宋体"/>
          <w:color w:val="000000" w:themeColor="text1"/>
          <w:highlight w:val="none"/>
          <w14:textFill>
            <w14:solidFill>
              <w14:schemeClr w14:val="tx1"/>
            </w14:solidFill>
          </w14:textFill>
        </w:rPr>
        <w:t>《全国公共资源交易平台（河南省</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平顶山市）》</w:t>
      </w:r>
      <w:r>
        <w:rPr>
          <w:rFonts w:hint="eastAsia" w:ascii="宋体" w:hAnsi="宋体" w:eastAsia="宋体" w:cs="宋体"/>
          <w:color w:val="000000" w:themeColor="text1"/>
          <w:szCs w:val="21"/>
          <w:highlight w:val="none"/>
          <w14:textFill>
            <w14:solidFill>
              <w14:schemeClr w14:val="tx1"/>
            </w14:solidFill>
          </w14:textFill>
        </w:rPr>
        <w:t>公共资源交易系统</w:t>
      </w:r>
    </w:p>
    <w:p w14:paraId="464FB134">
      <w:pPr>
        <w:spacing w:line="360" w:lineRule="auto"/>
        <w:ind w:right="-283" w:rightChars="-1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五、开标时间及地点</w:t>
      </w:r>
    </w:p>
    <w:p w14:paraId="601B8C28">
      <w:pPr>
        <w:widowControl/>
        <w:spacing w:line="360" w:lineRule="auto"/>
        <w:ind w:firstLine="424" w:firstLineChars="202"/>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1、时间：202</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时</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分（北京时间）</w:t>
      </w:r>
    </w:p>
    <w:p w14:paraId="3555BA57">
      <w:pPr>
        <w:spacing w:line="360" w:lineRule="auto"/>
        <w:ind w:right="-283" w:rightChars="-135"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2、地点：《全国公共资源交易平台(河南省·平顶山市)》公共资源交易系统</w:t>
      </w:r>
    </w:p>
    <w:p w14:paraId="35AEB43E">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六、发布公告的媒介及招标公告期限</w:t>
      </w:r>
    </w:p>
    <w:p w14:paraId="23BC85E3">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本次公告在《河南省政府采购网》、《平顶山市政府采购网》、《叶县政府采购网》、《全国公共资源交易平台（河南省•平顶山市）》上发布，招标公告期限为五个工作日。</w:t>
      </w:r>
    </w:p>
    <w:p w14:paraId="1CE7D528">
      <w:pPr>
        <w:spacing w:line="360" w:lineRule="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七、其他补充事宜</w:t>
      </w:r>
    </w:p>
    <w:p w14:paraId="5EF8F8A6">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bookmarkStart w:id="42" w:name="_Toc358202147"/>
      <w:bookmarkStart w:id="43" w:name="_Toc358534850"/>
      <w:bookmarkStart w:id="44" w:name="_Toc358534730"/>
      <w:bookmarkStart w:id="45" w:name="_Toc358563806"/>
      <w:bookmarkStart w:id="46" w:name="_Toc358534658"/>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zh-CN"/>
          <w14:textFill>
            <w14:solidFill>
              <w14:schemeClr w14:val="tx1"/>
            </w14:solidFill>
          </w14:textFill>
        </w:rPr>
        <w:t>平顶山市公共资源交易中心全面实行在线“不见面”开标，投标人远程在线解密投标文件，不再到开标现场，投标人开标前应仔细阅读《“不见面”开标注意事项及操作流程》。</w:t>
      </w:r>
    </w:p>
    <w:p w14:paraId="0DF9D67F">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投标人或其他利害关系人对本次招标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48B81D77">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监督单位：叶县财政局</w:t>
      </w:r>
    </w:p>
    <w:p w14:paraId="793466A7">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统一信用代码：1141042200548215XM</w:t>
      </w:r>
    </w:p>
    <w:p w14:paraId="55E9F3BD">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联系电话：0375-2316208</w:t>
      </w:r>
    </w:p>
    <w:p w14:paraId="278ACB34">
      <w:pPr>
        <w:spacing w:line="360" w:lineRule="auto"/>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、该公告已同步至“平顶山市公共资源交易中心微信公众号”，可通过公众号中的服务栏目进行查阅”。</w:t>
      </w:r>
    </w:p>
    <w:p w14:paraId="2120C324">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八、</w:t>
      </w:r>
      <w:bookmarkEnd w:id="42"/>
      <w:bookmarkEnd w:id="43"/>
      <w:bookmarkEnd w:id="44"/>
      <w:bookmarkEnd w:id="45"/>
      <w:bookmarkEnd w:id="46"/>
      <w:r>
        <w:rPr>
          <w:rFonts w:hint="eastAsia" w:ascii="宋体" w:hAnsi="宋体" w:eastAsia="宋体" w:cs="宋体"/>
          <w:b/>
          <w:color w:val="000000" w:themeColor="text1"/>
          <w:szCs w:val="21"/>
          <w:highlight w:val="none"/>
          <w14:textFill>
            <w14:solidFill>
              <w14:schemeClr w14:val="tx1"/>
            </w14:solidFill>
          </w14:textFill>
        </w:rPr>
        <w:t>凡对本次招标提出询问，请按照以下方式联系</w:t>
      </w:r>
    </w:p>
    <w:p w14:paraId="6795C788">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t>1.采购人信息</w:t>
      </w:r>
    </w:p>
    <w:p w14:paraId="3E6660B7">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eastAsia="zh-CN"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t>名称：</w:t>
      </w:r>
      <w:r>
        <w:rPr>
          <w:rFonts w:hint="eastAsia" w:ascii="宋体" w:hAnsi="宋体" w:eastAsia="宋体" w:cs="宋体"/>
          <w:color w:val="000000" w:themeColor="text1"/>
          <w:kern w:val="0"/>
          <w:szCs w:val="21"/>
          <w:highlight w:val="none"/>
          <w:shd w:val="clear" w:color="auto" w:fill="FFFFFF"/>
          <w:lang w:eastAsia="zh-CN" w:bidi="ar"/>
          <w14:textFill>
            <w14:solidFill>
              <w14:schemeClr w14:val="tx1"/>
            </w14:solidFill>
          </w14:textFill>
        </w:rPr>
        <w:t>叶县辛店镇人民政府</w:t>
      </w:r>
    </w:p>
    <w:p w14:paraId="7F850759">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eastAsia="zh-CN"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t>地址：河南省平顶山市</w:t>
      </w:r>
      <w:r>
        <w:rPr>
          <w:rFonts w:hint="eastAsia" w:ascii="宋体" w:hAnsi="宋体" w:eastAsia="宋体" w:cs="宋体"/>
          <w:color w:val="000000" w:themeColor="text1"/>
          <w:kern w:val="0"/>
          <w:szCs w:val="21"/>
          <w:highlight w:val="none"/>
          <w:shd w:val="clear" w:color="auto" w:fill="FFFFFF"/>
          <w:lang w:eastAsia="zh-CN" w:bidi="ar"/>
          <w14:textFill>
            <w14:solidFill>
              <w14:schemeClr w14:val="tx1"/>
            </w14:solidFill>
          </w14:textFill>
        </w:rPr>
        <w:t>叶县辛店镇</w:t>
      </w:r>
    </w:p>
    <w:p w14:paraId="239DC929">
      <w:pPr>
        <w:spacing w:line="360" w:lineRule="auto"/>
        <w:ind w:firstLine="210" w:firstLineChars="100"/>
        <w:rPr>
          <w:rFonts w:hint="default" w:ascii="宋体" w:hAnsi="宋体" w:eastAsia="宋体" w:cs="宋体"/>
          <w:color w:val="000000" w:themeColor="text1"/>
          <w:kern w:val="0"/>
          <w:szCs w:val="21"/>
          <w:highlight w:val="none"/>
          <w:shd w:val="clear" w:color="auto" w:fill="FFFFFF"/>
          <w:lang w:val="en-US" w:eastAsia="zh-CN"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t>联系人：</w:t>
      </w:r>
      <w:r>
        <w:rPr>
          <w:rFonts w:hint="eastAsia" w:ascii="宋体" w:hAnsi="宋体" w:cs="宋体"/>
          <w:color w:val="000000" w:themeColor="text1"/>
          <w:kern w:val="0"/>
          <w:szCs w:val="21"/>
          <w:highlight w:val="none"/>
          <w:shd w:val="clear" w:color="auto" w:fill="FFFFFF"/>
          <w:lang w:val="en-US" w:eastAsia="zh-CN" w:bidi="ar"/>
          <w14:textFill>
            <w14:solidFill>
              <w14:schemeClr w14:val="tx1"/>
            </w14:solidFill>
          </w14:textFill>
        </w:rPr>
        <w:t>赵先生</w:t>
      </w:r>
    </w:p>
    <w:p w14:paraId="703B04B7">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val="zh-CN" w:eastAsia="zh-CN"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t>联系方式：</w:t>
      </w:r>
      <w:r>
        <w:rPr>
          <w:rFonts w:hint="eastAsia" w:ascii="宋体" w:hAnsi="宋体" w:eastAsia="宋体" w:cs="宋体"/>
          <w:color w:val="000000" w:themeColor="text1"/>
          <w:kern w:val="0"/>
          <w:szCs w:val="21"/>
          <w:highlight w:val="none"/>
          <w:shd w:val="clear" w:color="auto" w:fill="FFFFFF"/>
          <w:lang w:val="zh-CN" w:eastAsia="zh-CN" w:bidi="ar"/>
          <w14:textFill>
            <w14:solidFill>
              <w14:schemeClr w14:val="tx1"/>
            </w14:solidFill>
          </w14:textFill>
        </w:rPr>
        <w:t>13017573833</w:t>
      </w:r>
    </w:p>
    <w:p w14:paraId="042DEE41">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t>2.采购代理机构信息</w:t>
      </w:r>
    </w:p>
    <w:p w14:paraId="592BD1BD">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t>名称：河南平业咨询有限公司</w:t>
      </w:r>
    </w:p>
    <w:p w14:paraId="5F11FB02">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t>地址：河南自贸试验区郑州片区（郑东）金水东路51号楷林商务中心北区二单元7层03、04号房</w:t>
      </w:r>
    </w:p>
    <w:p w14:paraId="6DB34693">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val="en-US" w:eastAsia="zh-CN"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t>联系人：李女士</w:t>
      </w:r>
    </w:p>
    <w:p w14:paraId="48DCDC0F">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val="en-US"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t>联系方式：15993632555</w:t>
      </w:r>
    </w:p>
    <w:p w14:paraId="3ABB1F1C">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t xml:space="preserve">3.项目联系方式 </w:t>
      </w:r>
    </w:p>
    <w:p w14:paraId="46ABFD0F">
      <w:pPr>
        <w:spacing w:line="360" w:lineRule="auto"/>
        <w:ind w:firstLine="210" w:firstLineChars="100"/>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t>项目联系人：</w:t>
      </w:r>
      <w:r>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t>李女士</w:t>
      </w:r>
    </w:p>
    <w:p w14:paraId="346D8A62">
      <w:pPr>
        <w:spacing w:line="360" w:lineRule="auto"/>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shd w:val="clear" w:color="auto" w:fill="FFFFFF"/>
          <w:lang w:bidi="ar"/>
          <w14:textFill>
            <w14:solidFill>
              <w14:schemeClr w14:val="tx1"/>
            </w14:solidFill>
          </w14:textFill>
        </w:rPr>
        <w:t>联系方式：</w:t>
      </w:r>
      <w:r>
        <w:rPr>
          <w:rFonts w:hint="eastAsia" w:ascii="宋体" w:hAnsi="宋体" w:eastAsia="宋体" w:cs="宋体"/>
          <w:color w:val="000000" w:themeColor="text1"/>
          <w:kern w:val="0"/>
          <w:szCs w:val="21"/>
          <w:highlight w:val="none"/>
          <w:shd w:val="clear" w:color="auto" w:fill="FFFFFF"/>
          <w:lang w:val="zh-CN" w:bidi="ar"/>
          <w14:textFill>
            <w14:solidFill>
              <w14:schemeClr w14:val="tx1"/>
            </w14:solidFill>
          </w14:textFill>
        </w:rPr>
        <w:t>15993632555</w:t>
      </w:r>
    </w:p>
    <w:p w14:paraId="37FEEE78">
      <w:pPr>
        <w:spacing w:line="360" w:lineRule="auto"/>
        <w:ind w:left="239" w:leftChars="114" w:firstLine="210" w:firstLineChars="100"/>
        <w:jc w:val="center"/>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温馨提示：</w:t>
      </w:r>
    </w:p>
    <w:p w14:paraId="362E3A90">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本项目为全流程电子化交易项目，请认真阅读采购文件，并注意以下事项。</w:t>
      </w:r>
    </w:p>
    <w:p w14:paraId="0AAF9C11">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 xml:space="preserve">1.供应商应按采购文件规定编制、提交电子响应文件。 </w:t>
      </w:r>
    </w:p>
    <w:p w14:paraId="3514C6E8">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2.本项目供应商不用再提供纸质响应文件。</w:t>
      </w:r>
    </w:p>
    <w:p w14:paraId="11D36CB5">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3.电子文件下载、制作、提交期间和开标（电子响应文件的解密）环节，供应商须使用CA数字证书（证书须在有效期内）。</w:t>
      </w:r>
    </w:p>
    <w:p w14:paraId="5FE7C2EF">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4.电子响应文件的制作</w:t>
      </w:r>
    </w:p>
    <w:p w14:paraId="548F6EE4">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4.1供应商登录《全国公共资源交易平台(河南省▪平顶山市)》公共资源交易系统，下载“平顶山响应文件制作系统”，按采购文件要求制作电子响应文件。</w:t>
      </w:r>
    </w:p>
    <w:p w14:paraId="5758788D">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电子响应文件的制作，参考《全国公共资源交易平台(河南省▪平顶山市)》公共资源交易系统——组件下载——交易系统操作手册（供应商、供应商）。</w:t>
      </w:r>
    </w:p>
    <w:p w14:paraId="4D69A81B">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4.2供应商须将采购文件要求的资质、业绩、荣誉及相关人员证明材料等资料原件扫描件（或图片）制作到所提交的电子响应文件中。</w:t>
      </w:r>
    </w:p>
    <w:p w14:paraId="1DFCCB5E">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4.3供应商对同一项目多个标段进行投标的，应分别下载所投标段的采购文件，按标段制作电子响应文件，并按采购文件要求在相应位置加盖供应商电子印章和法人电子印章。</w:t>
      </w:r>
    </w:p>
    <w:p w14:paraId="5406510C">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一个标段对应生成一个文件夹（xxxx项目xx标段）, 其中包含2个文件和1个文件夹。后缀名为“.file”的文件用于电子投标使用。</w:t>
      </w:r>
    </w:p>
    <w:p w14:paraId="138B2C76">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5.加密电子响应文件的提交</w:t>
      </w:r>
    </w:p>
    <w:p w14:paraId="73EE6321">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5.1加密电子响应文件应在采购文件规定的投标截止时间（开标时间）之前成功提交至《全国公共资源交易平台(河南省▪平顶山市)》公共资源交易系统。</w:t>
      </w:r>
    </w:p>
    <w:p w14:paraId="5B10F392">
      <w:pPr>
        <w:spacing w:line="360" w:lineRule="auto"/>
        <w:ind w:left="239" w:leftChars="114" w:firstLine="210" w:firstLineChars="100"/>
        <w:rPr>
          <w:rFonts w:hint="eastAsia" w:ascii="宋体" w:hAnsi="宋体" w:eastAsia="宋体" w:cs="宋体"/>
          <w:bCs/>
          <w:color w:val="000000" w:themeColor="text1"/>
          <w:szCs w:val="20"/>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供应商应充分考虑并预留技术处理和上传数据所需时间。</w:t>
      </w:r>
    </w:p>
    <w:p w14:paraId="654AF7BC">
      <w:pPr>
        <w:spacing w:line="360" w:lineRule="auto"/>
        <w:ind w:left="239" w:leftChars="114" w:firstLine="210" w:firstLineChars="1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Cs w:val="20"/>
          <w:highlight w:val="none"/>
          <w14:textFill>
            <w14:solidFill>
              <w14:schemeClr w14:val="tx1"/>
            </w14:solidFill>
          </w14:textFill>
        </w:rPr>
        <w:t>5.2供应商对同一项目多个标段进行投标的，加密电子响应文件应按标段分别提交。</w:t>
      </w:r>
    </w:p>
    <w:p w14:paraId="3E24264F">
      <w:pPr>
        <w:pStyle w:val="3"/>
        <w:bidi w:val="0"/>
        <w:rPr>
          <w:rFonts w:hint="eastAsia"/>
          <w:color w:val="000000" w:themeColor="text1"/>
          <w14:textFill>
            <w14:solidFill>
              <w14:schemeClr w14:val="tx1"/>
            </w14:solidFill>
          </w14:textFill>
        </w:rPr>
      </w:pPr>
      <w:r>
        <w:rPr>
          <w:rFonts w:hint="eastAsia" w:ascii="宋体" w:hAnsi="宋体" w:eastAsia="宋体" w:cs="宋体"/>
          <w:color w:val="000000" w:themeColor="text1"/>
          <w:kern w:val="0"/>
          <w:szCs w:val="20"/>
          <w:highlight w:val="none"/>
          <w14:textFill>
            <w14:solidFill>
              <w14:schemeClr w14:val="tx1"/>
            </w14:solidFill>
          </w14:textFill>
        </w:rPr>
        <w:br w:type="page"/>
      </w:r>
      <w:bookmarkStart w:id="47" w:name="_Toc19313"/>
      <w:bookmarkStart w:id="48" w:name="_Toc135922535"/>
      <w:bookmarkStart w:id="49" w:name="_Toc135648884"/>
      <w:r>
        <w:rPr>
          <w:rFonts w:hint="eastAsia"/>
          <w:color w:val="000000" w:themeColor="text1"/>
          <w14:textFill>
            <w14:solidFill>
              <w14:schemeClr w14:val="tx1"/>
            </w14:solidFill>
          </w14:textFill>
        </w:rPr>
        <w:t>第二章 投标人须知</w:t>
      </w:r>
      <w:bookmarkEnd w:id="25"/>
      <w:bookmarkEnd w:id="26"/>
      <w:bookmarkEnd w:id="27"/>
      <w:bookmarkEnd w:id="28"/>
      <w:bookmarkEnd w:id="29"/>
      <w:bookmarkEnd w:id="30"/>
      <w:bookmarkEnd w:id="31"/>
      <w:bookmarkEnd w:id="32"/>
      <w:bookmarkEnd w:id="33"/>
      <w:bookmarkEnd w:id="34"/>
      <w:bookmarkEnd w:id="47"/>
      <w:bookmarkEnd w:id="48"/>
      <w:bookmarkEnd w:id="49"/>
    </w:p>
    <w:p w14:paraId="0D2A372C">
      <w:pPr>
        <w:keepNext/>
        <w:keepLines/>
        <w:spacing w:before="260" w:after="260" w:line="412" w:lineRule="auto"/>
        <w:jc w:val="center"/>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50" w:name="_Toc24931"/>
      <w:bookmarkStart w:id="51" w:name="_Toc144974496"/>
      <w:bookmarkStart w:id="52" w:name="_Toc246996917"/>
      <w:bookmarkStart w:id="53" w:name="_Toc81321209"/>
      <w:bookmarkStart w:id="54" w:name="_Toc152042304"/>
      <w:bookmarkStart w:id="55" w:name="_Toc21628"/>
      <w:bookmarkStart w:id="56" w:name="_Toc246996174"/>
      <w:bookmarkStart w:id="57" w:name="_Toc179632545"/>
      <w:bookmarkStart w:id="58" w:name="_Toc11547"/>
      <w:bookmarkStart w:id="59" w:name="_Toc152045528"/>
      <w:bookmarkStart w:id="60" w:name="_Toc247085688"/>
      <w:bookmarkStart w:id="61" w:name="_Toc135648885"/>
      <w:bookmarkStart w:id="62" w:name="_Toc57369396"/>
      <w:r>
        <w:rPr>
          <w:rFonts w:hint="eastAsia" w:ascii="宋体" w:hAnsi="宋体" w:eastAsia="宋体" w:cs="宋体"/>
          <w:b/>
          <w:bCs/>
          <w:color w:val="000000" w:themeColor="text1"/>
          <w:kern w:val="0"/>
          <w:sz w:val="32"/>
          <w:szCs w:val="32"/>
          <w:highlight w:val="none"/>
          <w14:textFill>
            <w14:solidFill>
              <w14:schemeClr w14:val="tx1"/>
            </w14:solidFill>
          </w14:textFill>
        </w:rPr>
        <w:t>投标人须知前附表</w:t>
      </w:r>
      <w:bookmarkEnd w:id="50"/>
      <w:bookmarkEnd w:id="51"/>
      <w:bookmarkEnd w:id="52"/>
      <w:bookmarkEnd w:id="53"/>
      <w:bookmarkEnd w:id="54"/>
      <w:bookmarkEnd w:id="55"/>
      <w:bookmarkEnd w:id="56"/>
      <w:bookmarkEnd w:id="57"/>
      <w:bookmarkEnd w:id="58"/>
      <w:bookmarkEnd w:id="59"/>
      <w:bookmarkEnd w:id="60"/>
      <w:bookmarkEnd w:id="61"/>
      <w:bookmarkEnd w:id="62"/>
    </w:p>
    <w:tbl>
      <w:tblPr>
        <w:tblStyle w:val="18"/>
        <w:tblW w:w="0" w:type="auto"/>
        <w:tblInd w:w="-34" w:type="dxa"/>
        <w:tblLayout w:type="fixed"/>
        <w:tblCellMar>
          <w:top w:w="0" w:type="dxa"/>
          <w:left w:w="108" w:type="dxa"/>
          <w:bottom w:w="0" w:type="dxa"/>
          <w:right w:w="108" w:type="dxa"/>
        </w:tblCellMar>
      </w:tblPr>
      <w:tblGrid>
        <w:gridCol w:w="709"/>
        <w:gridCol w:w="2552"/>
        <w:gridCol w:w="5953"/>
      </w:tblGrid>
      <w:tr w14:paraId="5890397C">
        <w:tblPrEx>
          <w:tblCellMar>
            <w:top w:w="0" w:type="dxa"/>
            <w:left w:w="108" w:type="dxa"/>
            <w:bottom w:w="0" w:type="dxa"/>
            <w:right w:w="108" w:type="dxa"/>
          </w:tblCellMar>
        </w:tblPrEx>
        <w:trPr>
          <w:trHeight w:val="6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4F762E9">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5EAF8E1">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  款  名  称</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39E265BF">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编  列  内  容</w:t>
            </w:r>
          </w:p>
        </w:tc>
      </w:tr>
      <w:tr w14:paraId="5B20B5B7">
        <w:tblPrEx>
          <w:tblCellMar>
            <w:top w:w="0" w:type="dxa"/>
            <w:left w:w="108" w:type="dxa"/>
            <w:bottom w:w="0" w:type="dxa"/>
            <w:right w:w="108" w:type="dxa"/>
          </w:tblCellMar>
        </w:tblPrEx>
        <w:trPr>
          <w:trHeight w:val="51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36490D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25D40A7">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4BCAA74E">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r>
              <w:rPr>
                <w:rFonts w:hint="eastAsia" w:ascii="宋体" w:hAnsi="宋体" w:eastAsia="宋体" w:cs="宋体"/>
                <w:color w:val="000000" w:themeColor="text1"/>
                <w:szCs w:val="21"/>
                <w:highlight w:val="none"/>
                <w:lang w:eastAsia="zh-CN"/>
                <w14:textFill>
                  <w14:solidFill>
                    <w14:schemeClr w14:val="tx1"/>
                  </w14:solidFill>
                </w14:textFill>
              </w:rPr>
              <w:t>叶县辛店镇人民政府</w:t>
            </w:r>
          </w:p>
          <w:p w14:paraId="09DB8696">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地址：河南省平顶山市</w:t>
            </w:r>
            <w:r>
              <w:rPr>
                <w:rFonts w:hint="eastAsia" w:ascii="宋体" w:hAnsi="宋体" w:eastAsia="宋体" w:cs="宋体"/>
                <w:color w:val="000000" w:themeColor="text1"/>
                <w:szCs w:val="21"/>
                <w:highlight w:val="none"/>
                <w:lang w:eastAsia="zh-CN"/>
                <w14:textFill>
                  <w14:solidFill>
                    <w14:schemeClr w14:val="tx1"/>
                  </w14:solidFill>
                </w14:textFill>
              </w:rPr>
              <w:t>叶县辛店镇</w:t>
            </w:r>
          </w:p>
          <w:p w14:paraId="1D2F1A5D">
            <w:pPr>
              <w:spacing w:line="360" w:lineRule="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default" w:ascii="宋体" w:hAnsi="宋体" w:eastAsia="宋体" w:cs="宋体"/>
                <w:color w:val="000000" w:themeColor="text1"/>
                <w:szCs w:val="21"/>
                <w:highlight w:val="none"/>
                <w:lang w:val="en-US" w:eastAsia="zh-CN"/>
                <w14:textFill>
                  <w14:solidFill>
                    <w14:schemeClr w14:val="tx1"/>
                  </w14:solidFill>
                </w14:textFill>
              </w:rPr>
              <w:t>联系人：赵先生</w:t>
            </w:r>
          </w:p>
          <w:p w14:paraId="01143CD8">
            <w:pPr>
              <w:spacing w:line="360" w:lineRule="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default" w:ascii="宋体" w:hAnsi="宋体" w:eastAsia="宋体" w:cs="宋体"/>
                <w:color w:val="000000" w:themeColor="text1"/>
                <w:szCs w:val="21"/>
                <w:highlight w:val="none"/>
                <w:lang w:val="en-US" w:eastAsia="zh-CN"/>
                <w14:textFill>
                  <w14:solidFill>
                    <w14:schemeClr w14:val="tx1"/>
                  </w14:solidFill>
                </w14:textFill>
              </w:rPr>
              <w:t>联系方式：13017573833</w:t>
            </w:r>
          </w:p>
        </w:tc>
      </w:tr>
      <w:tr w14:paraId="69225AC3">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75B41625">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2727800">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1A0AFCB2">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r>
              <w:rPr>
                <w:rFonts w:hint="eastAsia" w:ascii="宋体" w:hAnsi="宋体" w:eastAsia="宋体" w:cs="宋体"/>
                <w:color w:val="000000" w:themeColor="text1"/>
                <w:szCs w:val="21"/>
                <w:highlight w:val="none"/>
                <w:lang w:val="zh-CN"/>
                <w14:textFill>
                  <w14:solidFill>
                    <w14:schemeClr w14:val="tx1"/>
                  </w14:solidFill>
                </w14:textFill>
              </w:rPr>
              <w:t>河南平业咨询有限公司</w:t>
            </w:r>
          </w:p>
          <w:p w14:paraId="4A09A5F8">
            <w:pPr>
              <w:spacing w:line="360" w:lineRule="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  址：</w:t>
            </w:r>
            <w:r>
              <w:rPr>
                <w:rFonts w:hint="eastAsia" w:ascii="宋体" w:hAnsi="宋体" w:eastAsia="宋体" w:cs="宋体"/>
                <w:color w:val="000000" w:themeColor="text1"/>
                <w:szCs w:val="21"/>
                <w:highlight w:val="none"/>
                <w:lang w:val="en-US" w:eastAsia="zh-CN"/>
                <w14:textFill>
                  <w14:solidFill>
                    <w14:schemeClr w14:val="tx1"/>
                  </w14:solidFill>
                </w14:textFill>
              </w:rPr>
              <w:t>河南自贸试验区郑州片区（郑东）金水东路51号楷林商务中心北区二单元7层03、04号房</w:t>
            </w:r>
          </w:p>
          <w:p w14:paraId="2C2CA2B6">
            <w:pPr>
              <w:spacing w:line="360" w:lineRule="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联系人：</w:t>
            </w:r>
            <w:r>
              <w:rPr>
                <w:rFonts w:hint="eastAsia" w:ascii="宋体" w:hAnsi="宋体" w:eastAsia="宋体" w:cs="宋体"/>
                <w:color w:val="000000" w:themeColor="text1"/>
                <w:szCs w:val="21"/>
                <w:highlight w:val="none"/>
                <w:lang w:val="en-US" w:eastAsia="zh-CN"/>
                <w14:textFill>
                  <w14:solidFill>
                    <w14:schemeClr w14:val="tx1"/>
                  </w14:solidFill>
                </w14:textFill>
              </w:rPr>
              <w:t>李女士</w:t>
            </w:r>
          </w:p>
          <w:p w14:paraId="5943B3B0">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r>
              <w:rPr>
                <w:rFonts w:hint="eastAsia" w:ascii="宋体" w:hAnsi="宋体" w:eastAsia="宋体" w:cs="宋体"/>
                <w:color w:val="000000" w:themeColor="text1"/>
                <w:szCs w:val="21"/>
                <w:highlight w:val="none"/>
                <w:lang w:val="zh-CN"/>
                <w14:textFill>
                  <w14:solidFill>
                    <w14:schemeClr w14:val="tx1"/>
                  </w14:solidFill>
                </w14:textFill>
              </w:rPr>
              <w:t>15993632555</w:t>
            </w:r>
          </w:p>
        </w:tc>
      </w:tr>
      <w:tr w14:paraId="751928CA">
        <w:tblPrEx>
          <w:tblCellMar>
            <w:top w:w="0" w:type="dxa"/>
            <w:left w:w="108" w:type="dxa"/>
            <w:bottom w:w="0" w:type="dxa"/>
            <w:right w:w="108" w:type="dxa"/>
          </w:tblCellMar>
        </w:tblPrEx>
        <w:trPr>
          <w:trHeight w:val="57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419BAC9">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340ADB7">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6255918E">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叶县辛店镇人民政府叶县2026年辛店镇省、市派第一书记联村共建养殖场基地设备提升项目</w:t>
            </w:r>
          </w:p>
        </w:tc>
      </w:tr>
      <w:tr w14:paraId="2F02D322">
        <w:tblPrEx>
          <w:tblCellMar>
            <w:top w:w="0" w:type="dxa"/>
            <w:left w:w="108" w:type="dxa"/>
            <w:bottom w:w="0" w:type="dxa"/>
            <w:right w:w="108" w:type="dxa"/>
          </w:tblCellMar>
        </w:tblPrEx>
        <w:trPr>
          <w:trHeight w:val="59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E64B0B3">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E53158E">
            <w:pPr>
              <w:spacing w:line="4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资金来源和落实情况</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68792D04">
            <w:pPr>
              <w:spacing w:line="400" w:lineRule="exact"/>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财政</w:t>
            </w:r>
            <w:r>
              <w:rPr>
                <w:rFonts w:hint="eastAsia" w:ascii="宋体" w:hAnsi="宋体" w:eastAsia="宋体" w:cs="宋体"/>
                <w:color w:val="000000" w:themeColor="text1"/>
                <w:highlight w:val="none"/>
                <w14:textFill>
                  <w14:solidFill>
                    <w14:schemeClr w14:val="tx1"/>
                  </w14:solidFill>
                </w14:textFill>
              </w:rPr>
              <w:t>资金，已落实</w:t>
            </w:r>
          </w:p>
        </w:tc>
      </w:tr>
      <w:tr w14:paraId="1ED85395">
        <w:tblPrEx>
          <w:tblCellMar>
            <w:top w:w="0" w:type="dxa"/>
            <w:left w:w="108" w:type="dxa"/>
            <w:bottom w:w="0" w:type="dxa"/>
            <w:right w:w="108" w:type="dxa"/>
          </w:tblCellMar>
        </w:tblPrEx>
        <w:trPr>
          <w:trHeight w:val="562"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4E5AA7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5976161">
            <w:pPr>
              <w:spacing w:line="4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采购项目属性</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53D4BC54">
            <w:pPr>
              <w:spacing w:line="400" w:lineRule="exact"/>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货物</w:t>
            </w:r>
          </w:p>
        </w:tc>
      </w:tr>
      <w:tr w14:paraId="52CBD536">
        <w:tblPrEx>
          <w:tblCellMar>
            <w:top w:w="0" w:type="dxa"/>
            <w:left w:w="108" w:type="dxa"/>
            <w:bottom w:w="0" w:type="dxa"/>
            <w:right w:w="108" w:type="dxa"/>
          </w:tblCellMar>
        </w:tblPrEx>
        <w:trPr>
          <w:trHeight w:val="93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A411EF5">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AD75CF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采购内容</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E1FCF09">
            <w:pPr>
              <w:spacing w:line="40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叶县2026年辛店镇养殖场基地设备提升项目</w:t>
            </w:r>
            <w:r>
              <w:rPr>
                <w:rFonts w:hint="eastAsia" w:ascii="宋体" w:hAnsi="宋体" w:eastAsia="宋体" w:cs="宋体"/>
                <w:color w:val="000000" w:themeColor="text1"/>
                <w:szCs w:val="21"/>
                <w:highlight w:val="none"/>
                <w14:textFill>
                  <w14:solidFill>
                    <w14:schemeClr w14:val="tx1"/>
                  </w14:solidFill>
                </w14:textFill>
              </w:rPr>
              <w:t>，具体内容及要求详见“第四章 采购内容及要求”</w:t>
            </w:r>
          </w:p>
        </w:tc>
      </w:tr>
      <w:tr w14:paraId="38A2C684">
        <w:tblPrEx>
          <w:tblCellMar>
            <w:top w:w="0" w:type="dxa"/>
            <w:left w:w="108" w:type="dxa"/>
            <w:bottom w:w="0" w:type="dxa"/>
            <w:right w:w="108" w:type="dxa"/>
          </w:tblCellMar>
        </w:tblPrEx>
        <w:trPr>
          <w:trHeight w:val="689"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4CA7EDE">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676366E">
            <w:pPr>
              <w:spacing w:line="4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质量</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60D305F5">
            <w:pPr>
              <w:spacing w:line="400" w:lineRule="exact"/>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符合国家及行业相关规范和标准</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满足采购人要求</w:t>
            </w:r>
          </w:p>
        </w:tc>
      </w:tr>
      <w:tr w14:paraId="23A0DA7B">
        <w:tblPrEx>
          <w:tblCellMar>
            <w:top w:w="0" w:type="dxa"/>
            <w:left w:w="108" w:type="dxa"/>
            <w:bottom w:w="0" w:type="dxa"/>
            <w:right w:w="108" w:type="dxa"/>
          </w:tblCellMar>
        </w:tblPrEx>
        <w:trPr>
          <w:trHeight w:val="699"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872EE65">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CF76D83">
            <w:pPr>
              <w:spacing w:line="400" w:lineRule="exact"/>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交货</w:t>
            </w:r>
            <w:r>
              <w:rPr>
                <w:rFonts w:hint="eastAsia" w:ascii="宋体" w:hAnsi="宋体" w:eastAsia="宋体" w:cs="宋体"/>
                <w:color w:val="000000" w:themeColor="text1"/>
                <w:highlight w:val="none"/>
                <w:lang w:val="en-US" w:eastAsia="zh-CN"/>
                <w14:textFill>
                  <w14:solidFill>
                    <w14:schemeClr w14:val="tx1"/>
                  </w14:solidFill>
                </w14:textFill>
              </w:rPr>
              <w:t>及安装期</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00098402">
            <w:pPr>
              <w:spacing w:line="400" w:lineRule="exact"/>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60</w:t>
            </w:r>
            <w:r>
              <w:rPr>
                <w:rFonts w:hint="eastAsia" w:ascii="宋体" w:hAnsi="宋体" w:eastAsia="宋体" w:cs="宋体"/>
                <w:color w:val="000000" w:themeColor="text1"/>
                <w:szCs w:val="21"/>
                <w:highlight w:val="none"/>
                <w14:textFill>
                  <w14:solidFill>
                    <w14:schemeClr w14:val="tx1"/>
                  </w14:solidFill>
                </w14:textFill>
              </w:rPr>
              <w:t>日历天内供货、安装、调试完毕</w:t>
            </w:r>
          </w:p>
        </w:tc>
      </w:tr>
      <w:tr w14:paraId="58BE98B0">
        <w:tblPrEx>
          <w:tblCellMar>
            <w:top w:w="0" w:type="dxa"/>
            <w:left w:w="108" w:type="dxa"/>
            <w:bottom w:w="0" w:type="dxa"/>
            <w:right w:w="108" w:type="dxa"/>
          </w:tblCellMar>
        </w:tblPrEx>
        <w:trPr>
          <w:trHeight w:val="56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DB271DE">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44054E7">
            <w:pPr>
              <w:spacing w:line="4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交货及安装地点</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5A38F8B6">
            <w:pPr>
              <w:spacing w:line="400" w:lineRule="exact"/>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采购人指定地点</w:t>
            </w:r>
          </w:p>
        </w:tc>
      </w:tr>
      <w:tr w14:paraId="1DC2F697">
        <w:tblPrEx>
          <w:tblCellMar>
            <w:top w:w="0" w:type="dxa"/>
            <w:left w:w="108" w:type="dxa"/>
            <w:bottom w:w="0" w:type="dxa"/>
            <w:right w:w="108" w:type="dxa"/>
          </w:tblCellMar>
        </w:tblPrEx>
        <w:trPr>
          <w:trHeight w:val="49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DDCC2A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6C4517B">
            <w:pPr>
              <w:spacing w:line="4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质保期</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64201DED">
            <w:pPr>
              <w:spacing w:line="400" w:lineRule="exact"/>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年</w:t>
            </w:r>
          </w:p>
        </w:tc>
      </w:tr>
      <w:tr w14:paraId="786FAF14">
        <w:tblPrEx>
          <w:tblCellMar>
            <w:top w:w="0" w:type="dxa"/>
            <w:left w:w="108" w:type="dxa"/>
            <w:bottom w:w="0" w:type="dxa"/>
            <w:right w:w="108" w:type="dxa"/>
          </w:tblCellMar>
        </w:tblPrEx>
        <w:trPr>
          <w:trHeight w:val="416"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6CE09C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9253BB0">
            <w:pPr>
              <w:spacing w:line="400" w:lineRule="exact"/>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投标人资格要求</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24052085">
            <w:pPr>
              <w:spacing w:line="400" w:lineRule="exact"/>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详见招标公告</w:t>
            </w:r>
          </w:p>
        </w:tc>
      </w:tr>
      <w:tr w14:paraId="1E8BA55C">
        <w:tblPrEx>
          <w:tblCellMar>
            <w:top w:w="0" w:type="dxa"/>
            <w:left w:w="108" w:type="dxa"/>
            <w:bottom w:w="0" w:type="dxa"/>
            <w:right w:w="108" w:type="dxa"/>
          </w:tblCellMar>
        </w:tblPrEx>
        <w:trPr>
          <w:trHeight w:val="64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340EA9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4A00CE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本项目采购标的所属行业</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30260983">
            <w:pPr>
              <w:spacing w:line="40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工</w:t>
            </w:r>
            <w:r>
              <w:rPr>
                <w:rFonts w:hint="eastAsia" w:ascii="宋体" w:hAnsi="宋体" w:eastAsia="宋体" w:cs="宋体"/>
                <w:b/>
                <w:bCs/>
                <w:color w:val="000000" w:themeColor="text1"/>
                <w:szCs w:val="21"/>
                <w:highlight w:val="none"/>
                <w14:textFill>
                  <w14:solidFill>
                    <w14:schemeClr w14:val="tx1"/>
                  </w14:solidFill>
                </w14:textFill>
              </w:rPr>
              <w:t>业</w:t>
            </w:r>
          </w:p>
        </w:tc>
      </w:tr>
      <w:tr w14:paraId="3F2746E2">
        <w:tblPrEx>
          <w:tblCellMar>
            <w:top w:w="0" w:type="dxa"/>
            <w:left w:w="108" w:type="dxa"/>
            <w:bottom w:w="0" w:type="dxa"/>
            <w:right w:w="108" w:type="dxa"/>
          </w:tblCellMar>
        </w:tblPrEx>
        <w:trPr>
          <w:trHeight w:val="416"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95705DC">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033725C">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是否专门面向中小企业</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EC7F052">
            <w:pPr>
              <w:spacing w:line="400" w:lineRule="exact"/>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否</w:t>
            </w:r>
          </w:p>
        </w:tc>
      </w:tr>
      <w:tr w14:paraId="53DBA510">
        <w:tblPrEx>
          <w:tblCellMar>
            <w:top w:w="0" w:type="dxa"/>
            <w:left w:w="108" w:type="dxa"/>
            <w:bottom w:w="0" w:type="dxa"/>
            <w:right w:w="108" w:type="dxa"/>
          </w:tblCellMar>
        </w:tblPrEx>
        <w:trPr>
          <w:trHeight w:val="416"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01CA8EA">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588313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资格审查方式</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E06D4A4">
            <w:pPr>
              <w:spacing w:line="40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公开招标采购项目开标结束后，采购人或者采购代理机构依法对投标人的资格进行审查。</w:t>
            </w:r>
          </w:p>
        </w:tc>
      </w:tr>
      <w:tr w14:paraId="20F7E8C7">
        <w:tblPrEx>
          <w:tblCellMar>
            <w:top w:w="0" w:type="dxa"/>
            <w:left w:w="108" w:type="dxa"/>
            <w:bottom w:w="0" w:type="dxa"/>
            <w:right w:w="108" w:type="dxa"/>
          </w:tblCellMar>
        </w:tblPrEx>
        <w:trPr>
          <w:trHeight w:val="416"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75C1403">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35E4EB0">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是否接受联合体投标</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349ED6F4">
            <w:pPr>
              <w:spacing w:line="40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不接受</w:t>
            </w:r>
          </w:p>
        </w:tc>
      </w:tr>
      <w:tr w14:paraId="6DC3B988">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2986DC0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5D1B4D9">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投标预备会</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0DA9009A">
            <w:pPr>
              <w:spacing w:line="40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不召开</w:t>
            </w:r>
          </w:p>
        </w:tc>
      </w:tr>
      <w:tr w14:paraId="090C7BEE">
        <w:tblPrEx>
          <w:tblCellMar>
            <w:top w:w="0" w:type="dxa"/>
            <w:left w:w="108" w:type="dxa"/>
            <w:bottom w:w="0" w:type="dxa"/>
            <w:right w:w="108" w:type="dxa"/>
          </w:tblCellMar>
        </w:tblPrEx>
        <w:trPr>
          <w:trHeight w:val="44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BF1B67C">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2CA23FF">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踏勘现场</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6C30CF8B">
            <w:pPr>
              <w:topLinePunct/>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不组织</w:t>
            </w:r>
          </w:p>
        </w:tc>
      </w:tr>
      <w:tr w14:paraId="27B7DBFB">
        <w:tblPrEx>
          <w:tblCellMar>
            <w:top w:w="0" w:type="dxa"/>
            <w:left w:w="108" w:type="dxa"/>
            <w:bottom w:w="0" w:type="dxa"/>
            <w:right w:w="108" w:type="dxa"/>
          </w:tblCellMar>
        </w:tblPrEx>
        <w:trPr>
          <w:trHeight w:val="9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42E30A7">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7898D33F">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分包</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21A26E18">
            <w:pPr>
              <w:keepNext/>
              <w:keepLines/>
              <w:spacing w:line="360" w:lineRule="auto"/>
              <w:jc w:val="left"/>
              <w:outlineLvl w:val="1"/>
              <w:rPr>
                <w:rFonts w:hint="eastAsia" w:ascii="宋体" w:hAnsi="宋体" w:eastAsia="宋体" w:cs="宋体"/>
                <w:color w:val="000000" w:themeColor="text1"/>
                <w:szCs w:val="21"/>
                <w:highlight w:val="none"/>
                <w14:textFill>
                  <w14:solidFill>
                    <w14:schemeClr w14:val="tx1"/>
                  </w14:solidFill>
                </w14:textFill>
              </w:rPr>
            </w:pPr>
            <w:bookmarkStart w:id="63" w:name="_Toc135922536"/>
            <w:r>
              <w:rPr>
                <w:rFonts w:hint="eastAsia" w:ascii="宋体" w:hAnsi="宋体" w:eastAsia="宋体" w:cs="宋体"/>
                <w:color w:val="000000" w:themeColor="text1"/>
                <w:szCs w:val="21"/>
                <w:highlight w:val="none"/>
                <w14:textFill>
                  <w14:solidFill>
                    <w14:schemeClr w14:val="tx1"/>
                  </w14:solidFill>
                </w14:textFill>
              </w:rPr>
              <w:t>不允许</w:t>
            </w:r>
            <w:bookmarkEnd w:id="63"/>
          </w:p>
        </w:tc>
      </w:tr>
      <w:tr w14:paraId="5A4E1AFA">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82A48D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988121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构成招标文件的其他材料</w:t>
            </w:r>
          </w:p>
        </w:tc>
        <w:tc>
          <w:tcPr>
            <w:tcW w:w="5953" w:type="dxa"/>
            <w:tcBorders>
              <w:left w:val="single" w:color="auto" w:sz="4" w:space="0"/>
              <w:bottom w:val="single" w:color="auto" w:sz="4" w:space="0"/>
              <w:right w:val="single" w:color="auto" w:sz="4" w:space="0"/>
            </w:tcBorders>
            <w:noWrap w:val="0"/>
            <w:vAlign w:val="center"/>
          </w:tcPr>
          <w:p w14:paraId="1D880E05">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招标文件澄清、修改、答疑、补遗书、补充通知等</w:t>
            </w:r>
          </w:p>
        </w:tc>
      </w:tr>
      <w:tr w14:paraId="5410A26D">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1425AAE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44F4E69">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相同品牌认定</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CB0FAB3">
            <w:pPr>
              <w:spacing w:line="400" w:lineRule="exact"/>
              <w:rPr>
                <w:rFonts w:hint="eastAsia" w:ascii="宋体" w:hAnsi="宋体" w:eastAsia="宋体" w:cs="宋体"/>
                <w:b/>
                <w:bCs/>
                <w:color w:val="000000" w:themeColor="text1"/>
                <w:szCs w:val="20"/>
                <w:highlight w:val="none"/>
                <w:lang w:eastAsia="zh-CN"/>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本项目核心产品：</w:t>
            </w:r>
            <w:r>
              <w:rPr>
                <w:rFonts w:hint="eastAsia" w:ascii="宋体" w:hAnsi="宋体" w:eastAsia="宋体" w:cs="宋体"/>
                <w:color w:val="000000" w:themeColor="text1"/>
                <w:szCs w:val="20"/>
                <w:highlight w:val="none"/>
                <w:lang w:val="en-US" w:eastAsia="zh-CN"/>
                <w14:textFill>
                  <w14:solidFill>
                    <w14:schemeClr w14:val="tx1"/>
                  </w14:solidFill>
                </w14:textFill>
              </w:rPr>
              <w:t>智能分组轮灌水肥一体化灌溉机</w:t>
            </w:r>
          </w:p>
          <w:p w14:paraId="7AA00251">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核心产品</w:t>
            </w:r>
            <w:r>
              <w:rPr>
                <w:rFonts w:hint="eastAsia" w:ascii="宋体" w:hAnsi="宋体" w:eastAsia="宋体" w:cs="宋体"/>
                <w:color w:val="000000" w:themeColor="text1"/>
                <w:kern w:val="0"/>
                <w:szCs w:val="21"/>
                <w:highlight w:val="none"/>
                <w14:textFill>
                  <w14:solidFill>
                    <w14:schemeClr w14:val="tx1"/>
                  </w14:solidFill>
                </w14:textFill>
              </w:rPr>
              <w:t>提供相同品牌产品且通过资格审查、符合性审查的不同投标人参加同一合同项下投标的，按一家投标人计算，评审后得分最高的同品牌投标人获得中标人推荐资格；评审得分相同的，投标报价低的获得中标人推荐资格；得分且投标报价相同的，采购人委托评标委员会采取随机抽签方式确定，其它同品牌投标人不作为中标候选人。</w:t>
            </w:r>
          </w:p>
        </w:tc>
      </w:tr>
      <w:tr w14:paraId="53CD490D">
        <w:tblPrEx>
          <w:tblCellMar>
            <w:top w:w="0" w:type="dxa"/>
            <w:left w:w="108" w:type="dxa"/>
            <w:bottom w:w="0" w:type="dxa"/>
            <w:right w:w="108" w:type="dxa"/>
          </w:tblCellMar>
        </w:tblPrEx>
        <w:trPr>
          <w:trHeight w:val="27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F2C0C33">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778723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投标人要求澄清招标文件</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167B31F0">
            <w:pPr>
              <w:spacing w:line="400" w:lineRule="exact"/>
              <w:ind w:right="-512" w:rightChars="-24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招标文件获取之日起7个工作日内在电子交易系统中提出</w:t>
            </w:r>
          </w:p>
        </w:tc>
      </w:tr>
      <w:tr w14:paraId="75AA9706">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81C1E53">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C0E528E">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构成投标文件的其他材料</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4099F245">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招标文件要求提交的其他资料</w:t>
            </w:r>
          </w:p>
        </w:tc>
      </w:tr>
      <w:tr w14:paraId="5B195B51">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0CF9881">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4CFB852">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接收质疑函的方式和联系方式</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41EEBCBA">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1、质疑提出：</w:t>
            </w:r>
          </w:p>
          <w:p w14:paraId="6F006377">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（1）投标人认为招标文件、采购过程和中标结果使自己的权益受到损害的,可以在知道或者应知其权益受到损害之日起七个工作日内，向采购人、采购代理机构提出质疑。</w:t>
            </w:r>
          </w:p>
          <w:p w14:paraId="5F7397F9">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（2）质疑函的内容、格式：应符合《政府采购质疑和投诉办法》（财政部第94号令）相关规定和财政部门制定的《政府采购质疑函范本》格式。</w:t>
            </w:r>
          </w:p>
          <w:p w14:paraId="503842A4">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（3）投标人应在法定质疑期内一次性提出针对同一采购程序环节的质疑。</w:t>
            </w:r>
          </w:p>
          <w:p w14:paraId="51F0CEB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2、接收质疑函的方式、联系部门、联系电话和通讯地址：</w:t>
            </w:r>
          </w:p>
          <w:p w14:paraId="490E949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同采购公告采购人和采购代理机构联系人信息。</w:t>
            </w:r>
          </w:p>
          <w:p w14:paraId="1A9CF743">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3、质疑投标人对采购人、采购代理机构的答复不满意，或者采购人、采购代理机构未在规定时间内作出答复的，可以在答复期满后15个工作日内向财政部门提起投诉。</w:t>
            </w:r>
          </w:p>
        </w:tc>
      </w:tr>
      <w:tr w14:paraId="3209BED8">
        <w:tblPrEx>
          <w:tblCellMar>
            <w:top w:w="0" w:type="dxa"/>
            <w:left w:w="108" w:type="dxa"/>
            <w:bottom w:w="0" w:type="dxa"/>
            <w:right w:w="108" w:type="dxa"/>
          </w:tblCellMar>
        </w:tblPrEx>
        <w:trPr>
          <w:trHeight w:val="64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BF96F87">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19A4577">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最高投标限价</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607A10A2">
            <w:pPr>
              <w:spacing w:line="360" w:lineRule="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2100000.00</w:t>
            </w:r>
            <w:r>
              <w:rPr>
                <w:rFonts w:hint="eastAsia" w:ascii="宋体" w:hAnsi="宋体" w:eastAsia="宋体" w:cs="宋体"/>
                <w:b/>
                <w:color w:val="000000" w:themeColor="text1"/>
                <w:highlight w:val="none"/>
                <w14:textFill>
                  <w14:solidFill>
                    <w14:schemeClr w14:val="tx1"/>
                  </w14:solidFill>
                </w14:textFill>
              </w:rPr>
              <w:t>元</w:t>
            </w:r>
          </w:p>
        </w:tc>
      </w:tr>
      <w:tr w14:paraId="731F97C9">
        <w:tblPrEx>
          <w:tblCellMar>
            <w:top w:w="0" w:type="dxa"/>
            <w:left w:w="108" w:type="dxa"/>
            <w:bottom w:w="0" w:type="dxa"/>
            <w:right w:w="108" w:type="dxa"/>
          </w:tblCellMar>
        </w:tblPrEx>
        <w:trPr>
          <w:trHeight w:val="64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C2BA22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8688396">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投标有效期</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125A73E1">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投标文件递交截止之日起90日历天</w:t>
            </w:r>
          </w:p>
        </w:tc>
      </w:tr>
      <w:tr w14:paraId="22DAA2F5">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10BCDF53">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9E1EDC9">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是否允许递交备选投标方案</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1B45A972">
            <w:pPr>
              <w:spacing w:line="40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否</w:t>
            </w:r>
          </w:p>
        </w:tc>
      </w:tr>
      <w:tr w14:paraId="6A305151">
        <w:tblPrEx>
          <w:tblCellMar>
            <w:top w:w="0" w:type="dxa"/>
            <w:left w:w="108" w:type="dxa"/>
            <w:bottom w:w="0" w:type="dxa"/>
            <w:right w:w="108" w:type="dxa"/>
          </w:tblCellMar>
        </w:tblPrEx>
        <w:trPr>
          <w:trHeight w:val="87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106C3C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2BEEF74">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签字或盖章要求</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E1DB379">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按招标文件要求在相应位置加盖投标人单位电子印章和法人电子印章。</w:t>
            </w:r>
          </w:p>
        </w:tc>
      </w:tr>
      <w:tr w14:paraId="0CB7D0DF">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231CD10C">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AF8B0A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投标文件递交</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489FFDE5">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应按招标文件规定编制、提交电子投标文件。加密电子投标文件应在招标文件规定的投标截止时间之前成功提交至《全国公共资源交易平台(河南省·平顶山市)》公共资源交易系统。投标人应充分考虑并预留技术处理和上传数据所需时间。</w:t>
            </w:r>
          </w:p>
        </w:tc>
      </w:tr>
      <w:tr w14:paraId="23CA6C7A">
        <w:tblPrEx>
          <w:tblCellMar>
            <w:top w:w="0" w:type="dxa"/>
            <w:left w:w="108" w:type="dxa"/>
            <w:bottom w:w="0" w:type="dxa"/>
            <w:right w:w="108" w:type="dxa"/>
          </w:tblCellMar>
        </w:tblPrEx>
        <w:trPr>
          <w:trHeight w:val="556"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9DC45C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F9FED74">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投标截止时间</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30192F3">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分（北京时间）</w:t>
            </w:r>
          </w:p>
        </w:tc>
      </w:tr>
      <w:tr w14:paraId="640BE77E">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538DEC6">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30</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D6D1084">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递交投标文件地点</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34C7E4C1">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《全国公共资源交易平台(河南省·平顶山市)》公共资源交易系统</w:t>
            </w:r>
          </w:p>
        </w:tc>
      </w:tr>
      <w:tr w14:paraId="13B2CD42">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C2B3886">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81995AF">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是否退还投标文件</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570A18C5">
            <w:pPr>
              <w:topLinePunct/>
              <w:spacing w:line="400" w:lineRule="exact"/>
              <w:rPr>
                <w:rFonts w:hint="eastAsia" w:ascii="宋体" w:hAnsi="宋体" w:eastAsia="宋体" w:cs="宋体"/>
                <w:color w:val="000000" w:themeColor="text1"/>
                <w:sz w:val="24"/>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否</w:t>
            </w:r>
          </w:p>
        </w:tc>
      </w:tr>
      <w:tr w14:paraId="11B1BD09">
        <w:tblPrEx>
          <w:tblCellMar>
            <w:top w:w="0" w:type="dxa"/>
            <w:left w:w="108" w:type="dxa"/>
            <w:bottom w:w="0" w:type="dxa"/>
            <w:right w:w="108" w:type="dxa"/>
          </w:tblCellMar>
        </w:tblPrEx>
        <w:trPr>
          <w:trHeight w:val="558" w:hRule="atLeast"/>
        </w:trPr>
        <w:tc>
          <w:tcPr>
            <w:tcW w:w="709" w:type="dxa"/>
            <w:tcBorders>
              <w:top w:val="single" w:color="auto" w:sz="4" w:space="0"/>
              <w:left w:val="single" w:color="auto" w:sz="4" w:space="0"/>
              <w:bottom w:val="nil"/>
              <w:right w:val="single" w:color="auto" w:sz="4" w:space="0"/>
            </w:tcBorders>
            <w:noWrap w:val="0"/>
            <w:vAlign w:val="center"/>
          </w:tcPr>
          <w:p w14:paraId="49890922">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w:t>
            </w:r>
          </w:p>
        </w:tc>
        <w:tc>
          <w:tcPr>
            <w:tcW w:w="2552" w:type="dxa"/>
            <w:tcBorders>
              <w:top w:val="single" w:color="auto" w:sz="4" w:space="0"/>
              <w:left w:val="single" w:color="auto" w:sz="4" w:space="0"/>
              <w:bottom w:val="nil"/>
              <w:right w:val="single" w:color="auto" w:sz="4" w:space="0"/>
            </w:tcBorders>
            <w:noWrap w:val="0"/>
            <w:vAlign w:val="center"/>
          </w:tcPr>
          <w:p w14:paraId="66908C9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开标时间和地点</w:t>
            </w:r>
          </w:p>
        </w:tc>
        <w:tc>
          <w:tcPr>
            <w:tcW w:w="5953" w:type="dxa"/>
            <w:tcBorders>
              <w:top w:val="single" w:color="auto" w:sz="4" w:space="0"/>
              <w:left w:val="single" w:color="auto" w:sz="4" w:space="0"/>
              <w:bottom w:val="nil"/>
              <w:right w:val="single" w:color="auto" w:sz="4" w:space="0"/>
            </w:tcBorders>
            <w:noWrap w:val="0"/>
            <w:vAlign w:val="center"/>
          </w:tcPr>
          <w:p w14:paraId="3311A888">
            <w:pPr>
              <w:autoSpaceDE w:val="0"/>
              <w:autoSpaceDN w:val="0"/>
              <w:adjustRightInd w:val="0"/>
              <w:spacing w:before="48"/>
              <w:ind w:right="-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开标时间：同投标截止时间</w:t>
            </w:r>
          </w:p>
          <w:p w14:paraId="1B7E8442">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开标地点：同递交投标文件地点</w:t>
            </w:r>
          </w:p>
        </w:tc>
      </w:tr>
      <w:tr w14:paraId="27A8B334">
        <w:tblPrEx>
          <w:tblCellMar>
            <w:top w:w="0" w:type="dxa"/>
            <w:left w:w="108" w:type="dxa"/>
            <w:bottom w:w="0" w:type="dxa"/>
            <w:right w:w="108" w:type="dxa"/>
          </w:tblCellMar>
        </w:tblPrEx>
        <w:trPr>
          <w:trHeight w:val="381" w:hRule="atLeast"/>
        </w:trPr>
        <w:tc>
          <w:tcPr>
            <w:tcW w:w="709" w:type="dxa"/>
            <w:tcBorders>
              <w:top w:val="single" w:color="auto" w:sz="4" w:space="0"/>
              <w:left w:val="single" w:color="auto" w:sz="4" w:space="0"/>
              <w:bottom w:val="nil"/>
              <w:right w:val="single" w:color="auto" w:sz="4" w:space="0"/>
            </w:tcBorders>
            <w:noWrap w:val="0"/>
            <w:vAlign w:val="center"/>
          </w:tcPr>
          <w:p w14:paraId="441D6C33">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w:t>
            </w:r>
          </w:p>
        </w:tc>
        <w:tc>
          <w:tcPr>
            <w:tcW w:w="2552" w:type="dxa"/>
            <w:tcBorders>
              <w:top w:val="single" w:color="auto" w:sz="4" w:space="0"/>
              <w:left w:val="single" w:color="auto" w:sz="4" w:space="0"/>
              <w:bottom w:val="nil"/>
              <w:right w:val="single" w:color="auto" w:sz="4" w:space="0"/>
            </w:tcBorders>
            <w:noWrap w:val="0"/>
            <w:vAlign w:val="center"/>
          </w:tcPr>
          <w:p w14:paraId="645EC2C5">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开标程序</w:t>
            </w:r>
          </w:p>
        </w:tc>
        <w:tc>
          <w:tcPr>
            <w:tcW w:w="5953" w:type="dxa"/>
            <w:tcBorders>
              <w:top w:val="single" w:color="auto" w:sz="4" w:space="0"/>
              <w:left w:val="single" w:color="auto" w:sz="4" w:space="0"/>
              <w:bottom w:val="nil"/>
              <w:right w:val="single" w:color="auto" w:sz="4" w:space="0"/>
            </w:tcBorders>
            <w:noWrap w:val="0"/>
            <w:vAlign w:val="center"/>
          </w:tcPr>
          <w:p w14:paraId="5038A281">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开标时，投标人使用CA证书在规定时间内对其电子投标文件进行解密</w:t>
            </w: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采购人（代理机构）操作，对开标结果进行公示</w:t>
            </w:r>
            <w:r>
              <w:rPr>
                <w:rFonts w:hint="eastAsia" w:ascii="宋体" w:hAnsi="宋体" w:eastAsia="宋体" w:cs="宋体"/>
                <w:color w:val="000000" w:themeColor="text1"/>
                <w:kern w:val="0"/>
                <w:szCs w:val="21"/>
                <w:highlight w:val="none"/>
                <w14:textFill>
                  <w14:solidFill>
                    <w14:schemeClr w14:val="tx1"/>
                  </w14:solidFill>
                </w14:textFill>
              </w:rPr>
              <w:t>。</w:t>
            </w:r>
          </w:p>
        </w:tc>
      </w:tr>
      <w:tr w14:paraId="498FC744">
        <w:tblPrEx>
          <w:tblCellMar>
            <w:top w:w="0" w:type="dxa"/>
            <w:left w:w="108" w:type="dxa"/>
            <w:bottom w:w="0" w:type="dxa"/>
            <w:right w:w="108" w:type="dxa"/>
          </w:tblCellMar>
        </w:tblPrEx>
        <w:trPr>
          <w:trHeight w:val="880" w:hRule="atLeast"/>
        </w:trPr>
        <w:tc>
          <w:tcPr>
            <w:tcW w:w="709" w:type="dxa"/>
            <w:tcBorders>
              <w:top w:val="single" w:color="auto" w:sz="4" w:space="0"/>
              <w:left w:val="single" w:color="auto" w:sz="4" w:space="0"/>
              <w:bottom w:val="nil"/>
              <w:right w:val="single" w:color="auto" w:sz="4" w:space="0"/>
            </w:tcBorders>
            <w:noWrap w:val="0"/>
            <w:vAlign w:val="center"/>
          </w:tcPr>
          <w:p w14:paraId="7352711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w:t>
            </w:r>
          </w:p>
        </w:tc>
        <w:tc>
          <w:tcPr>
            <w:tcW w:w="2552" w:type="dxa"/>
            <w:tcBorders>
              <w:top w:val="single" w:color="auto" w:sz="4" w:space="0"/>
              <w:left w:val="single" w:color="auto" w:sz="4" w:space="0"/>
              <w:bottom w:val="nil"/>
              <w:right w:val="single" w:color="auto" w:sz="4" w:space="0"/>
            </w:tcBorders>
            <w:noWrap w:val="0"/>
            <w:vAlign w:val="center"/>
          </w:tcPr>
          <w:p w14:paraId="4A1D177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评标委员会的组建</w:t>
            </w:r>
          </w:p>
        </w:tc>
        <w:tc>
          <w:tcPr>
            <w:tcW w:w="5953" w:type="dxa"/>
            <w:tcBorders>
              <w:top w:val="single" w:color="auto" w:sz="4" w:space="0"/>
              <w:left w:val="single" w:color="auto" w:sz="4" w:space="0"/>
              <w:bottom w:val="nil"/>
              <w:right w:val="single" w:color="auto" w:sz="4" w:space="0"/>
            </w:tcBorders>
            <w:noWrap w:val="0"/>
            <w:vAlign w:val="center"/>
          </w:tcPr>
          <w:p w14:paraId="14DECD34">
            <w:pPr>
              <w:spacing w:line="400" w:lineRule="exact"/>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评标委员会由采购人代表和</w:t>
            </w:r>
            <w:r>
              <w:rPr>
                <w:rFonts w:hint="eastAsia" w:ascii="宋体" w:hAnsi="宋体" w:eastAsia="宋体" w:cs="宋体"/>
                <w:color w:val="000000" w:themeColor="text1"/>
                <w:szCs w:val="21"/>
                <w:highlight w:val="none"/>
                <w:lang w:val="en-US" w:eastAsia="zh-CN"/>
                <w14:textFill>
                  <w14:solidFill>
                    <w14:schemeClr w14:val="tx1"/>
                  </w14:solidFill>
                </w14:textFill>
              </w:rPr>
              <w:t>相关技术、经济专家组成</w:t>
            </w:r>
            <w:r>
              <w:rPr>
                <w:rFonts w:hint="eastAsia" w:ascii="宋体" w:hAnsi="宋体" w:eastAsia="宋体" w:cs="宋体"/>
                <w:color w:val="000000" w:themeColor="text1"/>
                <w:szCs w:val="21"/>
                <w:highlight w:val="none"/>
                <w14:textFill>
                  <w14:solidFill>
                    <w14:schemeClr w14:val="tx1"/>
                  </w14:solidFill>
                </w14:textFill>
              </w:rPr>
              <w:t>，成员人数应当为5人以上单数，</w:t>
            </w:r>
            <w:r>
              <w:rPr>
                <w:rFonts w:hint="eastAsia" w:ascii="宋体" w:hAnsi="宋体" w:eastAsia="宋体" w:cs="宋体"/>
                <w:color w:val="000000" w:themeColor="text1"/>
                <w:szCs w:val="21"/>
                <w:highlight w:val="none"/>
                <w14:textFill>
                  <w14:solidFill>
                    <w14:schemeClr w14:val="tx1"/>
                  </w14:solidFill>
                </w14:textFill>
              </w:rPr>
              <w:t>其中</w:t>
            </w:r>
            <w:r>
              <w:rPr>
                <w:rFonts w:hint="eastAsia" w:ascii="宋体" w:hAnsi="宋体" w:eastAsia="宋体" w:cs="宋体"/>
                <w:color w:val="000000" w:themeColor="text1"/>
                <w:szCs w:val="21"/>
                <w:highlight w:val="none"/>
                <w:lang w:val="en-US" w:eastAsia="zh-CN"/>
                <w14:textFill>
                  <w14:solidFill>
                    <w14:schemeClr w14:val="tx1"/>
                  </w14:solidFill>
                </w14:textFill>
              </w:rPr>
              <w:t>相关</w:t>
            </w:r>
            <w:r>
              <w:rPr>
                <w:rFonts w:hint="eastAsia" w:ascii="宋体" w:hAnsi="宋体" w:eastAsia="宋体" w:cs="宋体"/>
                <w:color w:val="000000" w:themeColor="text1"/>
                <w:szCs w:val="21"/>
                <w:highlight w:val="none"/>
                <w:lang w:val="en-US" w:eastAsia="zh-CN"/>
                <w14:textFill>
                  <w14:solidFill>
                    <w14:schemeClr w14:val="tx1"/>
                  </w14:solidFill>
                </w14:textFill>
              </w:rPr>
              <w:t>技术、经济专家</w:t>
            </w:r>
            <w:r>
              <w:rPr>
                <w:rFonts w:hint="eastAsia" w:ascii="宋体" w:hAnsi="宋体" w:eastAsia="宋体" w:cs="宋体"/>
                <w:color w:val="000000" w:themeColor="text1"/>
                <w:szCs w:val="21"/>
                <w:highlight w:val="none"/>
                <w14:textFill>
                  <w14:solidFill>
                    <w14:schemeClr w14:val="tx1"/>
                  </w14:solidFill>
                </w14:textFill>
              </w:rPr>
              <w:t>不得少于成员总数的三分之二。评标专家确定方式为从专家库中随机抽取。</w:t>
            </w:r>
          </w:p>
          <w:p w14:paraId="001891EB">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备注：上述规定为一组评标专家组成方式，根据项目标段数量和评标工作量，可由多组专家完成评审。</w:t>
            </w:r>
          </w:p>
        </w:tc>
      </w:tr>
      <w:tr w14:paraId="1E2E9A96">
        <w:tblPrEx>
          <w:tblCellMar>
            <w:top w:w="0" w:type="dxa"/>
            <w:left w:w="108" w:type="dxa"/>
            <w:bottom w:w="0" w:type="dxa"/>
            <w:right w:w="108" w:type="dxa"/>
          </w:tblCellMar>
        </w:tblPrEx>
        <w:trPr>
          <w:trHeight w:val="88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19A48DE">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D236BF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是否授权评标委员会确定中标人</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1B863A21">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否，推荐中标候选人数：3名</w:t>
            </w:r>
          </w:p>
        </w:tc>
      </w:tr>
      <w:tr w14:paraId="57E69E24">
        <w:tblPrEx>
          <w:tblCellMar>
            <w:top w:w="0" w:type="dxa"/>
            <w:left w:w="108" w:type="dxa"/>
            <w:bottom w:w="0" w:type="dxa"/>
            <w:right w:w="108" w:type="dxa"/>
          </w:tblCellMar>
        </w:tblPrEx>
        <w:trPr>
          <w:trHeight w:val="88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83DE0E2">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36</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CD11649">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中标公告媒介及期限</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572773E3">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同招标公告发布媒介，公示期为1个工作日。</w:t>
            </w:r>
          </w:p>
        </w:tc>
      </w:tr>
      <w:tr w14:paraId="53EE56A2">
        <w:tblPrEx>
          <w:tblCellMar>
            <w:top w:w="0" w:type="dxa"/>
            <w:left w:w="108" w:type="dxa"/>
            <w:bottom w:w="0" w:type="dxa"/>
            <w:right w:w="108" w:type="dxa"/>
          </w:tblCellMar>
        </w:tblPrEx>
        <w:trPr>
          <w:trHeight w:val="88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4D45B85">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37</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7B7D750">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合同签订方式</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1C33E6B">
            <w:pPr>
              <w:spacing w:line="400" w:lineRule="exac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招标人（采购人）与中标人（供应商）利用平顶山市公共资源交易平台“合同在线签订模块”，将电子合同推送至对方进行审核，经双方确认均无异议通过后，进行在线签章，完成合同签订并公示。</w:t>
            </w:r>
          </w:p>
        </w:tc>
      </w:tr>
      <w:tr w14:paraId="50CBC4D9">
        <w:tblPrEx>
          <w:tblCellMar>
            <w:top w:w="0" w:type="dxa"/>
            <w:left w:w="108" w:type="dxa"/>
            <w:bottom w:w="0" w:type="dxa"/>
            <w:right w:w="108" w:type="dxa"/>
          </w:tblCellMar>
        </w:tblPrEx>
        <w:trPr>
          <w:trHeight w:val="88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B54158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38</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DF53E47">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履约验收</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77B6E5B5">
            <w:pPr>
              <w:spacing w:line="46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（1）货物到货时，包装必须完好无缺,产品品牌规格型号、产品种类、数量等符合合同要求。</w:t>
            </w:r>
          </w:p>
          <w:p w14:paraId="4ECF5DBF">
            <w:pPr>
              <w:spacing w:line="46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到货后，甲方会同乙方到现场进行清点，清点货物与合同的约定是否相符。货物有丢失或损坏，或者货物的包装、品牌、规格型号等不符合合同约定的，甲方有权要求乙方退回更换或补齐货物，乙方实际交货时间以最终补齐货物时间为准。参与交货验收的单位在货物清单上共同签字。此签单仅作为乙方交货的凭证，不作为乙方货物是否合格的最终依据。若乙方的产品经送检不符合本合同约定或安装后因产品质量问题未能通过验收的，乙方仍应当向甲方承担违约责任。</w:t>
            </w:r>
          </w:p>
          <w:p w14:paraId="433928B0">
            <w:pPr>
              <w:spacing w:line="46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（3）在交货的同时应向甲方提交产品合格证等产品质量证明文件、说明书、保修凭证等相关资料，否则，甲方有权拒绝接受货物。</w:t>
            </w:r>
          </w:p>
          <w:p w14:paraId="6D459D78">
            <w:pPr>
              <w:spacing w:line="46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（4）安装调试：经开箱检查确认一切正常后，由专业安装人员执行安装调试直至达到验收指标（以技术规格要求指标为验收指标）。</w:t>
            </w:r>
          </w:p>
        </w:tc>
      </w:tr>
      <w:tr w14:paraId="253D9A7A">
        <w:tblPrEx>
          <w:tblCellMar>
            <w:top w:w="0" w:type="dxa"/>
            <w:left w:w="108" w:type="dxa"/>
            <w:bottom w:w="0" w:type="dxa"/>
            <w:right w:w="108" w:type="dxa"/>
          </w:tblCellMar>
        </w:tblPrEx>
        <w:trPr>
          <w:trHeight w:val="90" w:hRule="atLeast"/>
        </w:trPr>
        <w:tc>
          <w:tcPr>
            <w:tcW w:w="709" w:type="dxa"/>
            <w:tcBorders>
              <w:top w:val="single" w:color="auto" w:sz="4" w:space="0"/>
              <w:left w:val="single" w:color="auto" w:sz="4" w:space="0"/>
              <w:bottom w:val="nil"/>
              <w:right w:val="single" w:color="auto" w:sz="4" w:space="0"/>
            </w:tcBorders>
            <w:noWrap w:val="0"/>
            <w:vAlign w:val="center"/>
          </w:tcPr>
          <w:p w14:paraId="585B378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39</w:t>
            </w:r>
          </w:p>
        </w:tc>
        <w:tc>
          <w:tcPr>
            <w:tcW w:w="2552" w:type="dxa"/>
            <w:tcBorders>
              <w:top w:val="single" w:color="auto" w:sz="4" w:space="0"/>
              <w:left w:val="single" w:color="auto" w:sz="4" w:space="0"/>
              <w:bottom w:val="nil"/>
              <w:right w:val="single" w:color="auto" w:sz="4" w:space="0"/>
            </w:tcBorders>
            <w:noWrap w:val="0"/>
            <w:vAlign w:val="center"/>
          </w:tcPr>
          <w:p w14:paraId="370AD923">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付款方式</w:t>
            </w:r>
          </w:p>
        </w:tc>
        <w:tc>
          <w:tcPr>
            <w:tcW w:w="5953" w:type="dxa"/>
            <w:tcBorders>
              <w:top w:val="single" w:color="auto" w:sz="4" w:space="0"/>
              <w:left w:val="single" w:color="auto" w:sz="4" w:space="0"/>
              <w:bottom w:val="nil"/>
              <w:right w:val="single" w:color="auto" w:sz="4" w:space="0"/>
            </w:tcBorders>
            <w:noWrap w:val="0"/>
            <w:vAlign w:val="center"/>
          </w:tcPr>
          <w:p w14:paraId="439DD9F9">
            <w:pPr>
              <w:spacing w:line="440" w:lineRule="exact"/>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货物到货验收合格后支付合同金额的30%，剩余70%在安装调试完毕并经甲方最终验收合格后一次性付清。</w:t>
            </w:r>
          </w:p>
        </w:tc>
      </w:tr>
      <w:tr w14:paraId="282EE1B5">
        <w:tblPrEx>
          <w:tblCellMar>
            <w:top w:w="0" w:type="dxa"/>
            <w:left w:w="108" w:type="dxa"/>
            <w:bottom w:w="0" w:type="dxa"/>
            <w:right w:w="108" w:type="dxa"/>
          </w:tblCellMar>
        </w:tblPrEx>
        <w:trPr>
          <w:trHeight w:val="619" w:hRule="atLeast"/>
        </w:trPr>
        <w:tc>
          <w:tcPr>
            <w:tcW w:w="709" w:type="dxa"/>
            <w:vMerge w:val="restart"/>
            <w:tcBorders>
              <w:top w:val="single" w:color="auto" w:sz="4" w:space="0"/>
              <w:left w:val="single" w:color="auto" w:sz="4" w:space="0"/>
              <w:right w:val="single" w:color="auto" w:sz="4" w:space="0"/>
            </w:tcBorders>
            <w:noWrap w:val="0"/>
            <w:vAlign w:val="center"/>
          </w:tcPr>
          <w:p w14:paraId="49815D8E">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40</w:t>
            </w:r>
          </w:p>
        </w:tc>
        <w:tc>
          <w:tcPr>
            <w:tcW w:w="2552" w:type="dxa"/>
            <w:tcBorders>
              <w:top w:val="single" w:color="auto" w:sz="4" w:space="0"/>
              <w:left w:val="single" w:color="auto" w:sz="4" w:space="0"/>
              <w:bottom w:val="nil"/>
              <w:right w:val="single" w:color="auto" w:sz="4" w:space="0"/>
            </w:tcBorders>
            <w:noWrap w:val="0"/>
            <w:vAlign w:val="center"/>
          </w:tcPr>
          <w:p w14:paraId="5698E5C5">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招标文件费</w:t>
            </w:r>
          </w:p>
        </w:tc>
        <w:tc>
          <w:tcPr>
            <w:tcW w:w="5953" w:type="dxa"/>
            <w:tcBorders>
              <w:top w:val="single" w:color="auto" w:sz="4" w:space="0"/>
              <w:left w:val="single" w:color="auto" w:sz="4" w:space="0"/>
              <w:bottom w:val="nil"/>
              <w:right w:val="single" w:color="auto" w:sz="4" w:space="0"/>
            </w:tcBorders>
            <w:noWrap w:val="0"/>
            <w:vAlign w:val="center"/>
          </w:tcPr>
          <w:p w14:paraId="4404018E">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不收取</w:t>
            </w:r>
          </w:p>
        </w:tc>
      </w:tr>
      <w:tr w14:paraId="1636B549">
        <w:tblPrEx>
          <w:tblCellMar>
            <w:top w:w="0" w:type="dxa"/>
            <w:left w:w="108" w:type="dxa"/>
            <w:bottom w:w="0" w:type="dxa"/>
            <w:right w:w="108" w:type="dxa"/>
          </w:tblCellMar>
        </w:tblPrEx>
        <w:trPr>
          <w:trHeight w:val="557" w:hRule="atLeast"/>
        </w:trPr>
        <w:tc>
          <w:tcPr>
            <w:tcW w:w="709" w:type="dxa"/>
            <w:vMerge w:val="continue"/>
            <w:tcBorders>
              <w:left w:val="single" w:color="auto" w:sz="4" w:space="0"/>
              <w:right w:val="single" w:color="auto" w:sz="4" w:space="0"/>
            </w:tcBorders>
            <w:noWrap w:val="0"/>
            <w:vAlign w:val="center"/>
          </w:tcPr>
          <w:p w14:paraId="0AFE577E">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2552" w:type="dxa"/>
            <w:tcBorders>
              <w:top w:val="single" w:color="auto" w:sz="4" w:space="0"/>
              <w:left w:val="single" w:color="auto" w:sz="4" w:space="0"/>
              <w:bottom w:val="nil"/>
              <w:right w:val="single" w:color="auto" w:sz="4" w:space="0"/>
            </w:tcBorders>
            <w:noWrap w:val="0"/>
            <w:vAlign w:val="center"/>
          </w:tcPr>
          <w:p w14:paraId="649F14EB">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投标保证金</w:t>
            </w:r>
          </w:p>
        </w:tc>
        <w:tc>
          <w:tcPr>
            <w:tcW w:w="5953" w:type="dxa"/>
            <w:tcBorders>
              <w:top w:val="single" w:color="auto" w:sz="4" w:space="0"/>
              <w:left w:val="single" w:color="auto" w:sz="4" w:space="0"/>
              <w:bottom w:val="nil"/>
              <w:right w:val="single" w:color="auto" w:sz="4" w:space="0"/>
            </w:tcBorders>
            <w:noWrap w:val="0"/>
            <w:vAlign w:val="center"/>
          </w:tcPr>
          <w:p w14:paraId="745CA16A">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不收取</w:t>
            </w:r>
          </w:p>
        </w:tc>
      </w:tr>
      <w:tr w14:paraId="33F09486">
        <w:tblPrEx>
          <w:tblCellMar>
            <w:top w:w="0" w:type="dxa"/>
            <w:left w:w="108" w:type="dxa"/>
            <w:bottom w:w="0" w:type="dxa"/>
            <w:right w:w="108" w:type="dxa"/>
          </w:tblCellMar>
        </w:tblPrEx>
        <w:trPr>
          <w:trHeight w:val="551" w:hRule="atLeast"/>
        </w:trPr>
        <w:tc>
          <w:tcPr>
            <w:tcW w:w="709" w:type="dxa"/>
            <w:vMerge w:val="continue"/>
            <w:tcBorders>
              <w:left w:val="single" w:color="auto" w:sz="4" w:space="0"/>
              <w:right w:val="single" w:color="auto" w:sz="4" w:space="0"/>
            </w:tcBorders>
            <w:noWrap w:val="0"/>
            <w:vAlign w:val="center"/>
          </w:tcPr>
          <w:p w14:paraId="698FF85A">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2552" w:type="dxa"/>
            <w:tcBorders>
              <w:top w:val="single" w:color="auto" w:sz="4" w:space="0"/>
              <w:left w:val="single" w:color="auto" w:sz="4" w:space="0"/>
              <w:bottom w:val="nil"/>
              <w:right w:val="single" w:color="auto" w:sz="4" w:space="0"/>
            </w:tcBorders>
            <w:noWrap w:val="0"/>
            <w:vAlign w:val="center"/>
          </w:tcPr>
          <w:p w14:paraId="51C31972">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质量保证金</w:t>
            </w:r>
          </w:p>
        </w:tc>
        <w:tc>
          <w:tcPr>
            <w:tcW w:w="5953" w:type="dxa"/>
            <w:tcBorders>
              <w:top w:val="single" w:color="auto" w:sz="4" w:space="0"/>
              <w:left w:val="single" w:color="auto" w:sz="4" w:space="0"/>
              <w:bottom w:val="nil"/>
              <w:right w:val="single" w:color="auto" w:sz="4" w:space="0"/>
            </w:tcBorders>
            <w:noWrap w:val="0"/>
            <w:vAlign w:val="center"/>
          </w:tcPr>
          <w:p w14:paraId="3300A632">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不收取</w:t>
            </w:r>
          </w:p>
        </w:tc>
      </w:tr>
      <w:tr w14:paraId="5214B2FE">
        <w:tblPrEx>
          <w:tblCellMar>
            <w:top w:w="0" w:type="dxa"/>
            <w:left w:w="108" w:type="dxa"/>
            <w:bottom w:w="0" w:type="dxa"/>
            <w:right w:w="108" w:type="dxa"/>
          </w:tblCellMar>
        </w:tblPrEx>
        <w:trPr>
          <w:trHeight w:val="551" w:hRule="atLeast"/>
        </w:trPr>
        <w:tc>
          <w:tcPr>
            <w:tcW w:w="709" w:type="dxa"/>
            <w:vMerge w:val="continue"/>
            <w:tcBorders>
              <w:left w:val="single" w:color="auto" w:sz="4" w:space="0"/>
              <w:bottom w:val="nil"/>
              <w:right w:val="single" w:color="auto" w:sz="4" w:space="0"/>
            </w:tcBorders>
            <w:noWrap w:val="0"/>
            <w:vAlign w:val="center"/>
          </w:tcPr>
          <w:p w14:paraId="2784FD0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2552" w:type="dxa"/>
            <w:tcBorders>
              <w:top w:val="single" w:color="auto" w:sz="4" w:space="0"/>
              <w:left w:val="single" w:color="auto" w:sz="4" w:space="0"/>
              <w:bottom w:val="nil"/>
              <w:right w:val="single" w:color="auto" w:sz="4" w:space="0"/>
            </w:tcBorders>
            <w:noWrap w:val="0"/>
            <w:vAlign w:val="center"/>
          </w:tcPr>
          <w:p w14:paraId="0695E0AC">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履约保证金</w:t>
            </w:r>
          </w:p>
        </w:tc>
        <w:tc>
          <w:tcPr>
            <w:tcW w:w="5953" w:type="dxa"/>
            <w:tcBorders>
              <w:top w:val="single" w:color="auto" w:sz="4" w:space="0"/>
              <w:left w:val="single" w:color="auto" w:sz="4" w:space="0"/>
              <w:bottom w:val="nil"/>
              <w:right w:val="single" w:color="auto" w:sz="4" w:space="0"/>
            </w:tcBorders>
            <w:noWrap w:val="0"/>
            <w:vAlign w:val="center"/>
          </w:tcPr>
          <w:p w14:paraId="365569C5">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不收取</w:t>
            </w:r>
          </w:p>
        </w:tc>
      </w:tr>
      <w:tr w14:paraId="0B046C81">
        <w:tblPrEx>
          <w:tblCellMar>
            <w:top w:w="0" w:type="dxa"/>
            <w:left w:w="108" w:type="dxa"/>
            <w:bottom w:w="0" w:type="dxa"/>
            <w:right w:w="108" w:type="dxa"/>
          </w:tblCellMar>
        </w:tblPrEx>
        <w:trPr>
          <w:trHeight w:val="9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9C88896">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4561DDA">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相关政府采购政策落实情况</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57AE9488">
            <w:pPr>
              <w:spacing w:line="360" w:lineRule="auto"/>
              <w:ind w:left="105" w:leftChars="50" w:firstLine="316" w:firstLineChars="150"/>
              <w:jc w:val="left"/>
              <w:rPr>
                <w:rFonts w:hint="eastAsia" w:ascii="宋体" w:hAnsi="宋体" w:eastAsia="宋体" w:cs="宋体"/>
                <w:b/>
                <w:color w:val="000000" w:themeColor="text1"/>
                <w:kern w:val="0"/>
                <w:szCs w:val="21"/>
                <w:highlight w:val="none"/>
                <w:lang w:bidi="ar"/>
                <w14:textFill>
                  <w14:solidFill>
                    <w14:schemeClr w14:val="tx1"/>
                  </w14:solidFill>
                </w14:textFill>
              </w:rPr>
            </w:pPr>
            <w:r>
              <w:rPr>
                <w:rFonts w:hint="eastAsia" w:ascii="宋体" w:hAnsi="宋体" w:eastAsia="宋体" w:cs="宋体"/>
                <w:b/>
                <w:color w:val="000000" w:themeColor="text1"/>
                <w:kern w:val="0"/>
                <w:szCs w:val="21"/>
                <w:highlight w:val="none"/>
                <w:lang w:bidi="ar"/>
                <w14:textFill>
                  <w14:solidFill>
                    <w14:schemeClr w14:val="tx1"/>
                  </w14:solidFill>
                </w14:textFill>
              </w:rPr>
              <w:t>一、落实四个“一日办”精神：</w:t>
            </w:r>
          </w:p>
          <w:p w14:paraId="77D1E327">
            <w:pPr>
              <w:spacing w:line="360" w:lineRule="auto"/>
              <w:ind w:left="105" w:leftChars="50" w:firstLine="315" w:firstLineChars="150"/>
              <w:jc w:val="left"/>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按照《平顶山市财政局关于压减政府采购各环节时限进一步优化政府采购营商环境的通知》（平财购〔2021〕34号）通知，落实四个“一日办”精神：</w:t>
            </w:r>
          </w:p>
          <w:p w14:paraId="105A1A93">
            <w:pPr>
              <w:spacing w:line="360" w:lineRule="auto"/>
              <w:ind w:left="105" w:leftChars="50" w:firstLine="315" w:firstLineChars="150"/>
              <w:jc w:val="left"/>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（1）在评审结束后1日内确定采购结果，同时对中标单位发出中标或成交通知书，并在网上进行公示公告；</w:t>
            </w:r>
          </w:p>
          <w:p w14:paraId="3BF1C399">
            <w:pPr>
              <w:spacing w:line="360" w:lineRule="auto"/>
              <w:ind w:left="105" w:leftChars="50" w:firstLine="315" w:firstLineChars="150"/>
              <w:jc w:val="left"/>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（2）中标或成交通知书发出后，1日内与中标或成交供应商签订合同，合同签订当日完成合同备案工作；</w:t>
            </w:r>
          </w:p>
          <w:p w14:paraId="5C620E06">
            <w:pPr>
              <w:spacing w:line="360" w:lineRule="auto"/>
              <w:ind w:left="105" w:leftChars="50" w:firstLine="315" w:firstLineChars="150"/>
              <w:jc w:val="left"/>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（3）政府采购项目供应商履约完成后，采购人应在供应商提出验收申请1个工作日内完成验收，同时在平顶山市政府采购网发布验收结果公告；</w:t>
            </w:r>
          </w:p>
          <w:p w14:paraId="5F50A398">
            <w:pPr>
              <w:spacing w:line="360" w:lineRule="auto"/>
              <w:ind w:left="105" w:leftChars="50" w:firstLine="315" w:firstLineChars="150"/>
              <w:jc w:val="left"/>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（4）验收合格具备付款条件的项目，采购人要在1个工作日内按照合同约定支付项目资金。</w:t>
            </w:r>
          </w:p>
          <w:p w14:paraId="602CE14C">
            <w:pPr>
              <w:spacing w:line="360" w:lineRule="auto"/>
              <w:jc w:val="left"/>
              <w:rPr>
                <w:rFonts w:hint="eastAsia" w:ascii="宋体" w:hAnsi="宋体" w:eastAsia="宋体" w:cs="宋体"/>
                <w:b/>
                <w:color w:val="000000" w:themeColor="text1"/>
                <w:kern w:val="0"/>
                <w:szCs w:val="21"/>
                <w:highlight w:val="none"/>
                <w:lang w:bidi="ar"/>
                <w14:textFill>
                  <w14:solidFill>
                    <w14:schemeClr w14:val="tx1"/>
                  </w14:solidFill>
                </w14:textFill>
              </w:rPr>
            </w:pPr>
            <w:r>
              <w:rPr>
                <w:rFonts w:hint="eastAsia" w:ascii="宋体" w:hAnsi="宋体" w:eastAsia="宋体" w:cs="宋体"/>
                <w:b/>
                <w:color w:val="000000" w:themeColor="text1"/>
                <w:kern w:val="0"/>
                <w:szCs w:val="21"/>
                <w:highlight w:val="none"/>
                <w:u w:val="single"/>
                <w:lang w:bidi="ar"/>
                <w14:textFill>
                  <w14:solidFill>
                    <w14:schemeClr w14:val="tx1"/>
                  </w14:solidFill>
                </w14:textFill>
              </w:rPr>
              <w:t>温馨提示：为了不影响中标后及时发布合同公告，请供应商在开标前完成河南省政府采购网企业账号注册。采购人、供应商、代理机构、评审专家等各相关主体须在规定时间内及时在河南省政府采购网网上进行政府采购项目信用评价。</w:t>
            </w:r>
          </w:p>
          <w:p w14:paraId="55EE4C57">
            <w:pPr>
              <w:spacing w:line="360" w:lineRule="auto"/>
              <w:jc w:val="left"/>
              <w:rPr>
                <w:rFonts w:hint="eastAsia" w:ascii="宋体" w:hAnsi="宋体" w:eastAsia="宋体" w:cs="宋体"/>
                <w:b/>
                <w:color w:val="000000" w:themeColor="text1"/>
                <w:kern w:val="0"/>
                <w:szCs w:val="21"/>
                <w:highlight w:val="none"/>
                <w:lang w:bidi="ar"/>
                <w14:textFill>
                  <w14:solidFill>
                    <w14:schemeClr w14:val="tx1"/>
                  </w14:solidFill>
                </w14:textFill>
              </w:rPr>
            </w:pPr>
            <w:r>
              <w:rPr>
                <w:rFonts w:hint="eastAsia" w:ascii="宋体" w:hAnsi="宋体" w:eastAsia="宋体" w:cs="宋体"/>
                <w:b/>
                <w:color w:val="000000" w:themeColor="text1"/>
                <w:kern w:val="0"/>
                <w:szCs w:val="21"/>
                <w:highlight w:val="none"/>
                <w:lang w:bidi="ar"/>
                <w14:textFill>
                  <w14:solidFill>
                    <w14:schemeClr w14:val="tx1"/>
                  </w14:solidFill>
                </w14:textFill>
              </w:rPr>
              <w:t>二、维护企业在政府采购活动中的知情权</w:t>
            </w:r>
          </w:p>
          <w:p w14:paraId="6F71914D">
            <w:pPr>
              <w:keepNext/>
              <w:keepLines/>
              <w:spacing w:line="360" w:lineRule="auto"/>
              <w:ind w:firstLine="315" w:firstLineChars="150"/>
              <w:jc w:val="left"/>
              <w:outlineLvl w:val="1"/>
              <w:rPr>
                <w:rFonts w:hint="eastAsia" w:ascii="宋体" w:hAnsi="宋体" w:eastAsia="宋体" w:cs="宋体"/>
                <w:color w:val="000000" w:themeColor="text1"/>
                <w:kern w:val="0"/>
                <w:szCs w:val="21"/>
                <w:highlight w:val="none"/>
                <w:lang w:bidi="ar"/>
                <w14:textFill>
                  <w14:solidFill>
                    <w14:schemeClr w14:val="tx1"/>
                  </w14:solidFill>
                </w14:textFill>
              </w:rPr>
            </w:pPr>
            <w:bookmarkStart w:id="64" w:name="_Toc135922537"/>
            <w:bookmarkStart w:id="65" w:name="_Toc135648887"/>
            <w:r>
              <w:rPr>
                <w:rFonts w:hint="eastAsia" w:ascii="宋体" w:hAnsi="宋体" w:eastAsia="宋体" w:cs="宋体"/>
                <w:color w:val="000000" w:themeColor="text1"/>
                <w:kern w:val="0"/>
                <w:szCs w:val="21"/>
                <w:highlight w:val="none"/>
                <w:lang w:bidi="ar"/>
                <w14:textFill>
                  <w14:solidFill>
                    <w14:schemeClr w14:val="tx1"/>
                  </w14:solidFill>
                </w14:textFill>
              </w:rPr>
              <w:t>采用公开招标采购方式的政府采购项目，在公告中标结果的同时，对未通过资格审查的投标人，采购人或者采购代理机构应告知其未通过的原因；采用综合评分法评审的，通过发电子邮件方式告知未中标人本人的评审得分与排序。采用竞争性谈判、竞争性招标、询价、单一来源采购方式的政府采购项目，对投标人未实质性响应的文件按无效响应处理的，采购人或者采购代理机构应当告知投标人原因。</w:t>
            </w:r>
            <w:bookmarkEnd w:id="64"/>
            <w:bookmarkEnd w:id="65"/>
          </w:p>
          <w:p w14:paraId="3A66DD82">
            <w:pPr>
              <w:spacing w:line="360" w:lineRule="auto"/>
              <w:ind w:left="105" w:leftChars="50" w:firstLine="316" w:firstLineChars="150"/>
              <w:jc w:val="left"/>
              <w:rPr>
                <w:rFonts w:hint="eastAsia" w:ascii="宋体" w:hAnsi="宋体" w:eastAsia="宋体" w:cs="宋体"/>
                <w:b/>
                <w:color w:val="000000" w:themeColor="text1"/>
                <w:kern w:val="0"/>
                <w:szCs w:val="21"/>
                <w:highlight w:val="none"/>
                <w:lang w:bidi="ar"/>
                <w14:textFill>
                  <w14:solidFill>
                    <w14:schemeClr w14:val="tx1"/>
                  </w14:solidFill>
                </w14:textFill>
              </w:rPr>
            </w:pPr>
            <w:r>
              <w:rPr>
                <w:rFonts w:hint="eastAsia" w:ascii="宋体" w:hAnsi="宋体" w:eastAsia="宋体" w:cs="宋体"/>
                <w:b/>
                <w:color w:val="000000" w:themeColor="text1"/>
                <w:kern w:val="0"/>
                <w:szCs w:val="21"/>
                <w:highlight w:val="none"/>
                <w:lang w:bidi="ar"/>
                <w14:textFill>
                  <w14:solidFill>
                    <w14:schemeClr w14:val="tx1"/>
                  </w14:solidFill>
                </w14:textFill>
              </w:rPr>
              <w:t>三、提供中小企业声明函格式</w:t>
            </w:r>
          </w:p>
          <w:p w14:paraId="0E79255C">
            <w:pPr>
              <w:spacing w:after="120" w:line="360" w:lineRule="auto"/>
              <w:ind w:left="105" w:leftChars="50" w:firstLine="315" w:firstLineChars="150"/>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在采购文件中，采购代理机构应按照财政部、工信部印发的《政府采购促进中小企业发展管理办法》的通知精神（财库〔2020〕46号）提供中小企业声明函格式（附件1）。</w:t>
            </w:r>
          </w:p>
          <w:p w14:paraId="698BB665">
            <w:pPr>
              <w:spacing w:after="120" w:line="360" w:lineRule="auto"/>
              <w:ind w:left="105" w:leftChars="50" w:firstLine="315" w:firstLineChars="150"/>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根据《政府采购促进中小企业发展管理办法》（财库〔2020〕46号）第四条：在政府采购活动中，供应商提供的货物、工程或者服务符合下列情形的，享受本办法规定的中小企业扶持政策：</w:t>
            </w:r>
          </w:p>
          <w:p w14:paraId="1821A8B3">
            <w:pPr>
              <w:spacing w:after="120" w:line="360" w:lineRule="auto"/>
              <w:ind w:left="105" w:leftChars="50" w:firstLine="315" w:firstLineChars="150"/>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（一）在货物采购项目中，货物由中小企业制造，即货物由中小企业生产且使用该中小企业商号或者注册商标；</w:t>
            </w:r>
          </w:p>
          <w:p w14:paraId="2ABA190C">
            <w:pPr>
              <w:spacing w:after="120" w:line="360" w:lineRule="auto"/>
              <w:ind w:left="105" w:leftChars="50" w:firstLine="315" w:firstLineChars="150"/>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（二）在工程采购项目中，工程由中小企业承建，即工程施工单位为中小企业；</w:t>
            </w:r>
          </w:p>
          <w:p w14:paraId="7EC25109">
            <w:pPr>
              <w:spacing w:after="120" w:line="360" w:lineRule="auto"/>
              <w:ind w:left="105" w:leftChars="50" w:firstLine="315" w:firstLineChars="150"/>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（三）在服务采购项目中，服务由中小企业承接，即提供服务的人员为中小企业依照《中华人民共和国劳动合同法》订立劳动合同的从业人员。</w:t>
            </w:r>
          </w:p>
          <w:p w14:paraId="3E3F3003">
            <w:pPr>
              <w:spacing w:after="120" w:line="360" w:lineRule="auto"/>
              <w:ind w:left="105" w:leftChars="50" w:firstLine="315" w:firstLineChars="150"/>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在货物采购项目中，投标人提供的货物既有中小企业制造货物，也有大型企业制造货物的，不享受本办法规定的中小企业扶持政策。</w:t>
            </w:r>
          </w:p>
          <w:p w14:paraId="706AA2A2">
            <w:pPr>
              <w:spacing w:after="120" w:line="360" w:lineRule="auto"/>
              <w:ind w:left="105" w:leftChars="50" w:firstLine="315" w:firstLineChars="150"/>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以联合体形式参加政府采购活动，联合体各方均为中小企业的，联合体视同中小企业。其中，联合体各方均为小微企业的，联合体视同小微企业。</w:t>
            </w:r>
          </w:p>
          <w:p w14:paraId="170A9278">
            <w:pPr>
              <w:spacing w:after="120" w:line="360" w:lineRule="auto"/>
              <w:ind w:left="105" w:leftChars="50" w:firstLine="315" w:firstLineChars="150"/>
              <w:rPr>
                <w:rFonts w:hint="eastAsia" w:ascii="宋体" w:hAnsi="宋体" w:eastAsia="宋体" w:cs="宋体"/>
                <w:color w:val="000000" w:themeColor="text1"/>
                <w:highlight w:val="none"/>
                <w:lang w:bidi="ar"/>
                <w14:textFill>
                  <w14:solidFill>
                    <w14:schemeClr w14:val="tx1"/>
                  </w14:solidFill>
                </w14:textFill>
              </w:rPr>
            </w:pPr>
            <w:r>
              <w:rPr>
                <w:rFonts w:hint="eastAsia" w:ascii="宋体" w:hAnsi="宋体" w:eastAsia="宋体" w:cs="宋体"/>
                <w:color w:val="000000" w:themeColor="text1"/>
                <w:highlight w:val="none"/>
                <w:lang w:bidi="ar"/>
                <w14:textFill>
                  <w14:solidFill>
                    <w14:schemeClr w14:val="tx1"/>
                  </w14:solidFill>
                </w14:textFill>
              </w:rPr>
              <w:t>如果一个采购项目包含有多个采购标的，则每个采购标的均应由小微企业制造的，享受办法规定的小微企业扶持政策。</w:t>
            </w:r>
          </w:p>
          <w:p w14:paraId="02856480">
            <w:pPr>
              <w:spacing w:after="120" w:line="360" w:lineRule="auto"/>
              <w:ind w:left="105" w:leftChars="50" w:firstLine="315" w:firstLineChars="150"/>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采购项目包含多种标的物的，货物制造商的相关信息全部列入《中小企业声明函》，并由投标人出具并加盖投标人公章。</w:t>
            </w:r>
          </w:p>
          <w:p w14:paraId="55862911">
            <w:pPr>
              <w:spacing w:after="120" w:line="360" w:lineRule="auto"/>
              <w:ind w:left="105" w:leftChars="50" w:firstLine="315" w:firstLineChars="150"/>
              <w:rPr>
                <w:rFonts w:hint="eastAsia" w:ascii="宋体" w:hAnsi="宋体" w:eastAsia="宋体" w:cs="宋体"/>
                <w:color w:val="000000" w:themeColor="text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任何单位和个人不得要求供应商提供《中小企业声明函》之外的中小企业身份证明文件。</w:t>
            </w:r>
          </w:p>
          <w:p w14:paraId="70706EE7">
            <w:pPr>
              <w:spacing w:line="360" w:lineRule="auto"/>
              <w:ind w:left="105" w:leftChars="50" w:firstLine="316" w:firstLineChars="150"/>
              <w:jc w:val="left"/>
              <w:rPr>
                <w:rFonts w:hint="eastAsia" w:ascii="宋体" w:hAnsi="宋体" w:eastAsia="宋体" w:cs="宋体"/>
                <w:b/>
                <w:color w:val="000000" w:themeColor="text1"/>
                <w:kern w:val="0"/>
                <w:szCs w:val="21"/>
                <w:highlight w:val="none"/>
                <w:lang w:bidi="ar"/>
                <w14:textFill>
                  <w14:solidFill>
                    <w14:schemeClr w14:val="tx1"/>
                  </w14:solidFill>
                </w14:textFill>
              </w:rPr>
            </w:pPr>
            <w:r>
              <w:rPr>
                <w:rFonts w:hint="eastAsia" w:ascii="宋体" w:hAnsi="宋体" w:eastAsia="宋体" w:cs="宋体"/>
                <w:b/>
                <w:color w:val="000000" w:themeColor="text1"/>
                <w:kern w:val="0"/>
                <w:szCs w:val="21"/>
                <w:highlight w:val="none"/>
                <w:lang w:bidi="ar"/>
                <w14:textFill>
                  <w14:solidFill>
                    <w14:schemeClr w14:val="tx1"/>
                  </w14:solidFill>
                </w14:textFill>
              </w:rPr>
              <w:t>四、推广政府采购合同融资</w:t>
            </w:r>
          </w:p>
          <w:p w14:paraId="07ABF872">
            <w:pPr>
              <w:spacing w:after="120" w:line="360" w:lineRule="auto"/>
              <w:ind w:left="105" w:leftChars="50" w:firstLine="315" w:firstLineChars="150"/>
              <w:jc w:val="left"/>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要求采购人和代理机构将“政府采购合同融资告知函”写入招标文件，鼓励中标投标人凭借采购合同申请贷款，助力解决中小企业融资难、融资贵的问题。</w:t>
            </w:r>
          </w:p>
          <w:p w14:paraId="4E13ECE1">
            <w:pPr>
              <w:spacing w:line="360" w:lineRule="auto"/>
              <w:ind w:left="105" w:leftChars="50" w:firstLine="316" w:firstLineChars="150"/>
              <w:jc w:val="left"/>
              <w:rPr>
                <w:rFonts w:hint="eastAsia" w:ascii="宋体" w:hAnsi="宋体" w:eastAsia="宋体" w:cs="宋体"/>
                <w:b/>
                <w:color w:val="000000" w:themeColor="text1"/>
                <w:kern w:val="0"/>
                <w:szCs w:val="21"/>
                <w:highlight w:val="none"/>
                <w:lang w:bidi="ar"/>
                <w14:textFill>
                  <w14:solidFill>
                    <w14:schemeClr w14:val="tx1"/>
                  </w14:solidFill>
                </w14:textFill>
              </w:rPr>
            </w:pPr>
            <w:r>
              <w:rPr>
                <w:rFonts w:hint="eastAsia" w:ascii="宋体" w:hAnsi="宋体" w:eastAsia="宋体" w:cs="宋体"/>
                <w:b/>
                <w:color w:val="000000" w:themeColor="text1"/>
                <w:kern w:val="0"/>
                <w:szCs w:val="21"/>
                <w:highlight w:val="none"/>
                <w:lang w:bidi="ar"/>
                <w14:textFill>
                  <w14:solidFill>
                    <w14:schemeClr w14:val="tx1"/>
                  </w14:solidFill>
                </w14:textFill>
              </w:rPr>
              <w:t>五、落实预留采购份额</w:t>
            </w:r>
          </w:p>
          <w:p w14:paraId="203B6F86">
            <w:pPr>
              <w:keepNext/>
              <w:keepLines/>
              <w:spacing w:line="360" w:lineRule="auto"/>
              <w:ind w:firstLine="315" w:firstLineChars="150"/>
              <w:outlineLvl w:val="1"/>
              <w:rPr>
                <w:rFonts w:hint="eastAsia" w:ascii="宋体" w:hAnsi="宋体" w:eastAsia="宋体" w:cs="宋体"/>
                <w:color w:val="000000" w:themeColor="text1"/>
                <w:kern w:val="0"/>
                <w:szCs w:val="21"/>
                <w:highlight w:val="none"/>
                <w:lang w:bidi="ar"/>
                <w14:textFill>
                  <w14:solidFill>
                    <w14:schemeClr w14:val="tx1"/>
                  </w14:solidFill>
                </w14:textFill>
              </w:rPr>
            </w:pPr>
            <w:bookmarkStart w:id="66" w:name="_Toc135922538"/>
            <w:bookmarkStart w:id="67" w:name="_Toc135648888"/>
            <w:r>
              <w:rPr>
                <w:rFonts w:hint="eastAsia" w:ascii="宋体" w:hAnsi="宋体" w:eastAsia="宋体" w:cs="宋体"/>
                <w:color w:val="000000" w:themeColor="text1"/>
                <w:kern w:val="0"/>
                <w:szCs w:val="21"/>
                <w:highlight w:val="none"/>
                <w:lang w:bidi="ar"/>
                <w14:textFill>
                  <w14:solidFill>
                    <w14:schemeClr w14:val="tx1"/>
                  </w14:solidFill>
                </w14:textFill>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bookmarkEnd w:id="66"/>
            <w:bookmarkEnd w:id="67"/>
          </w:p>
          <w:p w14:paraId="23318994">
            <w:pPr>
              <w:keepNext/>
              <w:keepLines/>
              <w:spacing w:line="360" w:lineRule="auto"/>
              <w:ind w:firstLine="316" w:firstLineChars="150"/>
              <w:outlineLvl w:val="1"/>
              <w:rPr>
                <w:rFonts w:hint="eastAsia" w:ascii="宋体" w:hAnsi="宋体" w:eastAsia="宋体" w:cs="宋体"/>
                <w:b/>
                <w:color w:val="000000" w:themeColor="text1"/>
                <w:kern w:val="0"/>
                <w:szCs w:val="21"/>
                <w:highlight w:val="none"/>
                <w:lang w:bidi="ar"/>
                <w14:textFill>
                  <w14:solidFill>
                    <w14:schemeClr w14:val="tx1"/>
                  </w14:solidFill>
                </w14:textFill>
              </w:rPr>
            </w:pPr>
            <w:bookmarkStart w:id="68" w:name="_Toc135922539"/>
            <w:bookmarkStart w:id="69" w:name="_Toc135648889"/>
            <w:r>
              <w:rPr>
                <w:rFonts w:hint="eastAsia" w:ascii="宋体" w:hAnsi="宋体" w:eastAsia="宋体" w:cs="宋体"/>
                <w:b/>
                <w:color w:val="000000" w:themeColor="text1"/>
                <w:kern w:val="0"/>
                <w:szCs w:val="21"/>
                <w:highlight w:val="none"/>
                <w:lang w:bidi="ar"/>
                <w14:textFill>
                  <w14:solidFill>
                    <w14:schemeClr w14:val="tx1"/>
                  </w14:solidFill>
                </w14:textFill>
              </w:rPr>
              <w:t>六、落实价格评审优惠政策</w:t>
            </w:r>
            <w:bookmarkEnd w:id="68"/>
            <w:bookmarkEnd w:id="69"/>
          </w:p>
          <w:p w14:paraId="7737679C">
            <w:pPr>
              <w:widowControl/>
              <w:spacing w:line="360" w:lineRule="auto"/>
              <w:ind w:firstLine="315" w:firstLineChars="150"/>
              <w:rPr>
                <w:rFonts w:hint="eastAsia" w:ascii="宋体" w:hAnsi="宋体" w:eastAsia="宋体" w:cs="宋体"/>
                <w:color w:val="000000" w:themeColor="text1"/>
                <w:kern w:val="0"/>
                <w:szCs w:val="21"/>
                <w:highlight w:val="none"/>
                <w:lang w:bidi="ar"/>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对于未预留份额专门面向中小企业采购的采购项目，以及预留份额项目中的非预留部分采购包，采购人、采购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上述政策应当在评审办法中注明确定值。</w:t>
            </w:r>
          </w:p>
          <w:p w14:paraId="5A913C74">
            <w:pPr>
              <w:widowControl/>
              <w:numPr>
                <w:ilvl w:val="0"/>
                <w:numId w:val="0"/>
              </w:numPr>
              <w:spacing w:line="360" w:lineRule="auto"/>
              <w:ind w:firstLine="316" w:firstLineChars="150"/>
              <w:rPr>
                <w:rFonts w:hint="eastAsia" w:ascii="宋体" w:hAnsi="宋体" w:eastAsia="宋体" w:cs="宋体"/>
                <w:b/>
                <w:bCs/>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
                <w14:textFill>
                  <w14:solidFill>
                    <w14:schemeClr w14:val="tx1"/>
                  </w14:solidFill>
                </w14:textFill>
              </w:rPr>
              <w:t>七、</w:t>
            </w:r>
            <w:r>
              <w:rPr>
                <w:rFonts w:hint="eastAsia" w:ascii="宋体" w:hAnsi="宋体" w:eastAsia="宋体" w:cs="宋体"/>
                <w:b/>
                <w:bCs/>
                <w:color w:val="000000" w:themeColor="text1"/>
                <w:kern w:val="0"/>
                <w:szCs w:val="21"/>
                <w:highlight w:val="none"/>
                <w:lang w:val="en-US" w:eastAsia="zh-CN" w:bidi="ar"/>
                <w14:textFill>
                  <w14:solidFill>
                    <w14:schemeClr w14:val="tx1"/>
                  </w14:solidFill>
                </w14:textFill>
              </w:rPr>
              <w:t>落实本国产品政策</w:t>
            </w:r>
          </w:p>
          <w:p w14:paraId="5EC594CE">
            <w:pPr>
              <w:widowControl/>
              <w:numPr>
                <w:ilvl w:val="0"/>
                <w:numId w:val="0"/>
              </w:numPr>
              <w:spacing w:line="360" w:lineRule="auto"/>
              <w:ind w:firstLine="420" w:firstLineChars="200"/>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执行《国务院办公厅关于在政府采购中实施本国产品标准及相关政策的通知》及《关于贯彻落实《国务院办公厅关于在政府采购中实施本国产品标准及相关政策的通知》的意见》（财库〔2025〕30号）。</w:t>
            </w:r>
          </w:p>
          <w:p w14:paraId="5851D350">
            <w:pPr>
              <w:widowControl/>
              <w:numPr>
                <w:ilvl w:val="0"/>
                <w:numId w:val="0"/>
              </w:numPr>
              <w:spacing w:line="360" w:lineRule="auto"/>
              <w:ind w:firstLine="420" w:firstLineChars="200"/>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Cs w:val="21"/>
                <w:highlight w:val="none"/>
                <w:lang w:val="en-US" w:eastAsia="zh-CN" w:bidi="ar"/>
                <w14:textFill>
                  <w14:solidFill>
                    <w14:schemeClr w14:val="tx1"/>
                  </w14:solidFill>
                </w14:textFill>
              </w:rPr>
              <w:t>供应商须在投标文件中提供《关于符合本国产品标准的声明函》，未按要求提交或声明不实，不予享受价格扣除，弄虚作假按无效投标处理。</w:t>
            </w:r>
          </w:p>
        </w:tc>
      </w:tr>
      <w:tr w14:paraId="1DB16F9F">
        <w:tblPrEx>
          <w:tblCellMar>
            <w:top w:w="0" w:type="dxa"/>
            <w:left w:w="108" w:type="dxa"/>
            <w:bottom w:w="0" w:type="dxa"/>
            <w:right w:w="108" w:type="dxa"/>
          </w:tblCellMar>
        </w:tblPrEx>
        <w:trPr>
          <w:trHeight w:val="42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16FAE0A">
            <w:pPr>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42</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A593B68">
            <w:pPr>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招标代理服务费</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4DFDA7A2">
            <w:pPr>
              <w:keepNext w:val="0"/>
              <w:keepLines w:val="0"/>
              <w:pageBreakBefore w:val="0"/>
              <w:kinsoku/>
              <w:wordWrap/>
              <w:overflowPunct/>
              <w:topLinePunct w:val="0"/>
              <w:autoSpaceDE/>
              <w:autoSpaceDN/>
              <w:bidi w:val="0"/>
              <w:spacing w:line="448" w:lineRule="exact"/>
              <w:ind w:firstLine="402" w:firstLineChars="200"/>
              <w:textAlignment w:val="auto"/>
              <w:rPr>
                <w:rFonts w:hint="eastAsia" w:ascii="宋体" w:hAnsi="宋体" w:cs="宋体"/>
                <w:b/>
                <w:bCs/>
                <w:color w:val="000000" w:themeColor="text1"/>
                <w:sz w:val="20"/>
                <w:szCs w:val="20"/>
                <w:highlight w:val="none"/>
                <w14:textFill>
                  <w14:solidFill>
                    <w14:schemeClr w14:val="tx1"/>
                  </w14:solidFill>
                </w14:textFill>
              </w:rPr>
            </w:pPr>
            <w:r>
              <w:rPr>
                <w:rFonts w:hint="eastAsia" w:ascii="宋体" w:hAnsi="宋体" w:cs="宋体"/>
                <w:b/>
                <w:bCs/>
                <w:color w:val="000000" w:themeColor="text1"/>
                <w:sz w:val="20"/>
                <w:szCs w:val="20"/>
                <w:highlight w:val="none"/>
                <w14:textFill>
                  <w14:solidFill>
                    <w14:schemeClr w14:val="tx1"/>
                  </w14:solidFill>
                </w14:textFill>
              </w:rPr>
              <w:t>中标人应在中标后向招标代理机构支付招标代理服务费。此项费用由投标人综合考虑到投标报价中，不单独列项报价。中标人</w:t>
            </w:r>
            <w:r>
              <w:rPr>
                <w:rFonts w:hint="eastAsia" w:ascii="宋体" w:hAnsi="宋体" w:cs="宋体"/>
                <w:b/>
                <w:bCs/>
                <w:color w:val="000000" w:themeColor="text1"/>
                <w:sz w:val="20"/>
                <w:szCs w:val="20"/>
                <w:highlight w:val="none"/>
                <w:shd w:val="clear" w:color="auto" w:fill="FFFFFF"/>
                <w14:textFill>
                  <w14:solidFill>
                    <w14:schemeClr w14:val="tx1"/>
                  </w14:solidFill>
                </w14:textFill>
              </w:rPr>
              <w:t>参照《河南省招标代理服务收费指导意见》豫招协【2023】002号规定向招标代理</w:t>
            </w:r>
            <w:r>
              <w:rPr>
                <w:rFonts w:hint="eastAsia" w:ascii="宋体" w:hAnsi="宋体" w:cs="宋体"/>
                <w:b/>
                <w:bCs/>
                <w:color w:val="000000" w:themeColor="text1"/>
                <w:sz w:val="20"/>
                <w:szCs w:val="20"/>
                <w:highlight w:val="none"/>
                <w14:textFill>
                  <w14:solidFill>
                    <w14:schemeClr w14:val="tx1"/>
                  </w14:solidFill>
                </w14:textFill>
              </w:rPr>
              <w:t>机构缴清招标代理服务费。</w:t>
            </w:r>
          </w:p>
          <w:p w14:paraId="54F28307">
            <w:pPr>
              <w:keepNext w:val="0"/>
              <w:keepLines w:val="0"/>
              <w:pageBreakBefore w:val="0"/>
              <w:kinsoku/>
              <w:wordWrap/>
              <w:overflowPunct/>
              <w:topLinePunct w:val="0"/>
              <w:autoSpaceDE/>
              <w:autoSpaceDN/>
              <w:bidi w:val="0"/>
              <w:spacing w:line="448" w:lineRule="exact"/>
              <w:ind w:firstLine="402" w:firstLineChars="200"/>
              <w:textAlignment w:val="auto"/>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b/>
                <w:bCs/>
                <w:color w:val="000000" w:themeColor="text1"/>
                <w:sz w:val="20"/>
                <w:szCs w:val="20"/>
                <w:highlight w:val="none"/>
                <w14:textFill>
                  <w14:solidFill>
                    <w14:schemeClr w14:val="tx1"/>
                  </w14:solidFill>
                </w14:textFill>
              </w:rPr>
              <w:t>注:招标代理服务收费按差额定率累进法计算。</w:t>
            </w:r>
          </w:p>
          <w:tbl>
            <w:tblPr>
              <w:tblStyle w:val="18"/>
              <w:tblW w:w="5638" w:type="dxa"/>
              <w:tblInd w:w="1" w:type="dxa"/>
              <w:shd w:val="clear" w:color="auto" w:fill="FFFFFF"/>
              <w:tblLayout w:type="fixed"/>
              <w:tblCellMar>
                <w:top w:w="15" w:type="dxa"/>
                <w:left w:w="15" w:type="dxa"/>
                <w:bottom w:w="15" w:type="dxa"/>
                <w:right w:w="15" w:type="dxa"/>
              </w:tblCellMar>
            </w:tblPr>
            <w:tblGrid>
              <w:gridCol w:w="3335"/>
              <w:gridCol w:w="704"/>
              <w:gridCol w:w="790"/>
              <w:gridCol w:w="809"/>
            </w:tblGrid>
            <w:tr w14:paraId="031AB569">
              <w:tblPrEx>
                <w:tblCellMar>
                  <w:top w:w="15" w:type="dxa"/>
                  <w:left w:w="15" w:type="dxa"/>
                  <w:bottom w:w="15" w:type="dxa"/>
                  <w:right w:w="15" w:type="dxa"/>
                </w:tblCellMar>
              </w:tblPrEx>
              <w:trPr>
                <w:trHeight w:val="919" w:hRule="atLeast"/>
              </w:trPr>
              <w:tc>
                <w:tcPr>
                  <w:tcW w:w="3335"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5E83FCB6">
                  <w:pPr>
                    <w:pStyle w:val="15"/>
                    <w:keepNext w:val="0"/>
                    <w:keepLines w:val="0"/>
                    <w:pageBreakBefore w:val="0"/>
                    <w:kinsoku/>
                    <w:wordWrap/>
                    <w:overflowPunct/>
                    <w:topLinePunct w:val="0"/>
                    <w:autoSpaceDE/>
                    <w:autoSpaceDN/>
                    <w:bidi w:val="0"/>
                    <w:spacing w:before="0" w:beforeAutospacing="0" w:after="0" w:afterAutospacing="0" w:line="448" w:lineRule="exac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费率  项目类型   预算金额（万元）</w:t>
                  </w:r>
                </w:p>
              </w:tc>
              <w:tc>
                <w:tcPr>
                  <w:tcW w:w="704"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77984073">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工程</w:t>
                  </w:r>
                </w:p>
              </w:tc>
              <w:tc>
                <w:tcPr>
                  <w:tcW w:w="790"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44B990FD">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货物</w:t>
                  </w:r>
                </w:p>
              </w:tc>
              <w:tc>
                <w:tcPr>
                  <w:tcW w:w="809"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4FEE98E5">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服务</w:t>
                  </w:r>
                </w:p>
              </w:tc>
            </w:tr>
            <w:tr w14:paraId="6B1B4BA8">
              <w:tblPrEx>
                <w:shd w:val="clear" w:color="auto" w:fill="FFFFFF"/>
                <w:tblCellMar>
                  <w:top w:w="15" w:type="dxa"/>
                  <w:left w:w="15" w:type="dxa"/>
                  <w:bottom w:w="15" w:type="dxa"/>
                  <w:right w:w="15" w:type="dxa"/>
                </w:tblCellMar>
              </w:tblPrEx>
              <w:trPr>
                <w:trHeight w:val="467" w:hRule="atLeast"/>
              </w:trPr>
              <w:tc>
                <w:tcPr>
                  <w:tcW w:w="3335"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7820B5DE">
                  <w:pPr>
                    <w:pStyle w:val="15"/>
                    <w:keepNext w:val="0"/>
                    <w:keepLines w:val="0"/>
                    <w:pageBreakBefore w:val="0"/>
                    <w:kinsoku/>
                    <w:wordWrap/>
                    <w:overflowPunct/>
                    <w:topLinePunct w:val="0"/>
                    <w:autoSpaceDE/>
                    <w:autoSpaceDN/>
                    <w:bidi w:val="0"/>
                    <w:spacing w:before="0" w:beforeAutospacing="0" w:after="0" w:afterAutospacing="0" w:line="448" w:lineRule="exac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100万元以下（含100万元）</w:t>
                  </w:r>
                </w:p>
              </w:tc>
              <w:tc>
                <w:tcPr>
                  <w:tcW w:w="704"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60CCD44A">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1.2%</w:t>
                  </w:r>
                </w:p>
              </w:tc>
              <w:tc>
                <w:tcPr>
                  <w:tcW w:w="790"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56013F8D">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1.7%</w:t>
                  </w:r>
                </w:p>
              </w:tc>
              <w:tc>
                <w:tcPr>
                  <w:tcW w:w="809"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1E452EE5">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1.7%</w:t>
                  </w:r>
                </w:p>
              </w:tc>
            </w:tr>
            <w:tr w14:paraId="154430D9">
              <w:tblPrEx>
                <w:tblCellMar>
                  <w:top w:w="15" w:type="dxa"/>
                  <w:left w:w="15" w:type="dxa"/>
                  <w:bottom w:w="15" w:type="dxa"/>
                  <w:right w:w="15" w:type="dxa"/>
                </w:tblCellMar>
              </w:tblPrEx>
              <w:trPr>
                <w:trHeight w:val="467" w:hRule="atLeast"/>
              </w:trPr>
              <w:tc>
                <w:tcPr>
                  <w:tcW w:w="3335"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1AB34AAE">
                  <w:pPr>
                    <w:pStyle w:val="15"/>
                    <w:keepNext w:val="0"/>
                    <w:keepLines w:val="0"/>
                    <w:pageBreakBefore w:val="0"/>
                    <w:kinsoku/>
                    <w:wordWrap/>
                    <w:overflowPunct/>
                    <w:topLinePunct w:val="0"/>
                    <w:autoSpaceDE/>
                    <w:autoSpaceDN/>
                    <w:bidi w:val="0"/>
                    <w:spacing w:before="0" w:beforeAutospacing="0" w:after="0" w:afterAutospacing="0" w:line="448" w:lineRule="exac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100-500万元（含500万元）</w:t>
                  </w:r>
                </w:p>
              </w:tc>
              <w:tc>
                <w:tcPr>
                  <w:tcW w:w="704"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35C90F9D">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1.0%</w:t>
                  </w:r>
                </w:p>
              </w:tc>
              <w:tc>
                <w:tcPr>
                  <w:tcW w:w="790"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0802A92D">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1.2%</w:t>
                  </w:r>
                </w:p>
              </w:tc>
              <w:tc>
                <w:tcPr>
                  <w:tcW w:w="809"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0C0443AD">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1.2%</w:t>
                  </w:r>
                </w:p>
              </w:tc>
            </w:tr>
            <w:tr w14:paraId="5E422D1C">
              <w:tblPrEx>
                <w:tblCellMar>
                  <w:top w:w="15" w:type="dxa"/>
                  <w:left w:w="15" w:type="dxa"/>
                  <w:bottom w:w="15" w:type="dxa"/>
                  <w:right w:w="15" w:type="dxa"/>
                </w:tblCellMar>
              </w:tblPrEx>
              <w:trPr>
                <w:trHeight w:val="467" w:hRule="atLeast"/>
              </w:trPr>
              <w:tc>
                <w:tcPr>
                  <w:tcW w:w="3335"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464E507F">
                  <w:pPr>
                    <w:pStyle w:val="15"/>
                    <w:keepNext w:val="0"/>
                    <w:keepLines w:val="0"/>
                    <w:pageBreakBefore w:val="0"/>
                    <w:kinsoku/>
                    <w:wordWrap/>
                    <w:overflowPunct/>
                    <w:topLinePunct w:val="0"/>
                    <w:autoSpaceDE/>
                    <w:autoSpaceDN/>
                    <w:bidi w:val="0"/>
                    <w:spacing w:before="0" w:beforeAutospacing="0" w:after="0" w:afterAutospacing="0" w:line="448" w:lineRule="exac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500-1000万元（含1000万元）</w:t>
                  </w:r>
                </w:p>
              </w:tc>
              <w:tc>
                <w:tcPr>
                  <w:tcW w:w="704"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63CFF86A">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0.7%</w:t>
                  </w:r>
                </w:p>
              </w:tc>
              <w:tc>
                <w:tcPr>
                  <w:tcW w:w="790"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3AB52BB1">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0.8%</w:t>
                  </w:r>
                </w:p>
              </w:tc>
              <w:tc>
                <w:tcPr>
                  <w:tcW w:w="809"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0CF0DCF3">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0.7%</w:t>
                  </w:r>
                </w:p>
              </w:tc>
            </w:tr>
            <w:tr w14:paraId="066C2649">
              <w:tblPrEx>
                <w:shd w:val="clear" w:color="auto" w:fill="FFFFFF"/>
                <w:tblCellMar>
                  <w:top w:w="15" w:type="dxa"/>
                  <w:left w:w="15" w:type="dxa"/>
                  <w:bottom w:w="15" w:type="dxa"/>
                  <w:right w:w="15" w:type="dxa"/>
                </w:tblCellMar>
              </w:tblPrEx>
              <w:trPr>
                <w:trHeight w:val="482" w:hRule="atLeast"/>
              </w:trPr>
              <w:tc>
                <w:tcPr>
                  <w:tcW w:w="3335"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03558BF3">
                  <w:pPr>
                    <w:pStyle w:val="15"/>
                    <w:keepNext w:val="0"/>
                    <w:keepLines w:val="0"/>
                    <w:pageBreakBefore w:val="0"/>
                    <w:kinsoku/>
                    <w:wordWrap/>
                    <w:overflowPunct/>
                    <w:topLinePunct w:val="0"/>
                    <w:autoSpaceDE/>
                    <w:autoSpaceDN/>
                    <w:bidi w:val="0"/>
                    <w:spacing w:before="0" w:beforeAutospacing="0" w:after="0" w:afterAutospacing="0" w:line="448" w:lineRule="exac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1000-5000万元（含5000万元）</w:t>
                  </w:r>
                </w:p>
              </w:tc>
              <w:tc>
                <w:tcPr>
                  <w:tcW w:w="704"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0C3B3DF2">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0.4%</w:t>
                  </w:r>
                </w:p>
              </w:tc>
              <w:tc>
                <w:tcPr>
                  <w:tcW w:w="790"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363CE105">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0.5%</w:t>
                  </w:r>
                </w:p>
              </w:tc>
              <w:tc>
                <w:tcPr>
                  <w:tcW w:w="809" w:type="dxa"/>
                  <w:tcBorders>
                    <w:top w:val="single" w:color="DCDCDC" w:sz="6" w:space="0"/>
                    <w:left w:val="single" w:color="DCDCDC" w:sz="6" w:space="0"/>
                    <w:bottom w:val="single" w:color="DCDCDC" w:sz="6" w:space="0"/>
                    <w:right w:val="single" w:color="DCDCDC" w:sz="6" w:space="0"/>
                  </w:tcBorders>
                  <w:shd w:val="clear" w:color="auto" w:fill="FFFFFF"/>
                  <w:noWrap w:val="0"/>
                  <w:tcMar>
                    <w:top w:w="0" w:type="dxa"/>
                    <w:left w:w="105" w:type="dxa"/>
                    <w:bottom w:w="0" w:type="dxa"/>
                    <w:right w:w="105" w:type="dxa"/>
                  </w:tcMar>
                  <w:vAlign w:val="top"/>
                </w:tcPr>
                <w:p w14:paraId="607846C1">
                  <w:pPr>
                    <w:pStyle w:val="15"/>
                    <w:keepNext w:val="0"/>
                    <w:keepLines w:val="0"/>
                    <w:pageBreakBefore w:val="0"/>
                    <w:kinsoku/>
                    <w:wordWrap/>
                    <w:overflowPunct/>
                    <w:topLinePunct w:val="0"/>
                    <w:autoSpaceDE/>
                    <w:autoSpaceDN/>
                    <w:bidi w:val="0"/>
                    <w:spacing w:before="0" w:beforeAutospacing="0" w:after="0" w:afterAutospacing="0" w:line="448" w:lineRule="exact"/>
                    <w:jc w:val="center"/>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0.4%</w:t>
                  </w:r>
                </w:p>
              </w:tc>
            </w:tr>
          </w:tbl>
          <w:p w14:paraId="0B67031A">
            <w:pPr>
              <w:autoSpaceDE w:val="0"/>
              <w:autoSpaceDN w:val="0"/>
              <w:adjustRightInd w:val="0"/>
              <w:spacing w:line="360" w:lineRule="auto"/>
              <w:rPr>
                <w:rFonts w:hint="eastAsia" w:ascii="宋体" w:hAnsi="宋体" w:eastAsia="宋体" w:cs="宋体"/>
                <w:color w:val="000000" w:themeColor="text1"/>
                <w:kern w:val="0"/>
                <w:szCs w:val="21"/>
                <w:highlight w:val="none"/>
                <w14:textFill>
                  <w14:solidFill>
                    <w14:schemeClr w14:val="tx1"/>
                  </w14:solidFill>
                </w14:textFill>
              </w:rPr>
            </w:pPr>
          </w:p>
        </w:tc>
      </w:tr>
      <w:tr w14:paraId="7F8437C6">
        <w:tblPrEx>
          <w:tblCellMar>
            <w:top w:w="0" w:type="dxa"/>
            <w:left w:w="108" w:type="dxa"/>
            <w:bottom w:w="0" w:type="dxa"/>
            <w:right w:w="108" w:type="dxa"/>
          </w:tblCellMar>
        </w:tblPrEx>
        <w:trPr>
          <w:trHeight w:val="408"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73EFE31">
            <w:pPr>
              <w:spacing w:line="400" w:lineRule="exact"/>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43</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191AC3C">
            <w:pPr>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是否采用电子招标投标</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375256AB">
            <w:pPr>
              <w:autoSpaceDE w:val="0"/>
              <w:autoSpaceDN w:val="0"/>
              <w:adjustRightInd w:val="0"/>
              <w:spacing w:line="360" w:lineRule="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是</w:t>
            </w:r>
          </w:p>
        </w:tc>
      </w:tr>
      <w:tr w14:paraId="61725209">
        <w:tblPrEx>
          <w:tblCellMar>
            <w:top w:w="0" w:type="dxa"/>
            <w:left w:w="108" w:type="dxa"/>
            <w:bottom w:w="0" w:type="dxa"/>
            <w:right w:w="108" w:type="dxa"/>
          </w:tblCellMar>
        </w:tblPrEx>
        <w:trPr>
          <w:trHeight w:val="408"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5197D13">
            <w:pPr>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44</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BD36FC4">
            <w:pPr>
              <w:spacing w:line="360" w:lineRule="auto"/>
              <w:jc w:val="center"/>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合同履行期限</w:t>
            </w:r>
          </w:p>
        </w:tc>
        <w:tc>
          <w:tcPr>
            <w:tcW w:w="5953" w:type="dxa"/>
            <w:tcBorders>
              <w:top w:val="single" w:color="auto" w:sz="4" w:space="0"/>
              <w:left w:val="single" w:color="auto" w:sz="4" w:space="0"/>
              <w:bottom w:val="single" w:color="auto" w:sz="4" w:space="0"/>
              <w:right w:val="single" w:color="auto" w:sz="4" w:space="0"/>
            </w:tcBorders>
            <w:noWrap w:val="0"/>
            <w:vAlign w:val="center"/>
          </w:tcPr>
          <w:p w14:paraId="114A08EE">
            <w:pPr>
              <w:autoSpaceDE w:val="0"/>
              <w:autoSpaceDN w:val="0"/>
              <w:adjustRightInd w:val="0"/>
              <w:spacing w:line="360" w:lineRule="auto"/>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自合同签订之日起至合同约定全部内容完成之日止</w:t>
            </w:r>
          </w:p>
        </w:tc>
      </w:tr>
      <w:tr w14:paraId="6A8081C1">
        <w:tblPrEx>
          <w:tblCellMar>
            <w:top w:w="0" w:type="dxa"/>
            <w:left w:w="108" w:type="dxa"/>
            <w:bottom w:w="0" w:type="dxa"/>
            <w:right w:w="108" w:type="dxa"/>
          </w:tblCellMar>
        </w:tblPrEx>
        <w:trPr>
          <w:trHeight w:val="29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59EEBF0">
            <w:pPr>
              <w:spacing w:line="400" w:lineRule="exact"/>
              <w:jc w:val="center"/>
              <w:rPr>
                <w:rFonts w:hint="default"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kern w:val="0"/>
                <w:szCs w:val="21"/>
                <w:highlight w:val="none"/>
                <w:lang w:val="en-US" w:eastAsia="zh-CN"/>
                <w14:textFill>
                  <w14:solidFill>
                    <w14:schemeClr w14:val="tx1"/>
                  </w14:solidFill>
                </w14:textFill>
              </w:rPr>
              <w:t>45</w:t>
            </w:r>
          </w:p>
        </w:tc>
        <w:tc>
          <w:tcPr>
            <w:tcW w:w="8505" w:type="dxa"/>
            <w:gridSpan w:val="2"/>
            <w:tcBorders>
              <w:top w:val="single" w:color="auto" w:sz="4" w:space="0"/>
              <w:left w:val="single" w:color="auto" w:sz="4" w:space="0"/>
              <w:bottom w:val="single" w:color="auto" w:sz="4" w:space="0"/>
              <w:right w:val="single" w:color="auto" w:sz="4" w:space="0"/>
            </w:tcBorders>
            <w:noWrap w:val="0"/>
            <w:vAlign w:val="center"/>
          </w:tcPr>
          <w:p w14:paraId="714CA66F">
            <w:pPr>
              <w:spacing w:line="400" w:lineRule="exact"/>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需要补充的其他内容</w:t>
            </w:r>
          </w:p>
        </w:tc>
      </w:tr>
      <w:tr w14:paraId="6728BCEA">
        <w:tblPrEx>
          <w:tblCellMar>
            <w:top w:w="0" w:type="dxa"/>
            <w:left w:w="108" w:type="dxa"/>
            <w:bottom w:w="0" w:type="dxa"/>
            <w:right w:w="108" w:type="dxa"/>
          </w:tblCellMar>
        </w:tblPrEx>
        <w:trPr>
          <w:trHeight w:val="1839" w:hRule="atLeast"/>
        </w:trPr>
        <w:tc>
          <w:tcPr>
            <w:tcW w:w="9214" w:type="dxa"/>
            <w:gridSpan w:val="3"/>
            <w:tcBorders>
              <w:top w:val="single" w:color="auto" w:sz="4" w:space="0"/>
              <w:left w:val="single" w:color="auto" w:sz="4" w:space="0"/>
              <w:bottom w:val="single" w:color="auto" w:sz="4" w:space="0"/>
              <w:right w:val="single" w:color="auto" w:sz="4" w:space="0"/>
            </w:tcBorders>
            <w:noWrap w:val="0"/>
            <w:vAlign w:val="center"/>
          </w:tcPr>
          <w:p w14:paraId="27F59F85">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其他需要说明事项</w:t>
            </w:r>
          </w:p>
          <w:p w14:paraId="5688805E">
            <w:pPr>
              <w:spacing w:line="360" w:lineRule="auto"/>
              <w:ind w:firstLine="409" w:firstLineChars="19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依据《河南省财政厅关于防范供应商串通投标促进政府采购公平竞争的通知》豫财购﹝2021﹞6号文件，参与同一个标段（包）的供应商存在下列情形之一的，其投标（响应）文件无效：</w:t>
            </w:r>
          </w:p>
          <w:p w14:paraId="0DFB8D45">
            <w:pPr>
              <w:spacing w:line="360" w:lineRule="auto"/>
              <w:ind w:firstLine="409" w:firstLineChars="19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（1）不同供应商的电子投标（响应）文件上传计算机的网卡MAC地址、CPU序列号和硬盘序列号等硬件信息相同的；</w:t>
            </w:r>
          </w:p>
          <w:p w14:paraId="77AF568D">
            <w:pPr>
              <w:spacing w:line="360" w:lineRule="auto"/>
              <w:ind w:firstLine="409" w:firstLineChars="19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（2）不同供应商的投标（响应）文件由同一电子设备编制、打印加密或者上传：</w:t>
            </w:r>
          </w:p>
          <w:p w14:paraId="50E439C9">
            <w:pPr>
              <w:spacing w:line="360" w:lineRule="auto"/>
              <w:ind w:firstLine="409" w:firstLineChars="19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（3）不同供应商的投标（响应）文件由同一电子设备打印、复印；</w:t>
            </w:r>
          </w:p>
          <w:p w14:paraId="0D9F31C2">
            <w:pPr>
              <w:spacing w:line="360" w:lineRule="auto"/>
              <w:ind w:firstLine="409" w:firstLineChars="19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（4）不同供应商的投标（响应）文件由同一人送达或者分发，或者不同供应商联系人为同一人或不同联系人的联系电话一致的；</w:t>
            </w:r>
          </w:p>
          <w:p w14:paraId="3BBE9506">
            <w:pPr>
              <w:spacing w:line="360" w:lineRule="auto"/>
              <w:ind w:firstLine="409" w:firstLineChars="19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（5）不同供应商的投标（响应）文件的内容存在两处以上细节错误一致：</w:t>
            </w:r>
          </w:p>
          <w:p w14:paraId="5C82B5D1">
            <w:pPr>
              <w:spacing w:line="360" w:lineRule="auto"/>
              <w:ind w:firstLine="409" w:firstLineChars="19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（6）不同供应商的法定代表人、委托代理人、项目经理、项目负责人等由同一个单位缴纳社会保险或者领取报酬的；</w:t>
            </w:r>
          </w:p>
          <w:p w14:paraId="4C434F98">
            <w:pPr>
              <w:spacing w:line="360" w:lineRule="auto"/>
              <w:ind w:firstLine="409" w:firstLineChars="19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（7）不同供应商投标（响应）文件中法定代表人或者负责人签字出自同一人之手；</w:t>
            </w:r>
          </w:p>
          <w:p w14:paraId="40FEA4B2">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（8）其它涉嫌串通的情形。</w:t>
            </w:r>
          </w:p>
        </w:tc>
      </w:tr>
    </w:tbl>
    <w:p w14:paraId="1AAEB611">
      <w:pPr>
        <w:rPr>
          <w:rFonts w:hint="eastAsia" w:ascii="宋体" w:hAnsi="宋体" w:eastAsia="宋体" w:cs="宋体"/>
          <w:color w:val="000000" w:themeColor="text1"/>
          <w:highlight w:val="none"/>
          <w14:textFill>
            <w14:solidFill>
              <w14:schemeClr w14:val="tx1"/>
            </w14:solidFill>
          </w14:textFill>
        </w:rPr>
      </w:pPr>
      <w:bookmarkStart w:id="70" w:name="_Toc144974497"/>
      <w:bookmarkStart w:id="71" w:name="_Toc3696"/>
      <w:bookmarkStart w:id="72" w:name="_Toc18614"/>
      <w:bookmarkStart w:id="73" w:name="_Toc2591"/>
      <w:bookmarkStart w:id="74" w:name="_Toc246996918"/>
      <w:bookmarkStart w:id="75" w:name="_Toc152045529"/>
      <w:bookmarkStart w:id="76" w:name="_Toc246996175"/>
      <w:bookmarkStart w:id="77" w:name="_Toc179632546"/>
      <w:bookmarkStart w:id="78" w:name="_Toc247085689"/>
      <w:bookmarkStart w:id="79" w:name="_Toc152042305"/>
    </w:p>
    <w:p w14:paraId="2C95A9F5">
      <w:pPr>
        <w:keepNext/>
        <w:keepLines/>
        <w:pageBreakBefore w:val="0"/>
        <w:widowControl w:val="0"/>
        <w:kinsoku/>
        <w:wordWrap/>
        <w:overflowPunct/>
        <w:topLinePunct w:val="0"/>
        <w:autoSpaceDE/>
        <w:autoSpaceDN/>
        <w:bidi w:val="0"/>
        <w:adjustRightInd/>
        <w:snapToGrid/>
        <w:spacing w:line="412" w:lineRule="auto"/>
        <w:textAlignment w:val="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r>
        <w:rPr>
          <w:rFonts w:hint="eastAsia" w:ascii="宋体" w:hAnsi="宋体" w:eastAsia="宋体" w:cs="宋体"/>
          <w:b/>
          <w:bCs/>
          <w:color w:val="000000" w:themeColor="text1"/>
          <w:kern w:val="0"/>
          <w:sz w:val="32"/>
          <w:szCs w:val="32"/>
          <w:highlight w:val="none"/>
          <w14:textFill>
            <w14:solidFill>
              <w14:schemeClr w14:val="tx1"/>
            </w14:solidFill>
          </w14:textFill>
        </w:rPr>
        <w:t>1. 总则</w:t>
      </w:r>
      <w:bookmarkEnd w:id="70"/>
      <w:bookmarkEnd w:id="71"/>
      <w:bookmarkEnd w:id="72"/>
      <w:bookmarkEnd w:id="73"/>
      <w:bookmarkEnd w:id="74"/>
      <w:bookmarkEnd w:id="75"/>
      <w:bookmarkEnd w:id="76"/>
      <w:bookmarkEnd w:id="77"/>
      <w:bookmarkEnd w:id="78"/>
      <w:bookmarkEnd w:id="79"/>
    </w:p>
    <w:p w14:paraId="47CF91B9">
      <w:pPr>
        <w:keepNext/>
        <w:keepLines/>
        <w:pageBreakBefore w:val="0"/>
        <w:widowControl w:val="0"/>
        <w:kinsoku/>
        <w:wordWrap/>
        <w:overflowPunct/>
        <w:topLinePunct w:val="0"/>
        <w:autoSpaceDE/>
        <w:autoSpaceDN/>
        <w:bidi w:val="0"/>
        <w:adjustRightInd/>
        <w:snapToGrid/>
        <w:spacing w:line="376"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80" w:name="_Toc247085690"/>
      <w:bookmarkStart w:id="81" w:name="_Toc415819196"/>
      <w:bookmarkStart w:id="82" w:name="_Toc152045530"/>
      <w:bookmarkStart w:id="83" w:name="_Toc6162"/>
      <w:bookmarkStart w:id="84" w:name="_Toc246996919"/>
      <w:bookmarkStart w:id="85" w:name="_Toc135648890"/>
      <w:bookmarkStart w:id="86" w:name="_Toc135922540"/>
      <w:bookmarkStart w:id="87" w:name="_Toc417333969"/>
      <w:bookmarkStart w:id="88" w:name="_Toc246996176"/>
      <w:bookmarkStart w:id="89" w:name="_Toc40518990"/>
      <w:bookmarkStart w:id="90" w:name="_Toc40795879"/>
      <w:bookmarkStart w:id="91" w:name="_Toc40708375"/>
      <w:bookmarkStart w:id="92" w:name="_Toc57369398"/>
      <w:bookmarkStart w:id="93" w:name="_Toc179632547"/>
      <w:bookmarkStart w:id="94" w:name="_Toc11715"/>
      <w:bookmarkStart w:id="95" w:name="_Toc21793"/>
      <w:bookmarkStart w:id="96" w:name="_Toc152042306"/>
      <w:bookmarkStart w:id="97" w:name="_Toc144974498"/>
      <w:bookmarkStart w:id="98" w:name="_Toc81321212"/>
      <w:r>
        <w:rPr>
          <w:rFonts w:hint="eastAsia" w:ascii="宋体" w:hAnsi="宋体" w:eastAsia="宋体" w:cs="宋体"/>
          <w:b/>
          <w:bCs/>
          <w:color w:val="000000" w:themeColor="text1"/>
          <w:sz w:val="28"/>
          <w:szCs w:val="28"/>
          <w:highlight w:val="none"/>
          <w14:textFill>
            <w14:solidFill>
              <w14:schemeClr w14:val="tx1"/>
            </w14:solidFill>
          </w14:textFill>
        </w:rPr>
        <w:t>1.1 项目概况</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5F2E9FE1">
      <w:pPr>
        <w:spacing w:line="360" w:lineRule="auto"/>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1.1.1根据《中华人民共和国政府采购法》、《政府采购货物和服务招标投标管理办法》等有关法律、法规和规章的规定，本招标项目已具备招标条件，现对本项目进行招标。</w:t>
      </w:r>
    </w:p>
    <w:p w14:paraId="1D810F24">
      <w:pPr>
        <w:spacing w:line="360" w:lineRule="auto"/>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1.1.2采购人：见投标人须知前附表。</w:t>
      </w:r>
    </w:p>
    <w:p w14:paraId="5A813651">
      <w:pPr>
        <w:spacing w:line="360" w:lineRule="auto"/>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1.1.3采购代理机构：见投标人须知前附表。</w:t>
      </w:r>
    </w:p>
    <w:p w14:paraId="5ED3D2CA">
      <w:pPr>
        <w:spacing w:line="360" w:lineRule="auto"/>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1.1.4 项目名称：见投标人须知前附表。</w:t>
      </w:r>
    </w:p>
    <w:p w14:paraId="0ABEBAEE">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99" w:name="_Toc57369399"/>
      <w:bookmarkStart w:id="100" w:name="_Toc152045531"/>
      <w:bookmarkStart w:id="101" w:name="_Toc247085691"/>
      <w:bookmarkStart w:id="102" w:name="_Toc152042307"/>
      <w:bookmarkStart w:id="103" w:name="_Toc135922541"/>
      <w:bookmarkStart w:id="104" w:name="_Toc14069"/>
      <w:bookmarkStart w:id="105" w:name="_Toc246996920"/>
      <w:bookmarkStart w:id="106" w:name="_Toc415819197"/>
      <w:bookmarkStart w:id="107" w:name="_Toc144974499"/>
      <w:bookmarkStart w:id="108" w:name="_Toc14679"/>
      <w:bookmarkStart w:id="109" w:name="_Toc7536"/>
      <w:bookmarkStart w:id="110" w:name="_Toc246996177"/>
      <w:bookmarkStart w:id="111" w:name="_Toc40518991"/>
      <w:bookmarkStart w:id="112" w:name="_Toc81321213"/>
      <w:bookmarkStart w:id="113" w:name="_Toc40708376"/>
      <w:bookmarkStart w:id="114" w:name="_Toc40795880"/>
      <w:bookmarkStart w:id="115" w:name="_Toc135648891"/>
      <w:bookmarkStart w:id="116" w:name="_Toc417333970"/>
      <w:bookmarkStart w:id="117" w:name="_Toc179632548"/>
      <w:r>
        <w:rPr>
          <w:rFonts w:hint="eastAsia" w:ascii="宋体" w:hAnsi="宋体" w:eastAsia="宋体" w:cs="宋体"/>
          <w:b/>
          <w:bCs/>
          <w:color w:val="000000" w:themeColor="text1"/>
          <w:sz w:val="28"/>
          <w:szCs w:val="28"/>
          <w:highlight w:val="none"/>
          <w14:textFill>
            <w14:solidFill>
              <w14:schemeClr w14:val="tx1"/>
            </w14:solidFill>
          </w14:textFill>
        </w:rPr>
        <w:t>1.2 资金来源和落实情况</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497AD7BA">
      <w:pPr>
        <w:pageBreakBefore w:val="0"/>
        <w:widowControl w:val="0"/>
        <w:kinsoku/>
        <w:wordWrap/>
        <w:overflowPunct/>
        <w:topLinePunct w:val="0"/>
        <w:autoSpaceDE/>
        <w:autoSpaceDN/>
        <w:bidi w:val="0"/>
        <w:adjustRightInd/>
        <w:snapToGrid/>
        <w:spacing w:line="400" w:lineRule="exact"/>
        <w:ind w:right="-1" w:firstLine="420" w:firstLineChars="200"/>
        <w:textAlignment w:val="auto"/>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资金来源及落实情况：见投标人须知前附表。</w:t>
      </w:r>
    </w:p>
    <w:p w14:paraId="6F8129C5">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118" w:name="_Toc417333971"/>
      <w:bookmarkStart w:id="119" w:name="_Toc152045532"/>
      <w:bookmarkStart w:id="120" w:name="_Toc152042308"/>
      <w:bookmarkStart w:id="121" w:name="_Toc24223"/>
      <w:bookmarkStart w:id="122" w:name="_Toc179632549"/>
      <w:bookmarkStart w:id="123" w:name="_Toc246996921"/>
      <w:bookmarkStart w:id="124" w:name="_Toc415819198"/>
      <w:bookmarkStart w:id="125" w:name="_Toc25094"/>
      <w:bookmarkStart w:id="126" w:name="_Toc7302"/>
      <w:bookmarkStart w:id="127" w:name="_Toc246996178"/>
      <w:bookmarkStart w:id="128" w:name="_Toc144974500"/>
      <w:bookmarkStart w:id="129" w:name="_Toc247085692"/>
      <w:bookmarkStart w:id="130" w:name="_Toc135922542"/>
      <w:bookmarkStart w:id="131" w:name="_Toc40795881"/>
      <w:bookmarkStart w:id="132" w:name="_Toc135648892"/>
      <w:bookmarkStart w:id="133" w:name="_Toc81321214"/>
      <w:bookmarkStart w:id="134" w:name="_Toc40518992"/>
      <w:bookmarkStart w:id="135" w:name="_Toc57369400"/>
      <w:bookmarkStart w:id="136" w:name="_Toc40708377"/>
      <w:r>
        <w:rPr>
          <w:rFonts w:hint="eastAsia" w:ascii="宋体" w:hAnsi="宋体" w:eastAsia="宋体" w:cs="宋体"/>
          <w:b/>
          <w:bCs/>
          <w:color w:val="000000" w:themeColor="text1"/>
          <w:sz w:val="28"/>
          <w:szCs w:val="28"/>
          <w:highlight w:val="none"/>
          <w14:textFill>
            <w14:solidFill>
              <w14:schemeClr w14:val="tx1"/>
            </w14:solidFill>
          </w14:textFill>
        </w:rPr>
        <w:t>1.3 采购内容、质量、交货及安装调试期、</w:t>
      </w:r>
      <w:bookmarkEnd w:id="118"/>
      <w:bookmarkEnd w:id="119"/>
      <w:bookmarkEnd w:id="120"/>
      <w:bookmarkEnd w:id="121"/>
      <w:bookmarkEnd w:id="122"/>
      <w:bookmarkEnd w:id="123"/>
      <w:bookmarkEnd w:id="124"/>
      <w:bookmarkEnd w:id="125"/>
      <w:bookmarkEnd w:id="126"/>
      <w:bookmarkEnd w:id="127"/>
      <w:bookmarkEnd w:id="128"/>
      <w:bookmarkEnd w:id="129"/>
      <w:r>
        <w:rPr>
          <w:rFonts w:hint="eastAsia" w:ascii="宋体" w:hAnsi="宋体" w:eastAsia="宋体" w:cs="宋体"/>
          <w:b/>
          <w:bCs/>
          <w:color w:val="000000" w:themeColor="text1"/>
          <w:sz w:val="28"/>
          <w:szCs w:val="28"/>
          <w:highlight w:val="none"/>
          <w14:textFill>
            <w14:solidFill>
              <w14:schemeClr w14:val="tx1"/>
            </w14:solidFill>
          </w14:textFill>
        </w:rPr>
        <w:t>交货及安装地点、质保期</w:t>
      </w:r>
      <w:bookmarkEnd w:id="130"/>
      <w:bookmarkEnd w:id="131"/>
      <w:bookmarkEnd w:id="132"/>
      <w:bookmarkEnd w:id="133"/>
      <w:bookmarkEnd w:id="134"/>
      <w:bookmarkEnd w:id="135"/>
      <w:bookmarkEnd w:id="136"/>
    </w:p>
    <w:p w14:paraId="1447F839">
      <w:pPr>
        <w:spacing w:line="360" w:lineRule="auto"/>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1.3.1采购内容：见投标人须知前附表。</w:t>
      </w:r>
    </w:p>
    <w:p w14:paraId="27E374CF">
      <w:pPr>
        <w:spacing w:line="360" w:lineRule="auto"/>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1.3.2质量：见投标人须知前附表。</w:t>
      </w:r>
    </w:p>
    <w:p w14:paraId="45A200FD">
      <w:pPr>
        <w:spacing w:line="360" w:lineRule="auto"/>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1.3.3交货及安装期：见投标人须知前附表。</w:t>
      </w:r>
    </w:p>
    <w:p w14:paraId="7C2E3C8D">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1.3.4交货及安装地点：见投标人须知前附表。</w:t>
      </w:r>
    </w:p>
    <w:p w14:paraId="59AB2DBF">
      <w:pPr>
        <w:spacing w:line="360" w:lineRule="auto"/>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1.3.5质保期：见投标人须知前附表。</w:t>
      </w:r>
    </w:p>
    <w:p w14:paraId="1CB163A6">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137" w:name="_Toc246996179"/>
      <w:bookmarkStart w:id="138" w:name="_Toc11634"/>
      <w:bookmarkStart w:id="139" w:name="_Toc152045534"/>
      <w:bookmarkStart w:id="140" w:name="_Toc179632551"/>
      <w:bookmarkStart w:id="141" w:name="_Toc40795882"/>
      <w:bookmarkStart w:id="142" w:name="_Toc4052"/>
      <w:bookmarkStart w:id="143" w:name="_Toc81321215"/>
      <w:bookmarkStart w:id="144" w:name="_Toc417333972"/>
      <w:bookmarkStart w:id="145" w:name="_Toc57369401"/>
      <w:bookmarkStart w:id="146" w:name="_Toc246996922"/>
      <w:bookmarkStart w:id="147" w:name="_Toc144974502"/>
      <w:bookmarkStart w:id="148" w:name="_Toc247085693"/>
      <w:bookmarkStart w:id="149" w:name="_Toc415819199"/>
      <w:bookmarkStart w:id="150" w:name="_Toc25695"/>
      <w:bookmarkStart w:id="151" w:name="_Toc152042310"/>
      <w:bookmarkStart w:id="152" w:name="_Toc40518993"/>
      <w:bookmarkStart w:id="153" w:name="_Toc135922543"/>
      <w:bookmarkStart w:id="154" w:name="_Toc40708378"/>
      <w:bookmarkStart w:id="155" w:name="_Toc135648893"/>
      <w:r>
        <w:rPr>
          <w:rFonts w:hint="eastAsia" w:ascii="宋体" w:hAnsi="宋体" w:eastAsia="宋体" w:cs="宋体"/>
          <w:b/>
          <w:bCs/>
          <w:color w:val="000000" w:themeColor="text1"/>
          <w:sz w:val="28"/>
          <w:szCs w:val="28"/>
          <w:highlight w:val="none"/>
          <w14:textFill>
            <w14:solidFill>
              <w14:schemeClr w14:val="tx1"/>
            </w14:solidFill>
          </w14:textFill>
        </w:rPr>
        <w:t>1.4 投标人资格要求</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DC8CB82">
      <w:pPr>
        <w:spacing w:line="400" w:lineRule="exact"/>
        <w:ind w:right="-1" w:firstLine="359" w:firstLineChars="171"/>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投标人应具备承担本项目投标的资格要求：见投标人须知前附表。</w:t>
      </w:r>
    </w:p>
    <w:p w14:paraId="11E9440A">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156" w:name="_Toc57369402"/>
      <w:bookmarkStart w:id="157" w:name="_Toc81321216"/>
      <w:bookmarkStart w:id="158" w:name="_Toc18787"/>
      <w:bookmarkStart w:id="159" w:name="_Toc135648894"/>
      <w:bookmarkStart w:id="160" w:name="_Toc247085694"/>
      <w:bookmarkStart w:id="161" w:name="_Toc179632552"/>
      <w:bookmarkStart w:id="162" w:name="_Toc152045535"/>
      <w:bookmarkStart w:id="163" w:name="_Toc246996923"/>
      <w:bookmarkStart w:id="164" w:name="_Toc40795883"/>
      <w:bookmarkStart w:id="165" w:name="_Toc40518994"/>
      <w:bookmarkStart w:id="166" w:name="_Toc27254"/>
      <w:bookmarkStart w:id="167" w:name="_Toc152042311"/>
      <w:bookmarkStart w:id="168" w:name="_Toc246996180"/>
      <w:bookmarkStart w:id="169" w:name="_Toc135922544"/>
      <w:bookmarkStart w:id="170" w:name="_Toc18906"/>
      <w:bookmarkStart w:id="171" w:name="_Toc415819200"/>
      <w:bookmarkStart w:id="172" w:name="_Toc144974503"/>
      <w:bookmarkStart w:id="173" w:name="_Toc417333973"/>
      <w:bookmarkStart w:id="174" w:name="_Toc40708379"/>
      <w:r>
        <w:rPr>
          <w:rFonts w:hint="eastAsia" w:ascii="宋体" w:hAnsi="宋体" w:eastAsia="宋体" w:cs="宋体"/>
          <w:b/>
          <w:bCs/>
          <w:color w:val="000000" w:themeColor="text1"/>
          <w:sz w:val="28"/>
          <w:szCs w:val="28"/>
          <w:highlight w:val="none"/>
          <w14:textFill>
            <w14:solidFill>
              <w14:schemeClr w14:val="tx1"/>
            </w14:solidFill>
          </w14:textFill>
        </w:rPr>
        <w:t>1.5 费用承担</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215B9E8A">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投标人准备和参加投标活动发生的费用自理。</w:t>
      </w:r>
    </w:p>
    <w:p w14:paraId="7EAC550C">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175" w:name="_Toc40518995"/>
      <w:bookmarkStart w:id="176" w:name="_Toc247085695"/>
      <w:bookmarkStart w:id="177" w:name="_Toc152045536"/>
      <w:bookmarkStart w:id="178" w:name="_Toc57369403"/>
      <w:bookmarkStart w:id="179" w:name="_Toc8226"/>
      <w:bookmarkStart w:id="180" w:name="_Toc81321217"/>
      <w:bookmarkStart w:id="181" w:name="_Toc246996181"/>
      <w:bookmarkStart w:id="182" w:name="_Toc40708380"/>
      <w:bookmarkStart w:id="183" w:name="_Toc18051"/>
      <w:bookmarkStart w:id="184" w:name="_Toc254"/>
      <w:bookmarkStart w:id="185" w:name="_Toc135922545"/>
      <w:bookmarkStart w:id="186" w:name="_Toc415819201"/>
      <w:bookmarkStart w:id="187" w:name="_Toc135648895"/>
      <w:bookmarkStart w:id="188" w:name="_Toc40795884"/>
      <w:bookmarkStart w:id="189" w:name="_Toc152042312"/>
      <w:bookmarkStart w:id="190" w:name="_Toc179632553"/>
      <w:bookmarkStart w:id="191" w:name="_Toc144974504"/>
      <w:bookmarkStart w:id="192" w:name="_Toc246996924"/>
      <w:bookmarkStart w:id="193" w:name="_Toc417333974"/>
      <w:r>
        <w:rPr>
          <w:rFonts w:hint="eastAsia" w:ascii="宋体" w:hAnsi="宋体" w:eastAsia="宋体" w:cs="宋体"/>
          <w:b/>
          <w:bCs/>
          <w:color w:val="000000" w:themeColor="text1"/>
          <w:sz w:val="28"/>
          <w:szCs w:val="28"/>
          <w:highlight w:val="none"/>
          <w14:textFill>
            <w14:solidFill>
              <w14:schemeClr w14:val="tx1"/>
            </w14:solidFill>
          </w14:textFill>
        </w:rPr>
        <w:t>1.6 保密</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679D5D9C">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 xml:space="preserve">参与招标投标活动的各方应对招标文件和投标文件中的商业和技术等秘密保密，违者应对由此造成的后果承担法律责任。 </w:t>
      </w:r>
    </w:p>
    <w:p w14:paraId="58D2AB74">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194" w:name="_Toc144974505"/>
      <w:bookmarkStart w:id="195" w:name="_Toc179632554"/>
      <w:bookmarkStart w:id="196" w:name="_Toc135648896"/>
      <w:bookmarkStart w:id="197" w:name="_Toc2540"/>
      <w:bookmarkStart w:id="198" w:name="_Toc4015"/>
      <w:bookmarkStart w:id="199" w:name="_Toc246996182"/>
      <w:bookmarkStart w:id="200" w:name="_Toc152045537"/>
      <w:bookmarkStart w:id="201" w:name="_Toc57369404"/>
      <w:bookmarkStart w:id="202" w:name="_Toc247085696"/>
      <w:bookmarkStart w:id="203" w:name="_Toc40708381"/>
      <w:bookmarkStart w:id="204" w:name="_Toc26174"/>
      <w:bookmarkStart w:id="205" w:name="_Toc135922546"/>
      <w:bookmarkStart w:id="206" w:name="_Toc152042313"/>
      <w:bookmarkStart w:id="207" w:name="_Toc81321218"/>
      <w:bookmarkStart w:id="208" w:name="_Toc40518996"/>
      <w:bookmarkStart w:id="209" w:name="_Toc415819202"/>
      <w:bookmarkStart w:id="210" w:name="_Toc417333975"/>
      <w:bookmarkStart w:id="211" w:name="_Toc40795885"/>
      <w:bookmarkStart w:id="212" w:name="_Toc246996925"/>
      <w:r>
        <w:rPr>
          <w:rFonts w:hint="eastAsia" w:ascii="宋体" w:hAnsi="宋体" w:eastAsia="宋体" w:cs="宋体"/>
          <w:b/>
          <w:bCs/>
          <w:color w:val="000000" w:themeColor="text1"/>
          <w:sz w:val="28"/>
          <w:szCs w:val="28"/>
          <w:highlight w:val="none"/>
          <w14:textFill>
            <w14:solidFill>
              <w14:schemeClr w14:val="tx1"/>
            </w14:solidFill>
          </w14:textFill>
        </w:rPr>
        <w:t>1.7 语言</w:t>
      </w:r>
      <w:bookmarkEnd w:id="194"/>
      <w:r>
        <w:rPr>
          <w:rFonts w:hint="eastAsia" w:ascii="宋体" w:hAnsi="宋体" w:eastAsia="宋体" w:cs="宋体"/>
          <w:b/>
          <w:bCs/>
          <w:color w:val="000000" w:themeColor="text1"/>
          <w:sz w:val="28"/>
          <w:szCs w:val="28"/>
          <w:highlight w:val="none"/>
          <w14:textFill>
            <w14:solidFill>
              <w14:schemeClr w14:val="tx1"/>
            </w14:solidFill>
          </w14:textFill>
        </w:rPr>
        <w:t>文字</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11A98E2E">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bookmarkStart w:id="213" w:name="_Toc246996183"/>
      <w:bookmarkStart w:id="214" w:name="_Toc152045538"/>
      <w:bookmarkStart w:id="215" w:name="_Toc246996926"/>
      <w:bookmarkStart w:id="216" w:name="_Toc179632555"/>
      <w:bookmarkStart w:id="217" w:name="_Toc144974506"/>
      <w:bookmarkStart w:id="218" w:name="_Toc152042314"/>
      <w:bookmarkStart w:id="219" w:name="_Toc247085697"/>
      <w:r>
        <w:rPr>
          <w:rFonts w:hint="eastAsia" w:ascii="宋体" w:hAnsi="宋体" w:eastAsia="宋体" w:cs="宋体"/>
          <w:color w:val="000000" w:themeColor="text1"/>
          <w:szCs w:val="24"/>
          <w:highlight w:val="none"/>
          <w14:textFill>
            <w14:solidFill>
              <w14:schemeClr w14:val="tx1"/>
            </w14:solidFill>
          </w14:textFill>
        </w:rPr>
        <w:t>招标投标文件使用的语言文字为中文。专用术语使用外文的，应附有中文注释。</w:t>
      </w:r>
    </w:p>
    <w:p w14:paraId="407ACFA7">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220" w:name="_Toc29905"/>
      <w:bookmarkStart w:id="221" w:name="_Toc40518997"/>
      <w:bookmarkStart w:id="222" w:name="_Toc81321219"/>
      <w:bookmarkStart w:id="223" w:name="_Toc417333976"/>
      <w:bookmarkStart w:id="224" w:name="_Toc57369405"/>
      <w:bookmarkStart w:id="225" w:name="_Toc135922547"/>
      <w:bookmarkStart w:id="226" w:name="_Toc25556"/>
      <w:bookmarkStart w:id="227" w:name="_Toc135648897"/>
      <w:bookmarkStart w:id="228" w:name="_Toc40708382"/>
      <w:bookmarkStart w:id="229" w:name="_Toc11147"/>
      <w:bookmarkStart w:id="230" w:name="_Toc415819203"/>
      <w:bookmarkStart w:id="231" w:name="_Toc40795886"/>
      <w:r>
        <w:rPr>
          <w:rFonts w:hint="eastAsia" w:ascii="宋体" w:hAnsi="宋体" w:eastAsia="宋体" w:cs="宋体"/>
          <w:b/>
          <w:bCs/>
          <w:color w:val="000000" w:themeColor="text1"/>
          <w:sz w:val="28"/>
          <w:szCs w:val="28"/>
          <w:highlight w:val="none"/>
          <w14:textFill>
            <w14:solidFill>
              <w14:schemeClr w14:val="tx1"/>
            </w14:solidFill>
          </w14:textFill>
        </w:rPr>
        <w:t>1.8 计量单位</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2DC3DD71">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所有计量均采用中华人民共和国法定计量单位。</w:t>
      </w:r>
    </w:p>
    <w:p w14:paraId="111B177C">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232" w:name="_Toc135922548"/>
      <w:bookmarkStart w:id="233" w:name="_Toc135648898"/>
      <w:r>
        <w:rPr>
          <w:rFonts w:hint="eastAsia" w:ascii="宋体" w:hAnsi="宋体" w:eastAsia="宋体" w:cs="宋体"/>
          <w:b/>
          <w:bCs/>
          <w:color w:val="000000" w:themeColor="text1"/>
          <w:sz w:val="28"/>
          <w:szCs w:val="28"/>
          <w:highlight w:val="none"/>
          <w14:textFill>
            <w14:solidFill>
              <w14:schemeClr w14:val="tx1"/>
            </w14:solidFill>
          </w14:textFill>
        </w:rPr>
        <w:t>1.9踏勘现场（不组织）</w:t>
      </w:r>
      <w:bookmarkEnd w:id="232"/>
      <w:bookmarkEnd w:id="233"/>
    </w:p>
    <w:p w14:paraId="72FA5469">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 xml:space="preserve">1.9.1 </w:t>
      </w:r>
      <w:r>
        <w:rPr>
          <w:rFonts w:hint="eastAsia" w:ascii="宋体" w:hAnsi="宋体" w:eastAsia="宋体" w:cs="宋体"/>
          <w:color w:val="000000" w:themeColor="text1"/>
          <w:szCs w:val="24"/>
          <w:highlight w:val="none"/>
          <w14:textFill>
            <w14:solidFill>
              <w14:schemeClr w14:val="tx1"/>
            </w14:solidFill>
          </w14:textFill>
        </w:rPr>
        <w:t>投标人</w:t>
      </w:r>
      <w:r>
        <w:rPr>
          <w:rFonts w:hint="eastAsia" w:ascii="宋体" w:hAnsi="宋体" w:eastAsia="宋体" w:cs="宋体"/>
          <w:color w:val="000000" w:themeColor="text1"/>
          <w:szCs w:val="24"/>
          <w:highlight w:val="none"/>
          <w14:textFill>
            <w14:solidFill>
              <w14:schemeClr w14:val="tx1"/>
            </w14:solidFill>
          </w14:textFill>
        </w:rPr>
        <w:t>须知前附表规定组织踏勘现场的，采购人按</w:t>
      </w:r>
      <w:r>
        <w:rPr>
          <w:rFonts w:hint="eastAsia" w:ascii="宋体" w:hAnsi="宋体" w:eastAsia="宋体" w:cs="宋体"/>
          <w:color w:val="000000" w:themeColor="text1"/>
          <w:szCs w:val="24"/>
          <w:highlight w:val="none"/>
          <w14:textFill>
            <w14:solidFill>
              <w14:schemeClr w14:val="tx1"/>
            </w14:solidFill>
          </w14:textFill>
        </w:rPr>
        <w:t>投标人</w:t>
      </w:r>
      <w:r>
        <w:rPr>
          <w:rFonts w:hint="eastAsia" w:ascii="宋体" w:hAnsi="宋体" w:eastAsia="宋体" w:cs="宋体"/>
          <w:color w:val="000000" w:themeColor="text1"/>
          <w:szCs w:val="24"/>
          <w:highlight w:val="none"/>
          <w14:textFill>
            <w14:solidFill>
              <w14:schemeClr w14:val="tx1"/>
            </w14:solidFill>
          </w14:textFill>
        </w:rPr>
        <w:t xml:space="preserve">须知前附表规定的时间、地点组织投标人踏勘项目现场。 </w:t>
      </w:r>
    </w:p>
    <w:p w14:paraId="65B452F7">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1.9.2 投标人踏勘现场发生的费用自理。</w:t>
      </w:r>
    </w:p>
    <w:p w14:paraId="6EF7C931">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1.9.3 除采购人的原因外，投标人自行负责在踏勘现场中所发生的人员伤亡和财产损失。</w:t>
      </w:r>
    </w:p>
    <w:p w14:paraId="680E3CBC">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1.9.4 采购人在踏勘现场中介绍的工程场地和相关的周边环境情况，供投标人在编制投标文件时参考，采购人不对投标人据此作出的判断和决策负责。</w:t>
      </w:r>
    </w:p>
    <w:p w14:paraId="3579296E">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234" w:name="_Toc144974508"/>
      <w:bookmarkStart w:id="235" w:name="_Toc247527564"/>
      <w:bookmarkStart w:id="236" w:name="_Toc30934"/>
      <w:bookmarkStart w:id="237" w:name="_Toc152045540"/>
      <w:bookmarkStart w:id="238" w:name="_Toc20335"/>
      <w:bookmarkStart w:id="239" w:name="_Toc152042316"/>
      <w:bookmarkStart w:id="240" w:name="_Toc415819205"/>
      <w:bookmarkStart w:id="241" w:name="_Toc493"/>
      <w:bookmarkStart w:id="242" w:name="_Toc247592877"/>
      <w:bookmarkStart w:id="243" w:name="_Toc247513963"/>
      <w:bookmarkStart w:id="244" w:name="_Toc417333978"/>
      <w:bookmarkStart w:id="245" w:name="_Toc135922549"/>
      <w:bookmarkStart w:id="246" w:name="_Toc40518998"/>
      <w:bookmarkStart w:id="247" w:name="_Toc40708383"/>
      <w:bookmarkStart w:id="248" w:name="_Toc40795887"/>
      <w:bookmarkStart w:id="249" w:name="_Toc57369406"/>
      <w:bookmarkStart w:id="250" w:name="_Toc81321220"/>
      <w:bookmarkStart w:id="251" w:name="_Toc135648899"/>
      <w:r>
        <w:rPr>
          <w:rFonts w:hint="eastAsia" w:ascii="宋体" w:hAnsi="宋体" w:eastAsia="宋体" w:cs="宋体"/>
          <w:b/>
          <w:bCs/>
          <w:color w:val="000000" w:themeColor="text1"/>
          <w:sz w:val="28"/>
          <w:szCs w:val="28"/>
          <w:highlight w:val="none"/>
          <w14:textFill>
            <w14:solidFill>
              <w14:schemeClr w14:val="tx1"/>
            </w14:solidFill>
          </w14:textFill>
        </w:rPr>
        <w:t>1.10投标预备会</w:t>
      </w:r>
      <w:bookmarkEnd w:id="234"/>
      <w:bookmarkEnd w:id="235"/>
      <w:bookmarkEnd w:id="236"/>
      <w:bookmarkEnd w:id="237"/>
      <w:bookmarkEnd w:id="238"/>
      <w:bookmarkEnd w:id="239"/>
      <w:bookmarkEnd w:id="240"/>
      <w:bookmarkEnd w:id="241"/>
      <w:bookmarkEnd w:id="242"/>
      <w:bookmarkEnd w:id="243"/>
      <w:bookmarkEnd w:id="244"/>
      <w:r>
        <w:rPr>
          <w:rFonts w:hint="eastAsia" w:ascii="宋体" w:hAnsi="宋体" w:eastAsia="宋体" w:cs="宋体"/>
          <w:b/>
          <w:bCs/>
          <w:color w:val="000000" w:themeColor="text1"/>
          <w:sz w:val="28"/>
          <w:szCs w:val="28"/>
          <w:highlight w:val="none"/>
          <w14:textFill>
            <w14:solidFill>
              <w14:schemeClr w14:val="tx1"/>
            </w14:solidFill>
          </w14:textFill>
        </w:rPr>
        <w:t>（不召开）</w:t>
      </w:r>
      <w:bookmarkEnd w:id="245"/>
      <w:bookmarkEnd w:id="246"/>
      <w:bookmarkEnd w:id="247"/>
      <w:bookmarkEnd w:id="248"/>
      <w:bookmarkEnd w:id="249"/>
      <w:bookmarkEnd w:id="250"/>
      <w:bookmarkEnd w:id="251"/>
    </w:p>
    <w:p w14:paraId="4CDAFD9D">
      <w:pPr>
        <w:spacing w:line="400" w:lineRule="exact"/>
        <w:ind w:firstLine="420" w:firstLineChars="200"/>
        <w:rPr>
          <w:rFonts w:hint="eastAsia" w:ascii="宋体" w:hAnsi="宋体" w:eastAsia="宋体" w:cs="宋体"/>
          <w:color w:val="000000" w:themeColor="text1"/>
          <w:highlight w:val="none"/>
          <w14:textFill>
            <w14:solidFill>
              <w14:schemeClr w14:val="tx1"/>
            </w14:solidFill>
          </w14:textFill>
        </w:rPr>
      </w:pPr>
      <w:bookmarkStart w:id="252" w:name="_Toc144974507"/>
      <w:bookmarkStart w:id="253" w:name="_Toc4959"/>
      <w:bookmarkStart w:id="254" w:name="_Toc247592876"/>
      <w:bookmarkStart w:id="255" w:name="_Toc152042315"/>
      <w:bookmarkStart w:id="256" w:name="_Toc9285"/>
      <w:bookmarkStart w:id="257" w:name="_Toc11121"/>
      <w:bookmarkStart w:id="258" w:name="_Toc40708384"/>
      <w:bookmarkStart w:id="259" w:name="_Toc415819204"/>
      <w:bookmarkStart w:id="260" w:name="_Toc417333977"/>
      <w:bookmarkStart w:id="261" w:name="_Toc57369407"/>
      <w:bookmarkStart w:id="262" w:name="_Toc81321221"/>
      <w:bookmarkStart w:id="263" w:name="_Toc152045539"/>
      <w:bookmarkStart w:id="264" w:name="_Toc40518999"/>
      <w:bookmarkStart w:id="265" w:name="_Toc40795888"/>
      <w:bookmarkStart w:id="266" w:name="_Toc247527563"/>
      <w:bookmarkStart w:id="267" w:name="_Toc247513962"/>
      <w:r>
        <w:rPr>
          <w:rFonts w:hint="eastAsia" w:ascii="宋体" w:hAnsi="宋体" w:eastAsia="宋体" w:cs="宋体"/>
          <w:color w:val="000000" w:themeColor="text1"/>
          <w:highlight w:val="none"/>
          <w14:textFill>
            <w14:solidFill>
              <w14:schemeClr w14:val="tx1"/>
            </w14:solidFill>
          </w14:textFill>
        </w:rPr>
        <w:t>1.10.1 投标人须知前附表规定召开投标预备会的，采购人按投标人须知前附表规定的时间和地点召开投标预备会，澄清投标人提出的问题。</w:t>
      </w:r>
    </w:p>
    <w:p w14:paraId="60C45E33">
      <w:pPr>
        <w:spacing w:line="400" w:lineRule="exact"/>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1.10.2 投标人应在投标人须知前附表规定的时间前，以书面形式将提出的问题送达采购人，以便采购人在会议期间澄清。</w:t>
      </w:r>
    </w:p>
    <w:p w14:paraId="6910AAA8">
      <w:pPr>
        <w:spacing w:line="400" w:lineRule="exact"/>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1.10.3 投标预备会后，采购人在投标人须知前附表规定的时间内，将对投标人所提问题的澄清，以书面方式通知所有购买招标文件的投标人。该澄清内容为招标文件的组成部分。</w:t>
      </w:r>
    </w:p>
    <w:p w14:paraId="320A610A">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268" w:name="_Toc179632558"/>
      <w:bookmarkStart w:id="269" w:name="_Toc135648900"/>
      <w:bookmarkStart w:id="270" w:name="_Toc135922550"/>
      <w:bookmarkStart w:id="271" w:name="_Toc144974509"/>
      <w:bookmarkStart w:id="272" w:name="_Toc152042317"/>
      <w:bookmarkStart w:id="273" w:name="_Toc152045541"/>
      <w:r>
        <w:rPr>
          <w:rFonts w:hint="eastAsia" w:ascii="宋体" w:hAnsi="宋体" w:eastAsia="宋体" w:cs="宋体"/>
          <w:b/>
          <w:bCs/>
          <w:color w:val="000000" w:themeColor="text1"/>
          <w:sz w:val="28"/>
          <w:szCs w:val="28"/>
          <w:highlight w:val="none"/>
          <w14:textFill>
            <w14:solidFill>
              <w14:schemeClr w14:val="tx1"/>
            </w14:solidFill>
          </w14:textFill>
        </w:rPr>
        <w:t>1.11 分包</w:t>
      </w:r>
      <w:bookmarkEnd w:id="268"/>
      <w:bookmarkEnd w:id="269"/>
      <w:bookmarkEnd w:id="270"/>
      <w:bookmarkEnd w:id="271"/>
      <w:bookmarkEnd w:id="272"/>
      <w:bookmarkEnd w:id="273"/>
    </w:p>
    <w:p w14:paraId="47831B45">
      <w:pPr>
        <w:spacing w:line="400" w:lineRule="exact"/>
        <w:ind w:firstLine="42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应符合投标人须知前附表规定。</w:t>
      </w:r>
    </w:p>
    <w:p w14:paraId="5F4BE648">
      <w:pPr>
        <w:keepNext/>
        <w:keepLines/>
        <w:pageBreakBefore w:val="0"/>
        <w:widowControl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274" w:name="_Toc135922551"/>
      <w:bookmarkStart w:id="275" w:name="_Toc179632559"/>
      <w:bookmarkStart w:id="276" w:name="_Toc135648901"/>
      <w:r>
        <w:rPr>
          <w:rFonts w:hint="eastAsia" w:ascii="宋体" w:hAnsi="宋体" w:eastAsia="宋体" w:cs="宋体"/>
          <w:b/>
          <w:bCs/>
          <w:color w:val="000000" w:themeColor="text1"/>
          <w:sz w:val="28"/>
          <w:szCs w:val="28"/>
          <w:highlight w:val="none"/>
          <w14:textFill>
            <w14:solidFill>
              <w14:schemeClr w14:val="tx1"/>
            </w14:solidFill>
          </w14:textFill>
        </w:rPr>
        <w:t>1.12 偏离</w:t>
      </w:r>
      <w:bookmarkEnd w:id="274"/>
      <w:bookmarkEnd w:id="275"/>
      <w:bookmarkEnd w:id="276"/>
    </w:p>
    <w:p w14:paraId="205761B6">
      <w:pPr>
        <w:spacing w:line="400" w:lineRule="exact"/>
        <w:ind w:firstLine="359" w:firstLineChars="17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投标人须知前附表允许投标文件偏离招标文件某些要求的，偏离应当符合招标文件规定的偏离范围和幅度。</w:t>
      </w:r>
    </w:p>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14:paraId="0DBC3E9E">
      <w:pPr>
        <w:bidi w:val="0"/>
        <w:rPr>
          <w:rFonts w:hint="eastAsia"/>
          <w:color w:val="000000" w:themeColor="text1"/>
          <w:highlight w:val="none"/>
          <w14:textFill>
            <w14:solidFill>
              <w14:schemeClr w14:val="tx1"/>
            </w14:solidFill>
          </w14:textFill>
        </w:rPr>
      </w:pPr>
      <w:bookmarkStart w:id="277" w:name="_Toc246996187"/>
      <w:bookmarkStart w:id="278" w:name="_Toc81321222"/>
      <w:bookmarkStart w:id="279" w:name="_Toc17419"/>
      <w:bookmarkStart w:id="280" w:name="_Toc246996930"/>
      <w:bookmarkStart w:id="281" w:name="_Toc12187"/>
      <w:bookmarkStart w:id="282" w:name="_Toc144974510"/>
      <w:bookmarkStart w:id="283" w:name="_Toc32550"/>
      <w:bookmarkStart w:id="284" w:name="_Toc152042318"/>
      <w:bookmarkStart w:id="285" w:name="_Toc152045542"/>
      <w:bookmarkStart w:id="286" w:name="_Toc179632560"/>
      <w:bookmarkStart w:id="287" w:name="_Toc57369408"/>
      <w:bookmarkStart w:id="288" w:name="_Toc247085701"/>
      <w:bookmarkStart w:id="289" w:name="_Toc135648902"/>
    </w:p>
    <w:p w14:paraId="12075F77">
      <w:pPr>
        <w:keepNext/>
        <w:keepLines/>
        <w:pageBreakBefore w:val="0"/>
        <w:widowControl w:val="0"/>
        <w:kinsoku/>
        <w:wordWrap/>
        <w:overflowPunct/>
        <w:topLinePunct w:val="0"/>
        <w:autoSpaceDE/>
        <w:autoSpaceDN/>
        <w:bidi w:val="0"/>
        <w:adjustRightInd/>
        <w:snapToGrid/>
        <w:spacing w:line="30" w:lineRule="atLeast"/>
        <w:textAlignment w:val="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r>
        <w:rPr>
          <w:rFonts w:hint="eastAsia" w:ascii="宋体" w:hAnsi="宋体" w:eastAsia="宋体" w:cs="宋体"/>
          <w:b/>
          <w:bCs/>
          <w:color w:val="000000" w:themeColor="text1"/>
          <w:kern w:val="0"/>
          <w:sz w:val="32"/>
          <w:szCs w:val="32"/>
          <w:highlight w:val="none"/>
          <w14:textFill>
            <w14:solidFill>
              <w14:schemeClr w14:val="tx1"/>
            </w14:solidFill>
          </w14:textFill>
        </w:rPr>
        <w:t>2. 招标文件</w:t>
      </w:r>
      <w:bookmarkEnd w:id="277"/>
      <w:bookmarkEnd w:id="278"/>
      <w:bookmarkEnd w:id="279"/>
      <w:bookmarkEnd w:id="280"/>
      <w:bookmarkEnd w:id="281"/>
      <w:bookmarkEnd w:id="282"/>
      <w:bookmarkEnd w:id="283"/>
      <w:bookmarkEnd w:id="284"/>
      <w:bookmarkEnd w:id="285"/>
      <w:bookmarkEnd w:id="286"/>
      <w:bookmarkEnd w:id="287"/>
      <w:bookmarkEnd w:id="288"/>
      <w:bookmarkEnd w:id="289"/>
    </w:p>
    <w:p w14:paraId="6AB25D78">
      <w:pPr>
        <w:bidi w:val="0"/>
        <w:rPr>
          <w:rFonts w:hint="eastAsia"/>
          <w:color w:val="000000" w:themeColor="text1"/>
          <w:highlight w:val="none"/>
          <w14:textFill>
            <w14:solidFill>
              <w14:schemeClr w14:val="tx1"/>
            </w14:solidFill>
          </w14:textFill>
        </w:rPr>
      </w:pPr>
    </w:p>
    <w:p w14:paraId="1F51C50D">
      <w:pPr>
        <w:keepNext/>
        <w:keepLines/>
        <w:pageBreakBefore w:val="0"/>
        <w:widowControl w:val="0"/>
        <w:kinsoku/>
        <w:wordWrap/>
        <w:overflowPunct/>
        <w:topLinePunct w:val="0"/>
        <w:autoSpaceDE/>
        <w:autoSpaceDN/>
        <w:bidi w:val="0"/>
        <w:adjustRightInd/>
        <w:snapToGrid/>
        <w:spacing w:line="30" w:lineRule="atLeast"/>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290" w:name="_Toc144974511"/>
      <w:bookmarkStart w:id="291" w:name="_Toc246996188"/>
      <w:bookmarkStart w:id="292" w:name="_Toc247085702"/>
      <w:bookmarkStart w:id="293" w:name="_Toc246996931"/>
      <w:bookmarkStart w:id="294" w:name="_Toc417333981"/>
      <w:bookmarkStart w:id="295" w:name="_Toc415819208"/>
      <w:bookmarkStart w:id="296" w:name="_Toc135648903"/>
      <w:bookmarkStart w:id="297" w:name="_Toc152042319"/>
      <w:bookmarkStart w:id="298" w:name="_Toc40708386"/>
      <w:bookmarkStart w:id="299" w:name="_Toc135922552"/>
      <w:bookmarkStart w:id="300" w:name="_Toc14415"/>
      <w:bookmarkStart w:id="301" w:name="_Toc81321223"/>
      <w:bookmarkStart w:id="302" w:name="_Toc40519001"/>
      <w:bookmarkStart w:id="303" w:name="_Toc14432"/>
      <w:bookmarkStart w:id="304" w:name="_Toc179632561"/>
      <w:bookmarkStart w:id="305" w:name="_Toc40795890"/>
      <w:bookmarkStart w:id="306" w:name="_Toc152045543"/>
      <w:bookmarkStart w:id="307" w:name="_Toc29325"/>
      <w:bookmarkStart w:id="308" w:name="_Toc57369409"/>
      <w:r>
        <w:rPr>
          <w:rFonts w:hint="eastAsia" w:ascii="宋体" w:hAnsi="宋体" w:eastAsia="宋体" w:cs="宋体"/>
          <w:b/>
          <w:bCs/>
          <w:color w:val="000000" w:themeColor="text1"/>
          <w:sz w:val="28"/>
          <w:szCs w:val="28"/>
          <w:highlight w:val="none"/>
          <w14:textFill>
            <w14:solidFill>
              <w14:schemeClr w14:val="tx1"/>
            </w14:solidFill>
          </w14:textFill>
        </w:rPr>
        <w:t>2.1 招标文件的组成</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0B2305F0">
      <w:pPr>
        <w:spacing w:line="360" w:lineRule="auto"/>
        <w:ind w:right="-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　　</w:t>
      </w:r>
      <w:r>
        <w:rPr>
          <w:rFonts w:hint="eastAsia" w:ascii="宋体" w:hAnsi="宋体" w:eastAsia="宋体" w:cs="宋体"/>
          <w:color w:val="000000" w:themeColor="text1"/>
          <w:szCs w:val="21"/>
          <w:highlight w:val="none"/>
          <w14:textFill>
            <w14:solidFill>
              <w14:schemeClr w14:val="tx1"/>
            </w14:solidFill>
          </w14:textFill>
        </w:rPr>
        <w:t>2.1.1 本招标文件包括：</w:t>
      </w:r>
    </w:p>
    <w:p w14:paraId="5996BBE0">
      <w:pPr>
        <w:spacing w:line="360" w:lineRule="auto"/>
        <w:ind w:right="-1"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（1）招标公告；</w:t>
      </w:r>
    </w:p>
    <w:p w14:paraId="0334EFC6">
      <w:pPr>
        <w:spacing w:line="360" w:lineRule="auto"/>
        <w:ind w:right="-1"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（2）投标人须知；</w:t>
      </w:r>
    </w:p>
    <w:p w14:paraId="2AADC289">
      <w:pPr>
        <w:spacing w:line="360" w:lineRule="auto"/>
        <w:ind w:right="-1"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（3）评标办法；</w:t>
      </w:r>
    </w:p>
    <w:p w14:paraId="720EE0B4">
      <w:pPr>
        <w:spacing w:line="360" w:lineRule="auto"/>
        <w:ind w:right="-1"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（4）采购内容及要求；</w:t>
      </w:r>
    </w:p>
    <w:p w14:paraId="72938564">
      <w:pPr>
        <w:spacing w:line="360" w:lineRule="auto"/>
        <w:ind w:right="-1"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（5）合同条款及格式；</w:t>
      </w:r>
    </w:p>
    <w:p w14:paraId="4A736F79">
      <w:pPr>
        <w:spacing w:line="360" w:lineRule="auto"/>
        <w:ind w:right="-1"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（6）投标文件格式；</w:t>
      </w:r>
    </w:p>
    <w:p w14:paraId="4F03DCE0">
      <w:pPr>
        <w:spacing w:line="360" w:lineRule="auto"/>
        <w:ind w:right="-1"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（7）投标人须知前附表规定的其他材料。</w:t>
      </w:r>
    </w:p>
    <w:p w14:paraId="4C43AD9F">
      <w:pPr>
        <w:spacing w:line="360" w:lineRule="auto"/>
        <w:ind w:right="-1"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2.1.2 根据本章对招标文件所作的澄清、修改（如有）等，构成招标文件的组成部分。</w:t>
      </w:r>
    </w:p>
    <w:p w14:paraId="3BDD0A8D">
      <w:pPr>
        <w:keepNext/>
        <w:keepLines/>
        <w:spacing w:before="280" w:after="290" w:line="376" w:lineRule="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309" w:name="_Toc144974512"/>
      <w:bookmarkStart w:id="310" w:name="_Toc246996189"/>
      <w:bookmarkStart w:id="311" w:name="_Toc179632562"/>
      <w:bookmarkStart w:id="312" w:name="_Toc246996932"/>
      <w:bookmarkStart w:id="313" w:name="_Toc417333982"/>
      <w:bookmarkStart w:id="314" w:name="_Toc415819209"/>
      <w:bookmarkStart w:id="315" w:name="_Toc16336"/>
      <w:bookmarkStart w:id="316" w:name="_Toc247085703"/>
      <w:bookmarkStart w:id="317" w:name="_Toc9719"/>
      <w:bookmarkStart w:id="318" w:name="_Toc8516"/>
      <w:bookmarkStart w:id="319" w:name="_Toc152045544"/>
      <w:bookmarkStart w:id="320" w:name="_Toc152042320"/>
      <w:r>
        <w:rPr>
          <w:rFonts w:hint="eastAsia" w:ascii="宋体" w:hAnsi="宋体" w:eastAsia="宋体" w:cs="宋体"/>
          <w:b/>
          <w:bCs/>
          <w:color w:val="000000" w:themeColor="text1"/>
          <w:sz w:val="28"/>
          <w:szCs w:val="28"/>
          <w:highlight w:val="none"/>
          <w14:textFill>
            <w14:solidFill>
              <w14:schemeClr w14:val="tx1"/>
            </w14:solidFill>
          </w14:textFill>
        </w:rPr>
        <w:t>2.2</w:t>
      </w:r>
      <w:bookmarkEnd w:id="309"/>
      <w:bookmarkEnd w:id="310"/>
      <w:bookmarkEnd w:id="311"/>
      <w:bookmarkEnd w:id="312"/>
      <w:bookmarkEnd w:id="313"/>
      <w:bookmarkEnd w:id="314"/>
      <w:bookmarkEnd w:id="315"/>
      <w:bookmarkEnd w:id="316"/>
      <w:bookmarkEnd w:id="317"/>
      <w:bookmarkEnd w:id="318"/>
      <w:bookmarkEnd w:id="319"/>
      <w:bookmarkEnd w:id="320"/>
      <w:r>
        <w:rPr>
          <w:rFonts w:hint="eastAsia" w:ascii="宋体" w:hAnsi="宋体" w:eastAsia="宋体" w:cs="宋体"/>
          <w:b/>
          <w:bCs/>
          <w:color w:val="000000" w:themeColor="text1"/>
          <w:sz w:val="28"/>
          <w:szCs w:val="28"/>
          <w:highlight w:val="none"/>
          <w14:textFill>
            <w14:solidFill>
              <w14:schemeClr w14:val="tx1"/>
            </w14:solidFill>
          </w14:textFill>
        </w:rPr>
        <w:t>招标文件的疑问、澄清、说明或者补正</w:t>
      </w:r>
    </w:p>
    <w:p w14:paraId="5CBF2D0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2.2.1投标人对招标文件提出疑问的，应在投标须知前附表规定的时间内在电子交易系统中提出。</w:t>
      </w:r>
    </w:p>
    <w:p w14:paraId="4AF18F88">
      <w:pPr>
        <w:spacing w:line="360" w:lineRule="auto"/>
        <w:ind w:right="42" w:rightChars="20"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 采购人将在电子交易系统等原公告媒体将招标文件的澄清、说明或者补正进行公示，</w:t>
      </w:r>
      <w:r>
        <w:rPr>
          <w:rFonts w:hint="eastAsia" w:ascii="宋体" w:hAnsi="宋体" w:eastAsia="宋体" w:cs="宋体"/>
          <w:color w:val="000000" w:themeColor="text1"/>
          <w:highlight w:val="none"/>
          <w14:textFill>
            <w14:solidFill>
              <w14:schemeClr w14:val="tx1"/>
            </w14:solidFill>
          </w14:textFill>
        </w:rPr>
        <w:t>此公示视作已送达所有投标人</w:t>
      </w:r>
      <w:r>
        <w:rPr>
          <w:rFonts w:hint="eastAsia" w:ascii="宋体" w:hAnsi="宋体" w:eastAsia="宋体" w:cs="宋体"/>
          <w:color w:val="000000" w:themeColor="text1"/>
          <w:szCs w:val="21"/>
          <w:highlight w:val="none"/>
          <w14:textFill>
            <w14:solidFill>
              <w14:schemeClr w14:val="tx1"/>
            </w14:solidFill>
          </w14:textFill>
        </w:rPr>
        <w:t>。如果澄清、说明或者补正发出的时间距投标人须知前附表规定的投标截止时间不足15日，并且澄清、说明或者补正内容影响投标文件编制的，将相应延长投标截止时间。</w:t>
      </w:r>
    </w:p>
    <w:p w14:paraId="54BFD3DF">
      <w:pPr>
        <w:widowControl/>
        <w:spacing w:line="360" w:lineRule="auto"/>
        <w:ind w:right="42" w:rightChars="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2.2.3除非采购人认为有必要答复，否则，采购人有权拒绝回复投标人在本章第2.2.1项规定的时间后的任何澄清要求。</w:t>
      </w:r>
    </w:p>
    <w:p w14:paraId="23BDAFEE">
      <w:pPr>
        <w:widowControl/>
        <w:spacing w:line="360" w:lineRule="auto"/>
        <w:ind w:right="42" w:rightChars="20" w:firstLine="424" w:firstLineChars="202"/>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2.2.4投标人应及时关注电子交易系统等公告媒体发布的与招标项目相关的信息，如因投标人自身原因未及时获取有关信息，由此造成的对投标不利的后果由投标人自负。</w:t>
      </w:r>
    </w:p>
    <w:p w14:paraId="38370060">
      <w:pPr>
        <w:keepNext/>
        <w:keepLines/>
        <w:pageBreakBefore w:val="0"/>
        <w:widowControl w:val="0"/>
        <w:kinsoku/>
        <w:wordWrap/>
        <w:overflowPunct/>
        <w:topLinePunct w:val="0"/>
        <w:autoSpaceDE/>
        <w:autoSpaceDN/>
        <w:bidi w:val="0"/>
        <w:adjustRightInd/>
        <w:snapToGrid/>
        <w:spacing w:before="260" w:after="260" w:line="413" w:lineRule="auto"/>
        <w:textAlignment w:val="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321" w:name="_Toc247085705"/>
      <w:bookmarkStart w:id="322" w:name="_Toc152042322"/>
      <w:bookmarkStart w:id="323" w:name="_Toc246996191"/>
      <w:bookmarkStart w:id="324" w:name="_Toc246996934"/>
      <w:bookmarkStart w:id="325" w:name="_Toc57369410"/>
      <w:bookmarkStart w:id="326" w:name="_Toc152045546"/>
      <w:bookmarkStart w:id="327" w:name="_Toc21404"/>
      <w:bookmarkStart w:id="328" w:name="_Toc144974514"/>
      <w:bookmarkStart w:id="329" w:name="_Toc7141"/>
      <w:bookmarkStart w:id="330" w:name="_Toc135648904"/>
      <w:bookmarkStart w:id="331" w:name="_Toc81321224"/>
      <w:bookmarkStart w:id="332" w:name="_Toc26305"/>
      <w:bookmarkStart w:id="333" w:name="_Toc179632564"/>
      <w:r>
        <w:rPr>
          <w:rFonts w:hint="eastAsia" w:ascii="宋体" w:hAnsi="宋体" w:eastAsia="宋体" w:cs="宋体"/>
          <w:b/>
          <w:bCs/>
          <w:color w:val="000000" w:themeColor="text1"/>
          <w:kern w:val="0"/>
          <w:sz w:val="32"/>
          <w:szCs w:val="32"/>
          <w:highlight w:val="none"/>
          <w14:textFill>
            <w14:solidFill>
              <w14:schemeClr w14:val="tx1"/>
            </w14:solidFill>
          </w14:textFill>
        </w:rPr>
        <w:t>3. 投标文件</w:t>
      </w:r>
      <w:bookmarkEnd w:id="321"/>
      <w:bookmarkEnd w:id="322"/>
      <w:bookmarkEnd w:id="323"/>
      <w:bookmarkEnd w:id="324"/>
      <w:bookmarkEnd w:id="325"/>
      <w:bookmarkEnd w:id="326"/>
      <w:bookmarkEnd w:id="327"/>
      <w:bookmarkEnd w:id="328"/>
      <w:bookmarkEnd w:id="329"/>
      <w:bookmarkEnd w:id="330"/>
      <w:bookmarkEnd w:id="331"/>
      <w:bookmarkEnd w:id="332"/>
      <w:bookmarkEnd w:id="333"/>
    </w:p>
    <w:p w14:paraId="359CDC03">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334" w:name="_Toc4811"/>
      <w:bookmarkStart w:id="335" w:name="_Toc415819212"/>
      <w:bookmarkStart w:id="336" w:name="_Toc152045547"/>
      <w:bookmarkStart w:id="337" w:name="_Toc246996935"/>
      <w:bookmarkStart w:id="338" w:name="_Toc22603"/>
      <w:bookmarkStart w:id="339" w:name="_Toc152042323"/>
      <w:bookmarkStart w:id="340" w:name="_Toc144974515"/>
      <w:bookmarkStart w:id="341" w:name="_Toc19365"/>
      <w:bookmarkStart w:id="342" w:name="_Toc179632565"/>
      <w:bookmarkStart w:id="343" w:name="_Toc246996192"/>
      <w:bookmarkStart w:id="344" w:name="_Toc417333985"/>
      <w:bookmarkStart w:id="345" w:name="_Toc247085706"/>
      <w:r>
        <w:rPr>
          <w:rFonts w:hint="eastAsia" w:ascii="宋体" w:hAnsi="宋体" w:eastAsia="宋体" w:cs="宋体"/>
          <w:b/>
          <w:bCs/>
          <w:color w:val="000000" w:themeColor="text1"/>
          <w:sz w:val="28"/>
          <w:szCs w:val="28"/>
          <w:highlight w:val="none"/>
          <w14:textFill>
            <w14:solidFill>
              <w14:schemeClr w14:val="tx1"/>
            </w14:solidFill>
          </w14:textFill>
        </w:rPr>
        <w:t>3.1 投标文件的组成</w:t>
      </w:r>
      <w:bookmarkEnd w:id="334"/>
      <w:bookmarkEnd w:id="335"/>
      <w:bookmarkEnd w:id="336"/>
      <w:bookmarkEnd w:id="337"/>
      <w:bookmarkEnd w:id="338"/>
      <w:bookmarkEnd w:id="339"/>
      <w:bookmarkEnd w:id="340"/>
      <w:bookmarkEnd w:id="341"/>
      <w:bookmarkEnd w:id="342"/>
      <w:bookmarkEnd w:id="343"/>
      <w:bookmarkEnd w:id="344"/>
      <w:bookmarkEnd w:id="345"/>
    </w:p>
    <w:p w14:paraId="18E8A7ED">
      <w:pPr>
        <w:spacing w:line="360" w:lineRule="auto"/>
        <w:ind w:firstLine="210" w:firstLineChars="1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投标文件至少应包括第六章投标文件格式要求的内容。</w:t>
      </w:r>
    </w:p>
    <w:p w14:paraId="1DDD3886">
      <w:pPr>
        <w:keepNext/>
        <w:keepLines/>
        <w:spacing w:before="280" w:after="290" w:line="376" w:lineRule="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346" w:name="_Toc247085707"/>
      <w:bookmarkStart w:id="347" w:name="_Toc10834"/>
      <w:bookmarkStart w:id="348" w:name="_Toc152045548"/>
      <w:bookmarkStart w:id="349" w:name="_Toc246996193"/>
      <w:bookmarkStart w:id="350" w:name="_Toc7902"/>
      <w:bookmarkStart w:id="351" w:name="_Toc246996936"/>
      <w:bookmarkStart w:id="352" w:name="_Toc144974516"/>
      <w:bookmarkStart w:id="353" w:name="_Toc417333986"/>
      <w:bookmarkStart w:id="354" w:name="_Toc152042324"/>
      <w:bookmarkStart w:id="355" w:name="_Toc28278"/>
      <w:bookmarkStart w:id="356" w:name="_Toc415819213"/>
      <w:bookmarkStart w:id="357" w:name="_Toc179632566"/>
      <w:r>
        <w:rPr>
          <w:rFonts w:hint="eastAsia" w:ascii="宋体" w:hAnsi="宋体" w:eastAsia="宋体" w:cs="宋体"/>
          <w:b/>
          <w:bCs/>
          <w:color w:val="000000" w:themeColor="text1"/>
          <w:sz w:val="28"/>
          <w:szCs w:val="28"/>
          <w:highlight w:val="none"/>
          <w14:textFill>
            <w14:solidFill>
              <w14:schemeClr w14:val="tx1"/>
            </w14:solidFill>
          </w14:textFill>
        </w:rPr>
        <w:t>3.2 投标报价</w:t>
      </w:r>
      <w:bookmarkEnd w:id="346"/>
      <w:bookmarkEnd w:id="347"/>
      <w:bookmarkEnd w:id="348"/>
      <w:bookmarkEnd w:id="349"/>
      <w:bookmarkEnd w:id="350"/>
      <w:bookmarkEnd w:id="351"/>
      <w:bookmarkEnd w:id="352"/>
      <w:bookmarkEnd w:id="353"/>
      <w:bookmarkEnd w:id="354"/>
      <w:bookmarkEnd w:id="355"/>
      <w:bookmarkEnd w:id="356"/>
      <w:bookmarkEnd w:id="357"/>
    </w:p>
    <w:p w14:paraId="74EF2343">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3.2.1投标人应参考采购人提供的招标内容，考虑物价上涨、政策性调整等诸多因素，结合本项目实</w:t>
      </w:r>
      <w:r>
        <w:rPr>
          <w:rFonts w:hint="eastAsia" w:ascii="宋体" w:hAnsi="宋体" w:eastAsia="宋体" w:cs="宋体"/>
          <w:color w:val="000000" w:themeColor="text1"/>
          <w:szCs w:val="24"/>
          <w:highlight w:val="none"/>
          <w14:textFill>
            <w14:solidFill>
              <w14:schemeClr w14:val="tx1"/>
            </w14:solidFill>
          </w14:textFill>
        </w:rPr>
        <w:t>际情况和企业成本、市场行情自主报价。</w:t>
      </w:r>
    </w:p>
    <w:p w14:paraId="16DE9E04">
      <w:pPr>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除非</w:t>
      </w:r>
      <w:r>
        <w:rPr>
          <w:rFonts w:hint="eastAsia" w:ascii="宋体" w:hAnsi="宋体" w:eastAsia="宋体" w:cs="宋体"/>
          <w:color w:val="000000" w:themeColor="text1"/>
          <w:highlight w:val="none"/>
          <w14:textFill>
            <w14:solidFill>
              <w14:schemeClr w14:val="tx1"/>
            </w14:solidFill>
          </w14:textFill>
        </w:rPr>
        <w:t>采购人</w:t>
      </w:r>
      <w:r>
        <w:rPr>
          <w:rFonts w:hint="eastAsia" w:ascii="宋体" w:hAnsi="宋体" w:eastAsia="宋体" w:cs="宋体"/>
          <w:color w:val="000000" w:themeColor="text1"/>
          <w:szCs w:val="24"/>
          <w:highlight w:val="none"/>
          <w14:textFill>
            <w14:solidFill>
              <w14:schemeClr w14:val="tx1"/>
            </w14:solidFill>
          </w14:textFill>
        </w:rPr>
        <w:t>对招标文件予以修改，投标人应按</w:t>
      </w:r>
      <w:r>
        <w:rPr>
          <w:rFonts w:hint="eastAsia" w:ascii="宋体" w:hAnsi="宋体" w:eastAsia="宋体" w:cs="宋体"/>
          <w:color w:val="000000" w:themeColor="text1"/>
          <w:highlight w:val="none"/>
          <w14:textFill>
            <w14:solidFill>
              <w14:schemeClr w14:val="tx1"/>
            </w14:solidFill>
          </w14:textFill>
        </w:rPr>
        <w:t>采购人</w:t>
      </w:r>
      <w:r>
        <w:rPr>
          <w:rFonts w:hint="eastAsia" w:ascii="宋体" w:hAnsi="宋体" w:eastAsia="宋体" w:cs="宋体"/>
          <w:color w:val="000000" w:themeColor="text1"/>
          <w:szCs w:val="24"/>
          <w:highlight w:val="none"/>
          <w14:textFill>
            <w14:solidFill>
              <w14:schemeClr w14:val="tx1"/>
            </w14:solidFill>
          </w14:textFill>
        </w:rPr>
        <w:t>采购项目和采购内容计算单价和合价。每一项目只允许有一个报价，任何有选择的报价将不予接受。投标人未填单价或合价的项目，在实施后，</w:t>
      </w:r>
      <w:r>
        <w:rPr>
          <w:rFonts w:hint="eastAsia" w:ascii="宋体" w:hAnsi="宋体" w:eastAsia="宋体" w:cs="宋体"/>
          <w:color w:val="000000" w:themeColor="text1"/>
          <w:highlight w:val="none"/>
          <w14:textFill>
            <w14:solidFill>
              <w14:schemeClr w14:val="tx1"/>
            </w14:solidFill>
          </w14:textFill>
        </w:rPr>
        <w:t>采购人</w:t>
      </w:r>
      <w:r>
        <w:rPr>
          <w:rFonts w:hint="eastAsia" w:ascii="宋体" w:hAnsi="宋体" w:eastAsia="宋体" w:cs="宋体"/>
          <w:color w:val="000000" w:themeColor="text1"/>
          <w:szCs w:val="24"/>
          <w:highlight w:val="none"/>
          <w14:textFill>
            <w14:solidFill>
              <w14:schemeClr w14:val="tx1"/>
            </w14:solidFill>
          </w14:textFill>
        </w:rPr>
        <w:t>将不予支付，并视为该项费用已包括在其他有价款的单价或合价内。投标人在投标文件中提出的各项支付金额的总和，也应是完成所列招标采购范围的全部，不得以任何理由予以重复。</w:t>
      </w:r>
    </w:p>
    <w:p w14:paraId="0774EEDC">
      <w:pPr>
        <w:spacing w:line="360" w:lineRule="auto"/>
        <w:ind w:right="-1" w:firstLine="424" w:firstLineChars="202"/>
        <w:rPr>
          <w:rFonts w:hint="eastAsia" w:ascii="宋体" w:hAnsi="宋体" w:eastAsia="宋体" w:cs="宋体"/>
          <w:color w:val="000000" w:themeColor="text1"/>
          <w:szCs w:val="24"/>
          <w:highlight w:val="none"/>
          <w14:textFill>
            <w14:solidFill>
              <w14:schemeClr w14:val="tx1"/>
            </w14:solidFill>
          </w14:textFill>
        </w:rPr>
      </w:pPr>
      <w:bookmarkStart w:id="358" w:name="_Toc179632567"/>
      <w:bookmarkStart w:id="359" w:name="_Toc152045549"/>
      <w:bookmarkStart w:id="360" w:name="_Toc152042325"/>
      <w:bookmarkStart w:id="361" w:name="_Toc144974517"/>
      <w:r>
        <w:rPr>
          <w:rFonts w:hint="eastAsia" w:ascii="宋体" w:hAnsi="宋体" w:eastAsia="宋体" w:cs="宋体"/>
          <w:color w:val="000000" w:themeColor="text1"/>
          <w:szCs w:val="24"/>
          <w:highlight w:val="none"/>
          <w14:textFill>
            <w14:solidFill>
              <w14:schemeClr w14:val="tx1"/>
            </w14:solidFill>
          </w14:textFill>
        </w:rPr>
        <w:t>3.2.2采购人设有最高投标限价的，投标人的投标报价不得超过最高投标限价，最高投标限价或其计算方法在投标人须知前附表中载明。</w:t>
      </w:r>
    </w:p>
    <w:p w14:paraId="0BB1F2A6">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362" w:name="_Toc22703"/>
      <w:bookmarkStart w:id="363" w:name="_Toc246996937"/>
      <w:bookmarkStart w:id="364" w:name="_Toc28469"/>
      <w:bookmarkStart w:id="365" w:name="_Toc81321225"/>
      <w:bookmarkStart w:id="366" w:name="_Toc40519003"/>
      <w:bookmarkStart w:id="367" w:name="_Toc40708388"/>
      <w:bookmarkStart w:id="368" w:name="_Toc417333987"/>
      <w:bookmarkStart w:id="369" w:name="_Toc135648905"/>
      <w:bookmarkStart w:id="370" w:name="_Toc247085708"/>
      <w:bookmarkStart w:id="371" w:name="_Toc6031"/>
      <w:bookmarkStart w:id="372" w:name="_Toc415819214"/>
      <w:bookmarkStart w:id="373" w:name="_Toc246996194"/>
      <w:bookmarkStart w:id="374" w:name="_Toc40795892"/>
      <w:bookmarkStart w:id="375" w:name="_Toc135922553"/>
      <w:bookmarkStart w:id="376" w:name="_Toc57369411"/>
      <w:r>
        <w:rPr>
          <w:rFonts w:hint="eastAsia" w:ascii="宋体" w:hAnsi="宋体" w:eastAsia="宋体" w:cs="宋体"/>
          <w:b/>
          <w:bCs/>
          <w:color w:val="000000" w:themeColor="text1"/>
          <w:sz w:val="28"/>
          <w:szCs w:val="28"/>
          <w:highlight w:val="none"/>
          <w14:textFill>
            <w14:solidFill>
              <w14:schemeClr w14:val="tx1"/>
            </w14:solidFill>
          </w14:textFill>
        </w:rPr>
        <w:t>3.3 投标有效期</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5054A926">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3.3.1 详见投标人须知前附表。</w:t>
      </w:r>
    </w:p>
    <w:p w14:paraId="4BBBCD83">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3.3.2在投标有效期内，投标人撤销或修改其投标文件的，应承担招标文件和法律规定的责任。</w:t>
      </w:r>
    </w:p>
    <w:p w14:paraId="3FFD8F5F">
      <w:pPr>
        <w:spacing w:line="400" w:lineRule="exact"/>
        <w:ind w:right="-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3.3.3出现特殊情况需要延长投标有效期的，采购人通知所有投标人延长投标有效期。投标人同意延长的，应相应延长其投标保证金的有效期，但不得要求或被允许修改或撤销其投标文件；投标人拒绝延长的，其投标失效</w:t>
      </w:r>
      <w:r>
        <w:rPr>
          <w:rFonts w:hint="eastAsia" w:ascii="宋体" w:hAnsi="宋体" w:eastAsia="宋体" w:cs="宋体"/>
          <w:color w:val="000000" w:themeColor="text1"/>
          <w:highlight w:val="none"/>
          <w14:textFill>
            <w14:solidFill>
              <w14:schemeClr w14:val="tx1"/>
            </w14:solidFill>
          </w14:textFill>
        </w:rPr>
        <w:t>，但投标人有权收回其投标保证金。</w:t>
      </w:r>
    </w:p>
    <w:p w14:paraId="0444C43C">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Cs/>
          <w:color w:val="000000" w:themeColor="text1"/>
          <w:sz w:val="28"/>
          <w:szCs w:val="28"/>
          <w:highlight w:val="none"/>
          <w14:textFill>
            <w14:solidFill>
              <w14:schemeClr w14:val="tx1"/>
            </w14:solidFill>
          </w14:textFill>
        </w:rPr>
      </w:pPr>
      <w:bookmarkStart w:id="377" w:name="_Toc22305"/>
      <w:bookmarkStart w:id="378" w:name="_Toc246996938"/>
      <w:bookmarkStart w:id="379" w:name="_Toc179632568"/>
      <w:bookmarkStart w:id="380" w:name="_Toc12397"/>
      <w:bookmarkStart w:id="381" w:name="_Toc27694"/>
      <w:bookmarkStart w:id="382" w:name="_Toc144974518"/>
      <w:bookmarkStart w:id="383" w:name="_Toc152045550"/>
      <w:bookmarkStart w:id="384" w:name="_Toc246996195"/>
      <w:bookmarkStart w:id="385" w:name="_Toc152042326"/>
      <w:bookmarkStart w:id="386" w:name="_Toc417333988"/>
      <w:bookmarkStart w:id="387" w:name="_Toc415819215"/>
      <w:bookmarkStart w:id="388" w:name="_Toc247085709"/>
      <w:bookmarkStart w:id="389" w:name="_Toc81321226"/>
      <w:bookmarkStart w:id="390" w:name="_Toc40708389"/>
      <w:bookmarkStart w:id="391" w:name="_Toc40795893"/>
      <w:bookmarkStart w:id="392" w:name="_Toc40519004"/>
      <w:bookmarkStart w:id="393" w:name="_Toc135648906"/>
      <w:bookmarkStart w:id="394" w:name="_Toc135922554"/>
      <w:bookmarkStart w:id="395" w:name="_Toc57369412"/>
      <w:r>
        <w:rPr>
          <w:rFonts w:hint="eastAsia" w:ascii="宋体" w:hAnsi="宋体" w:eastAsia="宋体" w:cs="宋体"/>
          <w:b/>
          <w:color w:val="000000" w:themeColor="text1"/>
          <w:sz w:val="28"/>
          <w:szCs w:val="28"/>
          <w:highlight w:val="none"/>
          <w14:textFill>
            <w14:solidFill>
              <w14:schemeClr w14:val="tx1"/>
            </w14:solidFill>
          </w14:textFill>
        </w:rPr>
        <w:t>3.4 投标保证金</w:t>
      </w:r>
      <w:bookmarkEnd w:id="377"/>
      <w:bookmarkEnd w:id="378"/>
      <w:bookmarkEnd w:id="379"/>
      <w:bookmarkEnd w:id="380"/>
      <w:bookmarkEnd w:id="381"/>
      <w:bookmarkEnd w:id="382"/>
      <w:bookmarkEnd w:id="383"/>
      <w:bookmarkEnd w:id="384"/>
      <w:bookmarkEnd w:id="385"/>
      <w:bookmarkEnd w:id="386"/>
      <w:bookmarkEnd w:id="387"/>
      <w:bookmarkEnd w:id="388"/>
      <w:r>
        <w:rPr>
          <w:rFonts w:hint="eastAsia" w:ascii="宋体" w:hAnsi="宋体" w:eastAsia="宋体" w:cs="宋体"/>
          <w:b/>
          <w:color w:val="000000" w:themeColor="text1"/>
          <w:sz w:val="28"/>
          <w:szCs w:val="28"/>
          <w:highlight w:val="none"/>
          <w14:textFill>
            <w14:solidFill>
              <w14:schemeClr w14:val="tx1"/>
            </w14:solidFill>
          </w14:textFill>
        </w:rPr>
        <w:t>（不适用</w:t>
      </w:r>
      <w:r>
        <w:rPr>
          <w:rFonts w:hint="eastAsia" w:ascii="宋体" w:hAnsi="宋体" w:eastAsia="宋体" w:cs="宋体"/>
          <w:bCs/>
          <w:color w:val="000000" w:themeColor="text1"/>
          <w:sz w:val="28"/>
          <w:szCs w:val="28"/>
          <w:highlight w:val="none"/>
          <w14:textFill>
            <w14:solidFill>
              <w14:schemeClr w14:val="tx1"/>
            </w14:solidFill>
          </w14:textFill>
        </w:rPr>
        <w:t>）</w:t>
      </w:r>
      <w:bookmarkEnd w:id="389"/>
      <w:bookmarkEnd w:id="390"/>
      <w:bookmarkEnd w:id="391"/>
      <w:bookmarkEnd w:id="392"/>
      <w:bookmarkEnd w:id="393"/>
      <w:bookmarkEnd w:id="394"/>
      <w:bookmarkEnd w:id="395"/>
    </w:p>
    <w:p w14:paraId="7C239925">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396" w:name="_Toc81321227"/>
      <w:bookmarkStart w:id="397" w:name="_Toc27983"/>
      <w:bookmarkStart w:id="398" w:name="_Toc417333990"/>
      <w:bookmarkStart w:id="399" w:name="_Toc135922555"/>
      <w:bookmarkStart w:id="400" w:name="_Toc135648907"/>
      <w:bookmarkStart w:id="401" w:name="_Toc415819217"/>
      <w:bookmarkStart w:id="402" w:name="_Toc40708390"/>
      <w:bookmarkStart w:id="403" w:name="_Toc40519005"/>
      <w:bookmarkStart w:id="404" w:name="_Toc40795894"/>
      <w:bookmarkStart w:id="405" w:name="_Toc57369413"/>
      <w:bookmarkStart w:id="406" w:name="_Toc97"/>
      <w:bookmarkStart w:id="407" w:name="_Toc32406"/>
      <w:bookmarkStart w:id="408" w:name="_Toc179632571"/>
      <w:bookmarkStart w:id="409" w:name="_Toc247085711"/>
      <w:bookmarkStart w:id="410" w:name="_Toc246996197"/>
      <w:bookmarkStart w:id="411" w:name="_Toc152042329"/>
      <w:bookmarkStart w:id="412" w:name="_Toc152045553"/>
      <w:bookmarkStart w:id="413" w:name="_Toc246996940"/>
      <w:bookmarkStart w:id="414" w:name="_Toc144974521"/>
      <w:r>
        <w:rPr>
          <w:rFonts w:hint="eastAsia" w:ascii="宋体" w:hAnsi="宋体" w:eastAsia="宋体" w:cs="宋体"/>
          <w:b/>
          <w:bCs/>
          <w:color w:val="000000" w:themeColor="text1"/>
          <w:sz w:val="28"/>
          <w:szCs w:val="28"/>
          <w:highlight w:val="none"/>
          <w14:textFill>
            <w14:solidFill>
              <w14:schemeClr w14:val="tx1"/>
            </w14:solidFill>
          </w14:textFill>
        </w:rPr>
        <w:t>3.5 投标文件的编制</w:t>
      </w:r>
      <w:bookmarkEnd w:id="396"/>
      <w:bookmarkEnd w:id="397"/>
      <w:bookmarkEnd w:id="398"/>
      <w:bookmarkEnd w:id="399"/>
      <w:bookmarkEnd w:id="400"/>
      <w:bookmarkEnd w:id="401"/>
      <w:bookmarkEnd w:id="402"/>
      <w:bookmarkEnd w:id="403"/>
      <w:bookmarkEnd w:id="404"/>
      <w:bookmarkEnd w:id="405"/>
      <w:bookmarkEnd w:id="406"/>
      <w:bookmarkEnd w:id="407"/>
    </w:p>
    <w:p w14:paraId="5D484CB4">
      <w:pPr>
        <w:spacing w:line="360" w:lineRule="auto"/>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投标文件须按第六章“投标文件格式”进行编写，提供有格式的须按照招标文件格式填写；如有必要，可以增加附页，作为投标文件的组成部分。其中，</w:t>
      </w:r>
      <w:r>
        <w:rPr>
          <w:rFonts w:hint="eastAsia" w:ascii="宋体" w:hAnsi="宋体" w:eastAsia="宋体" w:cs="宋体"/>
          <w:color w:val="000000" w:themeColor="text1"/>
          <w:szCs w:val="24"/>
          <w:highlight w:val="none"/>
          <w:lang w:eastAsia="zh-CN"/>
          <w14:textFill>
            <w14:solidFill>
              <w14:schemeClr w14:val="tx1"/>
            </w14:solidFill>
          </w14:textFill>
        </w:rPr>
        <w:t>投标函附录</w:t>
      </w:r>
      <w:r>
        <w:rPr>
          <w:rFonts w:hint="eastAsia" w:ascii="宋体" w:hAnsi="宋体" w:eastAsia="宋体" w:cs="宋体"/>
          <w:color w:val="000000" w:themeColor="text1"/>
          <w:szCs w:val="24"/>
          <w:highlight w:val="none"/>
          <w14:textFill>
            <w14:solidFill>
              <w14:schemeClr w14:val="tx1"/>
            </w14:solidFill>
          </w14:textFill>
        </w:rPr>
        <w:t>在满足招标文件实质性要求的基础上，可以提出比招标文件要求更有利于采购人的承诺。</w:t>
      </w:r>
    </w:p>
    <w:bookmarkEnd w:id="408"/>
    <w:bookmarkEnd w:id="409"/>
    <w:bookmarkEnd w:id="410"/>
    <w:bookmarkEnd w:id="411"/>
    <w:bookmarkEnd w:id="412"/>
    <w:bookmarkEnd w:id="413"/>
    <w:bookmarkEnd w:id="414"/>
    <w:p w14:paraId="55E86824">
      <w:pPr>
        <w:keepNext/>
        <w:keepLines/>
        <w:pageBreakBefore w:val="0"/>
        <w:widowControl w:val="0"/>
        <w:kinsoku/>
        <w:wordWrap/>
        <w:overflowPunct/>
        <w:topLinePunct w:val="0"/>
        <w:autoSpaceDE/>
        <w:autoSpaceDN/>
        <w:bidi w:val="0"/>
        <w:adjustRightInd/>
        <w:snapToGrid/>
        <w:spacing w:line="413" w:lineRule="auto"/>
        <w:textAlignment w:val="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415" w:name="_Toc179632573"/>
      <w:bookmarkStart w:id="416" w:name="_Toc81321228"/>
      <w:bookmarkStart w:id="417" w:name="_Toc57369414"/>
      <w:bookmarkStart w:id="418" w:name="_Toc29306"/>
      <w:bookmarkStart w:id="419" w:name="_Toc246996942"/>
      <w:bookmarkStart w:id="420" w:name="_Toc247085713"/>
      <w:bookmarkStart w:id="421" w:name="_Toc246996199"/>
      <w:bookmarkStart w:id="422" w:name="_Toc152042331"/>
      <w:bookmarkStart w:id="423" w:name="_Toc144974523"/>
      <w:bookmarkStart w:id="424" w:name="_Toc21416"/>
      <w:bookmarkStart w:id="425" w:name="_Toc9991"/>
      <w:bookmarkStart w:id="426" w:name="_Toc135648908"/>
      <w:bookmarkStart w:id="427" w:name="_Toc152045555"/>
      <w:r>
        <w:rPr>
          <w:rFonts w:hint="eastAsia" w:ascii="宋体" w:hAnsi="宋体" w:eastAsia="宋体" w:cs="宋体"/>
          <w:b/>
          <w:bCs/>
          <w:color w:val="000000" w:themeColor="text1"/>
          <w:kern w:val="0"/>
          <w:sz w:val="32"/>
          <w:szCs w:val="32"/>
          <w:highlight w:val="none"/>
          <w14:textFill>
            <w14:solidFill>
              <w14:schemeClr w14:val="tx1"/>
            </w14:solidFill>
          </w14:textFill>
        </w:rPr>
        <w:t>4. 投标</w:t>
      </w:r>
      <w:bookmarkEnd w:id="415"/>
      <w:bookmarkEnd w:id="416"/>
      <w:bookmarkEnd w:id="417"/>
      <w:bookmarkEnd w:id="418"/>
      <w:bookmarkEnd w:id="419"/>
      <w:bookmarkEnd w:id="420"/>
      <w:bookmarkEnd w:id="421"/>
      <w:bookmarkEnd w:id="422"/>
      <w:bookmarkEnd w:id="423"/>
      <w:bookmarkEnd w:id="424"/>
      <w:bookmarkEnd w:id="425"/>
      <w:bookmarkEnd w:id="426"/>
      <w:bookmarkEnd w:id="427"/>
    </w:p>
    <w:p w14:paraId="5A0A25EA">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428" w:name="_Toc415819220"/>
      <w:bookmarkStart w:id="429" w:name="_Toc152042333"/>
      <w:bookmarkStart w:id="430" w:name="_Toc246996944"/>
      <w:bookmarkStart w:id="431" w:name="_Toc417333993"/>
      <w:bookmarkStart w:id="432" w:name="_Toc19529"/>
      <w:bookmarkStart w:id="433" w:name="_Toc246996201"/>
      <w:bookmarkStart w:id="434" w:name="_Toc179632575"/>
      <w:bookmarkStart w:id="435" w:name="_Toc2436"/>
      <w:bookmarkStart w:id="436" w:name="_Toc247085715"/>
      <w:bookmarkStart w:id="437" w:name="_Toc144974525"/>
      <w:bookmarkStart w:id="438" w:name="_Toc152045557"/>
      <w:bookmarkStart w:id="439" w:name="_Toc2976"/>
      <w:r>
        <w:rPr>
          <w:rFonts w:hint="eastAsia" w:ascii="宋体" w:hAnsi="宋体" w:eastAsia="宋体" w:cs="宋体"/>
          <w:b/>
          <w:bCs/>
          <w:color w:val="000000" w:themeColor="text1"/>
          <w:sz w:val="28"/>
          <w:szCs w:val="28"/>
          <w:highlight w:val="none"/>
          <w14:textFill>
            <w14:solidFill>
              <w14:schemeClr w14:val="tx1"/>
            </w14:solidFill>
          </w14:textFill>
        </w:rPr>
        <w:t>4.1 投标文件的递交</w:t>
      </w:r>
      <w:bookmarkEnd w:id="428"/>
      <w:bookmarkEnd w:id="429"/>
      <w:bookmarkEnd w:id="430"/>
      <w:bookmarkEnd w:id="431"/>
      <w:bookmarkEnd w:id="432"/>
      <w:bookmarkEnd w:id="433"/>
      <w:bookmarkEnd w:id="434"/>
      <w:bookmarkEnd w:id="435"/>
      <w:bookmarkEnd w:id="436"/>
      <w:bookmarkEnd w:id="437"/>
      <w:bookmarkEnd w:id="438"/>
      <w:bookmarkEnd w:id="439"/>
    </w:p>
    <w:p w14:paraId="6D049AC4">
      <w:pPr>
        <w:spacing w:line="360" w:lineRule="auto"/>
        <w:ind w:firstLine="210" w:firstLineChars="1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4.1.1 投标人应在</w:t>
      </w:r>
      <w:r>
        <w:rPr>
          <w:rFonts w:hint="eastAsia" w:ascii="宋体" w:hAnsi="宋体" w:eastAsia="宋体" w:cs="宋体"/>
          <w:color w:val="000000" w:themeColor="text1"/>
          <w:szCs w:val="24"/>
          <w:highlight w:val="none"/>
          <w14:textFill>
            <w14:solidFill>
              <w14:schemeClr w14:val="tx1"/>
            </w14:solidFill>
          </w14:textFill>
        </w:rPr>
        <w:t>投标人</w:t>
      </w:r>
      <w:r>
        <w:rPr>
          <w:rFonts w:hint="eastAsia" w:ascii="宋体" w:hAnsi="宋体" w:eastAsia="宋体" w:cs="宋体"/>
          <w:color w:val="000000" w:themeColor="text1"/>
          <w:highlight w:val="none"/>
          <w14:textFill>
            <w14:solidFill>
              <w14:schemeClr w14:val="tx1"/>
            </w14:solidFill>
          </w14:textFill>
        </w:rPr>
        <w:t>须知前附表规定的投标截止时间前递交投标文件。</w:t>
      </w:r>
    </w:p>
    <w:p w14:paraId="38DB0D5A">
      <w:pPr>
        <w:spacing w:line="360" w:lineRule="auto"/>
        <w:ind w:firstLine="210" w:firstLineChars="1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4.1.2 投标人递交投标文件的地点：见</w:t>
      </w:r>
      <w:r>
        <w:rPr>
          <w:rFonts w:hint="eastAsia" w:ascii="宋体" w:hAnsi="宋体" w:eastAsia="宋体" w:cs="宋体"/>
          <w:color w:val="000000" w:themeColor="text1"/>
          <w:szCs w:val="24"/>
          <w:highlight w:val="none"/>
          <w14:textFill>
            <w14:solidFill>
              <w14:schemeClr w14:val="tx1"/>
            </w14:solidFill>
          </w14:textFill>
        </w:rPr>
        <w:t>投标人</w:t>
      </w:r>
      <w:r>
        <w:rPr>
          <w:rFonts w:hint="eastAsia" w:ascii="宋体" w:hAnsi="宋体" w:eastAsia="宋体" w:cs="宋体"/>
          <w:color w:val="000000" w:themeColor="text1"/>
          <w:highlight w:val="none"/>
          <w14:textFill>
            <w14:solidFill>
              <w14:schemeClr w14:val="tx1"/>
            </w14:solidFill>
          </w14:textFill>
        </w:rPr>
        <w:t>须知前附表。</w:t>
      </w:r>
    </w:p>
    <w:p w14:paraId="59C29F1B">
      <w:pPr>
        <w:spacing w:line="360" w:lineRule="auto"/>
        <w:ind w:firstLine="210" w:firstLineChars="1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4.1.3 除</w:t>
      </w:r>
      <w:r>
        <w:rPr>
          <w:rFonts w:hint="eastAsia" w:ascii="宋体" w:hAnsi="宋体" w:eastAsia="宋体" w:cs="宋体"/>
          <w:color w:val="000000" w:themeColor="text1"/>
          <w:szCs w:val="24"/>
          <w:highlight w:val="none"/>
          <w14:textFill>
            <w14:solidFill>
              <w14:schemeClr w14:val="tx1"/>
            </w14:solidFill>
          </w14:textFill>
        </w:rPr>
        <w:t>投标人</w:t>
      </w:r>
      <w:r>
        <w:rPr>
          <w:rFonts w:hint="eastAsia" w:ascii="宋体" w:hAnsi="宋体" w:eastAsia="宋体" w:cs="宋体"/>
          <w:color w:val="000000" w:themeColor="text1"/>
          <w:highlight w:val="none"/>
          <w14:textFill>
            <w14:solidFill>
              <w14:schemeClr w14:val="tx1"/>
            </w14:solidFill>
          </w14:textFill>
        </w:rPr>
        <w:t>须知前附表另有规定外，投标人所递交的投标文件不予退还。</w:t>
      </w:r>
    </w:p>
    <w:p w14:paraId="23354D50">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440" w:name="_Toc247085716"/>
      <w:bookmarkStart w:id="441" w:name="_Toc246996202"/>
      <w:bookmarkStart w:id="442" w:name="_Toc144974526"/>
      <w:bookmarkStart w:id="443" w:name="_Toc246996945"/>
      <w:bookmarkStart w:id="444" w:name="_Toc32471"/>
      <w:bookmarkStart w:id="445" w:name="_Toc415819221"/>
      <w:bookmarkStart w:id="446" w:name="_Toc152045558"/>
      <w:bookmarkStart w:id="447" w:name="_Toc26908"/>
      <w:bookmarkStart w:id="448" w:name="_Toc29337"/>
      <w:bookmarkStart w:id="449" w:name="_Toc417333994"/>
      <w:bookmarkStart w:id="450" w:name="_Toc152042334"/>
      <w:bookmarkStart w:id="451" w:name="_Toc179632576"/>
      <w:r>
        <w:rPr>
          <w:rFonts w:hint="eastAsia" w:ascii="宋体" w:hAnsi="宋体" w:eastAsia="宋体" w:cs="宋体"/>
          <w:b/>
          <w:bCs/>
          <w:color w:val="000000" w:themeColor="text1"/>
          <w:sz w:val="28"/>
          <w:szCs w:val="28"/>
          <w:highlight w:val="none"/>
          <w14:textFill>
            <w14:solidFill>
              <w14:schemeClr w14:val="tx1"/>
            </w14:solidFill>
          </w14:textFill>
        </w:rPr>
        <w:t>4.2 投标文件的修改与撤回</w:t>
      </w:r>
      <w:bookmarkEnd w:id="440"/>
      <w:bookmarkEnd w:id="441"/>
      <w:bookmarkEnd w:id="442"/>
      <w:bookmarkEnd w:id="443"/>
      <w:bookmarkEnd w:id="444"/>
      <w:bookmarkEnd w:id="445"/>
      <w:bookmarkEnd w:id="446"/>
      <w:bookmarkEnd w:id="447"/>
      <w:bookmarkEnd w:id="448"/>
      <w:bookmarkEnd w:id="449"/>
      <w:bookmarkEnd w:id="450"/>
      <w:bookmarkEnd w:id="451"/>
    </w:p>
    <w:p w14:paraId="29607DF3">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4.2.1 在投标人须知前附表规定的投标截止时间前，投标人可以修改或撤回已递交的投标文件。</w:t>
      </w:r>
    </w:p>
    <w:p w14:paraId="0F6E5560">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4.2.2 投标人修改或撤回已递交投标文件的书面通知应按照招标文件要求签字或盖章。</w:t>
      </w:r>
    </w:p>
    <w:p w14:paraId="3FF80217">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4.2.3 修改的内容为投标文件的组成部分。修改的投标文件应按照本章第3条、第4条规定进行编制、标记和递交，并标明“修改”字样。</w:t>
      </w:r>
    </w:p>
    <w:p w14:paraId="5B592388">
      <w:pPr>
        <w:keepNext/>
        <w:keepLines/>
        <w:spacing w:before="260" w:after="260" w:line="412"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452" w:name="_Toc246996946"/>
      <w:bookmarkStart w:id="453" w:name="_Toc152045559"/>
      <w:bookmarkStart w:id="454" w:name="_Toc246996203"/>
      <w:bookmarkStart w:id="455" w:name="_Toc81321229"/>
      <w:bookmarkStart w:id="456" w:name="_Toc179632577"/>
      <w:bookmarkStart w:id="457" w:name="_Toc247085717"/>
      <w:bookmarkStart w:id="458" w:name="_Toc30875"/>
      <w:bookmarkStart w:id="459" w:name="_Toc152042335"/>
      <w:bookmarkStart w:id="460" w:name="_Toc12507"/>
      <w:bookmarkStart w:id="461" w:name="_Toc27605"/>
      <w:bookmarkStart w:id="462" w:name="_Toc135648909"/>
      <w:bookmarkStart w:id="463" w:name="_Toc144974527"/>
      <w:bookmarkStart w:id="464" w:name="_Toc57369415"/>
      <w:r>
        <w:rPr>
          <w:rFonts w:hint="eastAsia" w:ascii="宋体" w:hAnsi="宋体" w:eastAsia="宋体" w:cs="宋体"/>
          <w:b/>
          <w:bCs/>
          <w:color w:val="000000" w:themeColor="text1"/>
          <w:kern w:val="0"/>
          <w:sz w:val="32"/>
          <w:szCs w:val="32"/>
          <w:highlight w:val="none"/>
          <w14:textFill>
            <w14:solidFill>
              <w14:schemeClr w14:val="tx1"/>
            </w14:solidFill>
          </w14:textFill>
        </w:rPr>
        <w:t>5. 开标</w:t>
      </w:r>
      <w:bookmarkEnd w:id="452"/>
      <w:bookmarkEnd w:id="453"/>
      <w:bookmarkEnd w:id="454"/>
      <w:bookmarkEnd w:id="455"/>
      <w:bookmarkEnd w:id="456"/>
      <w:bookmarkEnd w:id="457"/>
      <w:bookmarkEnd w:id="458"/>
      <w:bookmarkEnd w:id="459"/>
      <w:bookmarkEnd w:id="460"/>
      <w:bookmarkEnd w:id="461"/>
      <w:bookmarkEnd w:id="462"/>
      <w:bookmarkEnd w:id="463"/>
      <w:bookmarkEnd w:id="464"/>
    </w:p>
    <w:p w14:paraId="10E16EF8">
      <w:pPr>
        <w:tabs>
          <w:tab w:val="center" w:pos="3316"/>
        </w:tabs>
        <w:spacing w:line="360" w:lineRule="auto"/>
        <w:ind w:firstLine="415" w:firstLineChars="197"/>
        <w:rPr>
          <w:rFonts w:hint="eastAsia" w:ascii="宋体" w:hAnsi="宋体" w:eastAsia="宋体" w:cs="宋体"/>
          <w:b/>
          <w:color w:val="000000" w:themeColor="text1"/>
          <w:szCs w:val="21"/>
          <w:highlight w:val="none"/>
          <w:shd w:val="clear" w:color="auto" w:fill="FFFFFF"/>
          <w14:textFill>
            <w14:solidFill>
              <w14:schemeClr w14:val="tx1"/>
            </w14:solidFill>
          </w14:textFill>
        </w:rPr>
      </w:pPr>
      <w:bookmarkStart w:id="465" w:name="_Toc246996206"/>
      <w:bookmarkStart w:id="466" w:name="_Toc246996949"/>
      <w:bookmarkStart w:id="467" w:name="_Toc8191"/>
      <w:bookmarkStart w:id="468" w:name="_Toc81321230"/>
      <w:bookmarkStart w:id="469" w:name="_Toc152045562"/>
      <w:bookmarkStart w:id="470" w:name="_Toc16949"/>
      <w:bookmarkStart w:id="471" w:name="_Toc144974530"/>
      <w:bookmarkStart w:id="472" w:name="_Toc152042338"/>
      <w:bookmarkStart w:id="473" w:name="_Toc247085720"/>
      <w:bookmarkStart w:id="474" w:name="_Toc179632580"/>
      <w:bookmarkStart w:id="475" w:name="_Toc57369416"/>
      <w:bookmarkStart w:id="476" w:name="_Toc31045"/>
      <w:r>
        <w:rPr>
          <w:rFonts w:hint="eastAsia" w:ascii="宋体" w:hAnsi="宋体" w:eastAsia="宋体" w:cs="宋体"/>
          <w:b/>
          <w:color w:val="000000" w:themeColor="text1"/>
          <w:szCs w:val="21"/>
          <w:highlight w:val="none"/>
          <w:shd w:val="clear" w:color="auto" w:fill="FFFFFF"/>
          <w14:textFill>
            <w14:solidFill>
              <w14:schemeClr w14:val="tx1"/>
            </w14:solidFill>
          </w14:textFill>
        </w:rPr>
        <w:t>5.1“不见面”开标注意事项及操作流程</w:t>
      </w:r>
    </w:p>
    <w:p w14:paraId="10D25CAC">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5.1.1采购人和代理机构应当提前做好各项准备工作，准时开标。</w:t>
      </w:r>
    </w:p>
    <w:p w14:paraId="633D75D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5.1.2开标时，投标人采用网上远程异地解密时，请用CA证书登录平顶山市公共资源交易中心业务系统，进入本项目不见面开标大厅点击解密来完成投标文件的解密工作。每位投标人的解密时间从开标时间起60分钟内完成，超过规定时间解密的投标文件不予接收。</w:t>
      </w:r>
    </w:p>
    <w:p w14:paraId="63F5BA6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5.1.3如出现投标人的电子投标文件无法解密的情况，投标人应及时联系采购人（代理机构）进行说明。投标文件解密异常，按以下步骤进行处理：</w:t>
      </w:r>
    </w:p>
    <w:p w14:paraId="3967432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（1）如果是投标文件自身问题导致投标文件无法解密的，该投标文件将不予接收、解密。</w:t>
      </w:r>
    </w:p>
    <w:p w14:paraId="59B75CA1">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（2）如果是电子化交易系统问题造成投标文件无法解密的，将由技术人员进行排查处理。如短时间内问题无法解决的，将由采购人（代理机构）联系监督部门申请暂停开标，待问题解决后继续开标。</w:t>
      </w:r>
    </w:p>
    <w:p w14:paraId="674392A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5.1.4所有投标文件解密完成后，由采购人（代理机构）操作，对开标结果进行公示。</w:t>
      </w:r>
    </w:p>
    <w:p w14:paraId="4F7B6D9E">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5.1.5投标人应保证在开标期间电话、电脑、网络等能够正常使用，投标人因停电、电脑病毒、网络堵塞等原因，未在规定的解密时间内对投标文件进行解密的，其投标文件不予接收。</w:t>
      </w:r>
    </w:p>
    <w:p w14:paraId="41803E97">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5.1.6解密完成后，投标人可登录到交易系统查看自己的投标报价。如对自己的报价内容有异议的，应在报价内容显示后20分钟内联系采购人（代理机构）进行质疑，投标人未在规定时间内提出质疑的，视为认可开标结果显示内容。</w:t>
      </w:r>
    </w:p>
    <w:p w14:paraId="06D8D93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说明：上述内容如有与《全国公共资源交易平台(河南省▪平顶山市)》公共资源交易系统不一致的以最新电子化交易程序为准。</w:t>
      </w:r>
    </w:p>
    <w:p w14:paraId="7DFFB78C">
      <w:pPr>
        <w:keepNext/>
        <w:keepLines/>
        <w:pageBreakBefore w:val="0"/>
        <w:widowControl w:val="0"/>
        <w:kinsoku/>
        <w:wordWrap/>
        <w:overflowPunct/>
        <w:topLinePunct w:val="0"/>
        <w:autoSpaceDE/>
        <w:autoSpaceDN/>
        <w:bidi w:val="0"/>
        <w:adjustRightInd/>
        <w:snapToGrid/>
        <w:spacing w:line="412" w:lineRule="auto"/>
        <w:textAlignment w:val="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477" w:name="_Toc135648910"/>
      <w:r>
        <w:rPr>
          <w:rFonts w:hint="eastAsia" w:ascii="宋体" w:hAnsi="宋体" w:eastAsia="宋体" w:cs="宋体"/>
          <w:b/>
          <w:bCs/>
          <w:color w:val="000000" w:themeColor="text1"/>
          <w:kern w:val="0"/>
          <w:sz w:val="32"/>
          <w:szCs w:val="32"/>
          <w:highlight w:val="none"/>
          <w14:textFill>
            <w14:solidFill>
              <w14:schemeClr w14:val="tx1"/>
            </w14:solidFill>
          </w14:textFill>
        </w:rPr>
        <w:t>6. 评标</w:t>
      </w:r>
      <w:bookmarkEnd w:id="465"/>
      <w:bookmarkEnd w:id="466"/>
      <w:bookmarkEnd w:id="467"/>
      <w:bookmarkEnd w:id="468"/>
      <w:bookmarkEnd w:id="469"/>
      <w:bookmarkEnd w:id="470"/>
      <w:bookmarkEnd w:id="471"/>
      <w:bookmarkEnd w:id="472"/>
      <w:bookmarkEnd w:id="473"/>
      <w:bookmarkEnd w:id="474"/>
      <w:bookmarkEnd w:id="475"/>
      <w:bookmarkEnd w:id="476"/>
      <w:bookmarkEnd w:id="477"/>
    </w:p>
    <w:p w14:paraId="05732342">
      <w:pPr>
        <w:keepNext/>
        <w:keepLines/>
        <w:pageBreakBefore w:val="0"/>
        <w:widowControl w:val="0"/>
        <w:kinsoku/>
        <w:wordWrap/>
        <w:overflowPunct/>
        <w:topLinePunct w:val="0"/>
        <w:autoSpaceDE/>
        <w:autoSpaceDN/>
        <w:bidi w:val="0"/>
        <w:adjustRightInd/>
        <w:snapToGrid/>
        <w:spacing w:line="376"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478" w:name="_Toc135648911"/>
      <w:bookmarkStart w:id="479" w:name="_Toc246996950"/>
      <w:bookmarkStart w:id="480" w:name="_Toc179632581"/>
      <w:bookmarkStart w:id="481" w:name="_Toc13489"/>
      <w:bookmarkStart w:id="482" w:name="_Toc40795898"/>
      <w:bookmarkStart w:id="483" w:name="_Toc40519009"/>
      <w:bookmarkStart w:id="484" w:name="_Toc144974531"/>
      <w:bookmarkStart w:id="485" w:name="_Toc40708394"/>
      <w:bookmarkStart w:id="486" w:name="_Toc57369417"/>
      <w:bookmarkStart w:id="487" w:name="_Toc152042339"/>
      <w:bookmarkStart w:id="488" w:name="_Toc81321231"/>
      <w:bookmarkStart w:id="489" w:name="_Toc246996207"/>
      <w:bookmarkStart w:id="490" w:name="_Toc415819227"/>
      <w:bookmarkStart w:id="491" w:name="_Toc135922556"/>
      <w:bookmarkStart w:id="492" w:name="_Toc152045563"/>
      <w:bookmarkStart w:id="493" w:name="_Toc247085721"/>
      <w:bookmarkStart w:id="494" w:name="_Toc17879"/>
      <w:bookmarkStart w:id="495" w:name="_Toc417334000"/>
      <w:bookmarkStart w:id="496" w:name="_Toc4431"/>
      <w:r>
        <w:rPr>
          <w:rFonts w:hint="eastAsia" w:ascii="宋体" w:hAnsi="宋体" w:eastAsia="宋体" w:cs="宋体"/>
          <w:b/>
          <w:bCs/>
          <w:color w:val="000000" w:themeColor="text1"/>
          <w:sz w:val="28"/>
          <w:szCs w:val="28"/>
          <w:highlight w:val="none"/>
          <w14:textFill>
            <w14:solidFill>
              <w14:schemeClr w14:val="tx1"/>
            </w14:solidFill>
          </w14:textFill>
        </w:rPr>
        <w:t>6.1 评标委员会</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5E43D7E4">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6.1.1 评标由采购人依法组建的评标委员会负责。评标委员会成员组成、人数以及技术、经济等方面专家的确定方式见投标人须知前附表。</w:t>
      </w:r>
    </w:p>
    <w:p w14:paraId="7EB992D1">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6.1.2 评审专家与参加采购活动的供应商存在下列利害关系之一的,应当回避:</w:t>
      </w:r>
    </w:p>
    <w:p w14:paraId="36EE16D8">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(一)参加采购活动前三年内,与供应商存在劳动关系,或者担任过供应商的董事、监事,或者是供应商的控股股东或实际控制人；</w:t>
      </w:r>
    </w:p>
    <w:p w14:paraId="70E94052">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(二)与供应商的法定代表人或者负责人有夫妻、直系血亲、三代以内旁系血亲或者近姻亲关系；</w:t>
      </w:r>
    </w:p>
    <w:p w14:paraId="1F1BDC4B">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(三)与供应商有其他可能影响政府采购活动公平、公正进行的关系。</w:t>
      </w:r>
    </w:p>
    <w:p w14:paraId="3F758B88">
      <w:pPr>
        <w:spacing w:line="400" w:lineRule="exact"/>
        <w:ind w:right="-1"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评审专家发现本人与参加采购活动的供应商有利害关系的,应当主动提出回避。</w:t>
      </w:r>
    </w:p>
    <w:p w14:paraId="5404EEE9">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497" w:name="_Toc144974532"/>
      <w:bookmarkStart w:id="498" w:name="_Toc135922557"/>
      <w:bookmarkStart w:id="499" w:name="_Toc417334001"/>
      <w:bookmarkStart w:id="500" w:name="_Toc135648912"/>
      <w:bookmarkStart w:id="501" w:name="_Toc152045564"/>
      <w:bookmarkStart w:id="502" w:name="_Toc40795899"/>
      <w:bookmarkStart w:id="503" w:name="_Toc152042340"/>
      <w:bookmarkStart w:id="504" w:name="_Toc246996208"/>
      <w:bookmarkStart w:id="505" w:name="_Toc31505"/>
      <w:bookmarkStart w:id="506" w:name="_Toc27236"/>
      <w:bookmarkStart w:id="507" w:name="_Toc247085722"/>
      <w:bookmarkStart w:id="508" w:name="_Toc40708395"/>
      <w:bookmarkStart w:id="509" w:name="_Toc246996951"/>
      <w:bookmarkStart w:id="510" w:name="_Toc40519010"/>
      <w:bookmarkStart w:id="511" w:name="_Toc81321232"/>
      <w:bookmarkStart w:id="512" w:name="_Toc57369418"/>
      <w:bookmarkStart w:id="513" w:name="_Toc179632582"/>
      <w:bookmarkStart w:id="514" w:name="_Toc415819228"/>
      <w:bookmarkStart w:id="515" w:name="_Toc18118"/>
      <w:r>
        <w:rPr>
          <w:rFonts w:hint="eastAsia" w:ascii="宋体" w:hAnsi="宋体" w:eastAsia="宋体" w:cs="宋体"/>
          <w:b/>
          <w:bCs/>
          <w:color w:val="000000" w:themeColor="text1"/>
          <w:sz w:val="28"/>
          <w:szCs w:val="28"/>
          <w:highlight w:val="none"/>
          <w14:textFill>
            <w14:solidFill>
              <w14:schemeClr w14:val="tx1"/>
            </w14:solidFill>
          </w14:textFill>
        </w:rPr>
        <w:t>6.2 评标原则</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49024336">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评标活动遵循公平、公正、科学和择优的原则。</w:t>
      </w:r>
    </w:p>
    <w:p w14:paraId="0D629EB2">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516" w:name="_Toc247085723"/>
      <w:bookmarkStart w:id="517" w:name="_Toc417334002"/>
      <w:bookmarkStart w:id="518" w:name="_Toc135922558"/>
      <w:bookmarkStart w:id="519" w:name="_Toc152042341"/>
      <w:bookmarkStart w:id="520" w:name="_Toc24347"/>
      <w:bookmarkStart w:id="521" w:name="_Toc57369419"/>
      <w:bookmarkStart w:id="522" w:name="_Toc40519011"/>
      <w:bookmarkStart w:id="523" w:name="_Toc415819229"/>
      <w:bookmarkStart w:id="524" w:name="_Toc135648913"/>
      <w:bookmarkStart w:id="525" w:name="_Toc179632583"/>
      <w:bookmarkStart w:id="526" w:name="_Toc246996952"/>
      <w:bookmarkStart w:id="527" w:name="_Toc27439"/>
      <w:bookmarkStart w:id="528" w:name="_Toc81321233"/>
      <w:bookmarkStart w:id="529" w:name="_Toc144974533"/>
      <w:bookmarkStart w:id="530" w:name="_Toc40795900"/>
      <w:bookmarkStart w:id="531" w:name="_Toc40708396"/>
      <w:bookmarkStart w:id="532" w:name="_Toc13600"/>
      <w:bookmarkStart w:id="533" w:name="_Toc152045565"/>
      <w:bookmarkStart w:id="534" w:name="_Toc246996209"/>
      <w:r>
        <w:rPr>
          <w:rFonts w:hint="eastAsia" w:ascii="宋体" w:hAnsi="宋体" w:eastAsia="宋体" w:cs="宋体"/>
          <w:b/>
          <w:bCs/>
          <w:color w:val="000000" w:themeColor="text1"/>
          <w:sz w:val="28"/>
          <w:szCs w:val="28"/>
          <w:highlight w:val="none"/>
          <w14:textFill>
            <w14:solidFill>
              <w14:schemeClr w14:val="tx1"/>
            </w14:solidFill>
          </w14:textFill>
        </w:rPr>
        <w:t>6.3 评标</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7F11A75D">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评标委员会按照第三章“评标办法”规定的方法、评审因素、标准和程序对投标文件进行评审。第三章“评标办法”没有规定的方法、评审因素和标准，不作为评标依据。</w:t>
      </w:r>
    </w:p>
    <w:p w14:paraId="1D58A90E">
      <w:pPr>
        <w:keepNext/>
        <w:keepLines/>
        <w:spacing w:before="260" w:after="260"/>
        <w:ind w:right="-1"/>
        <w:outlineLvl w:val="2"/>
        <w:rPr>
          <w:rFonts w:hint="eastAsia" w:ascii="宋体" w:hAnsi="宋体" w:eastAsia="宋体" w:cs="宋体"/>
          <w:b/>
          <w:bCs/>
          <w:color w:val="000000" w:themeColor="text1"/>
          <w:sz w:val="28"/>
          <w:szCs w:val="28"/>
          <w:highlight w:val="none"/>
          <w14:textFill>
            <w14:solidFill>
              <w14:schemeClr w14:val="tx1"/>
            </w14:solidFill>
          </w14:textFill>
        </w:rPr>
      </w:pPr>
      <w:bookmarkStart w:id="535" w:name="_Toc152042342"/>
      <w:bookmarkStart w:id="536" w:name="_Toc247085724"/>
      <w:bookmarkStart w:id="537" w:name="_Toc81321234"/>
      <w:bookmarkStart w:id="538" w:name="_Toc246996210"/>
      <w:bookmarkStart w:id="539" w:name="_Toc144974534"/>
      <w:bookmarkStart w:id="540" w:name="_Toc152045566"/>
      <w:bookmarkStart w:id="541" w:name="_Toc14885"/>
      <w:bookmarkStart w:id="542" w:name="_Toc246996953"/>
      <w:bookmarkStart w:id="543" w:name="_Toc135648914"/>
      <w:bookmarkStart w:id="544" w:name="_Toc57369420"/>
      <w:bookmarkStart w:id="545" w:name="_Toc179632584"/>
      <w:bookmarkStart w:id="546" w:name="_Toc19301"/>
      <w:bookmarkStart w:id="547" w:name="_Toc18639"/>
      <w:r>
        <w:rPr>
          <w:rFonts w:hint="eastAsia" w:ascii="宋体" w:hAnsi="宋体" w:eastAsia="宋体" w:cs="宋体"/>
          <w:b/>
          <w:bCs/>
          <w:color w:val="000000" w:themeColor="text1"/>
          <w:sz w:val="28"/>
          <w:szCs w:val="28"/>
          <w:highlight w:val="none"/>
          <w14:textFill>
            <w14:solidFill>
              <w14:schemeClr w14:val="tx1"/>
            </w14:solidFill>
          </w14:textFill>
        </w:rPr>
        <w:t>7. 合同授予</w:t>
      </w:r>
      <w:bookmarkEnd w:id="535"/>
      <w:bookmarkEnd w:id="536"/>
      <w:bookmarkEnd w:id="537"/>
      <w:bookmarkEnd w:id="538"/>
      <w:bookmarkEnd w:id="539"/>
      <w:bookmarkEnd w:id="540"/>
      <w:bookmarkEnd w:id="541"/>
      <w:bookmarkEnd w:id="542"/>
      <w:bookmarkEnd w:id="543"/>
      <w:bookmarkEnd w:id="544"/>
      <w:bookmarkEnd w:id="545"/>
      <w:bookmarkEnd w:id="546"/>
      <w:bookmarkEnd w:id="547"/>
    </w:p>
    <w:p w14:paraId="15DFC5C2">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548" w:name="_Toc247085725"/>
      <w:bookmarkStart w:id="549" w:name="_Toc246996954"/>
      <w:bookmarkStart w:id="550" w:name="_Toc1518"/>
      <w:bookmarkStart w:id="551" w:name="_Toc152042343"/>
      <w:bookmarkStart w:id="552" w:name="_Toc40795902"/>
      <w:bookmarkStart w:id="553" w:name="_Toc417334004"/>
      <w:bookmarkStart w:id="554" w:name="_Toc40708398"/>
      <w:bookmarkStart w:id="555" w:name="_Toc135648915"/>
      <w:bookmarkStart w:id="556" w:name="_Toc144974535"/>
      <w:bookmarkStart w:id="557" w:name="_Toc415819231"/>
      <w:bookmarkStart w:id="558" w:name="_Toc81321235"/>
      <w:bookmarkStart w:id="559" w:name="_Toc179632585"/>
      <w:bookmarkStart w:id="560" w:name="_Toc14636"/>
      <w:bookmarkStart w:id="561" w:name="_Toc246996211"/>
      <w:bookmarkStart w:id="562" w:name="_Toc22605"/>
      <w:bookmarkStart w:id="563" w:name="_Toc135922559"/>
      <w:bookmarkStart w:id="564" w:name="_Toc57369421"/>
      <w:bookmarkStart w:id="565" w:name="_Toc152045567"/>
      <w:bookmarkStart w:id="566" w:name="_Toc40519013"/>
      <w:r>
        <w:rPr>
          <w:rFonts w:hint="eastAsia" w:ascii="宋体" w:hAnsi="宋体" w:eastAsia="宋体" w:cs="宋体"/>
          <w:b/>
          <w:bCs/>
          <w:color w:val="000000" w:themeColor="text1"/>
          <w:sz w:val="28"/>
          <w:szCs w:val="28"/>
          <w:highlight w:val="none"/>
          <w14:textFill>
            <w14:solidFill>
              <w14:schemeClr w14:val="tx1"/>
            </w14:solidFill>
          </w14:textFill>
        </w:rPr>
        <w:t>7.1 定标方式</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6B96C3B9">
      <w:pPr>
        <w:spacing w:line="400" w:lineRule="exact"/>
        <w:ind w:right="-1" w:firstLine="424" w:firstLineChars="202"/>
        <w:rPr>
          <w:rFonts w:hint="eastAsia" w:ascii="宋体" w:hAnsi="宋体" w:eastAsia="宋体" w:cs="宋体"/>
          <w:color w:val="000000" w:themeColor="text1"/>
          <w:szCs w:val="24"/>
          <w:highlight w:val="none"/>
          <w14:textFill>
            <w14:solidFill>
              <w14:schemeClr w14:val="tx1"/>
            </w14:solidFill>
          </w14:textFill>
        </w:rPr>
      </w:pPr>
      <w:bookmarkStart w:id="567" w:name="_Toc417334005"/>
      <w:bookmarkStart w:id="568" w:name="_Toc22000"/>
      <w:bookmarkStart w:id="569" w:name="_Toc29879"/>
      <w:bookmarkStart w:id="570" w:name="_Toc25102"/>
      <w:bookmarkStart w:id="571" w:name="_Toc415819232"/>
      <w:bookmarkStart w:id="572" w:name="_Toc81321236"/>
      <w:bookmarkStart w:id="573" w:name="_Toc40795903"/>
      <w:bookmarkStart w:id="574" w:name="_Toc57369422"/>
      <w:bookmarkStart w:id="575" w:name="_Toc40519014"/>
      <w:bookmarkStart w:id="576" w:name="_Toc40708399"/>
      <w:r>
        <w:rPr>
          <w:rFonts w:hint="eastAsia" w:ascii="宋体" w:hAnsi="宋体" w:eastAsia="宋体" w:cs="宋体"/>
          <w:color w:val="000000" w:themeColor="text1"/>
          <w:szCs w:val="24"/>
          <w:highlight w:val="none"/>
          <w14:textFill>
            <w14:solidFill>
              <w14:schemeClr w14:val="tx1"/>
            </w14:solidFill>
          </w14:textFill>
        </w:rPr>
        <w:t>采购人应当在评审结束后1日内，在评标报告确定的中标候选人名单中按顺序确定中标人。中标候选人并列的，由采购人采取随机抽取的方式确定。采购人在收到评标报告后未在规定时间内按评标报告推荐的中标候选人顺序确定中标人，又不能说明合法理由的，视同按评标报告推荐的顺序确定排名第一的中标候选人为中标人。</w:t>
      </w:r>
    </w:p>
    <w:p w14:paraId="3837A9BE">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577" w:name="_Toc135648916"/>
      <w:bookmarkStart w:id="578" w:name="_Toc135922560"/>
      <w:r>
        <w:rPr>
          <w:rFonts w:hint="eastAsia" w:ascii="宋体" w:hAnsi="宋体" w:eastAsia="宋体" w:cs="宋体"/>
          <w:b/>
          <w:bCs/>
          <w:color w:val="000000" w:themeColor="text1"/>
          <w:sz w:val="28"/>
          <w:szCs w:val="28"/>
          <w:highlight w:val="none"/>
          <w14:textFill>
            <w14:solidFill>
              <w14:schemeClr w14:val="tx1"/>
            </w14:solidFill>
          </w14:textFill>
        </w:rPr>
        <w:t>7.2 中标</w:t>
      </w:r>
      <w:bookmarkEnd w:id="567"/>
      <w:bookmarkEnd w:id="568"/>
      <w:bookmarkEnd w:id="569"/>
      <w:bookmarkEnd w:id="570"/>
      <w:bookmarkEnd w:id="571"/>
      <w:r>
        <w:rPr>
          <w:rFonts w:hint="eastAsia" w:ascii="宋体" w:hAnsi="宋体" w:eastAsia="宋体" w:cs="宋体"/>
          <w:b/>
          <w:bCs/>
          <w:color w:val="000000" w:themeColor="text1"/>
          <w:sz w:val="28"/>
          <w:szCs w:val="28"/>
          <w:highlight w:val="none"/>
          <w14:textFill>
            <w14:solidFill>
              <w14:schemeClr w14:val="tx1"/>
            </w14:solidFill>
          </w14:textFill>
        </w:rPr>
        <w:t>公告</w:t>
      </w:r>
      <w:bookmarkEnd w:id="572"/>
      <w:bookmarkEnd w:id="573"/>
      <w:bookmarkEnd w:id="574"/>
      <w:bookmarkEnd w:id="575"/>
      <w:bookmarkEnd w:id="576"/>
      <w:bookmarkEnd w:id="577"/>
      <w:bookmarkEnd w:id="578"/>
    </w:p>
    <w:p w14:paraId="7F70D837">
      <w:pPr>
        <w:spacing w:line="400" w:lineRule="exact"/>
        <w:ind w:right="-1" w:firstLine="424" w:firstLineChars="202"/>
        <w:rPr>
          <w:rFonts w:hint="eastAsia" w:ascii="宋体" w:hAnsi="宋体" w:eastAsia="宋体" w:cs="宋体"/>
          <w:color w:val="000000" w:themeColor="text1"/>
          <w:szCs w:val="24"/>
          <w:highlight w:val="none"/>
          <w14:textFill>
            <w14:solidFill>
              <w14:schemeClr w14:val="tx1"/>
            </w14:solidFill>
          </w14:textFill>
        </w:rPr>
      </w:pPr>
      <w:bookmarkStart w:id="579" w:name="_Toc417334006"/>
      <w:bookmarkStart w:id="580" w:name="_Toc152045568"/>
      <w:bookmarkStart w:id="581" w:name="_Toc152042344"/>
      <w:bookmarkStart w:id="582" w:name="_Toc144974536"/>
      <w:bookmarkStart w:id="583" w:name="_Toc18909"/>
      <w:bookmarkStart w:id="584" w:name="_Toc25313"/>
      <w:bookmarkStart w:id="585" w:name="_Toc179632586"/>
      <w:bookmarkStart w:id="586" w:name="_Toc246996955"/>
      <w:bookmarkStart w:id="587" w:name="_Toc246996212"/>
      <w:bookmarkStart w:id="588" w:name="_Toc415819233"/>
      <w:bookmarkStart w:id="589" w:name="_Toc30839"/>
      <w:bookmarkStart w:id="590" w:name="_Toc247085726"/>
      <w:bookmarkStart w:id="591" w:name="_Toc40795904"/>
      <w:bookmarkStart w:id="592" w:name="_Toc57369423"/>
      <w:bookmarkStart w:id="593" w:name="_Toc81321237"/>
      <w:bookmarkStart w:id="594" w:name="_Toc40519015"/>
      <w:bookmarkStart w:id="595" w:name="_Toc40708400"/>
      <w:r>
        <w:rPr>
          <w:rFonts w:hint="eastAsia" w:ascii="宋体" w:hAnsi="宋体" w:eastAsia="宋体" w:cs="宋体"/>
          <w:color w:val="000000" w:themeColor="text1"/>
          <w:szCs w:val="24"/>
          <w:highlight w:val="none"/>
          <w14:textFill>
            <w14:solidFill>
              <w14:schemeClr w14:val="tx1"/>
            </w14:solidFill>
          </w14:textFill>
        </w:rPr>
        <w:t>采购人应当在中标人确定当日，在指定的媒体公告中标结果。</w:t>
      </w:r>
    </w:p>
    <w:p w14:paraId="7CBEE3F3">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596" w:name="_Toc135648917"/>
      <w:bookmarkStart w:id="597" w:name="_Toc135922561"/>
      <w:r>
        <w:rPr>
          <w:rFonts w:hint="eastAsia" w:ascii="宋体" w:hAnsi="宋体" w:eastAsia="宋体" w:cs="宋体"/>
          <w:b/>
          <w:bCs/>
          <w:color w:val="000000" w:themeColor="text1"/>
          <w:sz w:val="28"/>
          <w:szCs w:val="28"/>
          <w:highlight w:val="none"/>
          <w14:textFill>
            <w14:solidFill>
              <w14:schemeClr w14:val="tx1"/>
            </w14:solidFill>
          </w14:textFill>
        </w:rPr>
        <w:t>7.3 中标通知</w:t>
      </w:r>
      <w:bookmarkEnd w:id="579"/>
      <w:bookmarkEnd w:id="580"/>
      <w:bookmarkEnd w:id="581"/>
      <w:bookmarkEnd w:id="582"/>
      <w:bookmarkEnd w:id="583"/>
      <w:bookmarkEnd w:id="584"/>
      <w:bookmarkEnd w:id="585"/>
      <w:bookmarkEnd w:id="586"/>
      <w:bookmarkEnd w:id="587"/>
      <w:bookmarkEnd w:id="588"/>
      <w:bookmarkEnd w:id="589"/>
      <w:bookmarkEnd w:id="590"/>
      <w:r>
        <w:rPr>
          <w:rFonts w:hint="eastAsia" w:ascii="宋体" w:hAnsi="宋体" w:eastAsia="宋体" w:cs="宋体"/>
          <w:b/>
          <w:bCs/>
          <w:color w:val="000000" w:themeColor="text1"/>
          <w:sz w:val="28"/>
          <w:szCs w:val="28"/>
          <w:highlight w:val="none"/>
          <w14:textFill>
            <w14:solidFill>
              <w14:schemeClr w14:val="tx1"/>
            </w14:solidFill>
          </w14:textFill>
        </w:rPr>
        <w:t>书</w:t>
      </w:r>
      <w:bookmarkEnd w:id="591"/>
      <w:bookmarkEnd w:id="592"/>
      <w:bookmarkEnd w:id="593"/>
      <w:bookmarkEnd w:id="594"/>
      <w:bookmarkEnd w:id="595"/>
      <w:bookmarkEnd w:id="596"/>
      <w:bookmarkEnd w:id="597"/>
    </w:p>
    <w:p w14:paraId="00B39277">
      <w:pPr>
        <w:spacing w:line="400" w:lineRule="exact"/>
        <w:ind w:right="-1" w:firstLine="424" w:firstLineChars="202"/>
        <w:rPr>
          <w:rFonts w:hint="eastAsia" w:ascii="宋体" w:hAnsi="宋体" w:eastAsia="宋体" w:cs="宋体"/>
          <w:color w:val="000000" w:themeColor="text1"/>
          <w:highlight w:val="none"/>
          <w14:textFill>
            <w14:solidFill>
              <w14:schemeClr w14:val="tx1"/>
            </w14:solidFill>
          </w14:textFill>
        </w:rPr>
      </w:pPr>
      <w:bookmarkStart w:id="598" w:name="_Toc144974538"/>
      <w:bookmarkStart w:id="599" w:name="_Toc15555"/>
      <w:bookmarkStart w:id="600" w:name="_Toc81321238"/>
      <w:bookmarkStart w:id="601" w:name="_Toc415819235"/>
      <w:bookmarkStart w:id="602" w:name="_Toc40795905"/>
      <w:bookmarkStart w:id="603" w:name="_Toc417334008"/>
      <w:bookmarkStart w:id="604" w:name="_Toc246996214"/>
      <w:bookmarkStart w:id="605" w:name="_Toc40708401"/>
      <w:bookmarkStart w:id="606" w:name="_Toc152045570"/>
      <w:bookmarkStart w:id="607" w:name="_Toc40519016"/>
      <w:bookmarkStart w:id="608" w:name="_Toc57369424"/>
      <w:bookmarkStart w:id="609" w:name="_Toc15810"/>
      <w:bookmarkStart w:id="610" w:name="_Toc247085728"/>
      <w:bookmarkStart w:id="611" w:name="_Toc152042346"/>
      <w:bookmarkStart w:id="612" w:name="_Toc246996957"/>
      <w:bookmarkStart w:id="613" w:name="_Toc179632588"/>
      <w:bookmarkStart w:id="614" w:name="_Toc30518"/>
      <w:r>
        <w:rPr>
          <w:rFonts w:hint="eastAsia" w:ascii="宋体" w:hAnsi="宋体" w:eastAsia="宋体" w:cs="宋体"/>
          <w:color w:val="000000" w:themeColor="text1"/>
          <w:highlight w:val="none"/>
          <w14:textFill>
            <w14:solidFill>
              <w14:schemeClr w14:val="tx1"/>
            </w14:solidFill>
          </w14:textFill>
        </w:rPr>
        <w:t>在公告中标结果的同时，采购人或者采购代理机构应当向中标人发出中标通知书。中标通知书发出后，采购人不得违法改变中标结果，中标人无正当理由不得放弃中标。</w:t>
      </w:r>
    </w:p>
    <w:p w14:paraId="55DD9E91">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615" w:name="_Toc135922562"/>
      <w:bookmarkStart w:id="616" w:name="_Toc135648918"/>
      <w:r>
        <w:rPr>
          <w:rFonts w:hint="eastAsia" w:ascii="宋体" w:hAnsi="宋体" w:eastAsia="宋体" w:cs="宋体"/>
          <w:b/>
          <w:bCs/>
          <w:color w:val="000000" w:themeColor="text1"/>
          <w:sz w:val="28"/>
          <w:szCs w:val="28"/>
          <w:highlight w:val="none"/>
          <w14:textFill>
            <w14:solidFill>
              <w14:schemeClr w14:val="tx1"/>
            </w14:solidFill>
          </w14:textFill>
        </w:rPr>
        <w:t>7.4 签订合同</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166C03D9">
      <w:pPr>
        <w:spacing w:line="400" w:lineRule="exact"/>
        <w:ind w:right="-1" w:firstLine="420" w:firstLineChars="200"/>
        <w:rPr>
          <w:rFonts w:hint="eastAsia" w:ascii="宋体" w:hAnsi="宋体" w:eastAsia="宋体" w:cs="宋体"/>
          <w:color w:val="000000" w:themeColor="text1"/>
          <w:szCs w:val="21"/>
          <w:highlight w:val="none"/>
          <w14:textFill>
            <w14:solidFill>
              <w14:schemeClr w14:val="tx1"/>
            </w14:solidFill>
          </w14:textFill>
        </w:rPr>
      </w:pPr>
      <w:bookmarkStart w:id="617" w:name="_Toc4910"/>
      <w:bookmarkStart w:id="618" w:name="_Toc853"/>
      <w:bookmarkStart w:id="619" w:name="_Toc6019"/>
      <w:bookmarkStart w:id="620" w:name="_Toc57369425"/>
      <w:bookmarkStart w:id="621" w:name="_Toc81321239"/>
      <w:r>
        <w:rPr>
          <w:rFonts w:hint="eastAsia" w:ascii="宋体" w:hAnsi="宋体" w:eastAsia="宋体" w:cs="宋体"/>
          <w:color w:val="000000" w:themeColor="text1"/>
          <w:szCs w:val="21"/>
          <w:highlight w:val="none"/>
          <w14:textFill>
            <w14:solidFill>
              <w14:schemeClr w14:val="tx1"/>
            </w14:solidFill>
          </w14:textFill>
        </w:rPr>
        <w:t>7.4.1采购人应当自中标通知书发出之日后</w:t>
      </w:r>
      <w:r>
        <w:rPr>
          <w:rFonts w:hint="eastAsia" w:ascii="宋体" w:hAnsi="宋体" w:eastAsia="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日内，按照招标文件和中标人投标文件的规定，与中标人签订书面合同。所签订的合同不得对招标文件确定的事项和中标人投标文件作实质性修改。合同签订当日在政府采购监督管理部门完成合同备案及公告工作。</w:t>
      </w:r>
    </w:p>
    <w:p w14:paraId="1D7E7FF4">
      <w:pPr>
        <w:spacing w:line="400" w:lineRule="exact"/>
        <w:ind w:right="-1" w:firstLine="424" w:firstLineChars="20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7.4.2</w:t>
      </w:r>
      <w:r>
        <w:rPr>
          <w:rFonts w:hint="eastAsia" w:ascii="宋体" w:hAnsi="宋体" w:eastAsia="宋体" w:cs="宋体"/>
          <w:color w:val="000000" w:themeColor="text1"/>
          <w:szCs w:val="21"/>
          <w:highlight w:val="none"/>
          <w14:textFill>
            <w14:solidFill>
              <w14:schemeClr w14:val="tx1"/>
            </w14:solidFill>
          </w14:textFill>
        </w:rPr>
        <w:t>中标或者成交供应商拒绝与采购人签订合同的，采购人可以按照评审报告推荐的中标或者成交候选人名单排序，确定下一候选人为中标或者成交供应商，也可以重新开展政府采购活动。</w:t>
      </w:r>
    </w:p>
    <w:p w14:paraId="70BEF1E3">
      <w:pPr>
        <w:keepNext/>
        <w:keepLines/>
        <w:pageBreakBefore w:val="0"/>
        <w:widowControl w:val="0"/>
        <w:kinsoku/>
        <w:wordWrap/>
        <w:overflowPunct/>
        <w:topLinePunct w:val="0"/>
        <w:autoSpaceDE/>
        <w:autoSpaceDN/>
        <w:bidi w:val="0"/>
        <w:adjustRightInd/>
        <w:snapToGrid/>
        <w:ind w:right="-1"/>
        <w:textAlignment w:val="auto"/>
        <w:outlineLvl w:val="2"/>
        <w:rPr>
          <w:rFonts w:hint="eastAsia" w:ascii="宋体" w:hAnsi="宋体" w:eastAsia="宋体" w:cs="宋体"/>
          <w:b/>
          <w:bCs/>
          <w:color w:val="000000" w:themeColor="text1"/>
          <w:sz w:val="28"/>
          <w:szCs w:val="28"/>
          <w:highlight w:val="none"/>
          <w14:textFill>
            <w14:solidFill>
              <w14:schemeClr w14:val="tx1"/>
            </w14:solidFill>
          </w14:textFill>
        </w:rPr>
      </w:pPr>
      <w:bookmarkStart w:id="622" w:name="_Toc135648919"/>
      <w:r>
        <w:rPr>
          <w:rFonts w:hint="eastAsia" w:ascii="宋体" w:hAnsi="宋体" w:eastAsia="宋体" w:cs="宋体"/>
          <w:b/>
          <w:bCs/>
          <w:color w:val="000000" w:themeColor="text1"/>
          <w:sz w:val="28"/>
          <w:szCs w:val="28"/>
          <w:highlight w:val="none"/>
          <w14:textFill>
            <w14:solidFill>
              <w14:schemeClr w14:val="tx1"/>
            </w14:solidFill>
          </w14:textFill>
        </w:rPr>
        <w:t>8. 纪律和监督</w:t>
      </w:r>
      <w:bookmarkEnd w:id="617"/>
      <w:bookmarkEnd w:id="618"/>
      <w:bookmarkEnd w:id="619"/>
      <w:bookmarkEnd w:id="620"/>
      <w:bookmarkEnd w:id="621"/>
      <w:bookmarkEnd w:id="622"/>
    </w:p>
    <w:p w14:paraId="433C4A33">
      <w:pPr>
        <w:keepNext/>
        <w:keepLines/>
        <w:pageBreakBefore w:val="0"/>
        <w:widowControl w:val="0"/>
        <w:kinsoku/>
        <w:wordWrap/>
        <w:overflowPunct/>
        <w:topLinePunct w:val="0"/>
        <w:autoSpaceDE/>
        <w:autoSpaceDN/>
        <w:bidi w:val="0"/>
        <w:adjustRightInd/>
        <w:snapToGrid/>
        <w:spacing w:line="376"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623" w:name="_Toc81321240"/>
      <w:bookmarkStart w:id="624" w:name="_Toc20104"/>
      <w:bookmarkStart w:id="625" w:name="_Toc135922563"/>
      <w:bookmarkStart w:id="626" w:name="_Toc22175"/>
      <w:bookmarkStart w:id="627" w:name="_Toc144974543"/>
      <w:bookmarkStart w:id="628" w:name="_Toc6133"/>
      <w:bookmarkStart w:id="629" w:name="_Toc247085733"/>
      <w:bookmarkStart w:id="630" w:name="_Toc40519018"/>
      <w:bookmarkStart w:id="631" w:name="_Toc57369426"/>
      <w:bookmarkStart w:id="632" w:name="_Toc417334010"/>
      <w:bookmarkStart w:id="633" w:name="_Toc179632593"/>
      <w:bookmarkStart w:id="634" w:name="_Toc296590983"/>
      <w:bookmarkStart w:id="635" w:name="_Toc40795907"/>
      <w:bookmarkStart w:id="636" w:name="_Toc135648920"/>
      <w:bookmarkStart w:id="637" w:name="_Toc415819237"/>
      <w:bookmarkStart w:id="638" w:name="_Toc246996219"/>
      <w:bookmarkStart w:id="639" w:name="_Toc152042351"/>
      <w:bookmarkStart w:id="640" w:name="_Toc40708403"/>
      <w:bookmarkStart w:id="641" w:name="_Toc246996962"/>
      <w:bookmarkStart w:id="642" w:name="_Toc152045575"/>
      <w:r>
        <w:rPr>
          <w:rFonts w:hint="eastAsia" w:ascii="宋体" w:hAnsi="宋体" w:eastAsia="宋体" w:cs="宋体"/>
          <w:b/>
          <w:bCs/>
          <w:color w:val="000000" w:themeColor="text1"/>
          <w:sz w:val="28"/>
          <w:szCs w:val="28"/>
          <w:highlight w:val="none"/>
          <w14:textFill>
            <w14:solidFill>
              <w14:schemeClr w14:val="tx1"/>
            </w14:solidFill>
          </w14:textFill>
        </w:rPr>
        <w:t>8.1 对采购人的纪律要求</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69A8F513">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采购人不得泄漏招标投标活动中应当保密的情况和资料，不得与投标人串通损害国家利益、社会公共利益或者他人合法权益。</w:t>
      </w:r>
    </w:p>
    <w:p w14:paraId="2C04D154">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643" w:name="_Toc29979"/>
      <w:bookmarkStart w:id="644" w:name="_Toc40795908"/>
      <w:bookmarkStart w:id="645" w:name="_Toc152042352"/>
      <w:bookmarkStart w:id="646" w:name="_Toc415819238"/>
      <w:bookmarkStart w:id="647" w:name="_Toc135922564"/>
      <w:bookmarkStart w:id="648" w:name="_Toc152045576"/>
      <w:bookmarkStart w:id="649" w:name="_Toc57369427"/>
      <w:bookmarkStart w:id="650" w:name="_Toc81321241"/>
      <w:bookmarkStart w:id="651" w:name="_Toc135648921"/>
      <w:bookmarkStart w:id="652" w:name="_Toc40519019"/>
      <w:bookmarkStart w:id="653" w:name="_Toc246996963"/>
      <w:bookmarkStart w:id="654" w:name="_Toc417334011"/>
      <w:bookmarkStart w:id="655" w:name="_Toc12604"/>
      <w:bookmarkStart w:id="656" w:name="_Toc179632594"/>
      <w:bookmarkStart w:id="657" w:name="_Toc40708404"/>
      <w:bookmarkStart w:id="658" w:name="_Toc246996220"/>
      <w:bookmarkStart w:id="659" w:name="_Toc3374"/>
      <w:bookmarkStart w:id="660" w:name="_Toc144974544"/>
      <w:bookmarkStart w:id="661" w:name="_Toc247085734"/>
      <w:r>
        <w:rPr>
          <w:rFonts w:hint="eastAsia" w:ascii="宋体" w:hAnsi="宋体" w:eastAsia="宋体" w:cs="宋体"/>
          <w:b/>
          <w:bCs/>
          <w:color w:val="000000" w:themeColor="text1"/>
          <w:sz w:val="28"/>
          <w:szCs w:val="28"/>
          <w:highlight w:val="none"/>
          <w14:textFill>
            <w14:solidFill>
              <w14:schemeClr w14:val="tx1"/>
            </w14:solidFill>
          </w14:textFill>
        </w:rPr>
        <w:t>8.2 对投标人的纪律要求</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1D1E86D3">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投标人不得相互串通投标或者与采购人串通投标，不得向采购人或者评标委员会成员行贿谋取中标，不得以他人名义投标或者以其他方式弄虚作假骗取中标；投标人不得以任何方式干扰、影响评标工作。</w:t>
      </w:r>
    </w:p>
    <w:p w14:paraId="30DC8DFF">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662" w:name="_Toc21000"/>
      <w:bookmarkStart w:id="663" w:name="_Toc246996221"/>
      <w:bookmarkStart w:id="664" w:name="_Toc179632595"/>
      <w:bookmarkStart w:id="665" w:name="_Toc152042353"/>
      <w:bookmarkStart w:id="666" w:name="_Toc247085735"/>
      <w:bookmarkStart w:id="667" w:name="_Toc81321242"/>
      <w:bookmarkStart w:id="668" w:name="_Toc40795909"/>
      <w:bookmarkStart w:id="669" w:name="_Toc417334012"/>
      <w:bookmarkStart w:id="670" w:name="_Toc31279"/>
      <w:bookmarkStart w:id="671" w:name="_Toc135922565"/>
      <w:bookmarkStart w:id="672" w:name="_Toc152045577"/>
      <w:bookmarkStart w:id="673" w:name="_Toc57369428"/>
      <w:bookmarkStart w:id="674" w:name="_Toc135648922"/>
      <w:bookmarkStart w:id="675" w:name="_Toc415819239"/>
      <w:bookmarkStart w:id="676" w:name="_Toc40708405"/>
      <w:bookmarkStart w:id="677" w:name="_Toc246996964"/>
      <w:bookmarkStart w:id="678" w:name="_Toc144974545"/>
      <w:bookmarkStart w:id="679" w:name="_Toc40519020"/>
      <w:bookmarkStart w:id="680" w:name="_Toc2657"/>
      <w:r>
        <w:rPr>
          <w:rFonts w:hint="eastAsia" w:ascii="宋体" w:hAnsi="宋体" w:eastAsia="宋体" w:cs="宋体"/>
          <w:b/>
          <w:bCs/>
          <w:color w:val="000000" w:themeColor="text1"/>
          <w:sz w:val="28"/>
          <w:szCs w:val="28"/>
          <w:highlight w:val="none"/>
          <w14:textFill>
            <w14:solidFill>
              <w14:schemeClr w14:val="tx1"/>
            </w14:solidFill>
          </w14:textFill>
        </w:rPr>
        <w:t>8.3 对评标委员会成员的纪律要求</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103F3370">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46275730">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681" w:name="_Toc40519021"/>
      <w:bookmarkStart w:id="682" w:name="_Toc246996222"/>
      <w:bookmarkStart w:id="683" w:name="_Toc40795910"/>
      <w:bookmarkStart w:id="684" w:name="_Toc57369429"/>
      <w:bookmarkStart w:id="685" w:name="_Toc179632596"/>
      <w:bookmarkStart w:id="686" w:name="_Toc20662"/>
      <w:bookmarkStart w:id="687" w:name="_Toc14459"/>
      <w:bookmarkStart w:id="688" w:name="_Toc81321243"/>
      <w:bookmarkStart w:id="689" w:name="_Toc135648923"/>
      <w:bookmarkStart w:id="690" w:name="_Toc152042354"/>
      <w:bookmarkStart w:id="691" w:name="_Toc135922566"/>
      <w:bookmarkStart w:id="692" w:name="_Toc15705"/>
      <w:bookmarkStart w:id="693" w:name="_Toc40708406"/>
      <w:bookmarkStart w:id="694" w:name="_Toc246996965"/>
      <w:bookmarkStart w:id="695" w:name="_Toc247085736"/>
      <w:bookmarkStart w:id="696" w:name="_Toc417334013"/>
      <w:bookmarkStart w:id="697" w:name="_Toc415819240"/>
      <w:bookmarkStart w:id="698" w:name="_Toc152045578"/>
      <w:bookmarkStart w:id="699" w:name="_Toc144974546"/>
      <w:r>
        <w:rPr>
          <w:rFonts w:hint="eastAsia" w:ascii="宋体" w:hAnsi="宋体" w:eastAsia="宋体" w:cs="宋体"/>
          <w:b/>
          <w:bCs/>
          <w:color w:val="000000" w:themeColor="text1"/>
          <w:sz w:val="28"/>
          <w:szCs w:val="28"/>
          <w:highlight w:val="none"/>
          <w14:textFill>
            <w14:solidFill>
              <w14:schemeClr w14:val="tx1"/>
            </w14:solidFill>
          </w14:textFill>
        </w:rPr>
        <w:t>8.4 对与评标活动有关的工作人员的纪律要求</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2AEBFF05">
      <w:pPr>
        <w:spacing w:line="400" w:lineRule="exact"/>
        <w:ind w:right="-1" w:firstLine="420" w:firstLineChars="200"/>
        <w:rPr>
          <w:rFonts w:hint="eastAsia" w:ascii="宋体" w:hAnsi="宋体" w:eastAsia="宋体" w:cs="宋体"/>
          <w:color w:val="000000" w:themeColor="text1"/>
          <w:szCs w:val="24"/>
          <w:highlight w:val="none"/>
          <w14:textFill>
            <w14:solidFill>
              <w14:schemeClr w14:val="tx1"/>
            </w14:solidFill>
          </w14:textFill>
        </w:rPr>
      </w:pPr>
      <w:bookmarkStart w:id="700" w:name="_Toc152042355"/>
      <w:r>
        <w:rPr>
          <w:rFonts w:hint="eastAsia" w:ascii="宋体" w:hAnsi="宋体" w:eastAsia="宋体" w:cs="宋体"/>
          <w:color w:val="000000" w:themeColor="text1"/>
          <w:szCs w:val="24"/>
          <w:highlight w:val="none"/>
          <w14:textFill>
            <w14:solidFill>
              <w14:schemeClr w14:val="tx1"/>
            </w14:solidFill>
          </w14:textFill>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699"/>
      <w:bookmarkEnd w:id="700"/>
    </w:p>
    <w:p w14:paraId="5E6698AA">
      <w:pPr>
        <w:keepNext/>
        <w:keepLines/>
        <w:pageBreakBefore w:val="0"/>
        <w:widowControl w:val="0"/>
        <w:kinsoku/>
        <w:wordWrap/>
        <w:overflowPunct/>
        <w:topLinePunct w:val="0"/>
        <w:autoSpaceDE/>
        <w:autoSpaceDN/>
        <w:bidi w:val="0"/>
        <w:adjustRightInd/>
        <w:snapToGrid/>
        <w:spacing w:line="377" w:lineRule="auto"/>
        <w:textAlignment w:val="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701" w:name="_Toc144974547"/>
      <w:bookmarkStart w:id="702" w:name="_Toc179632598"/>
      <w:bookmarkStart w:id="703" w:name="_Toc152042357"/>
      <w:bookmarkStart w:id="704" w:name="_Toc81321245"/>
      <w:bookmarkStart w:id="705" w:name="_Toc4569"/>
      <w:bookmarkStart w:id="706" w:name="_Toc246996224"/>
      <w:bookmarkStart w:id="707" w:name="_Toc247085738"/>
      <w:bookmarkStart w:id="708" w:name="_Toc135648924"/>
      <w:bookmarkStart w:id="709" w:name="_Toc57369431"/>
      <w:bookmarkStart w:id="710" w:name="_Toc152045580"/>
      <w:bookmarkStart w:id="711" w:name="_Toc14266"/>
      <w:bookmarkStart w:id="712" w:name="_Toc415819242"/>
      <w:bookmarkStart w:id="713" w:name="_Toc246996967"/>
      <w:bookmarkStart w:id="714" w:name="_Toc14267"/>
      <w:r>
        <w:rPr>
          <w:rFonts w:hint="eastAsia" w:ascii="宋体" w:hAnsi="宋体" w:eastAsia="宋体" w:cs="宋体"/>
          <w:b/>
          <w:bCs/>
          <w:color w:val="000000" w:themeColor="text1"/>
          <w:sz w:val="28"/>
          <w:szCs w:val="28"/>
          <w:highlight w:val="none"/>
          <w14:textFill>
            <w14:solidFill>
              <w14:schemeClr w14:val="tx1"/>
            </w14:solidFill>
          </w14:textFill>
        </w:rPr>
        <w:t>9. 需要补充的其他内容</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12BA7130">
      <w:pPr>
        <w:spacing w:line="400" w:lineRule="exact"/>
        <w:ind w:right="-1"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需要补充的其他内容：见投标人须知前附表。</w:t>
      </w:r>
    </w:p>
    <w:p w14:paraId="213BDCF0">
      <w:pPr>
        <w:pStyle w:val="3"/>
        <w:bidi w:val="0"/>
        <w:rPr>
          <w:rFonts w:hint="eastAsia" w:ascii="宋体" w:hAnsi="宋体" w:eastAsia="宋体" w:cs="宋体"/>
          <w:b/>
          <w:bCs/>
          <w:color w:val="000000" w:themeColor="text1"/>
          <w:szCs w:val="44"/>
          <w:highlight w:val="none"/>
          <w14:textFill>
            <w14:solidFill>
              <w14:schemeClr w14:val="tx1"/>
            </w14:solidFill>
          </w14:textFill>
        </w:rPr>
      </w:pPr>
      <w:bookmarkStart w:id="715" w:name="_Toc134619336"/>
      <w:bookmarkStart w:id="716" w:name="_Toc247085756"/>
      <w:bookmarkStart w:id="717" w:name="_Toc246996241"/>
      <w:bookmarkStart w:id="718" w:name="_Toc152045598"/>
      <w:bookmarkStart w:id="719" w:name="_Toc144974565"/>
      <w:bookmarkStart w:id="720" w:name="_Toc2946"/>
      <w:bookmarkStart w:id="721" w:name="_Toc31661"/>
      <w:bookmarkStart w:id="722" w:name="_Toc17643"/>
      <w:bookmarkStart w:id="723" w:name="_Toc246996984"/>
      <w:bookmarkStart w:id="724" w:name="_Toc179632616"/>
      <w:bookmarkStart w:id="725" w:name="_Toc152042375"/>
      <w:r>
        <w:rPr>
          <w:rFonts w:hint="eastAsia" w:ascii="宋体" w:hAnsi="宋体" w:eastAsia="宋体" w:cs="宋体"/>
          <w:b/>
          <w:bCs/>
          <w:color w:val="000000" w:themeColor="text1"/>
          <w:kern w:val="0"/>
          <w:szCs w:val="32"/>
          <w:highlight w:val="none"/>
          <w14:textFill>
            <w14:solidFill>
              <w14:schemeClr w14:val="tx1"/>
            </w14:solidFill>
          </w14:textFill>
        </w:rPr>
        <w:br w:type="page"/>
      </w:r>
      <w:bookmarkEnd w:id="715"/>
      <w:bookmarkStart w:id="726" w:name="_Toc135922567"/>
      <w:bookmarkStart w:id="727" w:name="_Toc30531"/>
      <w:r>
        <w:rPr>
          <w:rFonts w:hint="eastAsia"/>
          <w:color w:val="000000" w:themeColor="text1"/>
          <w14:textFill>
            <w14:solidFill>
              <w14:schemeClr w14:val="tx1"/>
            </w14:solidFill>
          </w14:textFill>
        </w:rPr>
        <w:t>第三章 评标办法（综合评分法）</w:t>
      </w:r>
      <w:bookmarkEnd w:id="716"/>
      <w:bookmarkEnd w:id="717"/>
      <w:bookmarkEnd w:id="718"/>
      <w:bookmarkEnd w:id="719"/>
      <w:bookmarkEnd w:id="720"/>
      <w:bookmarkEnd w:id="721"/>
      <w:bookmarkEnd w:id="722"/>
      <w:bookmarkEnd w:id="723"/>
      <w:bookmarkEnd w:id="724"/>
      <w:bookmarkEnd w:id="725"/>
      <w:bookmarkEnd w:id="726"/>
      <w:bookmarkEnd w:id="727"/>
      <w:bookmarkStart w:id="728" w:name="_Toc152045609"/>
      <w:bookmarkStart w:id="729" w:name="_Toc247085767"/>
      <w:bookmarkStart w:id="730" w:name="_Toc152042387"/>
      <w:bookmarkStart w:id="731" w:name="_Toc179632627"/>
      <w:bookmarkStart w:id="732" w:name="_Toc144974577"/>
      <w:bookmarkStart w:id="733" w:name="_Toc246996252"/>
      <w:bookmarkStart w:id="734" w:name="_Toc246996995"/>
    </w:p>
    <w:p w14:paraId="6B88A715">
      <w:pPr>
        <w:keepNext/>
        <w:keepLines/>
        <w:spacing w:before="260" w:after="260" w:line="412" w:lineRule="auto"/>
        <w:jc w:val="center"/>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735" w:name="_Toc135648925"/>
      <w:r>
        <w:rPr>
          <w:rFonts w:hint="eastAsia" w:ascii="宋体" w:hAnsi="宋体" w:eastAsia="宋体" w:cs="宋体"/>
          <w:b/>
          <w:bCs/>
          <w:color w:val="000000" w:themeColor="text1"/>
          <w:kern w:val="0"/>
          <w:sz w:val="32"/>
          <w:szCs w:val="32"/>
          <w:highlight w:val="none"/>
          <w14:textFill>
            <w14:solidFill>
              <w14:schemeClr w14:val="tx1"/>
            </w14:solidFill>
          </w14:textFill>
        </w:rPr>
        <w:t>评标办法前附表</w:t>
      </w:r>
      <w:bookmarkEnd w:id="735"/>
    </w:p>
    <w:tbl>
      <w:tblPr>
        <w:tblStyle w:val="18"/>
        <w:tblW w:w="9356" w:type="dxa"/>
        <w:tblInd w:w="-34"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51"/>
        <w:gridCol w:w="141"/>
        <w:gridCol w:w="1129"/>
        <w:gridCol w:w="2274"/>
        <w:gridCol w:w="4961"/>
      </w:tblGrid>
      <w:tr w14:paraId="1F85717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2121" w:type="dxa"/>
            <w:gridSpan w:val="3"/>
            <w:tcBorders>
              <w:top w:val="single" w:color="auto" w:sz="4" w:space="0"/>
              <w:left w:val="single" w:color="auto" w:sz="4" w:space="0"/>
              <w:bottom w:val="single" w:color="auto" w:sz="4" w:space="0"/>
              <w:right w:val="single" w:color="auto" w:sz="4" w:space="0"/>
            </w:tcBorders>
            <w:noWrap w:val="0"/>
            <w:vAlign w:val="center"/>
          </w:tcPr>
          <w:p w14:paraId="58883188">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条款号</w:t>
            </w:r>
          </w:p>
        </w:tc>
        <w:tc>
          <w:tcPr>
            <w:tcW w:w="2274" w:type="dxa"/>
            <w:tcBorders>
              <w:top w:val="single" w:color="auto" w:sz="4" w:space="0"/>
              <w:left w:val="nil"/>
              <w:bottom w:val="single" w:color="auto" w:sz="4" w:space="0"/>
              <w:right w:val="single" w:color="auto" w:sz="4" w:space="0"/>
            </w:tcBorders>
            <w:noWrap w:val="0"/>
            <w:vAlign w:val="center"/>
          </w:tcPr>
          <w:p w14:paraId="279D2BD6">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评审因素</w:t>
            </w:r>
          </w:p>
        </w:tc>
        <w:tc>
          <w:tcPr>
            <w:tcW w:w="4961" w:type="dxa"/>
            <w:tcBorders>
              <w:top w:val="single" w:color="auto" w:sz="4" w:space="0"/>
              <w:left w:val="nil"/>
              <w:bottom w:val="single" w:color="auto" w:sz="4" w:space="0"/>
              <w:right w:val="single" w:color="auto" w:sz="4" w:space="0"/>
            </w:tcBorders>
            <w:noWrap w:val="0"/>
            <w:vAlign w:val="center"/>
          </w:tcPr>
          <w:p w14:paraId="2867016E">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评审标准</w:t>
            </w:r>
          </w:p>
        </w:tc>
      </w:tr>
      <w:tr w14:paraId="1F62741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41" w:hRule="atLeast"/>
        </w:trPr>
        <w:tc>
          <w:tcPr>
            <w:tcW w:w="992" w:type="dxa"/>
            <w:gridSpan w:val="2"/>
            <w:vMerge w:val="restart"/>
            <w:tcBorders>
              <w:top w:val="nil"/>
              <w:left w:val="single" w:color="auto" w:sz="4" w:space="0"/>
              <w:bottom w:val="single" w:color="auto" w:sz="4" w:space="0"/>
              <w:right w:val="single" w:color="auto" w:sz="4" w:space="0"/>
            </w:tcBorders>
            <w:noWrap w:val="0"/>
            <w:vAlign w:val="center"/>
          </w:tcPr>
          <w:p w14:paraId="4E758E22">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129" w:type="dxa"/>
            <w:vMerge w:val="restart"/>
            <w:tcBorders>
              <w:top w:val="nil"/>
              <w:left w:val="nil"/>
              <w:bottom w:val="single" w:color="auto" w:sz="4" w:space="0"/>
              <w:right w:val="single" w:color="auto" w:sz="4" w:space="0"/>
            </w:tcBorders>
            <w:noWrap w:val="0"/>
            <w:vAlign w:val="center"/>
          </w:tcPr>
          <w:p w14:paraId="42765361">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资格审查</w:t>
            </w:r>
          </w:p>
        </w:tc>
        <w:tc>
          <w:tcPr>
            <w:tcW w:w="2274" w:type="dxa"/>
            <w:tcBorders>
              <w:top w:val="single" w:color="auto" w:sz="4" w:space="0"/>
              <w:left w:val="nil"/>
              <w:bottom w:val="single" w:color="auto" w:sz="4" w:space="0"/>
              <w:right w:val="single" w:color="auto" w:sz="4" w:space="0"/>
            </w:tcBorders>
            <w:noWrap w:val="0"/>
            <w:vAlign w:val="center"/>
          </w:tcPr>
          <w:p w14:paraId="2E3D2251">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营业执照</w:t>
            </w:r>
          </w:p>
        </w:tc>
        <w:tc>
          <w:tcPr>
            <w:tcW w:w="4961" w:type="dxa"/>
            <w:tcBorders>
              <w:top w:val="single" w:color="auto" w:sz="4" w:space="0"/>
              <w:left w:val="nil"/>
              <w:bottom w:val="single" w:color="auto" w:sz="4" w:space="0"/>
              <w:right w:val="single" w:color="auto" w:sz="4" w:space="0"/>
            </w:tcBorders>
            <w:noWrap w:val="0"/>
            <w:vAlign w:val="center"/>
          </w:tcPr>
          <w:p w14:paraId="7BB1B126">
            <w:pPr>
              <w:spacing w:line="400" w:lineRule="exact"/>
              <w:ind w:left="2" w:hanging="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有效的营业执照（或电子营业执照）。</w:t>
            </w:r>
          </w:p>
        </w:tc>
      </w:tr>
      <w:tr w14:paraId="01DDE26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41" w:hRule="atLeast"/>
        </w:trPr>
        <w:tc>
          <w:tcPr>
            <w:tcW w:w="992" w:type="dxa"/>
            <w:gridSpan w:val="2"/>
            <w:vMerge w:val="continue"/>
            <w:tcBorders>
              <w:top w:val="nil"/>
              <w:left w:val="single" w:color="auto" w:sz="4" w:space="0"/>
              <w:bottom w:val="single" w:color="auto" w:sz="4" w:space="0"/>
              <w:right w:val="single" w:color="auto" w:sz="4" w:space="0"/>
            </w:tcBorders>
            <w:noWrap w:val="0"/>
            <w:vAlign w:val="center"/>
          </w:tcPr>
          <w:p w14:paraId="0E17D8B4">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top w:val="nil"/>
              <w:left w:val="nil"/>
              <w:bottom w:val="single" w:color="auto" w:sz="4" w:space="0"/>
              <w:right w:val="single" w:color="auto" w:sz="4" w:space="0"/>
            </w:tcBorders>
            <w:noWrap w:val="0"/>
            <w:vAlign w:val="center"/>
          </w:tcPr>
          <w:p w14:paraId="6E358A92">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65F95C4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其它要求</w:t>
            </w:r>
          </w:p>
        </w:tc>
        <w:tc>
          <w:tcPr>
            <w:tcW w:w="4961" w:type="dxa"/>
            <w:tcBorders>
              <w:top w:val="single" w:color="auto" w:sz="4" w:space="0"/>
              <w:left w:val="nil"/>
              <w:bottom w:val="single" w:color="auto" w:sz="4" w:space="0"/>
              <w:right w:val="single" w:color="auto" w:sz="4" w:space="0"/>
            </w:tcBorders>
            <w:noWrap w:val="0"/>
            <w:vAlign w:val="center"/>
          </w:tcPr>
          <w:p w14:paraId="4F65771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w:t>
            </w:r>
            <w:r>
              <w:rPr>
                <w:rFonts w:hint="eastAsia" w:ascii="宋体" w:hAnsi="宋体" w:cs="宋体"/>
                <w:color w:val="000000" w:themeColor="text1"/>
                <w:szCs w:val="21"/>
                <w:highlight w:val="none"/>
                <w:lang w:val="en-US" w:eastAsia="zh-CN"/>
                <w14:textFill>
                  <w14:solidFill>
                    <w14:schemeClr w14:val="tx1"/>
                  </w14:solidFill>
                </w14:textFill>
              </w:rPr>
              <w:t>投标人</w:t>
            </w:r>
            <w:r>
              <w:rPr>
                <w:rFonts w:hint="eastAsia" w:ascii="宋体" w:hAnsi="宋体" w:eastAsia="宋体" w:cs="宋体"/>
                <w:color w:val="000000" w:themeColor="text1"/>
                <w:szCs w:val="21"/>
                <w:highlight w:val="none"/>
                <w14:textFill>
                  <w14:solidFill>
                    <w14:schemeClr w14:val="tx1"/>
                  </w14:solidFill>
                </w14:textFill>
              </w:rPr>
              <w:t>须知”规定</w:t>
            </w:r>
          </w:p>
        </w:tc>
      </w:tr>
      <w:tr w14:paraId="73BC810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41" w:hRule="atLeast"/>
        </w:trPr>
        <w:tc>
          <w:tcPr>
            <w:tcW w:w="9356" w:type="dxa"/>
            <w:gridSpan w:val="5"/>
            <w:tcBorders>
              <w:top w:val="single" w:color="auto" w:sz="4" w:space="0"/>
              <w:left w:val="single" w:color="auto" w:sz="4" w:space="0"/>
              <w:bottom w:val="single" w:color="auto" w:sz="4" w:space="0"/>
              <w:right w:val="single" w:color="auto" w:sz="4" w:space="0"/>
            </w:tcBorders>
            <w:noWrap w:val="0"/>
            <w:vAlign w:val="center"/>
          </w:tcPr>
          <w:p w14:paraId="77E13AEA">
            <w:pPr>
              <w:spacing w:line="400" w:lineRule="exact"/>
              <w:ind w:left="-107" w:leftChars="-51"/>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注：根据《中华人民共和国财政第87号令第四十四条规定》开标结束后，由代理机构依法对投标人的资格进行审查，合格投标人不足3家的，不得评标。</w:t>
            </w:r>
          </w:p>
        </w:tc>
      </w:tr>
      <w:tr w14:paraId="286E3BB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restart"/>
            <w:tcBorders>
              <w:top w:val="single" w:color="auto" w:sz="4" w:space="0"/>
              <w:left w:val="single" w:color="auto" w:sz="4" w:space="0"/>
              <w:right w:val="single" w:color="auto" w:sz="4" w:space="0"/>
            </w:tcBorders>
            <w:noWrap w:val="0"/>
            <w:vAlign w:val="center"/>
          </w:tcPr>
          <w:p w14:paraId="0BEC4853">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1129" w:type="dxa"/>
            <w:vMerge w:val="restart"/>
            <w:tcBorders>
              <w:top w:val="single" w:color="auto" w:sz="4" w:space="0"/>
              <w:left w:val="nil"/>
              <w:right w:val="single" w:color="auto" w:sz="4" w:space="0"/>
            </w:tcBorders>
            <w:noWrap w:val="0"/>
            <w:vAlign w:val="center"/>
          </w:tcPr>
          <w:p w14:paraId="5D1C72F7">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形式评审</w:t>
            </w:r>
          </w:p>
        </w:tc>
        <w:tc>
          <w:tcPr>
            <w:tcW w:w="2274" w:type="dxa"/>
            <w:tcBorders>
              <w:top w:val="single" w:color="auto" w:sz="4" w:space="0"/>
              <w:left w:val="nil"/>
              <w:bottom w:val="single" w:color="auto" w:sz="4" w:space="0"/>
              <w:right w:val="single" w:color="auto" w:sz="4" w:space="0"/>
            </w:tcBorders>
            <w:noWrap w:val="0"/>
            <w:vAlign w:val="center"/>
          </w:tcPr>
          <w:p w14:paraId="5BD6BAA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w:t>
            </w:r>
          </w:p>
        </w:tc>
        <w:tc>
          <w:tcPr>
            <w:tcW w:w="4961" w:type="dxa"/>
            <w:tcBorders>
              <w:top w:val="single" w:color="auto" w:sz="4" w:space="0"/>
              <w:left w:val="nil"/>
              <w:bottom w:val="single" w:color="auto" w:sz="4" w:space="0"/>
              <w:right w:val="single" w:color="auto" w:sz="4" w:space="0"/>
            </w:tcBorders>
            <w:noWrap w:val="0"/>
            <w:vAlign w:val="center"/>
          </w:tcPr>
          <w:p w14:paraId="7AF40B1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与营业执照一致</w:t>
            </w:r>
          </w:p>
        </w:tc>
      </w:tr>
      <w:tr w14:paraId="005BBE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continue"/>
            <w:tcBorders>
              <w:left w:val="single" w:color="auto" w:sz="4" w:space="0"/>
              <w:right w:val="single" w:color="auto" w:sz="4" w:space="0"/>
            </w:tcBorders>
            <w:noWrap w:val="0"/>
            <w:vAlign w:val="center"/>
          </w:tcPr>
          <w:p w14:paraId="0EDC5782">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left w:val="nil"/>
              <w:right w:val="single" w:color="auto" w:sz="4" w:space="0"/>
            </w:tcBorders>
            <w:noWrap w:val="0"/>
            <w:vAlign w:val="center"/>
          </w:tcPr>
          <w:p w14:paraId="07F07526">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5B2E1192">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投标函及投标函附录签字盖章</w:t>
            </w:r>
          </w:p>
        </w:tc>
        <w:tc>
          <w:tcPr>
            <w:tcW w:w="4961" w:type="dxa"/>
            <w:tcBorders>
              <w:top w:val="single" w:color="auto" w:sz="4" w:space="0"/>
              <w:left w:val="nil"/>
              <w:bottom w:val="single" w:color="auto" w:sz="4" w:space="0"/>
              <w:right w:val="single" w:color="auto" w:sz="4" w:space="0"/>
            </w:tcBorders>
            <w:noWrap w:val="0"/>
            <w:vAlign w:val="center"/>
          </w:tcPr>
          <w:p w14:paraId="73671BAB">
            <w:pPr>
              <w:spacing w:line="40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有法定代表人或其委托代理人签字并加盖单位公章。由法定代表人签字的，应附法定代表人身份证明，由代理人签字的，应附法定代表人授权委托书。</w:t>
            </w:r>
          </w:p>
        </w:tc>
      </w:tr>
      <w:tr w14:paraId="7DFA005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continue"/>
            <w:tcBorders>
              <w:left w:val="single" w:color="auto" w:sz="4" w:space="0"/>
              <w:bottom w:val="single" w:color="auto" w:sz="4" w:space="0"/>
              <w:right w:val="single" w:color="auto" w:sz="4" w:space="0"/>
            </w:tcBorders>
            <w:noWrap w:val="0"/>
            <w:vAlign w:val="center"/>
          </w:tcPr>
          <w:p w14:paraId="3B6F0EC8">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left w:val="nil"/>
              <w:bottom w:val="single" w:color="auto" w:sz="4" w:space="0"/>
              <w:right w:val="single" w:color="auto" w:sz="4" w:space="0"/>
            </w:tcBorders>
            <w:noWrap w:val="0"/>
            <w:vAlign w:val="center"/>
          </w:tcPr>
          <w:p w14:paraId="7F11F166">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015997EF">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投标文件格式</w:t>
            </w:r>
          </w:p>
        </w:tc>
        <w:tc>
          <w:tcPr>
            <w:tcW w:w="4961" w:type="dxa"/>
            <w:tcBorders>
              <w:top w:val="single" w:color="auto" w:sz="4" w:space="0"/>
              <w:left w:val="nil"/>
              <w:bottom w:val="single" w:color="auto" w:sz="4" w:space="0"/>
              <w:right w:val="single" w:color="auto" w:sz="4" w:space="0"/>
            </w:tcBorders>
            <w:noWrap w:val="0"/>
            <w:vAlign w:val="center"/>
          </w:tcPr>
          <w:p w14:paraId="2E0DC1C3">
            <w:pPr>
              <w:spacing w:line="400" w:lineRule="exac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符合第六章“投标文件格式”的要求</w:t>
            </w:r>
          </w:p>
        </w:tc>
      </w:tr>
      <w:tr w14:paraId="0F0975A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restart"/>
            <w:tcBorders>
              <w:top w:val="single" w:color="auto" w:sz="4" w:space="0"/>
              <w:left w:val="single" w:color="auto" w:sz="4" w:space="0"/>
              <w:right w:val="single" w:color="auto" w:sz="4" w:space="0"/>
            </w:tcBorders>
            <w:noWrap w:val="0"/>
            <w:vAlign w:val="center"/>
          </w:tcPr>
          <w:p w14:paraId="555BF930">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1129" w:type="dxa"/>
            <w:vMerge w:val="restart"/>
            <w:tcBorders>
              <w:top w:val="single" w:color="auto" w:sz="4" w:space="0"/>
              <w:left w:val="nil"/>
              <w:right w:val="single" w:color="auto" w:sz="4" w:space="0"/>
            </w:tcBorders>
            <w:noWrap w:val="0"/>
            <w:vAlign w:val="center"/>
          </w:tcPr>
          <w:p w14:paraId="0127F27F">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响应性评审</w:t>
            </w:r>
          </w:p>
        </w:tc>
        <w:tc>
          <w:tcPr>
            <w:tcW w:w="2274" w:type="dxa"/>
            <w:tcBorders>
              <w:top w:val="single" w:color="auto" w:sz="4" w:space="0"/>
              <w:left w:val="nil"/>
              <w:bottom w:val="single" w:color="auto" w:sz="4" w:space="0"/>
              <w:right w:val="single" w:color="auto" w:sz="4" w:space="0"/>
            </w:tcBorders>
            <w:noWrap w:val="0"/>
            <w:vAlign w:val="center"/>
          </w:tcPr>
          <w:p w14:paraId="3B3FC84C">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投标报价</w:t>
            </w:r>
          </w:p>
        </w:tc>
        <w:tc>
          <w:tcPr>
            <w:tcW w:w="4961" w:type="dxa"/>
            <w:tcBorders>
              <w:top w:val="single" w:color="auto" w:sz="4" w:space="0"/>
              <w:left w:val="nil"/>
              <w:bottom w:val="single" w:color="auto" w:sz="4" w:space="0"/>
              <w:right w:val="single" w:color="auto" w:sz="4" w:space="0"/>
            </w:tcBorders>
            <w:noWrap w:val="0"/>
            <w:vAlign w:val="center"/>
          </w:tcPr>
          <w:p w14:paraId="0C655F8E">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符合第二章“投标人须知”规定</w:t>
            </w:r>
          </w:p>
        </w:tc>
      </w:tr>
      <w:tr w14:paraId="21DD18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continue"/>
            <w:tcBorders>
              <w:left w:val="single" w:color="auto" w:sz="4" w:space="0"/>
              <w:right w:val="single" w:color="auto" w:sz="4" w:space="0"/>
            </w:tcBorders>
            <w:noWrap w:val="0"/>
            <w:vAlign w:val="center"/>
          </w:tcPr>
          <w:p w14:paraId="661F78CA">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left w:val="nil"/>
              <w:right w:val="single" w:color="auto" w:sz="4" w:space="0"/>
            </w:tcBorders>
            <w:noWrap w:val="0"/>
            <w:vAlign w:val="center"/>
          </w:tcPr>
          <w:p w14:paraId="4AF3D028">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575EC25F">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投标内容</w:t>
            </w:r>
          </w:p>
        </w:tc>
        <w:tc>
          <w:tcPr>
            <w:tcW w:w="4961" w:type="dxa"/>
            <w:tcBorders>
              <w:top w:val="single" w:color="auto" w:sz="4" w:space="0"/>
              <w:left w:val="nil"/>
              <w:bottom w:val="single" w:color="auto" w:sz="4" w:space="0"/>
              <w:right w:val="single" w:color="auto" w:sz="4" w:space="0"/>
            </w:tcBorders>
            <w:noWrap w:val="0"/>
            <w:vAlign w:val="center"/>
          </w:tcPr>
          <w:p w14:paraId="09C15E56">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符合第二章“投标人须知”规定</w:t>
            </w:r>
          </w:p>
        </w:tc>
      </w:tr>
      <w:tr w14:paraId="49FBAA6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continue"/>
            <w:tcBorders>
              <w:left w:val="single" w:color="auto" w:sz="4" w:space="0"/>
              <w:right w:val="single" w:color="auto" w:sz="4" w:space="0"/>
            </w:tcBorders>
            <w:noWrap w:val="0"/>
            <w:vAlign w:val="center"/>
          </w:tcPr>
          <w:p w14:paraId="1A98C64E">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left w:val="nil"/>
              <w:right w:val="single" w:color="auto" w:sz="4" w:space="0"/>
            </w:tcBorders>
            <w:noWrap w:val="0"/>
            <w:vAlign w:val="center"/>
          </w:tcPr>
          <w:p w14:paraId="651178B8">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61A56370">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w:t>
            </w:r>
          </w:p>
        </w:tc>
        <w:tc>
          <w:tcPr>
            <w:tcW w:w="4961" w:type="dxa"/>
            <w:tcBorders>
              <w:top w:val="single" w:color="auto" w:sz="4" w:space="0"/>
              <w:left w:val="nil"/>
              <w:bottom w:val="single" w:color="auto" w:sz="4" w:space="0"/>
              <w:right w:val="single" w:color="auto" w:sz="4" w:space="0"/>
            </w:tcBorders>
            <w:noWrap w:val="0"/>
            <w:vAlign w:val="center"/>
          </w:tcPr>
          <w:p w14:paraId="29E1736B">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符合第二章“投标人须知”规定</w:t>
            </w:r>
          </w:p>
        </w:tc>
      </w:tr>
      <w:tr w14:paraId="52F54CE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continue"/>
            <w:tcBorders>
              <w:left w:val="single" w:color="auto" w:sz="4" w:space="0"/>
              <w:right w:val="single" w:color="auto" w:sz="4" w:space="0"/>
            </w:tcBorders>
            <w:noWrap w:val="0"/>
            <w:vAlign w:val="center"/>
          </w:tcPr>
          <w:p w14:paraId="72A4960D">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left w:val="nil"/>
              <w:right w:val="single" w:color="auto" w:sz="4" w:space="0"/>
            </w:tcBorders>
            <w:noWrap w:val="0"/>
            <w:vAlign w:val="center"/>
          </w:tcPr>
          <w:p w14:paraId="55576DC3">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76D28C6B">
            <w:pPr>
              <w:spacing w:line="400" w:lineRule="exact"/>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w:t>
            </w:r>
            <w:r>
              <w:rPr>
                <w:rFonts w:hint="eastAsia" w:ascii="宋体" w:hAnsi="宋体" w:eastAsia="宋体" w:cs="宋体"/>
                <w:color w:val="000000" w:themeColor="text1"/>
                <w:szCs w:val="21"/>
                <w:highlight w:val="none"/>
                <w:lang w:val="en-US" w:eastAsia="zh-CN"/>
                <w14:textFill>
                  <w14:solidFill>
                    <w14:schemeClr w14:val="tx1"/>
                  </w14:solidFill>
                </w14:textFill>
              </w:rPr>
              <w:t>及安装期</w:t>
            </w:r>
          </w:p>
        </w:tc>
        <w:tc>
          <w:tcPr>
            <w:tcW w:w="4961" w:type="dxa"/>
            <w:tcBorders>
              <w:top w:val="single" w:color="auto" w:sz="4" w:space="0"/>
              <w:left w:val="nil"/>
              <w:bottom w:val="single" w:color="auto" w:sz="4" w:space="0"/>
              <w:right w:val="single" w:color="auto" w:sz="4" w:space="0"/>
            </w:tcBorders>
            <w:noWrap w:val="0"/>
            <w:vAlign w:val="center"/>
          </w:tcPr>
          <w:p w14:paraId="26715254">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符合第二章“投标人须知”规定</w:t>
            </w:r>
          </w:p>
        </w:tc>
      </w:tr>
      <w:tr w14:paraId="301DD35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continue"/>
            <w:tcBorders>
              <w:left w:val="single" w:color="auto" w:sz="4" w:space="0"/>
              <w:right w:val="single" w:color="auto" w:sz="4" w:space="0"/>
            </w:tcBorders>
            <w:noWrap w:val="0"/>
            <w:vAlign w:val="center"/>
          </w:tcPr>
          <w:p w14:paraId="793BF4D0">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left w:val="nil"/>
              <w:right w:val="single" w:color="auto" w:sz="4" w:space="0"/>
            </w:tcBorders>
            <w:noWrap w:val="0"/>
            <w:vAlign w:val="center"/>
          </w:tcPr>
          <w:p w14:paraId="4C741164">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38A32010">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交货及安装地点</w:t>
            </w:r>
          </w:p>
        </w:tc>
        <w:tc>
          <w:tcPr>
            <w:tcW w:w="4961" w:type="dxa"/>
            <w:tcBorders>
              <w:top w:val="single" w:color="auto" w:sz="4" w:space="0"/>
              <w:left w:val="nil"/>
              <w:bottom w:val="single" w:color="auto" w:sz="4" w:space="0"/>
              <w:right w:val="single" w:color="auto" w:sz="4" w:space="0"/>
            </w:tcBorders>
            <w:noWrap w:val="0"/>
            <w:vAlign w:val="center"/>
          </w:tcPr>
          <w:p w14:paraId="60FFCFA8">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符合第二章“投标人须知”规定</w:t>
            </w:r>
          </w:p>
        </w:tc>
      </w:tr>
      <w:tr w14:paraId="6A6C4E1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continue"/>
            <w:tcBorders>
              <w:left w:val="single" w:color="auto" w:sz="4" w:space="0"/>
              <w:right w:val="single" w:color="auto" w:sz="4" w:space="0"/>
            </w:tcBorders>
            <w:noWrap w:val="0"/>
            <w:vAlign w:val="center"/>
          </w:tcPr>
          <w:p w14:paraId="4A34E400">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left w:val="nil"/>
              <w:right w:val="single" w:color="auto" w:sz="4" w:space="0"/>
            </w:tcBorders>
            <w:noWrap w:val="0"/>
            <w:vAlign w:val="center"/>
          </w:tcPr>
          <w:p w14:paraId="4F989DF0">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1BEE0258">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质保期</w:t>
            </w:r>
          </w:p>
        </w:tc>
        <w:tc>
          <w:tcPr>
            <w:tcW w:w="4961" w:type="dxa"/>
            <w:tcBorders>
              <w:top w:val="single" w:color="auto" w:sz="4" w:space="0"/>
              <w:left w:val="nil"/>
              <w:bottom w:val="single" w:color="auto" w:sz="4" w:space="0"/>
              <w:right w:val="single" w:color="auto" w:sz="4" w:space="0"/>
            </w:tcBorders>
            <w:noWrap w:val="0"/>
            <w:vAlign w:val="center"/>
          </w:tcPr>
          <w:p w14:paraId="14BB317F">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符合或优于第二章“投标人须知”规定</w:t>
            </w:r>
          </w:p>
        </w:tc>
      </w:tr>
      <w:tr w14:paraId="45BAEEC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continue"/>
            <w:tcBorders>
              <w:left w:val="single" w:color="auto" w:sz="4" w:space="0"/>
              <w:right w:val="single" w:color="auto" w:sz="4" w:space="0"/>
            </w:tcBorders>
            <w:noWrap w:val="0"/>
            <w:vAlign w:val="center"/>
          </w:tcPr>
          <w:p w14:paraId="224A93DD">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left w:val="nil"/>
              <w:right w:val="single" w:color="auto" w:sz="4" w:space="0"/>
            </w:tcBorders>
            <w:noWrap w:val="0"/>
            <w:vAlign w:val="center"/>
          </w:tcPr>
          <w:p w14:paraId="0D646AA6">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184DC475">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投标有效期</w:t>
            </w:r>
          </w:p>
        </w:tc>
        <w:tc>
          <w:tcPr>
            <w:tcW w:w="4961" w:type="dxa"/>
            <w:tcBorders>
              <w:top w:val="single" w:color="auto" w:sz="4" w:space="0"/>
              <w:left w:val="nil"/>
              <w:bottom w:val="single" w:color="auto" w:sz="4" w:space="0"/>
              <w:right w:val="single" w:color="auto" w:sz="4" w:space="0"/>
            </w:tcBorders>
            <w:noWrap w:val="0"/>
            <w:vAlign w:val="center"/>
          </w:tcPr>
          <w:p w14:paraId="490AB8E8">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符合第二章“投标人须知”规定</w:t>
            </w:r>
          </w:p>
        </w:tc>
      </w:tr>
      <w:tr w14:paraId="36CE68D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trPr>
        <w:tc>
          <w:tcPr>
            <w:tcW w:w="992" w:type="dxa"/>
            <w:gridSpan w:val="2"/>
            <w:vMerge w:val="continue"/>
            <w:tcBorders>
              <w:left w:val="single" w:color="auto" w:sz="4" w:space="0"/>
              <w:bottom w:val="single" w:color="auto" w:sz="4" w:space="0"/>
              <w:right w:val="single" w:color="auto" w:sz="4" w:space="0"/>
            </w:tcBorders>
            <w:noWrap w:val="0"/>
            <w:vAlign w:val="center"/>
          </w:tcPr>
          <w:p w14:paraId="7AE6AA87">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1129" w:type="dxa"/>
            <w:vMerge w:val="continue"/>
            <w:tcBorders>
              <w:left w:val="nil"/>
              <w:bottom w:val="single" w:color="auto" w:sz="4" w:space="0"/>
              <w:right w:val="single" w:color="auto" w:sz="4" w:space="0"/>
            </w:tcBorders>
            <w:noWrap w:val="0"/>
            <w:vAlign w:val="center"/>
          </w:tcPr>
          <w:p w14:paraId="45A65819">
            <w:pPr>
              <w:widowControl/>
              <w:jc w:val="left"/>
              <w:rPr>
                <w:rFonts w:hint="eastAsia" w:ascii="宋体" w:hAnsi="宋体" w:eastAsia="宋体" w:cs="宋体"/>
                <w:color w:val="000000" w:themeColor="text1"/>
                <w:szCs w:val="21"/>
                <w:highlight w:val="none"/>
                <w14:textFill>
                  <w14:solidFill>
                    <w14:schemeClr w14:val="tx1"/>
                  </w14:solidFill>
                </w14:textFill>
              </w:rPr>
            </w:pPr>
          </w:p>
        </w:tc>
        <w:tc>
          <w:tcPr>
            <w:tcW w:w="2274" w:type="dxa"/>
            <w:tcBorders>
              <w:top w:val="single" w:color="auto" w:sz="4" w:space="0"/>
              <w:left w:val="nil"/>
              <w:bottom w:val="single" w:color="auto" w:sz="4" w:space="0"/>
              <w:right w:val="single" w:color="auto" w:sz="4" w:space="0"/>
            </w:tcBorders>
            <w:noWrap w:val="0"/>
            <w:vAlign w:val="center"/>
          </w:tcPr>
          <w:p w14:paraId="74D21A1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其他实质性要求</w:t>
            </w:r>
          </w:p>
        </w:tc>
        <w:tc>
          <w:tcPr>
            <w:tcW w:w="4961" w:type="dxa"/>
            <w:tcBorders>
              <w:top w:val="single" w:color="auto" w:sz="4" w:space="0"/>
              <w:left w:val="nil"/>
              <w:bottom w:val="single" w:color="auto" w:sz="4" w:space="0"/>
              <w:right w:val="single" w:color="auto" w:sz="4" w:space="0"/>
            </w:tcBorders>
            <w:noWrap w:val="0"/>
            <w:vAlign w:val="center"/>
          </w:tcPr>
          <w:p w14:paraId="4631AEF8">
            <w:pPr>
              <w:spacing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符合法律、法规和招标文件中规定的其他实质性要求</w:t>
            </w:r>
          </w:p>
        </w:tc>
      </w:tr>
      <w:tr w14:paraId="2E847AE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12" w:hRule="atLeast"/>
        </w:trPr>
        <w:tc>
          <w:tcPr>
            <w:tcW w:w="2121" w:type="dxa"/>
            <w:gridSpan w:val="3"/>
            <w:tcBorders>
              <w:top w:val="single" w:color="auto" w:sz="4" w:space="0"/>
              <w:left w:val="single" w:color="auto" w:sz="4" w:space="0"/>
              <w:bottom w:val="single" w:color="auto" w:sz="4" w:space="0"/>
              <w:right w:val="single" w:color="auto" w:sz="4" w:space="0"/>
            </w:tcBorders>
            <w:noWrap w:val="0"/>
            <w:vAlign w:val="center"/>
          </w:tcPr>
          <w:p w14:paraId="4DD33558">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条款号</w:t>
            </w:r>
          </w:p>
        </w:tc>
        <w:tc>
          <w:tcPr>
            <w:tcW w:w="2274" w:type="dxa"/>
            <w:tcBorders>
              <w:top w:val="single" w:color="auto" w:sz="4" w:space="0"/>
              <w:left w:val="nil"/>
              <w:bottom w:val="single" w:color="auto" w:sz="4" w:space="0"/>
              <w:right w:val="single" w:color="auto" w:sz="4" w:space="0"/>
            </w:tcBorders>
            <w:noWrap w:val="0"/>
            <w:vAlign w:val="center"/>
          </w:tcPr>
          <w:p w14:paraId="14D73BE9">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条款内容</w:t>
            </w:r>
          </w:p>
        </w:tc>
        <w:tc>
          <w:tcPr>
            <w:tcW w:w="4961" w:type="dxa"/>
            <w:tcBorders>
              <w:top w:val="single" w:color="auto" w:sz="4" w:space="0"/>
              <w:left w:val="nil"/>
              <w:bottom w:val="single" w:color="auto" w:sz="4" w:space="0"/>
              <w:right w:val="single" w:color="auto" w:sz="4" w:space="0"/>
            </w:tcBorders>
            <w:noWrap w:val="0"/>
            <w:vAlign w:val="center"/>
          </w:tcPr>
          <w:p w14:paraId="7F426385">
            <w:pPr>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编列内容</w:t>
            </w:r>
          </w:p>
        </w:tc>
      </w:tr>
      <w:tr w14:paraId="1E70788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186" w:hRule="atLeast"/>
        </w:trPr>
        <w:tc>
          <w:tcPr>
            <w:tcW w:w="2121" w:type="dxa"/>
            <w:gridSpan w:val="3"/>
            <w:tcBorders>
              <w:top w:val="single" w:color="auto" w:sz="4" w:space="0"/>
              <w:left w:val="single" w:color="auto" w:sz="4" w:space="0"/>
              <w:bottom w:val="single" w:color="auto" w:sz="4" w:space="0"/>
              <w:right w:val="single" w:color="auto" w:sz="4" w:space="0"/>
            </w:tcBorders>
            <w:noWrap w:val="0"/>
            <w:vAlign w:val="center"/>
          </w:tcPr>
          <w:p w14:paraId="48B82832">
            <w:pPr>
              <w:spacing w:line="40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p>
        </w:tc>
        <w:tc>
          <w:tcPr>
            <w:tcW w:w="2274" w:type="dxa"/>
            <w:tcBorders>
              <w:top w:val="single" w:color="auto" w:sz="4" w:space="0"/>
              <w:left w:val="nil"/>
              <w:bottom w:val="single" w:color="auto" w:sz="4" w:space="0"/>
              <w:right w:val="single" w:color="auto" w:sz="4" w:space="0"/>
            </w:tcBorders>
            <w:noWrap w:val="0"/>
            <w:vAlign w:val="center"/>
          </w:tcPr>
          <w:p w14:paraId="1F78E81F">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分值构成</w:t>
            </w:r>
          </w:p>
          <w:p w14:paraId="0174899D">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(总分100分)</w:t>
            </w:r>
          </w:p>
        </w:tc>
        <w:tc>
          <w:tcPr>
            <w:tcW w:w="4961" w:type="dxa"/>
            <w:tcBorders>
              <w:top w:val="single" w:color="auto" w:sz="4" w:space="0"/>
              <w:left w:val="nil"/>
              <w:bottom w:val="single" w:color="auto" w:sz="4" w:space="0"/>
              <w:right w:val="single" w:color="auto" w:sz="4" w:space="0"/>
            </w:tcBorders>
            <w:noWrap w:val="0"/>
            <w:vAlign w:val="center"/>
          </w:tcPr>
          <w:p w14:paraId="28AD52E4">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投标报价：30分</w:t>
            </w:r>
          </w:p>
          <w:p w14:paraId="0CCB8B7E">
            <w:pPr>
              <w:pStyle w:val="26"/>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18"/>
                <w:highlight w:val="none"/>
                <w14:textFill>
                  <w14:solidFill>
                    <w14:schemeClr w14:val="tx1"/>
                  </w14:solidFill>
                </w14:textFill>
              </w:rPr>
              <w:t>技术标部分：</w:t>
            </w:r>
            <w:r>
              <w:rPr>
                <w:rFonts w:hint="eastAsia" w:ascii="宋体" w:hAnsi="宋体" w:eastAsia="宋体" w:cs="宋体"/>
                <w:color w:val="000000" w:themeColor="text1"/>
                <w:sz w:val="21"/>
                <w:szCs w:val="18"/>
                <w:highlight w:val="none"/>
                <w:lang w:val="en-US" w:eastAsia="zh-CN"/>
                <w14:textFill>
                  <w14:solidFill>
                    <w14:schemeClr w14:val="tx1"/>
                  </w14:solidFill>
                </w14:textFill>
              </w:rPr>
              <w:t>60</w:t>
            </w:r>
            <w:r>
              <w:rPr>
                <w:rFonts w:hint="eastAsia" w:ascii="宋体" w:hAnsi="宋体" w:eastAsia="宋体" w:cs="宋体"/>
                <w:color w:val="000000" w:themeColor="text1"/>
                <w:sz w:val="21"/>
                <w:szCs w:val="18"/>
                <w:highlight w:val="none"/>
                <w14:textFill>
                  <w14:solidFill>
                    <w14:schemeClr w14:val="tx1"/>
                  </w14:solidFill>
                </w14:textFill>
              </w:rPr>
              <w:t>分</w:t>
            </w:r>
          </w:p>
          <w:p w14:paraId="58D8F6B3">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综合部分</w:t>
            </w: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en-US"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分</w:t>
            </w:r>
          </w:p>
        </w:tc>
      </w:tr>
      <w:tr w14:paraId="5CD172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6" w:hRule="atLeast"/>
        </w:trPr>
        <w:tc>
          <w:tcPr>
            <w:tcW w:w="2121" w:type="dxa"/>
            <w:gridSpan w:val="3"/>
            <w:tcBorders>
              <w:top w:val="single" w:color="auto" w:sz="4" w:space="0"/>
              <w:left w:val="single" w:color="auto" w:sz="4" w:space="0"/>
              <w:bottom w:val="single" w:color="auto" w:sz="4" w:space="0"/>
              <w:right w:val="single" w:color="auto" w:sz="4" w:space="0"/>
            </w:tcBorders>
            <w:noWrap w:val="0"/>
            <w:vAlign w:val="top"/>
          </w:tcPr>
          <w:p w14:paraId="160EA2AF">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条款号</w:t>
            </w:r>
          </w:p>
        </w:tc>
        <w:tc>
          <w:tcPr>
            <w:tcW w:w="2274" w:type="dxa"/>
            <w:tcBorders>
              <w:top w:val="single" w:color="auto" w:sz="4" w:space="0"/>
              <w:left w:val="nil"/>
              <w:bottom w:val="single" w:color="auto" w:sz="4" w:space="0"/>
              <w:right w:val="single" w:color="auto" w:sz="4" w:space="0"/>
            </w:tcBorders>
            <w:noWrap w:val="0"/>
            <w:vAlign w:val="center"/>
          </w:tcPr>
          <w:p w14:paraId="62456028">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评审因素</w:t>
            </w:r>
          </w:p>
        </w:tc>
        <w:tc>
          <w:tcPr>
            <w:tcW w:w="4961" w:type="dxa"/>
            <w:tcBorders>
              <w:top w:val="single" w:color="auto" w:sz="4" w:space="0"/>
              <w:left w:val="nil"/>
              <w:bottom w:val="single" w:color="auto" w:sz="4" w:space="0"/>
              <w:right w:val="single" w:color="auto" w:sz="4" w:space="0"/>
            </w:tcBorders>
            <w:noWrap w:val="0"/>
            <w:vAlign w:val="center"/>
          </w:tcPr>
          <w:p w14:paraId="1AE9D057">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评审标准</w:t>
            </w:r>
          </w:p>
        </w:tc>
      </w:tr>
      <w:tr w14:paraId="3858999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49"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7FE6BE2F">
            <w:pPr>
              <w:spacing w:line="36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4.1</w:t>
            </w:r>
          </w:p>
        </w:tc>
        <w:tc>
          <w:tcPr>
            <w:tcW w:w="1270" w:type="dxa"/>
            <w:gridSpan w:val="2"/>
            <w:tcBorders>
              <w:top w:val="single" w:color="auto" w:sz="4" w:space="0"/>
              <w:left w:val="single" w:color="auto" w:sz="4" w:space="0"/>
              <w:bottom w:val="single" w:color="auto" w:sz="4" w:space="0"/>
              <w:right w:val="single" w:color="auto" w:sz="4" w:space="0"/>
            </w:tcBorders>
            <w:noWrap w:val="0"/>
            <w:vAlign w:val="center"/>
          </w:tcPr>
          <w:p w14:paraId="22B15FB3">
            <w:pPr>
              <w:spacing w:line="36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投标报价  （30分）</w:t>
            </w:r>
          </w:p>
        </w:tc>
        <w:tc>
          <w:tcPr>
            <w:tcW w:w="7235" w:type="dxa"/>
            <w:gridSpan w:val="2"/>
            <w:tcBorders>
              <w:top w:val="single" w:color="auto" w:sz="4" w:space="0"/>
              <w:left w:val="nil"/>
              <w:bottom w:val="single" w:color="auto" w:sz="4" w:space="0"/>
              <w:right w:val="single" w:color="auto" w:sz="4" w:space="0"/>
            </w:tcBorders>
            <w:noWrap w:val="0"/>
            <w:vAlign w:val="center"/>
          </w:tcPr>
          <w:p w14:paraId="3EE478FB">
            <w:pPr>
              <w:spacing w:line="48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评标基准价：采用低价优先法计算，即满足招标文件要求且投标价格最低的投标报价为评标基准价，其价格分为满分30分。</w:t>
            </w:r>
          </w:p>
          <w:p w14:paraId="724FA049">
            <w:pPr>
              <w:spacing w:line="48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其他投标人的价格分统一按照下列公式计算： </w:t>
            </w:r>
          </w:p>
          <w:p w14:paraId="3E84151D">
            <w:pPr>
              <w:spacing w:line="48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投标报价得分=（评标基准价/投标报价）×30%×100</w:t>
            </w:r>
          </w:p>
          <w:p w14:paraId="72E5496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说明：1、投标报价超过最高限价按无效投标处理。</w:t>
            </w:r>
          </w:p>
          <w:p w14:paraId="3375C26F">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bookmarkStart w:id="736" w:name="_Toc135648926"/>
            <w:bookmarkEnd w:id="736"/>
            <w:r>
              <w:rPr>
                <w:rFonts w:hint="eastAsia" w:ascii="宋体" w:hAnsi="宋体" w:eastAsia="宋体" w:cs="宋体"/>
                <w:color w:val="000000" w:themeColor="text1"/>
                <w:szCs w:val="21"/>
                <w:highlight w:val="none"/>
                <w14:textFill>
                  <w14:solidFill>
                    <w14:schemeClr w14:val="tx1"/>
                  </w14:solidFill>
                </w14:textFill>
              </w:rPr>
              <w:t>根据政府采购相关政策，给予小型、微型企业产品价格20%的扣除，用扣除后的价格计算评标基准价和参与评标。参与评标的小型（微型）企业投标报价=小型（微型）企业投标报价×（1-20%）；</w:t>
            </w:r>
          </w:p>
          <w:p w14:paraId="1732ECE3">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残疾人福利性单位、监狱企业均视同小型、微型企业。</w:t>
            </w:r>
          </w:p>
          <w:p w14:paraId="4DAA48FD">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注：①投标单位若为小型或微型企业，须提供中小企业声明函（格式见招标文件附件），并对其真实性负责；</w:t>
            </w:r>
          </w:p>
          <w:p w14:paraId="7EA9049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②投标单位若为残疾人福利性单位，须按规定提供《残疾人福利性单位声明函》（格式见招标文件附件），并对其真实性负责；</w:t>
            </w:r>
          </w:p>
          <w:p w14:paraId="4F9D09F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③投标单位若为监狱企业，须提供由省级以上监狱管理局、戒毒管理局（含新疆生产建设兵团）出具的属于监狱企业的证明文件；</w:t>
            </w:r>
          </w:p>
          <w:p w14:paraId="5B023FAA">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④投标单位为小型或微型企业的，同时又为残疾人福利性单位或监狱企业的，不重复享受政策。</w:t>
            </w:r>
          </w:p>
          <w:p w14:paraId="78753A65">
            <w:pPr>
              <w:spacing w:line="360" w:lineRule="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3、本项目执行政府采购本国产品政策，采用价格扣除方式落实；用扣除后的价格计算评标基准价和参与评标。</w:t>
            </w:r>
          </w:p>
          <w:p w14:paraId="6F8DD015">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注：①政府采购活动中同时存在本国产品与非本国产品竞争的，对符合标准的本国产品报价给予20%价格扣除</w:t>
            </w:r>
            <w:r>
              <w:rPr>
                <w:rFonts w:hint="eastAsia" w:ascii="宋体" w:hAnsi="宋体" w:eastAsia="宋体" w:cs="宋体"/>
                <w:color w:val="000000" w:themeColor="text1"/>
                <w:szCs w:val="21"/>
                <w:highlight w:val="none"/>
                <w:lang w:eastAsia="zh-CN"/>
                <w14:textFill>
                  <w14:solidFill>
                    <w14:schemeClr w14:val="tx1"/>
                  </w14:solidFill>
                </w14:textFill>
              </w:rPr>
              <w:t>；</w:t>
            </w:r>
          </w:p>
          <w:p w14:paraId="4DE5F1EC">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②项目含多种产品的，供应商符合本国产品标准的产品成本占比≥80%，对总报价给予20%价格扣除；未达80%不享受优惠。</w:t>
            </w:r>
          </w:p>
          <w:p w14:paraId="71654E0F">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符合本国产品标准的产品</w:t>
            </w:r>
            <w:r>
              <w:rPr>
                <w:rFonts w:hint="eastAsia" w:ascii="宋体" w:hAnsi="宋体" w:eastAsia="宋体" w:cs="宋体"/>
                <w:color w:val="000000" w:themeColor="text1"/>
                <w:szCs w:val="21"/>
                <w:highlight w:val="none"/>
                <w:lang w:val="en-US" w:eastAsia="zh-CN"/>
                <w14:textFill>
                  <w14:solidFill>
                    <w14:schemeClr w14:val="tx1"/>
                  </w14:solidFill>
                </w14:textFill>
              </w:rPr>
              <w:t>的</w:t>
            </w:r>
            <w:r>
              <w:rPr>
                <w:rFonts w:hint="eastAsia" w:ascii="宋体" w:hAnsi="宋体" w:eastAsia="宋体" w:cs="宋体"/>
                <w:color w:val="000000" w:themeColor="text1"/>
                <w:szCs w:val="21"/>
                <w:highlight w:val="none"/>
                <w14:textFill>
                  <w14:solidFill>
                    <w14:schemeClr w14:val="tx1"/>
                  </w14:solidFill>
                </w14:textFill>
              </w:rPr>
              <w:t>价格扣除与小微企业价格扣除可叠加适用，在原始报价基础上分别计算。</w:t>
            </w:r>
          </w:p>
          <w:p w14:paraId="489E94C1">
            <w:pPr>
              <w:spacing w:line="360" w:lineRule="auto"/>
              <w:ind w:firstLine="422"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按照评标办法和标准产生的评标价仅限于评标的比较，不作为中标价和合同签约价，中标价和合同签约价仍以其投标文件中的报价为准。</w:t>
            </w:r>
          </w:p>
          <w:p w14:paraId="200456B3">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1368FDE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74" w:hRule="atLeast"/>
        </w:trPr>
        <w:tc>
          <w:tcPr>
            <w:tcW w:w="851" w:type="dxa"/>
            <w:vMerge w:val="restart"/>
            <w:tcBorders>
              <w:top w:val="single" w:color="auto" w:sz="4" w:space="0"/>
              <w:left w:val="single" w:color="auto" w:sz="4" w:space="0"/>
              <w:right w:val="single" w:color="auto" w:sz="4" w:space="0"/>
            </w:tcBorders>
            <w:noWrap w:val="0"/>
            <w:vAlign w:val="center"/>
          </w:tcPr>
          <w:p w14:paraId="05510276">
            <w:pPr>
              <w:spacing w:line="36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4.2</w:t>
            </w:r>
          </w:p>
        </w:tc>
        <w:tc>
          <w:tcPr>
            <w:tcW w:w="1270" w:type="dxa"/>
            <w:gridSpan w:val="2"/>
            <w:vMerge w:val="restart"/>
            <w:tcBorders>
              <w:top w:val="single" w:color="auto" w:sz="4" w:space="0"/>
              <w:left w:val="single" w:color="auto" w:sz="4" w:space="0"/>
              <w:right w:val="single" w:color="auto" w:sz="4" w:space="0"/>
            </w:tcBorders>
            <w:noWrap w:val="0"/>
            <w:vAlign w:val="center"/>
          </w:tcPr>
          <w:p w14:paraId="4CAA778D">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技术标部分（6</w:t>
            </w:r>
            <w:r>
              <w:rPr>
                <w:rFonts w:hint="eastAsia" w:ascii="宋体" w:hAnsi="宋体" w:eastAsia="宋体" w:cs="宋体"/>
                <w:b/>
                <w:color w:val="000000" w:themeColor="text1"/>
                <w:szCs w:val="21"/>
                <w:highlight w:val="none"/>
                <w:lang w:val="en-US" w:eastAsia="zh-CN"/>
                <w14:textFill>
                  <w14:solidFill>
                    <w14:schemeClr w14:val="tx1"/>
                  </w14:solidFill>
                </w14:textFill>
              </w:rPr>
              <w:t>0</w:t>
            </w:r>
            <w:r>
              <w:rPr>
                <w:rFonts w:hint="eastAsia" w:ascii="宋体" w:hAnsi="宋体" w:eastAsia="宋体" w:cs="宋体"/>
                <w:b/>
                <w:color w:val="000000" w:themeColor="text1"/>
                <w:szCs w:val="21"/>
                <w:highlight w:val="none"/>
                <w14:textFill>
                  <w14:solidFill>
                    <w14:schemeClr w14:val="tx1"/>
                  </w14:solidFill>
                </w14:textFill>
              </w:rPr>
              <w:t>分）</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0ED2377D">
            <w:pPr>
              <w:spacing w:line="360" w:lineRule="auto"/>
              <w:ind w:firstLine="210" w:firstLineChars="10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技术参数</w:t>
            </w:r>
            <w:bookmarkStart w:id="737" w:name="_Toc135648927"/>
            <w:bookmarkEnd w:id="737"/>
          </w:p>
          <w:p w14:paraId="65475525">
            <w:pPr>
              <w:spacing w:line="360" w:lineRule="auto"/>
              <w:ind w:firstLine="210" w:firstLineChars="10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lang w:val="en-US" w:eastAsia="zh-CN"/>
                <w14:textFill>
                  <w14:solidFill>
                    <w14:schemeClr w14:val="tx1"/>
                  </w14:solidFill>
                </w14:textFill>
              </w:rPr>
              <w:t>3</w:t>
            </w:r>
            <w:r>
              <w:rPr>
                <w:rFonts w:hint="eastAsia" w:ascii="宋体" w:hAnsi="宋体" w:eastAsia="宋体" w:cs="宋体"/>
                <w:bCs/>
                <w:color w:val="000000" w:themeColor="text1"/>
                <w:szCs w:val="21"/>
                <w:highlight w:val="none"/>
                <w14:textFill>
                  <w14:solidFill>
                    <w14:schemeClr w14:val="tx1"/>
                  </w14:solidFill>
                </w14:textFill>
              </w:rPr>
              <w:t>0分）</w:t>
            </w:r>
          </w:p>
        </w:tc>
        <w:tc>
          <w:tcPr>
            <w:tcW w:w="4961" w:type="dxa"/>
            <w:tcBorders>
              <w:top w:val="single" w:color="auto" w:sz="4" w:space="0"/>
              <w:left w:val="single" w:color="auto" w:sz="4" w:space="0"/>
              <w:bottom w:val="single" w:color="auto" w:sz="4" w:space="0"/>
              <w:right w:val="single" w:color="auto" w:sz="4" w:space="0"/>
            </w:tcBorders>
            <w:noWrap w:val="0"/>
            <w:vAlign w:val="center"/>
          </w:tcPr>
          <w:p w14:paraId="0F4A6370">
            <w:pPr>
              <w:spacing w:line="360" w:lineRule="auto"/>
              <w:ind w:firstLine="457" w:firstLineChars="218"/>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根据招标文件中采购内容及要求，技术参数完全满足的得30分，产品技术参数中：标</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部分每有一项不满足或低于招标要求的，扣2分，其余部分每有一项不满足或低于招标要求的，扣1分，扣完为止。</w:t>
            </w:r>
          </w:p>
        </w:tc>
      </w:tr>
      <w:tr w14:paraId="78C466E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838" w:hRule="atLeast"/>
        </w:trPr>
        <w:tc>
          <w:tcPr>
            <w:tcW w:w="851" w:type="dxa"/>
            <w:vMerge w:val="continue"/>
            <w:tcBorders>
              <w:left w:val="single" w:color="auto" w:sz="4" w:space="0"/>
              <w:right w:val="single" w:color="auto" w:sz="4" w:space="0"/>
            </w:tcBorders>
            <w:noWrap w:val="0"/>
            <w:vAlign w:val="center"/>
          </w:tcPr>
          <w:p w14:paraId="649EACD3">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1270" w:type="dxa"/>
            <w:gridSpan w:val="2"/>
            <w:vMerge w:val="continue"/>
            <w:tcBorders>
              <w:left w:val="single" w:color="auto" w:sz="4" w:space="0"/>
              <w:right w:val="single" w:color="auto" w:sz="4" w:space="0"/>
            </w:tcBorders>
            <w:noWrap w:val="0"/>
            <w:vAlign w:val="center"/>
          </w:tcPr>
          <w:p w14:paraId="0BA4A71C">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321A2EAD">
            <w:pPr>
              <w:spacing w:line="360" w:lineRule="auto"/>
              <w:ind w:left="206" w:hanging="205" w:hangingChars="98"/>
              <w:jc w:val="center"/>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包装、运输方案（</w:t>
            </w:r>
            <w:r>
              <w:rPr>
                <w:rFonts w:hint="eastAsia" w:ascii="宋体" w:hAnsi="宋体" w:eastAsia="宋体" w:cs="宋体"/>
                <w:b w:val="0"/>
                <w:bCs/>
                <w:color w:val="000000" w:themeColor="text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Cs w:val="21"/>
                <w:highlight w:val="none"/>
                <w14:textFill>
                  <w14:solidFill>
                    <w14:schemeClr w14:val="tx1"/>
                  </w14:solidFill>
                </w14:textFill>
              </w:rPr>
              <w:t>分）</w:t>
            </w:r>
          </w:p>
        </w:tc>
        <w:tc>
          <w:tcPr>
            <w:tcW w:w="4961" w:type="dxa"/>
            <w:tcBorders>
              <w:top w:val="single" w:color="auto" w:sz="4" w:space="0"/>
              <w:left w:val="single" w:color="auto" w:sz="4" w:space="0"/>
              <w:bottom w:val="single" w:color="auto" w:sz="4" w:space="0"/>
              <w:right w:val="single" w:color="auto" w:sz="4" w:space="0"/>
            </w:tcBorders>
            <w:noWrap w:val="0"/>
            <w:vAlign w:val="center"/>
          </w:tcPr>
          <w:p w14:paraId="71F90C63">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投标人根据供货产品特点，编制包装、运输方案</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至少包括：</w:t>
            </w:r>
            <w:r>
              <w:rPr>
                <w:rFonts w:hint="eastAsia" w:ascii="宋体" w:hAnsi="宋体" w:eastAsia="宋体" w:cs="宋体"/>
                <w:color w:val="000000" w:themeColor="text1"/>
                <w:szCs w:val="21"/>
                <w:highlight w:val="none"/>
                <w:lang w:val="en-US" w:eastAsia="zh-CN"/>
                <w14:textFill>
                  <w14:solidFill>
                    <w14:schemeClr w14:val="tx1"/>
                  </w14:solidFill>
                </w14:textFill>
              </w:rPr>
              <w:t>包装设计、运输方式、安全措施等</w:t>
            </w:r>
            <w:r>
              <w:rPr>
                <w:rFonts w:hint="eastAsia" w:ascii="宋体" w:hAnsi="宋体" w:eastAsia="宋体" w:cs="宋体"/>
                <w:color w:val="000000" w:themeColor="text1"/>
                <w:szCs w:val="21"/>
                <w:highlight w:val="none"/>
                <w14:textFill>
                  <w14:solidFill>
                    <w14:schemeClr w14:val="tx1"/>
                  </w14:solidFill>
                </w14:textFill>
              </w:rPr>
              <w:t>。</w:t>
            </w:r>
          </w:p>
          <w:p w14:paraId="1C438677">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（1）包装、运输方案内容全面详实，科学合理，针对性强，完全能够满足采购项目的需要，得</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分；</w:t>
            </w:r>
          </w:p>
          <w:p w14:paraId="65B0D972">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（2）包装、运输方案内容描述较为完整，较为科学合理，针对性较强，基本满足采购项目的需要，得</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分；</w:t>
            </w:r>
          </w:p>
          <w:p w14:paraId="328E8DA9">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（3）包装、运输方案内容描述粗略，科学性合理性差、有针对性，虽然能够基本满足采购项目的需要，但还有很多地方需要进一步完善的，得2分。</w:t>
            </w:r>
          </w:p>
        </w:tc>
      </w:tr>
      <w:tr w14:paraId="04DA16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838" w:hRule="atLeast"/>
        </w:trPr>
        <w:tc>
          <w:tcPr>
            <w:tcW w:w="851" w:type="dxa"/>
            <w:vMerge w:val="continue"/>
            <w:tcBorders>
              <w:left w:val="single" w:color="auto" w:sz="4" w:space="0"/>
              <w:right w:val="single" w:color="auto" w:sz="4" w:space="0"/>
            </w:tcBorders>
            <w:noWrap w:val="0"/>
            <w:vAlign w:val="center"/>
          </w:tcPr>
          <w:p w14:paraId="03E5CCAD">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1270" w:type="dxa"/>
            <w:gridSpan w:val="2"/>
            <w:vMerge w:val="continue"/>
            <w:tcBorders>
              <w:left w:val="single" w:color="auto" w:sz="4" w:space="0"/>
              <w:right w:val="single" w:color="auto" w:sz="4" w:space="0"/>
            </w:tcBorders>
            <w:noWrap w:val="0"/>
            <w:vAlign w:val="center"/>
          </w:tcPr>
          <w:p w14:paraId="2CB50C2D">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535EBE28">
            <w:pPr>
              <w:spacing w:line="360" w:lineRule="auto"/>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安装调试方案（</w:t>
            </w:r>
            <w:r>
              <w:rPr>
                <w:rFonts w:hint="eastAsia" w:ascii="宋体" w:hAnsi="宋体" w:eastAsia="宋体" w:cs="宋体"/>
                <w:b w:val="0"/>
                <w:bCs/>
                <w:color w:val="000000" w:themeColor="text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Cs w:val="21"/>
                <w:highlight w:val="none"/>
                <w14:textFill>
                  <w14:solidFill>
                    <w14:schemeClr w14:val="tx1"/>
                  </w14:solidFill>
                </w14:textFill>
              </w:rPr>
              <w:t>分）</w:t>
            </w:r>
          </w:p>
        </w:tc>
        <w:tc>
          <w:tcPr>
            <w:tcW w:w="4961" w:type="dxa"/>
            <w:tcBorders>
              <w:top w:val="single" w:color="auto" w:sz="4" w:space="0"/>
              <w:left w:val="single" w:color="auto" w:sz="4" w:space="0"/>
              <w:bottom w:val="single" w:color="auto" w:sz="4" w:space="0"/>
              <w:right w:val="single" w:color="auto" w:sz="4" w:space="0"/>
            </w:tcBorders>
            <w:noWrap w:val="0"/>
            <w:vAlign w:val="center"/>
          </w:tcPr>
          <w:p w14:paraId="5414C6E8">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结合采购需求，针对本项目的实际情况，提供详细科学的安装调试方案</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至少包括：</w:t>
            </w:r>
            <w:r>
              <w:rPr>
                <w:rFonts w:hint="eastAsia" w:ascii="宋体" w:hAnsi="宋体" w:eastAsia="宋体" w:cs="宋体"/>
                <w:color w:val="000000" w:themeColor="text1"/>
                <w:szCs w:val="21"/>
                <w:highlight w:val="none"/>
                <w:lang w:val="en-US" w:eastAsia="zh-CN"/>
                <w14:textFill>
                  <w14:solidFill>
                    <w14:schemeClr w14:val="tx1"/>
                  </w14:solidFill>
                </w14:textFill>
              </w:rPr>
              <w:t>安装调试前的准备工作、安装流程、调试流程等</w:t>
            </w:r>
            <w:r>
              <w:rPr>
                <w:rFonts w:hint="eastAsia" w:ascii="宋体" w:hAnsi="宋体" w:eastAsia="宋体" w:cs="宋体"/>
                <w:color w:val="000000" w:themeColor="text1"/>
                <w:szCs w:val="21"/>
                <w:highlight w:val="none"/>
                <w14:textFill>
                  <w14:solidFill>
                    <w14:schemeClr w14:val="tx1"/>
                  </w14:solidFill>
                </w14:textFill>
              </w:rPr>
              <w:t xml:space="preserve">。 </w:t>
            </w:r>
          </w:p>
          <w:p w14:paraId="3EAB7FB4">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（1）安装调试方案内容详尽、完整可行，完全满足采购项目的需要，得</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分；</w:t>
            </w:r>
          </w:p>
          <w:p w14:paraId="59E86CA5">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（2）安装调试方案内容基本完整、基本详尽，基本满足采购项目的需要，得</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 xml:space="preserve">分； </w:t>
            </w:r>
          </w:p>
          <w:p w14:paraId="1D4DFE3B">
            <w:pPr>
              <w:spacing w:line="360" w:lineRule="auto"/>
              <w:ind w:left="105"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（3）安装调试方案不够完整，有很多地方需要进一步完善的，得2分。</w:t>
            </w:r>
          </w:p>
        </w:tc>
      </w:tr>
      <w:tr w14:paraId="2FAAB44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838" w:hRule="atLeast"/>
        </w:trPr>
        <w:tc>
          <w:tcPr>
            <w:tcW w:w="851" w:type="dxa"/>
            <w:vMerge w:val="continue"/>
            <w:tcBorders>
              <w:left w:val="single" w:color="auto" w:sz="4" w:space="0"/>
              <w:right w:val="single" w:color="auto" w:sz="4" w:space="0"/>
            </w:tcBorders>
            <w:noWrap w:val="0"/>
            <w:vAlign w:val="center"/>
          </w:tcPr>
          <w:p w14:paraId="1197BF2C">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1270" w:type="dxa"/>
            <w:gridSpan w:val="2"/>
            <w:vMerge w:val="continue"/>
            <w:tcBorders>
              <w:left w:val="single" w:color="auto" w:sz="4" w:space="0"/>
              <w:right w:val="single" w:color="auto" w:sz="4" w:space="0"/>
            </w:tcBorders>
            <w:noWrap w:val="0"/>
            <w:vAlign w:val="center"/>
          </w:tcPr>
          <w:p w14:paraId="52FE8E97">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283C4188">
            <w:pPr>
              <w:spacing w:line="360" w:lineRule="auto"/>
              <w:ind w:left="206" w:hanging="205" w:hangingChars="98"/>
              <w:jc w:val="center"/>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进度保障措施（</w:t>
            </w:r>
            <w:r>
              <w:rPr>
                <w:rFonts w:hint="eastAsia" w:ascii="宋体" w:hAnsi="宋体" w:eastAsia="宋体" w:cs="宋体"/>
                <w:b w:val="0"/>
                <w:bCs/>
                <w:color w:val="000000" w:themeColor="text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Cs w:val="21"/>
                <w:highlight w:val="none"/>
                <w14:textFill>
                  <w14:solidFill>
                    <w14:schemeClr w14:val="tx1"/>
                  </w14:solidFill>
                </w14:textFill>
              </w:rPr>
              <w:t>分）</w:t>
            </w:r>
          </w:p>
        </w:tc>
        <w:tc>
          <w:tcPr>
            <w:tcW w:w="4961" w:type="dxa"/>
            <w:tcBorders>
              <w:top w:val="single" w:color="auto" w:sz="4" w:space="0"/>
              <w:left w:val="single" w:color="auto" w:sz="4" w:space="0"/>
              <w:bottom w:val="single" w:color="auto" w:sz="4" w:space="0"/>
              <w:right w:val="single" w:color="auto" w:sz="4" w:space="0"/>
            </w:tcBorders>
            <w:noWrap w:val="0"/>
            <w:vAlign w:val="center"/>
          </w:tcPr>
          <w:p w14:paraId="1B07DA73">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针对项目的供货、安装调试等制定进度保障措施</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至少包括：</w:t>
            </w:r>
            <w:r>
              <w:rPr>
                <w:rFonts w:hint="eastAsia" w:ascii="宋体" w:hAnsi="宋体" w:eastAsia="宋体" w:cs="宋体"/>
                <w:color w:val="000000" w:themeColor="text1"/>
                <w:szCs w:val="21"/>
                <w:highlight w:val="none"/>
                <w:lang w:val="en-US" w:eastAsia="zh-CN"/>
                <w14:textFill>
                  <w14:solidFill>
                    <w14:schemeClr w14:val="tx1"/>
                  </w14:solidFill>
                </w14:textFill>
              </w:rPr>
              <w:t>进度计划、资源保障、过程监控与动态调整、沟通协作等</w:t>
            </w:r>
            <w:r>
              <w:rPr>
                <w:rFonts w:hint="eastAsia" w:ascii="宋体" w:hAnsi="宋体" w:eastAsia="宋体" w:cs="宋体"/>
                <w:color w:val="000000" w:themeColor="text1"/>
                <w:szCs w:val="21"/>
                <w:highlight w:val="none"/>
                <w14:textFill>
                  <w14:solidFill>
                    <w14:schemeClr w14:val="tx1"/>
                  </w14:solidFill>
                </w14:textFill>
              </w:rPr>
              <w:t>。</w:t>
            </w:r>
          </w:p>
          <w:p w14:paraId="35A0E341">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（1）措施全面详实，科学合理、可行性强，完全能够满足采购项目要求的得</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分；</w:t>
            </w:r>
          </w:p>
          <w:p w14:paraId="21675C80">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（2）措施描述较为完整，基本合理、可行，基本满足采购项目要求的得</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分；</w:t>
            </w:r>
          </w:p>
          <w:p w14:paraId="2BB44094">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（3）措施描述粗略，科学性合理性差，可行性差，有很多地方需要进一步完善的，得2分。</w:t>
            </w:r>
          </w:p>
        </w:tc>
      </w:tr>
      <w:tr w14:paraId="20845F5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838" w:hRule="atLeast"/>
        </w:trPr>
        <w:tc>
          <w:tcPr>
            <w:tcW w:w="851" w:type="dxa"/>
            <w:vMerge w:val="continue"/>
            <w:tcBorders>
              <w:left w:val="single" w:color="auto" w:sz="4" w:space="0"/>
              <w:right w:val="single" w:color="auto" w:sz="4" w:space="0"/>
            </w:tcBorders>
            <w:noWrap w:val="0"/>
            <w:vAlign w:val="center"/>
          </w:tcPr>
          <w:p w14:paraId="409B44D5">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1270" w:type="dxa"/>
            <w:gridSpan w:val="2"/>
            <w:vMerge w:val="continue"/>
            <w:tcBorders>
              <w:left w:val="single" w:color="auto" w:sz="4" w:space="0"/>
              <w:right w:val="single" w:color="auto" w:sz="4" w:space="0"/>
            </w:tcBorders>
            <w:noWrap w:val="0"/>
            <w:vAlign w:val="center"/>
          </w:tcPr>
          <w:p w14:paraId="5EB41467">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08E9D649">
            <w:pPr>
              <w:spacing w:line="360" w:lineRule="auto"/>
              <w:ind w:left="206" w:hanging="205" w:hangingChars="98"/>
              <w:jc w:val="center"/>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质量保证措施（</w:t>
            </w:r>
            <w:r>
              <w:rPr>
                <w:rFonts w:hint="eastAsia" w:ascii="宋体" w:hAnsi="宋体" w:eastAsia="宋体" w:cs="宋体"/>
                <w:b w:val="0"/>
                <w:bCs/>
                <w:color w:val="000000" w:themeColor="text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Cs w:val="21"/>
                <w:highlight w:val="none"/>
                <w14:textFill>
                  <w14:solidFill>
                    <w14:schemeClr w14:val="tx1"/>
                  </w14:solidFill>
                </w14:textFill>
              </w:rPr>
              <w:t>分）</w:t>
            </w:r>
          </w:p>
        </w:tc>
        <w:tc>
          <w:tcPr>
            <w:tcW w:w="4961" w:type="dxa"/>
            <w:tcBorders>
              <w:top w:val="single" w:color="auto" w:sz="4" w:space="0"/>
              <w:left w:val="single" w:color="auto" w:sz="4" w:space="0"/>
              <w:bottom w:val="single" w:color="auto" w:sz="4" w:space="0"/>
              <w:right w:val="single" w:color="auto" w:sz="4" w:space="0"/>
            </w:tcBorders>
            <w:noWrap w:val="0"/>
            <w:vAlign w:val="center"/>
          </w:tcPr>
          <w:p w14:paraId="7AC13160">
            <w:pPr>
              <w:spacing w:line="360" w:lineRule="auto"/>
              <w:ind w:firstLine="350" w:firstLineChars="167"/>
              <w:rPr>
                <w:rFonts w:hint="eastAsia" w:ascii="宋体" w:hAnsi="宋体" w:eastAsia="宋体" w:cs="宋体"/>
                <w:bCs/>
                <w:color w:val="000000" w:themeColor="text1"/>
                <w:szCs w:val="21"/>
                <w:highlight w:val="none"/>
                <w14:textFill>
                  <w14:solidFill>
                    <w14:schemeClr w14:val="tx1"/>
                  </w14:solidFill>
                </w14:textFill>
              </w:rPr>
            </w:pPr>
            <w:bookmarkStart w:id="738" w:name="_Toc135922568"/>
            <w:r>
              <w:rPr>
                <w:rFonts w:hint="eastAsia" w:ascii="宋体" w:hAnsi="宋体" w:eastAsia="宋体" w:cs="宋体"/>
                <w:bCs/>
                <w:color w:val="000000" w:themeColor="text1"/>
                <w:szCs w:val="21"/>
                <w:highlight w:val="none"/>
                <w14:textFill>
                  <w14:solidFill>
                    <w14:schemeClr w14:val="tx1"/>
                  </w14:solidFill>
                </w14:textFill>
              </w:rPr>
              <w:t>针对项目采购货物质量制定保证措施</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至少包括：</w:t>
            </w:r>
            <w:r>
              <w:rPr>
                <w:rFonts w:hint="eastAsia" w:ascii="宋体" w:hAnsi="宋体" w:eastAsia="宋体" w:cs="宋体"/>
                <w:color w:val="000000" w:themeColor="text1"/>
                <w:szCs w:val="21"/>
                <w:highlight w:val="none"/>
                <w14:textFill>
                  <w14:solidFill>
                    <w14:schemeClr w14:val="tx1"/>
                  </w14:solidFill>
                </w14:textFill>
              </w:rPr>
              <w:t>质量管控、保证措施、质量标准、检查方法等</w:t>
            </w:r>
            <w:r>
              <w:rPr>
                <w:rFonts w:hint="eastAsia" w:ascii="宋体" w:hAnsi="宋体" w:eastAsia="宋体" w:cs="宋体"/>
                <w:bCs/>
                <w:color w:val="000000" w:themeColor="text1"/>
                <w:szCs w:val="21"/>
                <w:highlight w:val="none"/>
                <w14:textFill>
                  <w14:solidFill>
                    <w14:schemeClr w14:val="tx1"/>
                  </w14:solidFill>
                </w14:textFill>
              </w:rPr>
              <w:t>。</w:t>
            </w:r>
            <w:bookmarkEnd w:id="738"/>
          </w:p>
          <w:p w14:paraId="3B188F0F">
            <w:pPr>
              <w:spacing w:line="360" w:lineRule="auto"/>
              <w:ind w:firstLine="350" w:firstLineChars="167"/>
              <w:rPr>
                <w:rFonts w:hint="eastAsia" w:ascii="宋体" w:hAnsi="宋体" w:eastAsia="宋体" w:cs="宋体"/>
                <w:bCs/>
                <w:color w:val="000000" w:themeColor="text1"/>
                <w:szCs w:val="21"/>
                <w:highlight w:val="none"/>
                <w14:textFill>
                  <w14:solidFill>
                    <w14:schemeClr w14:val="tx1"/>
                  </w14:solidFill>
                </w14:textFill>
              </w:rPr>
            </w:pPr>
            <w:bookmarkStart w:id="739" w:name="_Toc135922569"/>
            <w:r>
              <w:rPr>
                <w:rFonts w:hint="eastAsia" w:ascii="宋体" w:hAnsi="宋体" w:eastAsia="宋体" w:cs="宋体"/>
                <w:bCs/>
                <w:color w:val="000000" w:themeColor="text1"/>
                <w:szCs w:val="21"/>
                <w:highlight w:val="none"/>
                <w14:textFill>
                  <w14:solidFill>
                    <w14:schemeClr w14:val="tx1"/>
                  </w14:solidFill>
                </w14:textFill>
              </w:rPr>
              <w:t>（</w:t>
            </w:r>
            <w:bookmarkEnd w:id="739"/>
            <w:r>
              <w:rPr>
                <w:rFonts w:hint="eastAsia" w:ascii="宋体" w:hAnsi="宋体" w:eastAsia="宋体" w:cs="宋体"/>
                <w:bCs/>
                <w:color w:val="000000" w:themeColor="text1"/>
                <w:szCs w:val="21"/>
                <w:highlight w:val="none"/>
                <w14:textFill>
                  <w14:solidFill>
                    <w14:schemeClr w14:val="tx1"/>
                  </w14:solidFill>
                </w14:textFill>
              </w:rPr>
              <w:t>1）质量保证措施合理、详尽、切实、可行性强，完全能够满足采购项目的需要得</w:t>
            </w:r>
            <w:r>
              <w:rPr>
                <w:rFonts w:hint="eastAsia" w:ascii="宋体" w:hAnsi="宋体" w:eastAsia="宋体" w:cs="宋体"/>
                <w:bCs/>
                <w:color w:val="000000" w:themeColor="text1"/>
                <w:szCs w:val="21"/>
                <w:highlight w:val="none"/>
                <w:lang w:val="en-US" w:eastAsia="zh-CN"/>
                <w14:textFill>
                  <w14:solidFill>
                    <w14:schemeClr w14:val="tx1"/>
                  </w14:solidFill>
                </w14:textFill>
              </w:rPr>
              <w:t>6</w:t>
            </w:r>
            <w:r>
              <w:rPr>
                <w:rFonts w:hint="eastAsia" w:ascii="宋体" w:hAnsi="宋体" w:eastAsia="宋体" w:cs="宋体"/>
                <w:bCs/>
                <w:color w:val="000000" w:themeColor="text1"/>
                <w:szCs w:val="21"/>
                <w:highlight w:val="none"/>
                <w14:textFill>
                  <w14:solidFill>
                    <w14:schemeClr w14:val="tx1"/>
                  </w14:solidFill>
                </w14:textFill>
              </w:rPr>
              <w:t>分；</w:t>
            </w:r>
          </w:p>
          <w:p w14:paraId="115A26F5">
            <w:pPr>
              <w:spacing w:line="360" w:lineRule="auto"/>
              <w:ind w:firstLine="350" w:firstLineChars="167"/>
              <w:rPr>
                <w:rFonts w:hint="eastAsia" w:ascii="宋体" w:hAnsi="宋体" w:eastAsia="宋体" w:cs="宋体"/>
                <w:bCs/>
                <w:color w:val="000000" w:themeColor="text1"/>
                <w:szCs w:val="21"/>
                <w:highlight w:val="none"/>
                <w14:textFill>
                  <w14:solidFill>
                    <w14:schemeClr w14:val="tx1"/>
                  </w14:solidFill>
                </w14:textFill>
              </w:rPr>
            </w:pPr>
            <w:bookmarkStart w:id="740" w:name="_Toc135922570"/>
            <w:r>
              <w:rPr>
                <w:rFonts w:hint="eastAsia" w:ascii="宋体" w:hAnsi="宋体" w:eastAsia="宋体" w:cs="宋体"/>
                <w:bCs/>
                <w:color w:val="000000" w:themeColor="text1"/>
                <w:szCs w:val="21"/>
                <w:highlight w:val="none"/>
                <w14:textFill>
                  <w14:solidFill>
                    <w14:schemeClr w14:val="tx1"/>
                  </w14:solidFill>
                </w14:textFill>
              </w:rPr>
              <w:t>（</w:t>
            </w:r>
            <w:bookmarkEnd w:id="740"/>
            <w:r>
              <w:rPr>
                <w:rFonts w:hint="eastAsia" w:ascii="宋体" w:hAnsi="宋体" w:eastAsia="宋体" w:cs="宋体"/>
                <w:bCs/>
                <w:color w:val="000000" w:themeColor="text1"/>
                <w:szCs w:val="21"/>
                <w:highlight w:val="none"/>
                <w14:textFill>
                  <w14:solidFill>
                    <w14:schemeClr w14:val="tx1"/>
                  </w14:solidFill>
                </w14:textFill>
              </w:rPr>
              <w:t>2）质量保证措施描述较为合理、较为详尽、基本切实可行的得，基本满足采购项目的需要，得</w:t>
            </w:r>
            <w:r>
              <w:rPr>
                <w:rFonts w:hint="eastAsia" w:ascii="宋体" w:hAnsi="宋体" w:eastAsia="宋体" w:cs="宋体"/>
                <w:bCs/>
                <w:color w:val="000000" w:themeColor="text1"/>
                <w:szCs w:val="21"/>
                <w:highlight w:val="none"/>
                <w:lang w:val="en-US" w:eastAsia="zh-CN"/>
                <w14:textFill>
                  <w14:solidFill>
                    <w14:schemeClr w14:val="tx1"/>
                  </w14:solidFill>
                </w14:textFill>
              </w:rPr>
              <w:t>4</w:t>
            </w:r>
            <w:r>
              <w:rPr>
                <w:rFonts w:hint="eastAsia" w:ascii="宋体" w:hAnsi="宋体" w:eastAsia="宋体" w:cs="宋体"/>
                <w:bCs/>
                <w:color w:val="000000" w:themeColor="text1"/>
                <w:szCs w:val="21"/>
                <w:highlight w:val="none"/>
                <w14:textFill>
                  <w14:solidFill>
                    <w14:schemeClr w14:val="tx1"/>
                  </w14:solidFill>
                </w14:textFill>
              </w:rPr>
              <w:t>分；</w:t>
            </w:r>
          </w:p>
          <w:p w14:paraId="55CB350D">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bookmarkStart w:id="741" w:name="_Toc135648930"/>
            <w:r>
              <w:rPr>
                <w:rFonts w:hint="eastAsia" w:ascii="宋体" w:hAnsi="宋体" w:eastAsia="宋体" w:cs="宋体"/>
                <w:bCs/>
                <w:color w:val="000000" w:themeColor="text1"/>
                <w:szCs w:val="21"/>
                <w:highlight w:val="none"/>
                <w14:textFill>
                  <w14:solidFill>
                    <w14:schemeClr w14:val="tx1"/>
                  </w14:solidFill>
                </w14:textFill>
              </w:rPr>
              <w:t>（</w:t>
            </w:r>
            <w:bookmarkEnd w:id="741"/>
            <w:r>
              <w:rPr>
                <w:rFonts w:hint="eastAsia" w:ascii="宋体" w:hAnsi="宋体" w:eastAsia="宋体" w:cs="宋体"/>
                <w:bCs/>
                <w:color w:val="000000" w:themeColor="text1"/>
                <w:szCs w:val="21"/>
                <w:highlight w:val="none"/>
                <w14:textFill>
                  <w14:solidFill>
                    <w14:schemeClr w14:val="tx1"/>
                  </w14:solidFill>
                </w14:textFill>
              </w:rPr>
              <w:t>3）质量保证措施描述粗略，合理性、可行性差，有很多地方需要进一步完善的，得2分。</w:t>
            </w:r>
          </w:p>
        </w:tc>
      </w:tr>
      <w:tr w14:paraId="5A7079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trPr>
        <w:tc>
          <w:tcPr>
            <w:tcW w:w="851" w:type="dxa"/>
            <w:vMerge w:val="continue"/>
            <w:tcBorders>
              <w:left w:val="single" w:color="auto" w:sz="4" w:space="0"/>
              <w:right w:val="single" w:color="auto" w:sz="4" w:space="0"/>
            </w:tcBorders>
            <w:noWrap w:val="0"/>
            <w:vAlign w:val="center"/>
          </w:tcPr>
          <w:p w14:paraId="70783AF6">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1270" w:type="dxa"/>
            <w:gridSpan w:val="2"/>
            <w:vMerge w:val="continue"/>
            <w:tcBorders>
              <w:left w:val="single" w:color="auto" w:sz="4" w:space="0"/>
              <w:right w:val="single" w:color="auto" w:sz="4" w:space="0"/>
            </w:tcBorders>
            <w:noWrap w:val="0"/>
            <w:vAlign w:val="center"/>
          </w:tcPr>
          <w:p w14:paraId="71F3B3F1">
            <w:pPr>
              <w:widowControl/>
              <w:jc w:val="left"/>
              <w:rPr>
                <w:rFonts w:hint="eastAsia" w:ascii="宋体" w:hAnsi="宋体" w:eastAsia="宋体" w:cs="宋体"/>
                <w:b/>
                <w:color w:val="000000" w:themeColor="text1"/>
                <w:szCs w:val="21"/>
                <w:highlight w:val="none"/>
                <w14:textFill>
                  <w14:solidFill>
                    <w14:schemeClr w14:val="tx1"/>
                  </w14:solidFill>
                </w14:textFill>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52C6D300">
            <w:pPr>
              <w:spacing w:line="360" w:lineRule="auto"/>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应急处理方案（</w:t>
            </w:r>
            <w:r>
              <w:rPr>
                <w:rFonts w:hint="eastAsia" w:ascii="宋体" w:hAnsi="宋体" w:eastAsia="宋体" w:cs="宋体"/>
                <w:b w:val="0"/>
                <w:bCs/>
                <w:color w:val="000000" w:themeColor="text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Cs w:val="21"/>
                <w:highlight w:val="none"/>
                <w14:textFill>
                  <w14:solidFill>
                    <w14:schemeClr w14:val="tx1"/>
                  </w14:solidFill>
                </w14:textFill>
              </w:rPr>
              <w:t>分）</w:t>
            </w:r>
          </w:p>
        </w:tc>
        <w:tc>
          <w:tcPr>
            <w:tcW w:w="4961" w:type="dxa"/>
            <w:tcBorders>
              <w:top w:val="single" w:color="auto" w:sz="4" w:space="0"/>
              <w:left w:val="single" w:color="auto" w:sz="4" w:space="0"/>
              <w:bottom w:val="single" w:color="auto" w:sz="4" w:space="0"/>
              <w:right w:val="single" w:color="auto" w:sz="4" w:space="0"/>
            </w:tcBorders>
            <w:noWrap w:val="0"/>
            <w:vAlign w:val="center"/>
          </w:tcPr>
          <w:p w14:paraId="1EDB750B">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针对本项目应急处理能力，需针对本项目提供应急处理方案，至少包括：应急处理预案、应急处理流程、备机备件保障方案。</w:t>
            </w:r>
          </w:p>
          <w:p w14:paraId="66B71D55">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应急处理方案详尽、科学、可行性强，得</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分；</w:t>
            </w:r>
          </w:p>
          <w:p w14:paraId="104F7A1B">
            <w:pPr>
              <w:spacing w:line="360" w:lineRule="auto"/>
              <w:ind w:firstLine="350" w:firstLineChars="16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应急处理方案完整、合理，得</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分；</w:t>
            </w:r>
          </w:p>
          <w:p w14:paraId="13A6464B">
            <w:pPr>
              <w:spacing w:line="360" w:lineRule="auto"/>
              <w:ind w:firstLine="350" w:firstLineChars="167"/>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有基本的应急处理方案，得</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分。</w:t>
            </w:r>
          </w:p>
        </w:tc>
      </w:tr>
      <w:tr w14:paraId="29CEC25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trPr>
        <w:tc>
          <w:tcPr>
            <w:tcW w:w="851" w:type="dxa"/>
            <w:vMerge w:val="restart"/>
            <w:tcBorders>
              <w:left w:val="single" w:color="auto" w:sz="4" w:space="0"/>
              <w:right w:val="single" w:color="auto" w:sz="4" w:space="0"/>
            </w:tcBorders>
            <w:noWrap w:val="0"/>
            <w:vAlign w:val="center"/>
          </w:tcPr>
          <w:p w14:paraId="49219891">
            <w:pPr>
              <w:spacing w:line="360" w:lineRule="auto"/>
              <w:jc w:val="cente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4.3</w:t>
            </w:r>
          </w:p>
        </w:tc>
        <w:tc>
          <w:tcPr>
            <w:tcW w:w="1270" w:type="dxa"/>
            <w:gridSpan w:val="2"/>
            <w:vMerge w:val="restart"/>
            <w:tcBorders>
              <w:left w:val="single" w:color="auto" w:sz="4" w:space="0"/>
              <w:right w:val="single" w:color="auto" w:sz="4" w:space="0"/>
            </w:tcBorders>
            <w:noWrap w:val="0"/>
            <w:vAlign w:val="center"/>
          </w:tcPr>
          <w:p w14:paraId="48472FF6">
            <w:pPr>
              <w:jc w:val="cente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szCs w:val="21"/>
                <w:highlight w:val="none"/>
                <w:lang w:eastAsia="zh-CN"/>
                <w14:textFill>
                  <w14:solidFill>
                    <w14:schemeClr w14:val="tx1"/>
                  </w14:solidFill>
                </w14:textFill>
              </w:rPr>
              <w:t>综合部分</w:t>
            </w:r>
            <w:r>
              <w:rPr>
                <w:rFonts w:hint="eastAsia" w:ascii="宋体" w:hAnsi="宋体" w:eastAsia="宋体" w:cs="宋体"/>
                <w:b/>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lang w:val="en-US" w:eastAsia="zh-CN"/>
                <w14:textFill>
                  <w14:solidFill>
                    <w14:schemeClr w14:val="tx1"/>
                  </w14:solidFill>
                </w14:textFill>
              </w:rPr>
              <w:t>10</w:t>
            </w:r>
            <w:r>
              <w:rPr>
                <w:rFonts w:hint="eastAsia" w:ascii="宋体" w:hAnsi="宋体" w:eastAsia="宋体" w:cs="宋体"/>
                <w:b/>
                <w:color w:val="000000" w:themeColor="text1"/>
                <w:szCs w:val="21"/>
                <w:highlight w:val="none"/>
                <w14:textFill>
                  <w14:solidFill>
                    <w14:schemeClr w14:val="tx1"/>
                  </w14:solidFill>
                </w14:textFill>
              </w:rPr>
              <w:t>分）</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68E0EAC1">
            <w:pPr>
              <w:snapToGrid w:val="0"/>
              <w:spacing w:line="360" w:lineRule="auto"/>
              <w:jc w:val="center"/>
              <w:rPr>
                <w:rFonts w:hint="eastAsia" w:ascii="宋体" w:hAnsi="宋体" w:eastAsia="宋体" w:cs="宋体"/>
                <w:b w:val="0"/>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Times New Roman"/>
                <w:b w:val="0"/>
                <w:bCs/>
                <w:color w:val="000000" w:themeColor="text1"/>
                <w:sz w:val="21"/>
                <w:highlight w:val="none"/>
                <w:lang w:eastAsia="zh-CN"/>
                <w14:textFill>
                  <w14:solidFill>
                    <w14:schemeClr w14:val="tx1"/>
                  </w14:solidFill>
                </w14:textFill>
              </w:rPr>
              <w:t>落实绿色产品(1分)</w:t>
            </w:r>
          </w:p>
        </w:tc>
        <w:tc>
          <w:tcPr>
            <w:tcW w:w="4961" w:type="dxa"/>
            <w:tcBorders>
              <w:top w:val="single" w:color="auto" w:sz="4" w:space="0"/>
              <w:left w:val="single" w:color="auto" w:sz="4" w:space="0"/>
              <w:bottom w:val="single" w:color="auto" w:sz="4" w:space="0"/>
              <w:right w:val="single" w:color="auto" w:sz="4" w:space="0"/>
            </w:tcBorders>
            <w:noWrap w:val="0"/>
            <w:vAlign w:val="center"/>
          </w:tcPr>
          <w:p w14:paraId="752013B8">
            <w:pPr>
              <w:numPr>
                <w:ilvl w:val="0"/>
                <w:numId w:val="0"/>
              </w:numPr>
              <w:snapToGrid w:val="0"/>
              <w:spacing w:line="360" w:lineRule="auto"/>
              <w:ind w:left="0" w:leftChars="0" w:firstLine="420" w:firstLineChars="200"/>
              <w:jc w:val="left"/>
              <w:rPr>
                <w:rFonts w:hint="eastAsia" w:ascii="宋体" w:hAnsi="Times New Roman" w:eastAsia="宋体" w:cs="Times New Roman"/>
                <w:color w:val="000000" w:themeColor="text1"/>
                <w:sz w:val="21"/>
                <w:highlight w:val="none"/>
                <w:lang w:val="en-US" w:eastAsia="zh-CN"/>
                <w14:textFill>
                  <w14:solidFill>
                    <w14:schemeClr w14:val="tx1"/>
                  </w14:solidFill>
                </w14:textFill>
              </w:rPr>
            </w:pPr>
            <w:r>
              <w:rPr>
                <w:rFonts w:hint="eastAsia" w:ascii="宋体" w:hAnsi="Times New Roman" w:eastAsia="宋体" w:cs="Times New Roman"/>
                <w:color w:val="000000" w:themeColor="text1"/>
                <w:sz w:val="21"/>
                <w:highlight w:val="none"/>
                <w:lang w:val="en-US" w:eastAsia="zh-CN"/>
                <w14:textFill>
                  <w14:solidFill>
                    <w14:schemeClr w14:val="tx1"/>
                  </w14:solidFill>
                </w14:textFill>
              </w:rPr>
              <w:t xml:space="preserve">1、投标人所投货物在节能产品政府采购品目清单内的（强制采购产品除外 </w:t>
            </w:r>
            <w:r>
              <w:rPr>
                <w:rFonts w:hint="eastAsia" w:ascii="宋体" w:hAnsi="Times New Roman" w:cs="Times New Roman"/>
                <w:color w:val="000000" w:themeColor="text1"/>
                <w:sz w:val="21"/>
                <w:highlight w:val="none"/>
                <w:lang w:val="en-US" w:eastAsia="zh-CN"/>
                <w14:textFill>
                  <w14:solidFill>
                    <w14:schemeClr w14:val="tx1"/>
                  </w14:solidFill>
                </w14:textFill>
              </w:rPr>
              <w:t>）</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提供具有国家确定的认证机构出具的、处于有效期之内的节能产品认证证书原件扫描件的得0.5分，如没有不得分。</w:t>
            </w:r>
          </w:p>
          <w:p w14:paraId="69E55449">
            <w:pPr>
              <w:numPr>
                <w:ilvl w:val="0"/>
                <w:numId w:val="0"/>
              </w:numPr>
              <w:snapToGrid w:val="0"/>
              <w:spacing w:line="360" w:lineRule="auto"/>
              <w:ind w:left="0" w:leftChars="0" w:firstLine="420" w:firstLineChars="20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Times New Roman" w:eastAsia="宋体" w:cs="Times New Roman"/>
                <w:color w:val="000000" w:themeColor="text1"/>
                <w:sz w:val="21"/>
                <w:highlight w:val="none"/>
                <w:lang w:val="en-US" w:eastAsia="zh-CN"/>
                <w14:textFill>
                  <w14:solidFill>
                    <w14:schemeClr w14:val="tx1"/>
                  </w14:solidFill>
                </w14:textFill>
              </w:rPr>
              <w:t>2、投标人所投货物在环境标志产品品目清单内的，提供具有国家确定的认证机构出具的、处于有效期之内的环境标志产品认证证书原件扫描件的得0.5分，如没有不得分。</w:t>
            </w:r>
          </w:p>
        </w:tc>
      </w:tr>
      <w:tr w14:paraId="2686A80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trPr>
        <w:tc>
          <w:tcPr>
            <w:tcW w:w="851" w:type="dxa"/>
            <w:vMerge w:val="continue"/>
            <w:tcBorders>
              <w:left w:val="single" w:color="auto" w:sz="4" w:space="0"/>
              <w:right w:val="single" w:color="auto" w:sz="4" w:space="0"/>
            </w:tcBorders>
            <w:noWrap w:val="0"/>
            <w:vAlign w:val="center"/>
          </w:tcPr>
          <w:p w14:paraId="411F7B49">
            <w:pPr>
              <w:spacing w:line="360" w:lineRule="auto"/>
              <w:jc w:val="center"/>
              <w:rPr>
                <w:rFonts w:hint="eastAsia" w:ascii="宋体" w:hAnsi="宋体" w:eastAsia="宋体" w:cs="宋体"/>
                <w:b/>
                <w:color w:val="000000" w:themeColor="text1"/>
                <w:szCs w:val="21"/>
                <w:highlight w:val="none"/>
                <w:lang w:val="en-US" w:eastAsia="zh-CN"/>
                <w14:textFill>
                  <w14:solidFill>
                    <w14:schemeClr w14:val="tx1"/>
                  </w14:solidFill>
                </w14:textFill>
              </w:rPr>
            </w:pPr>
          </w:p>
        </w:tc>
        <w:tc>
          <w:tcPr>
            <w:tcW w:w="1270" w:type="dxa"/>
            <w:gridSpan w:val="2"/>
            <w:vMerge w:val="continue"/>
            <w:tcBorders>
              <w:left w:val="single" w:color="auto" w:sz="4" w:space="0"/>
              <w:right w:val="single" w:color="auto" w:sz="4" w:space="0"/>
            </w:tcBorders>
            <w:noWrap w:val="0"/>
            <w:vAlign w:val="center"/>
          </w:tcPr>
          <w:p w14:paraId="3D56A543">
            <w:pPr>
              <w:jc w:val="center"/>
              <w:rPr>
                <w:rFonts w:hint="eastAsia" w:ascii="宋体" w:hAnsi="宋体" w:eastAsia="宋体" w:cs="宋体"/>
                <w:b/>
                <w:color w:val="000000" w:themeColor="text1"/>
                <w:szCs w:val="21"/>
                <w:highlight w:val="none"/>
                <w:lang w:eastAsia="zh-CN"/>
                <w14:textFill>
                  <w14:solidFill>
                    <w14:schemeClr w14:val="tx1"/>
                  </w14:solidFill>
                </w14:textFill>
              </w:rPr>
            </w:pPr>
          </w:p>
        </w:tc>
        <w:tc>
          <w:tcPr>
            <w:tcW w:w="2274" w:type="dxa"/>
            <w:tcBorders>
              <w:top w:val="single" w:color="auto" w:sz="4" w:space="0"/>
              <w:left w:val="single" w:color="auto" w:sz="4" w:space="0"/>
              <w:bottom w:val="single" w:color="auto" w:sz="4" w:space="0"/>
              <w:right w:val="single" w:color="auto" w:sz="4" w:space="0"/>
            </w:tcBorders>
            <w:noWrap w:val="0"/>
            <w:vAlign w:val="center"/>
          </w:tcPr>
          <w:p w14:paraId="6B7803A1">
            <w:pPr>
              <w:spacing w:line="360" w:lineRule="auto"/>
              <w:jc w:val="center"/>
              <w:rPr>
                <w:rFonts w:hint="eastAsia" w:ascii="宋体" w:hAnsi="宋体" w:eastAsia="宋体" w:cs="宋体"/>
                <w:b w:val="0"/>
                <w:bCs/>
                <w:color w:val="000000" w:themeColor="text1"/>
                <w:kern w:val="0"/>
                <w:szCs w:val="21"/>
                <w:highlight w:val="none"/>
                <w14:textFill>
                  <w14:solidFill>
                    <w14:schemeClr w14:val="tx1"/>
                  </w14:solidFill>
                </w14:textFill>
              </w:rPr>
            </w:pPr>
            <w:r>
              <w:rPr>
                <w:rFonts w:hint="eastAsia" w:ascii="宋体" w:hAnsi="宋体" w:eastAsia="宋体" w:cs="宋体"/>
                <w:b w:val="0"/>
                <w:bCs/>
                <w:color w:val="000000" w:themeColor="text1"/>
                <w:kern w:val="0"/>
                <w:szCs w:val="21"/>
                <w:highlight w:val="none"/>
                <w14:textFill>
                  <w14:solidFill>
                    <w14:schemeClr w14:val="tx1"/>
                  </w14:solidFill>
                </w14:textFill>
              </w:rPr>
              <w:t>售后服务方案</w:t>
            </w:r>
          </w:p>
          <w:p w14:paraId="0284DEBC">
            <w:pPr>
              <w:snapToGrid w:val="0"/>
              <w:spacing w:line="360" w:lineRule="auto"/>
              <w:jc w:val="center"/>
              <w:rPr>
                <w:rFonts w:hint="eastAsia" w:ascii="宋体" w:hAnsi="宋体" w:eastAsia="宋体" w:cs="Times New Roman"/>
                <w:b w:val="0"/>
                <w:bCs/>
                <w:color w:val="000000" w:themeColor="text1"/>
                <w:sz w:val="21"/>
                <w:highlight w:val="none"/>
                <w:lang w:eastAsia="zh-CN"/>
                <w14:textFill>
                  <w14:solidFill>
                    <w14:schemeClr w14:val="tx1"/>
                  </w14:solidFill>
                </w14:textFill>
              </w:rPr>
            </w:pPr>
            <w:r>
              <w:rPr>
                <w:rFonts w:hint="eastAsia" w:ascii="宋体" w:hAnsi="宋体" w:eastAsia="宋体" w:cs="宋体"/>
                <w:b w:val="0"/>
                <w:bCs/>
                <w:color w:val="000000" w:themeColor="text1"/>
                <w:kern w:val="0"/>
                <w:sz w:val="21"/>
                <w:szCs w:val="22"/>
                <w:highlight w:val="none"/>
                <w14:textFill>
                  <w14:solidFill>
                    <w14:schemeClr w14:val="tx1"/>
                  </w14:solidFill>
                </w14:textFill>
              </w:rPr>
              <w:t>（</w:t>
            </w:r>
            <w:r>
              <w:rPr>
                <w:rFonts w:hint="eastAsia" w:ascii="宋体" w:hAnsi="宋体" w:cs="宋体"/>
                <w:b w:val="0"/>
                <w:bCs/>
                <w:color w:val="000000" w:themeColor="text1"/>
                <w:kern w:val="0"/>
                <w:sz w:val="21"/>
                <w:szCs w:val="22"/>
                <w:highlight w:val="none"/>
                <w:lang w:val="en-US" w:eastAsia="zh-CN"/>
                <w14:textFill>
                  <w14:solidFill>
                    <w14:schemeClr w14:val="tx1"/>
                  </w14:solidFill>
                </w14:textFill>
              </w:rPr>
              <w:t>9</w:t>
            </w:r>
            <w:r>
              <w:rPr>
                <w:rFonts w:hint="eastAsia" w:ascii="宋体" w:hAnsi="宋体" w:eastAsia="宋体" w:cs="宋体"/>
                <w:b w:val="0"/>
                <w:bCs/>
                <w:color w:val="000000" w:themeColor="text1"/>
                <w:kern w:val="0"/>
                <w:sz w:val="21"/>
                <w:szCs w:val="22"/>
                <w:highlight w:val="none"/>
                <w14:textFill>
                  <w14:solidFill>
                    <w14:schemeClr w14:val="tx1"/>
                  </w14:solidFill>
                </w14:textFill>
              </w:rPr>
              <w:t>分）</w:t>
            </w:r>
          </w:p>
        </w:tc>
        <w:tc>
          <w:tcPr>
            <w:tcW w:w="4961" w:type="dxa"/>
            <w:tcBorders>
              <w:top w:val="single" w:color="auto" w:sz="4" w:space="0"/>
              <w:left w:val="single" w:color="auto" w:sz="4" w:space="0"/>
              <w:bottom w:val="single" w:color="auto" w:sz="4" w:space="0"/>
              <w:right w:val="single" w:color="auto" w:sz="4" w:space="0"/>
            </w:tcBorders>
            <w:noWrap w:val="0"/>
            <w:vAlign w:val="center"/>
          </w:tcPr>
          <w:p w14:paraId="0DFE3DFA">
            <w:pPr>
              <w:numPr>
                <w:ilvl w:val="0"/>
                <w:numId w:val="0"/>
              </w:numPr>
              <w:snapToGrid w:val="0"/>
              <w:spacing w:line="360" w:lineRule="auto"/>
              <w:ind w:left="0" w:leftChars="0" w:firstLine="420" w:firstLineChars="200"/>
              <w:jc w:val="left"/>
              <w:rPr>
                <w:rFonts w:hint="eastAsia" w:ascii="宋体" w:hAnsi="Times New Roman" w:eastAsia="宋体" w:cs="Times New Roman"/>
                <w:color w:val="000000" w:themeColor="text1"/>
                <w:sz w:val="21"/>
                <w:highlight w:val="none"/>
                <w:lang w:val="zh-CN" w:eastAsia="zh-CN"/>
                <w14:textFill>
                  <w14:solidFill>
                    <w14:schemeClr w14:val="tx1"/>
                  </w14:solidFill>
                </w14:textFill>
              </w:rPr>
            </w:pPr>
            <w:r>
              <w:rPr>
                <w:rFonts w:hint="eastAsia" w:ascii="宋体" w:hAnsi="Times New Roman" w:eastAsia="宋体" w:cs="Times New Roman"/>
                <w:color w:val="000000" w:themeColor="text1"/>
                <w:sz w:val="21"/>
                <w:highlight w:val="none"/>
                <w:lang w:val="zh-CN" w:eastAsia="zh-CN"/>
                <w14:textFill>
                  <w14:solidFill>
                    <w14:schemeClr w14:val="tx1"/>
                  </w14:solidFill>
                </w14:textFill>
              </w:rPr>
              <w:t>根据投标人所提供售后服务</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承诺及</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方案、培训</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方案</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、技术人员配备、维修维护响应时间及其它优惠等进行评审：</w:t>
            </w:r>
          </w:p>
          <w:p w14:paraId="548FFBFB">
            <w:pPr>
              <w:numPr>
                <w:ilvl w:val="0"/>
                <w:numId w:val="0"/>
              </w:numPr>
              <w:snapToGrid w:val="0"/>
              <w:spacing w:line="360" w:lineRule="auto"/>
              <w:ind w:left="0" w:leftChars="0" w:firstLine="420" w:firstLineChars="200"/>
              <w:jc w:val="left"/>
              <w:rPr>
                <w:rFonts w:hint="eastAsia" w:ascii="宋体" w:hAnsi="Times New Roman" w:eastAsia="宋体" w:cs="Times New Roman"/>
                <w:color w:val="000000" w:themeColor="text1"/>
                <w:sz w:val="21"/>
                <w:highlight w:val="none"/>
                <w:lang w:val="zh-CN" w:eastAsia="zh-CN"/>
                <w14:textFill>
                  <w14:solidFill>
                    <w14:schemeClr w14:val="tx1"/>
                  </w14:solidFill>
                </w14:textFill>
              </w:rPr>
            </w:pPr>
            <w:r>
              <w:rPr>
                <w:rFonts w:hint="eastAsia" w:ascii="宋体" w:hAnsi="Times New Roman" w:eastAsia="宋体" w:cs="Times New Roman"/>
                <w:color w:val="000000" w:themeColor="text1"/>
                <w:sz w:val="21"/>
                <w:highlight w:val="none"/>
                <w:lang w:val="en-US" w:eastAsia="zh-CN"/>
                <w14:textFill>
                  <w14:solidFill>
                    <w14:schemeClr w14:val="tx1"/>
                  </w14:solidFill>
                </w14:textFill>
              </w:rPr>
              <w:t>1、</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售后服务</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承诺及</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方案措施内容详实完善、条理清晰，培训</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方案</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的内容及方式合理、针对性强，专业售后服务技术人员配备齐全得</w:t>
            </w:r>
            <w:r>
              <w:rPr>
                <w:rFonts w:hint="eastAsia" w:ascii="宋体" w:cs="Times New Roman"/>
                <w:color w:val="000000" w:themeColor="text1"/>
                <w:sz w:val="21"/>
                <w:highlight w:val="none"/>
                <w:lang w:val="en-US" w:eastAsia="zh-CN"/>
                <w14:textFill>
                  <w14:solidFill>
                    <w14:schemeClr w14:val="tx1"/>
                  </w14:solidFill>
                </w14:textFill>
              </w:rPr>
              <w:t>9</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分；</w:t>
            </w:r>
          </w:p>
          <w:p w14:paraId="438D05F7">
            <w:pPr>
              <w:numPr>
                <w:ilvl w:val="0"/>
                <w:numId w:val="0"/>
              </w:numPr>
              <w:snapToGrid w:val="0"/>
              <w:spacing w:line="360" w:lineRule="auto"/>
              <w:ind w:left="0" w:leftChars="0" w:firstLine="420" w:firstLineChars="200"/>
              <w:jc w:val="left"/>
              <w:rPr>
                <w:rFonts w:hint="eastAsia" w:ascii="宋体" w:hAnsi="Times New Roman" w:eastAsia="宋体" w:cs="Times New Roman"/>
                <w:color w:val="000000" w:themeColor="text1"/>
                <w:sz w:val="21"/>
                <w:highlight w:val="none"/>
                <w:lang w:val="zh-CN" w:eastAsia="zh-CN"/>
                <w14:textFill>
                  <w14:solidFill>
                    <w14:schemeClr w14:val="tx1"/>
                  </w14:solidFill>
                </w14:textFill>
              </w:rPr>
            </w:pPr>
            <w:r>
              <w:rPr>
                <w:rFonts w:hint="eastAsia" w:ascii="宋体" w:hAnsi="Times New Roman" w:eastAsia="宋体" w:cs="Times New Roman"/>
                <w:color w:val="000000" w:themeColor="text1"/>
                <w:sz w:val="21"/>
                <w:highlight w:val="none"/>
                <w:lang w:val="en-US" w:eastAsia="zh-CN"/>
                <w14:textFill>
                  <w14:solidFill>
                    <w14:schemeClr w14:val="tx1"/>
                  </w14:solidFill>
                </w14:textFill>
              </w:rPr>
              <w:t>2、</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售后服务</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承诺及</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方案措施内容较详实完善，培训</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方案</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的内容及方式较合理、针对性较强，专业售后服务技术人员配备较齐全得</w:t>
            </w:r>
            <w:r>
              <w:rPr>
                <w:rFonts w:hint="eastAsia" w:ascii="宋体" w:cs="Times New Roman"/>
                <w:color w:val="000000" w:themeColor="text1"/>
                <w:sz w:val="21"/>
                <w:highlight w:val="none"/>
                <w:lang w:val="en-US" w:eastAsia="zh-CN"/>
                <w14:textFill>
                  <w14:solidFill>
                    <w14:schemeClr w14:val="tx1"/>
                  </w14:solidFill>
                </w14:textFill>
              </w:rPr>
              <w:t>6</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分；</w:t>
            </w:r>
          </w:p>
          <w:p w14:paraId="05ACB555">
            <w:pPr>
              <w:numPr>
                <w:ilvl w:val="0"/>
                <w:numId w:val="0"/>
              </w:numPr>
              <w:snapToGrid w:val="0"/>
              <w:spacing w:line="360" w:lineRule="auto"/>
              <w:ind w:left="0" w:leftChars="0" w:firstLine="420" w:firstLineChars="200"/>
              <w:jc w:val="left"/>
              <w:rPr>
                <w:rFonts w:hint="eastAsia" w:ascii="宋体" w:hAnsi="Times New Roman" w:eastAsia="宋体" w:cs="Times New Roman"/>
                <w:color w:val="000000" w:themeColor="text1"/>
                <w:sz w:val="21"/>
                <w:highlight w:val="none"/>
                <w:lang w:val="zh-CN" w:eastAsia="zh-CN"/>
                <w14:textFill>
                  <w14:solidFill>
                    <w14:schemeClr w14:val="tx1"/>
                  </w14:solidFill>
                </w14:textFill>
              </w:rPr>
            </w:pPr>
            <w:r>
              <w:rPr>
                <w:rFonts w:hint="eastAsia" w:ascii="宋体" w:cs="Times New Roman"/>
                <w:color w:val="000000" w:themeColor="text1"/>
                <w:sz w:val="21"/>
                <w:highlight w:val="none"/>
                <w:lang w:val="en-US" w:eastAsia="zh-CN"/>
                <w14:textFill>
                  <w14:solidFill>
                    <w14:schemeClr w14:val="tx1"/>
                  </w14:solidFill>
                </w14:textFill>
              </w:rPr>
              <w:t>3</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售后服务</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承诺及</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方案措施内容完善</w:t>
            </w:r>
            <w:r>
              <w:rPr>
                <w:rFonts w:hint="eastAsia" w:ascii="宋体" w:cs="Times New Roman"/>
                <w:color w:val="000000" w:themeColor="text1"/>
                <w:sz w:val="21"/>
                <w:highlight w:val="none"/>
                <w:lang w:val="en-US" w:eastAsia="zh-CN"/>
                <w14:textFill>
                  <w14:solidFill>
                    <w14:schemeClr w14:val="tx1"/>
                  </w14:solidFill>
                </w14:textFill>
              </w:rPr>
              <w:t>性一般</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，培训</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方案</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的内容及方式合理</w:t>
            </w:r>
            <w:r>
              <w:rPr>
                <w:rFonts w:hint="eastAsia" w:ascii="宋体" w:cs="Times New Roman"/>
                <w:color w:val="000000" w:themeColor="text1"/>
                <w:sz w:val="21"/>
                <w:highlight w:val="none"/>
                <w:lang w:val="en-US" w:eastAsia="zh-CN"/>
                <w14:textFill>
                  <w14:solidFill>
                    <w14:schemeClr w14:val="tx1"/>
                  </w14:solidFill>
                </w14:textFill>
              </w:rPr>
              <w:t>性一般</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、针对性</w:t>
            </w:r>
            <w:r>
              <w:rPr>
                <w:rFonts w:hint="eastAsia" w:ascii="宋体" w:cs="Times New Roman"/>
                <w:color w:val="000000" w:themeColor="text1"/>
                <w:sz w:val="21"/>
                <w:highlight w:val="none"/>
                <w:lang w:val="en-US" w:eastAsia="zh-CN"/>
                <w14:textFill>
                  <w14:solidFill>
                    <w14:schemeClr w14:val="tx1"/>
                  </w14:solidFill>
                </w14:textFill>
              </w:rPr>
              <w:t>一般</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，专业售后服务技术人员配备</w:t>
            </w:r>
            <w:r>
              <w:rPr>
                <w:rFonts w:hint="eastAsia" w:ascii="宋体" w:cs="Times New Roman"/>
                <w:color w:val="000000" w:themeColor="text1"/>
                <w:sz w:val="21"/>
                <w:highlight w:val="none"/>
                <w:lang w:val="en-US" w:eastAsia="zh-CN"/>
                <w14:textFill>
                  <w14:solidFill>
                    <w14:schemeClr w14:val="tx1"/>
                  </w14:solidFill>
                </w14:textFill>
              </w:rPr>
              <w:t>基本</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齐全得</w:t>
            </w:r>
            <w:r>
              <w:rPr>
                <w:rFonts w:hint="eastAsia" w:ascii="宋体" w:cs="Times New Roman"/>
                <w:color w:val="000000" w:themeColor="text1"/>
                <w:sz w:val="21"/>
                <w:highlight w:val="none"/>
                <w:lang w:val="en-US" w:eastAsia="zh-CN"/>
                <w14:textFill>
                  <w14:solidFill>
                    <w14:schemeClr w14:val="tx1"/>
                  </w14:solidFill>
                </w14:textFill>
              </w:rPr>
              <w:t>3</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分；</w:t>
            </w:r>
          </w:p>
          <w:p w14:paraId="28A93DF1">
            <w:pPr>
              <w:numPr>
                <w:ilvl w:val="0"/>
                <w:numId w:val="0"/>
              </w:numPr>
              <w:snapToGrid w:val="0"/>
              <w:spacing w:line="360" w:lineRule="auto"/>
              <w:ind w:left="0" w:leftChars="0" w:firstLine="420" w:firstLineChars="200"/>
              <w:jc w:val="left"/>
              <w:rPr>
                <w:rFonts w:hint="eastAsia" w:ascii="宋体" w:hAnsi="Times New Roman" w:eastAsia="宋体" w:cs="Times New Roman"/>
                <w:color w:val="000000" w:themeColor="text1"/>
                <w:sz w:val="21"/>
                <w:highlight w:val="none"/>
                <w:lang w:val="en-US" w:eastAsia="zh-CN"/>
                <w14:textFill>
                  <w14:solidFill>
                    <w14:schemeClr w14:val="tx1"/>
                  </w14:solidFill>
                </w14:textFill>
              </w:rPr>
            </w:pPr>
            <w:r>
              <w:rPr>
                <w:rFonts w:hint="eastAsia" w:ascii="宋体" w:cs="Times New Roman"/>
                <w:color w:val="000000" w:themeColor="text1"/>
                <w:sz w:val="21"/>
                <w:highlight w:val="none"/>
                <w:lang w:val="en-US" w:eastAsia="zh-CN"/>
                <w14:textFill>
                  <w14:solidFill>
                    <w14:schemeClr w14:val="tx1"/>
                  </w14:solidFill>
                </w14:textFill>
              </w:rPr>
              <w:t>4</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售后服务</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承诺及</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方案措施内容粗略，培训</w:t>
            </w:r>
            <w:r>
              <w:rPr>
                <w:rFonts w:hint="eastAsia" w:ascii="宋体" w:hAnsi="Times New Roman" w:eastAsia="宋体" w:cs="Times New Roman"/>
                <w:color w:val="000000" w:themeColor="text1"/>
                <w:sz w:val="21"/>
                <w:highlight w:val="none"/>
                <w:lang w:val="en-US" w:eastAsia="zh-CN"/>
                <w14:textFill>
                  <w14:solidFill>
                    <w14:schemeClr w14:val="tx1"/>
                  </w14:solidFill>
                </w14:textFill>
              </w:rPr>
              <w:t>方案</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的内容及方式</w:t>
            </w:r>
            <w:r>
              <w:rPr>
                <w:rFonts w:hint="eastAsia" w:ascii="宋体" w:cs="Times New Roman"/>
                <w:color w:val="000000" w:themeColor="text1"/>
                <w:sz w:val="21"/>
                <w:highlight w:val="none"/>
                <w:lang w:val="en-US" w:eastAsia="zh-CN"/>
                <w14:textFill>
                  <w14:solidFill>
                    <w14:schemeClr w14:val="tx1"/>
                  </w14:solidFill>
                </w14:textFill>
              </w:rPr>
              <w:t>较差</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、针对性较差，专业售后服务技术人员配备</w:t>
            </w:r>
            <w:r>
              <w:rPr>
                <w:rFonts w:hint="eastAsia" w:ascii="宋体" w:cs="Times New Roman"/>
                <w:color w:val="000000" w:themeColor="text1"/>
                <w:sz w:val="21"/>
                <w:highlight w:val="none"/>
                <w:lang w:val="en-US" w:eastAsia="zh-CN"/>
                <w14:textFill>
                  <w14:solidFill>
                    <w14:schemeClr w14:val="tx1"/>
                  </w14:solidFill>
                </w14:textFill>
              </w:rPr>
              <w:t>不</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齐全得</w:t>
            </w:r>
            <w:r>
              <w:rPr>
                <w:rFonts w:hint="eastAsia" w:ascii="宋体" w:cs="Times New Roman"/>
                <w:color w:val="000000" w:themeColor="text1"/>
                <w:sz w:val="21"/>
                <w:highlight w:val="none"/>
                <w:lang w:val="en-US" w:eastAsia="zh-CN"/>
                <w14:textFill>
                  <w14:solidFill>
                    <w14:schemeClr w14:val="tx1"/>
                  </w14:solidFill>
                </w14:textFill>
              </w:rPr>
              <w:t>1</w:t>
            </w:r>
            <w:r>
              <w:rPr>
                <w:rFonts w:hint="eastAsia" w:ascii="宋体" w:hAnsi="Times New Roman" w:eastAsia="宋体" w:cs="Times New Roman"/>
                <w:color w:val="000000" w:themeColor="text1"/>
                <w:sz w:val="21"/>
                <w:highlight w:val="none"/>
                <w:lang w:val="zh-CN" w:eastAsia="zh-CN"/>
                <w14:textFill>
                  <w14:solidFill>
                    <w14:schemeClr w14:val="tx1"/>
                  </w14:solidFill>
                </w14:textFill>
              </w:rPr>
              <w:t>分；</w:t>
            </w:r>
          </w:p>
        </w:tc>
      </w:tr>
    </w:tbl>
    <w:p w14:paraId="682BF5E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说明：以上项目若有缺项的，该项为0分；不缺项的，不低于最低分。</w:t>
      </w:r>
    </w:p>
    <w:p w14:paraId="272887B5">
      <w:pPr>
        <w:pageBreakBefore w:val="0"/>
        <w:widowControl w:val="0"/>
        <w:kinsoku/>
        <w:wordWrap/>
        <w:overflowPunct/>
        <w:topLinePunct w:val="0"/>
        <w:autoSpaceDE/>
        <w:autoSpaceDN/>
        <w:bidi w:val="0"/>
        <w:spacing w:line="360" w:lineRule="auto"/>
        <w:rPr>
          <w:rFonts w:hint="eastAsia" w:ascii="宋体" w:hAnsi="宋体" w:eastAsia="宋体" w:cs="宋体"/>
          <w:color w:val="000000" w:themeColor="text1"/>
          <w:highlight w:val="none"/>
          <w14:textFill>
            <w14:solidFill>
              <w14:schemeClr w14:val="tx1"/>
            </w14:solidFill>
          </w14:textFill>
        </w:rPr>
      </w:pPr>
    </w:p>
    <w:p w14:paraId="732432D1">
      <w:pPr>
        <w:keepNext/>
        <w:keepLines/>
        <w:pageBreakBefore w:val="0"/>
        <w:widowControl w:val="0"/>
        <w:kinsoku/>
        <w:wordWrap/>
        <w:overflowPunct/>
        <w:topLinePunct w:val="0"/>
        <w:autoSpaceDE/>
        <w:autoSpaceDN/>
        <w:bidi w:val="0"/>
        <w:spacing w:line="360"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742" w:name="_Toc135648931"/>
      <w:r>
        <w:rPr>
          <w:rFonts w:hint="eastAsia" w:ascii="宋体" w:hAnsi="宋体" w:eastAsia="宋体" w:cs="宋体"/>
          <w:b/>
          <w:bCs/>
          <w:color w:val="000000" w:themeColor="text1"/>
          <w:kern w:val="0"/>
          <w:sz w:val="32"/>
          <w:szCs w:val="32"/>
          <w:highlight w:val="none"/>
          <w14:textFill>
            <w14:solidFill>
              <w14:schemeClr w14:val="tx1"/>
            </w14:solidFill>
          </w14:textFill>
        </w:rPr>
        <w:t>1. 评标方法</w:t>
      </w:r>
      <w:bookmarkEnd w:id="742"/>
    </w:p>
    <w:p w14:paraId="12F1397B">
      <w:pPr>
        <w:pageBreakBefore w:val="0"/>
        <w:widowControl w:val="0"/>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1145C9AC">
      <w:pPr>
        <w:keepNext/>
        <w:keepLines/>
        <w:pageBreakBefore w:val="0"/>
        <w:widowControl w:val="0"/>
        <w:kinsoku/>
        <w:wordWrap/>
        <w:overflowPunct/>
        <w:topLinePunct w:val="0"/>
        <w:autoSpaceDE/>
        <w:autoSpaceDN/>
        <w:bidi w:val="0"/>
        <w:spacing w:line="360"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743" w:name="_Toc135648932"/>
      <w:r>
        <w:rPr>
          <w:rFonts w:hint="eastAsia" w:ascii="宋体" w:hAnsi="宋体" w:eastAsia="宋体" w:cs="宋体"/>
          <w:b/>
          <w:bCs/>
          <w:color w:val="000000" w:themeColor="text1"/>
          <w:kern w:val="0"/>
          <w:sz w:val="32"/>
          <w:szCs w:val="32"/>
          <w:highlight w:val="none"/>
          <w14:textFill>
            <w14:solidFill>
              <w14:schemeClr w14:val="tx1"/>
            </w14:solidFill>
          </w14:textFill>
        </w:rPr>
        <w:t>2. 评审标准</w:t>
      </w:r>
      <w:bookmarkEnd w:id="743"/>
    </w:p>
    <w:p w14:paraId="7B581929">
      <w:pPr>
        <w:keepNext/>
        <w:keepLines/>
        <w:pageBreakBefore w:val="0"/>
        <w:widowControl w:val="0"/>
        <w:kinsoku/>
        <w:wordWrap/>
        <w:overflowPunct/>
        <w:topLinePunct w:val="0"/>
        <w:autoSpaceDE/>
        <w:autoSpaceDN/>
        <w:bidi w:val="0"/>
        <w:spacing w:line="360" w:lineRule="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744" w:name="_Toc135648933"/>
      <w:bookmarkStart w:id="745" w:name="_Toc135922572"/>
      <w:r>
        <w:rPr>
          <w:rFonts w:hint="eastAsia" w:ascii="宋体" w:hAnsi="宋体" w:eastAsia="宋体" w:cs="宋体"/>
          <w:b/>
          <w:bCs/>
          <w:color w:val="000000" w:themeColor="text1"/>
          <w:sz w:val="28"/>
          <w:szCs w:val="28"/>
          <w:highlight w:val="none"/>
          <w14:textFill>
            <w14:solidFill>
              <w14:schemeClr w14:val="tx1"/>
            </w14:solidFill>
          </w14:textFill>
        </w:rPr>
        <w:t>2.1 初步评审标准</w:t>
      </w:r>
      <w:bookmarkEnd w:id="744"/>
      <w:bookmarkEnd w:id="745"/>
    </w:p>
    <w:p w14:paraId="426EC46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2.1.1资格评审标准：见评标办法前附表</w:t>
      </w:r>
    </w:p>
    <w:p w14:paraId="5BD3800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2.1.2符合性评审标准：见评标办法前附表</w:t>
      </w:r>
    </w:p>
    <w:p w14:paraId="0F8904B8">
      <w:pPr>
        <w:keepNext/>
        <w:keepLines/>
        <w:pageBreakBefore w:val="0"/>
        <w:widowControl w:val="0"/>
        <w:kinsoku/>
        <w:wordWrap/>
        <w:overflowPunct/>
        <w:topLinePunct w:val="0"/>
        <w:autoSpaceDE/>
        <w:autoSpaceDN/>
        <w:bidi w:val="0"/>
        <w:spacing w:line="360" w:lineRule="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746" w:name="_Toc135922573"/>
      <w:bookmarkStart w:id="747" w:name="_Toc135648934"/>
      <w:r>
        <w:rPr>
          <w:rFonts w:hint="eastAsia" w:ascii="宋体" w:hAnsi="宋体" w:eastAsia="宋体" w:cs="宋体"/>
          <w:b/>
          <w:bCs/>
          <w:color w:val="000000" w:themeColor="text1"/>
          <w:sz w:val="28"/>
          <w:szCs w:val="28"/>
          <w:highlight w:val="none"/>
          <w14:textFill>
            <w14:solidFill>
              <w14:schemeClr w14:val="tx1"/>
            </w14:solidFill>
          </w14:textFill>
        </w:rPr>
        <w:t>2.2 分值构成与评分标准</w:t>
      </w:r>
      <w:bookmarkEnd w:id="746"/>
      <w:bookmarkEnd w:id="747"/>
    </w:p>
    <w:p w14:paraId="4F84169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2.2.1 分值构成</w:t>
      </w:r>
    </w:p>
    <w:p w14:paraId="3497EB63">
      <w:pPr>
        <w:pageBreakBefore w:val="0"/>
        <w:widowControl w:val="0"/>
        <w:kinsoku/>
        <w:wordWrap/>
        <w:overflowPunct/>
        <w:topLinePunct w:val="0"/>
        <w:autoSpaceDE/>
        <w:autoSpaceDN/>
        <w:bidi w:val="0"/>
        <w:spacing w:line="360" w:lineRule="auto"/>
        <w:ind w:firstLine="630" w:firstLineChars="3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（1）投标报价：见评标办法前附表；</w:t>
      </w:r>
    </w:p>
    <w:p w14:paraId="69C045D3">
      <w:pPr>
        <w:pageBreakBefore w:val="0"/>
        <w:widowControl w:val="0"/>
        <w:kinsoku/>
        <w:wordWrap/>
        <w:overflowPunct/>
        <w:topLinePunct w:val="0"/>
        <w:autoSpaceDE/>
        <w:autoSpaceDN/>
        <w:bidi w:val="0"/>
        <w:spacing w:line="360" w:lineRule="auto"/>
        <w:ind w:firstLine="630" w:firstLineChars="3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（2）技术标</w:t>
      </w:r>
      <w:r>
        <w:rPr>
          <w:rFonts w:hint="eastAsia" w:ascii="宋体" w:hAnsi="宋体" w:eastAsia="宋体" w:cs="宋体"/>
          <w:color w:val="000000" w:themeColor="text1"/>
          <w:szCs w:val="24"/>
          <w:highlight w:val="none"/>
          <w:lang w:eastAsia="zh-CN"/>
          <w14:textFill>
            <w14:solidFill>
              <w14:schemeClr w14:val="tx1"/>
            </w14:solidFill>
          </w14:textFill>
        </w:rPr>
        <w:t>部分</w:t>
      </w:r>
      <w:r>
        <w:rPr>
          <w:rFonts w:hint="eastAsia" w:ascii="宋体" w:hAnsi="宋体" w:eastAsia="宋体" w:cs="宋体"/>
          <w:color w:val="000000" w:themeColor="text1"/>
          <w:szCs w:val="24"/>
          <w:highlight w:val="none"/>
          <w14:textFill>
            <w14:solidFill>
              <w14:schemeClr w14:val="tx1"/>
            </w14:solidFill>
          </w14:textFill>
        </w:rPr>
        <w:t>：见评标办法前附表；</w:t>
      </w:r>
    </w:p>
    <w:p w14:paraId="5C735260">
      <w:pPr>
        <w:pageBreakBefore w:val="0"/>
        <w:widowControl w:val="0"/>
        <w:kinsoku/>
        <w:wordWrap/>
        <w:overflowPunct/>
        <w:topLinePunct w:val="0"/>
        <w:autoSpaceDE/>
        <w:autoSpaceDN/>
        <w:bidi w:val="0"/>
        <w:spacing w:line="360" w:lineRule="auto"/>
        <w:ind w:firstLine="630" w:firstLineChars="3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w:t>
      </w:r>
      <w:r>
        <w:rPr>
          <w:rFonts w:hint="eastAsia" w:ascii="宋体" w:hAnsi="宋体" w:eastAsia="宋体" w:cs="宋体"/>
          <w:color w:val="000000" w:themeColor="text1"/>
          <w:szCs w:val="24"/>
          <w:highlight w:val="none"/>
          <w:lang w:eastAsia="zh-CN"/>
          <w14:textFill>
            <w14:solidFill>
              <w14:schemeClr w14:val="tx1"/>
            </w14:solidFill>
          </w14:textFill>
        </w:rPr>
        <w:t>综合</w:t>
      </w:r>
      <w:r>
        <w:rPr>
          <w:rFonts w:hint="eastAsia" w:ascii="宋体" w:hAnsi="宋体" w:eastAsia="宋体" w:cs="宋体"/>
          <w:color w:val="000000" w:themeColor="text1"/>
          <w:szCs w:val="24"/>
          <w:highlight w:val="none"/>
          <w14:textFill>
            <w14:solidFill>
              <w14:schemeClr w14:val="tx1"/>
            </w14:solidFill>
          </w14:textFill>
        </w:rPr>
        <w:t>部分：见评标办法前附表；</w:t>
      </w:r>
    </w:p>
    <w:p w14:paraId="549D2BB2">
      <w:pPr>
        <w:pageBreakBefore w:val="0"/>
        <w:widowControl w:val="0"/>
        <w:kinsoku/>
        <w:wordWrap/>
        <w:overflowPunct/>
        <w:topLinePunct w:val="0"/>
        <w:autoSpaceDE/>
        <w:autoSpaceDN/>
        <w:bidi w:val="0"/>
        <w:spacing w:line="360" w:lineRule="auto"/>
        <w:ind w:firstLine="424" w:firstLineChars="20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2.2.2评标基准价计算</w:t>
      </w:r>
    </w:p>
    <w:p w14:paraId="22E10A86">
      <w:pPr>
        <w:pageBreakBefore w:val="0"/>
        <w:widowControl w:val="0"/>
        <w:kinsoku/>
        <w:wordWrap/>
        <w:overflowPunct/>
        <w:topLinePunct w:val="0"/>
        <w:autoSpaceDE/>
        <w:autoSpaceDN/>
        <w:bidi w:val="0"/>
        <w:spacing w:line="360" w:lineRule="auto"/>
        <w:ind w:firstLine="840" w:firstLineChars="4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 xml:space="preserve"> 评标基准价计算方法：见评标办法前附表。</w:t>
      </w:r>
    </w:p>
    <w:p w14:paraId="14708EE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2.2.3 评分标准</w:t>
      </w:r>
    </w:p>
    <w:p w14:paraId="69B82ADB">
      <w:pPr>
        <w:pageBreakBefore w:val="0"/>
        <w:widowControl w:val="0"/>
        <w:kinsoku/>
        <w:wordWrap/>
        <w:overflowPunct/>
        <w:topLinePunct w:val="0"/>
        <w:autoSpaceDE/>
        <w:autoSpaceDN/>
        <w:bidi w:val="0"/>
        <w:spacing w:line="360" w:lineRule="auto"/>
        <w:ind w:firstLine="718" w:firstLineChars="34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（1）投标报价评分标准：见评标办法前附表；</w:t>
      </w:r>
    </w:p>
    <w:p w14:paraId="7E18FE93">
      <w:pPr>
        <w:pageBreakBefore w:val="0"/>
        <w:widowControl w:val="0"/>
        <w:kinsoku/>
        <w:wordWrap/>
        <w:overflowPunct/>
        <w:topLinePunct w:val="0"/>
        <w:autoSpaceDE/>
        <w:autoSpaceDN/>
        <w:bidi w:val="0"/>
        <w:spacing w:line="360" w:lineRule="auto"/>
        <w:ind w:firstLine="718" w:firstLineChars="34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（2）技术标</w:t>
      </w:r>
      <w:r>
        <w:rPr>
          <w:rFonts w:hint="eastAsia" w:ascii="宋体" w:hAnsi="宋体" w:eastAsia="宋体" w:cs="宋体"/>
          <w:color w:val="000000" w:themeColor="text1"/>
          <w:szCs w:val="24"/>
          <w:highlight w:val="none"/>
          <w:lang w:eastAsia="zh-CN"/>
          <w14:textFill>
            <w14:solidFill>
              <w14:schemeClr w14:val="tx1"/>
            </w14:solidFill>
          </w14:textFill>
        </w:rPr>
        <w:t>部分</w:t>
      </w:r>
      <w:r>
        <w:rPr>
          <w:rFonts w:hint="eastAsia" w:ascii="宋体" w:hAnsi="宋体" w:eastAsia="宋体" w:cs="宋体"/>
          <w:color w:val="000000" w:themeColor="text1"/>
          <w:szCs w:val="24"/>
          <w:highlight w:val="none"/>
          <w14:textFill>
            <w14:solidFill>
              <w14:schemeClr w14:val="tx1"/>
            </w14:solidFill>
          </w14:textFill>
        </w:rPr>
        <w:t>评分标准：见评标办法前附表；</w:t>
      </w:r>
    </w:p>
    <w:p w14:paraId="324D318D">
      <w:pPr>
        <w:pageBreakBefore w:val="0"/>
        <w:widowControl w:val="0"/>
        <w:kinsoku/>
        <w:wordWrap/>
        <w:overflowPunct/>
        <w:topLinePunct w:val="0"/>
        <w:autoSpaceDE/>
        <w:autoSpaceDN/>
        <w:bidi w:val="0"/>
        <w:spacing w:line="360" w:lineRule="auto"/>
        <w:ind w:firstLine="735" w:firstLineChars="35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w:t>
      </w:r>
      <w:r>
        <w:rPr>
          <w:rFonts w:hint="eastAsia" w:ascii="宋体" w:hAnsi="宋体" w:eastAsia="宋体" w:cs="宋体"/>
          <w:color w:val="000000" w:themeColor="text1"/>
          <w:szCs w:val="24"/>
          <w:highlight w:val="none"/>
          <w:lang w:eastAsia="zh-CN"/>
          <w14:textFill>
            <w14:solidFill>
              <w14:schemeClr w14:val="tx1"/>
            </w14:solidFill>
          </w14:textFill>
        </w:rPr>
        <w:t>综合部分</w:t>
      </w:r>
      <w:r>
        <w:rPr>
          <w:rFonts w:hint="eastAsia" w:ascii="宋体" w:hAnsi="宋体" w:eastAsia="宋体" w:cs="宋体"/>
          <w:color w:val="000000" w:themeColor="text1"/>
          <w:szCs w:val="24"/>
          <w:highlight w:val="none"/>
          <w14:textFill>
            <w14:solidFill>
              <w14:schemeClr w14:val="tx1"/>
            </w14:solidFill>
          </w14:textFill>
        </w:rPr>
        <w:t>评分标准：见评标办法前附表；</w:t>
      </w:r>
    </w:p>
    <w:p w14:paraId="1F0CA52B">
      <w:pPr>
        <w:keepNext/>
        <w:keepLines/>
        <w:pageBreakBefore w:val="0"/>
        <w:widowControl w:val="0"/>
        <w:kinsoku/>
        <w:wordWrap/>
        <w:overflowPunct/>
        <w:topLinePunct w:val="0"/>
        <w:autoSpaceDE/>
        <w:autoSpaceDN/>
        <w:bidi w:val="0"/>
        <w:spacing w:line="360"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748" w:name="_Toc135648935"/>
      <w:r>
        <w:rPr>
          <w:rFonts w:hint="eastAsia" w:ascii="宋体" w:hAnsi="宋体" w:eastAsia="宋体" w:cs="宋体"/>
          <w:b/>
          <w:bCs/>
          <w:color w:val="000000" w:themeColor="text1"/>
          <w:kern w:val="0"/>
          <w:sz w:val="32"/>
          <w:szCs w:val="32"/>
          <w:highlight w:val="none"/>
          <w14:textFill>
            <w14:solidFill>
              <w14:schemeClr w14:val="tx1"/>
            </w14:solidFill>
          </w14:textFill>
        </w:rPr>
        <w:t>3. 评标程序</w:t>
      </w:r>
      <w:bookmarkEnd w:id="748"/>
    </w:p>
    <w:p w14:paraId="107E5B08">
      <w:pPr>
        <w:keepNext/>
        <w:keepLines/>
        <w:pageBreakBefore w:val="0"/>
        <w:widowControl w:val="0"/>
        <w:kinsoku/>
        <w:wordWrap/>
        <w:overflowPunct/>
        <w:topLinePunct w:val="0"/>
        <w:autoSpaceDE/>
        <w:autoSpaceDN/>
        <w:bidi w:val="0"/>
        <w:spacing w:line="360" w:lineRule="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749" w:name="_Toc135922574"/>
      <w:bookmarkStart w:id="750" w:name="_Toc135648936"/>
      <w:r>
        <w:rPr>
          <w:rFonts w:hint="eastAsia" w:ascii="宋体" w:hAnsi="宋体" w:eastAsia="宋体" w:cs="宋体"/>
          <w:b/>
          <w:bCs/>
          <w:color w:val="000000" w:themeColor="text1"/>
          <w:sz w:val="28"/>
          <w:szCs w:val="28"/>
          <w:highlight w:val="none"/>
          <w14:textFill>
            <w14:solidFill>
              <w14:schemeClr w14:val="tx1"/>
            </w14:solidFill>
          </w14:textFill>
        </w:rPr>
        <w:t>3.1 初步评审</w:t>
      </w:r>
      <w:bookmarkEnd w:id="749"/>
      <w:bookmarkEnd w:id="750"/>
    </w:p>
    <w:p w14:paraId="4A024C7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3.1.1评标委员会依据符合性评审规定的标准对投标文件进行评审。有一项不符合评审标准的，评标委员会应当否决其投标。</w:t>
      </w:r>
    </w:p>
    <w:p w14:paraId="7836CFE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3.1.2投标文件报价出现前后不一致的， 按照下列规定修正：</w:t>
      </w:r>
    </w:p>
    <w:p w14:paraId="4129A8FA">
      <w:pPr>
        <w:pageBreakBefore w:val="0"/>
        <w:widowControl w:val="0"/>
        <w:kinsoku/>
        <w:wordWrap/>
        <w:overflowPunct/>
        <w:topLinePunct w:val="0"/>
        <w:autoSpaceDE/>
        <w:autoSpaceDN/>
        <w:bidi w:val="0"/>
        <w:spacing w:line="360" w:lineRule="auto"/>
        <w:ind w:firstLine="420" w:firstLineChars="200"/>
        <w:textAlignment w:val="baseline"/>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（1）投标文件中投标函附录（报价表）内容与投标文件中相应内容不一致的，以投标函附录（报价表）为准；</w:t>
      </w:r>
    </w:p>
    <w:p w14:paraId="3EC66993">
      <w:pPr>
        <w:pageBreakBefore w:val="0"/>
        <w:widowControl w:val="0"/>
        <w:kinsoku/>
        <w:wordWrap/>
        <w:overflowPunct/>
        <w:topLinePunct w:val="0"/>
        <w:autoSpaceDE/>
        <w:autoSpaceDN/>
        <w:bidi w:val="0"/>
        <w:spacing w:line="360" w:lineRule="auto"/>
        <w:ind w:firstLine="420" w:firstLineChars="200"/>
        <w:textAlignment w:val="baseline"/>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（2）大写金额和小写金额不一致的，以大写金额为准；</w:t>
      </w:r>
    </w:p>
    <w:p w14:paraId="19A2A5AA">
      <w:pPr>
        <w:pageBreakBefore w:val="0"/>
        <w:widowControl w:val="0"/>
        <w:kinsoku/>
        <w:wordWrap/>
        <w:overflowPunct/>
        <w:topLinePunct w:val="0"/>
        <w:autoSpaceDE/>
        <w:autoSpaceDN/>
        <w:bidi w:val="0"/>
        <w:spacing w:line="360" w:lineRule="auto"/>
        <w:ind w:firstLine="420" w:firstLineChars="200"/>
        <w:textAlignment w:val="baseline"/>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（3）单价金额小数点或者百分比有明显错位的，以</w:t>
      </w:r>
      <w:r>
        <w:rPr>
          <w:rFonts w:hint="eastAsia" w:ascii="宋体" w:hAnsi="宋体" w:eastAsia="宋体" w:cs="宋体"/>
          <w:color w:val="000000" w:themeColor="text1"/>
          <w:szCs w:val="24"/>
          <w:highlight w:val="none"/>
          <w:lang w:eastAsia="zh-CN"/>
          <w14:textFill>
            <w14:solidFill>
              <w14:schemeClr w14:val="tx1"/>
            </w14:solidFill>
          </w14:textFill>
        </w:rPr>
        <w:t>投标函附录</w:t>
      </w:r>
      <w:r>
        <w:rPr>
          <w:rFonts w:hint="eastAsia" w:ascii="宋体" w:hAnsi="宋体" w:eastAsia="宋体" w:cs="宋体"/>
          <w:color w:val="000000" w:themeColor="text1"/>
          <w:szCs w:val="24"/>
          <w:highlight w:val="none"/>
          <w14:textFill>
            <w14:solidFill>
              <w14:schemeClr w14:val="tx1"/>
            </w14:solidFill>
          </w14:textFill>
        </w:rPr>
        <w:t>的总价为准，并修改单价；</w:t>
      </w:r>
    </w:p>
    <w:p w14:paraId="2B80CF40">
      <w:pPr>
        <w:pageBreakBefore w:val="0"/>
        <w:widowControl w:val="0"/>
        <w:kinsoku/>
        <w:wordWrap/>
        <w:overflowPunct/>
        <w:topLinePunct w:val="0"/>
        <w:autoSpaceDE/>
        <w:autoSpaceDN/>
        <w:bidi w:val="0"/>
        <w:spacing w:line="360" w:lineRule="auto"/>
        <w:ind w:firstLine="420" w:firstLineChars="200"/>
        <w:textAlignment w:val="baseline"/>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（4）总价金额与按单价汇总金额不一致的，以单价金额计算结果为准。</w:t>
      </w:r>
    </w:p>
    <w:p w14:paraId="0B650B77">
      <w:pPr>
        <w:pageBreakBefore w:val="0"/>
        <w:widowControl w:val="0"/>
        <w:kinsoku/>
        <w:wordWrap/>
        <w:overflowPunct/>
        <w:topLinePunct w:val="0"/>
        <w:autoSpaceDE/>
        <w:autoSpaceDN/>
        <w:bidi w:val="0"/>
        <w:spacing w:line="360" w:lineRule="auto"/>
        <w:ind w:firstLine="529" w:firstLineChars="25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同时出现两种以上不一致的，按照前款规定的顺序修正。修正后的报价经投标人确认后产生约束力，投标人不确认的，其投标无效。对不同文字文本投标文件的解释发生异议的，以中文文本为准。</w:t>
      </w:r>
    </w:p>
    <w:p w14:paraId="0DDFCD5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lang w:val="en-US" w:eastAsia="zh-CN"/>
          <w14:textFill>
            <w14:solidFill>
              <w14:schemeClr w14:val="tx1"/>
            </w14:solidFill>
          </w14:textFill>
        </w:rPr>
      </w:pPr>
      <w:r>
        <w:rPr>
          <w:rFonts w:hint="eastAsia" w:ascii="宋体" w:hAnsi="宋体" w:eastAsia="宋体" w:cs="宋体"/>
          <w:color w:val="000000" w:themeColor="text1"/>
          <w:szCs w:val="24"/>
          <w:highlight w:val="none"/>
          <w:lang w:val="en-US" w:eastAsia="zh-CN"/>
          <w14:textFill>
            <w14:solidFill>
              <w14:schemeClr w14:val="tx1"/>
            </w14:solidFill>
          </w14:textFill>
        </w:rPr>
        <w:t>3.1.3</w:t>
      </w:r>
    </w:p>
    <w:p w14:paraId="5AB44C39">
      <w:pPr>
        <w:pageBreakBefore w:val="0"/>
        <w:widowControl w:val="0"/>
        <w:numPr>
          <w:ilvl w:val="0"/>
          <w:numId w:val="0"/>
        </w:numPr>
        <w:kinsoku/>
        <w:wordWrap/>
        <w:overflowPunct/>
        <w:topLinePunct w:val="0"/>
        <w:autoSpaceDE/>
        <w:autoSpaceDN/>
        <w:bidi w:val="0"/>
        <w:spacing w:line="360" w:lineRule="auto"/>
        <w:ind w:firstLine="529" w:firstLineChars="25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（1）</w:t>
      </w:r>
      <w:r>
        <w:rPr>
          <w:rFonts w:hint="eastAsia" w:ascii="宋体" w:hAnsi="宋体" w:eastAsia="宋体" w:cs="宋体"/>
          <w:color w:val="000000" w:themeColor="text1"/>
          <w:szCs w:val="24"/>
          <w:highlight w:val="none"/>
          <w14:textFill>
            <w14:solidFill>
              <w14:schemeClr w14:val="tx1"/>
            </w14:solidFill>
          </w14:textFill>
        </w:rPr>
        <w:t>评标委员会在价格评审阶段，优先审查供应商是否提交《关于符合本国产品标准的声明函》，未按规定提交的，不享受本国产品价格扣除优惠。</w:t>
      </w:r>
    </w:p>
    <w:p w14:paraId="21673511">
      <w:pPr>
        <w:pageBreakBefore w:val="0"/>
        <w:widowControl w:val="0"/>
        <w:numPr>
          <w:ilvl w:val="0"/>
          <w:numId w:val="0"/>
        </w:numPr>
        <w:kinsoku/>
        <w:wordWrap/>
        <w:overflowPunct/>
        <w:topLinePunct w:val="0"/>
        <w:autoSpaceDE/>
        <w:autoSpaceDN/>
        <w:bidi w:val="0"/>
        <w:spacing w:line="360" w:lineRule="auto"/>
        <w:ind w:firstLine="529" w:firstLineChars="25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w:t>
      </w:r>
      <w:r>
        <w:rPr>
          <w:rFonts w:hint="eastAsia" w:ascii="宋体" w:hAnsi="宋体" w:eastAsia="宋体" w:cs="宋体"/>
          <w:color w:val="000000" w:themeColor="text1"/>
          <w:szCs w:val="24"/>
          <w:highlight w:val="none"/>
          <w14:textFill>
            <w14:solidFill>
              <w14:schemeClr w14:val="tx1"/>
            </w14:solidFill>
          </w14:textFill>
        </w:rPr>
        <w:t>对提交声明函的供应商，核查声明内容是否完整、清晰，是否明确符合本国产品标准及成本占比情况，声明内容模糊、关键信息缺失的，不予认定。</w:t>
      </w:r>
    </w:p>
    <w:p w14:paraId="1DE364C9">
      <w:pPr>
        <w:pageBreakBefore w:val="0"/>
        <w:widowControl w:val="0"/>
        <w:kinsoku/>
        <w:wordWrap/>
        <w:overflowPunct/>
        <w:topLinePunct w:val="0"/>
        <w:autoSpaceDE/>
        <w:autoSpaceDN/>
        <w:bidi w:val="0"/>
        <w:spacing w:line="360" w:lineRule="auto"/>
        <w:ind w:firstLine="529" w:firstLineChars="25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w:t>
      </w:r>
      <w:r>
        <w:rPr>
          <w:rFonts w:hint="eastAsia" w:ascii="宋体" w:hAnsi="宋体" w:eastAsia="宋体" w:cs="宋体"/>
          <w:color w:val="000000" w:themeColor="text1"/>
          <w:szCs w:val="24"/>
          <w:highlight w:val="none"/>
          <w:lang w:val="en-US" w:eastAsia="zh-CN"/>
          <w14:textFill>
            <w14:solidFill>
              <w14:schemeClr w14:val="tx1"/>
            </w14:solidFill>
          </w14:textFill>
        </w:rPr>
        <w:t>3</w:t>
      </w:r>
      <w:r>
        <w:rPr>
          <w:rFonts w:hint="eastAsia" w:ascii="宋体" w:hAnsi="宋体" w:eastAsia="宋体" w:cs="宋体"/>
          <w:color w:val="000000" w:themeColor="text1"/>
          <w:szCs w:val="24"/>
          <w:highlight w:val="none"/>
          <w14:textFill>
            <w14:solidFill>
              <w14:schemeClr w14:val="tx1"/>
            </w14:solidFill>
          </w14:textFill>
        </w:rPr>
        <w:t>）评标委员会对本国产品认定结果存在疑问的，可要求供应商作出书面说明或提供辅助证明材料，供应商拒不配合或无法合理说明的，不予享受价格扣除。</w:t>
      </w:r>
    </w:p>
    <w:p w14:paraId="55BA66C8">
      <w:pPr>
        <w:pageBreakBefore w:val="0"/>
        <w:widowControl w:val="0"/>
        <w:kinsoku/>
        <w:wordWrap/>
        <w:overflowPunct/>
        <w:topLinePunct w:val="0"/>
        <w:autoSpaceDE/>
        <w:autoSpaceDN/>
        <w:bidi w:val="0"/>
        <w:spacing w:line="360" w:lineRule="auto"/>
        <w:ind w:firstLine="529" w:firstLineChars="25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w:t>
      </w:r>
      <w:r>
        <w:rPr>
          <w:rFonts w:hint="eastAsia" w:ascii="宋体" w:hAnsi="宋体" w:eastAsia="宋体" w:cs="宋体"/>
          <w:color w:val="000000" w:themeColor="text1"/>
          <w:szCs w:val="24"/>
          <w:highlight w:val="none"/>
          <w:lang w:val="en-US" w:eastAsia="zh-CN"/>
          <w14:textFill>
            <w14:solidFill>
              <w14:schemeClr w14:val="tx1"/>
            </w14:solidFill>
          </w14:textFill>
        </w:rPr>
        <w:t>4</w:t>
      </w:r>
      <w:r>
        <w:rPr>
          <w:rFonts w:hint="eastAsia" w:ascii="宋体" w:hAnsi="宋体" w:eastAsia="宋体" w:cs="宋体"/>
          <w:color w:val="000000" w:themeColor="text1"/>
          <w:szCs w:val="24"/>
          <w:highlight w:val="none"/>
          <w14:textFill>
            <w14:solidFill>
              <w14:schemeClr w14:val="tx1"/>
            </w14:solidFill>
          </w14:textFill>
        </w:rPr>
        <w:t>）评标过程中发现供应商存在虚假声明、骗取政策优惠情形的，按无效投标处理，并由采购人或采购代理机构按规定上报财政部门。</w:t>
      </w:r>
    </w:p>
    <w:p w14:paraId="25FCAAC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3.1.</w:t>
      </w:r>
      <w:r>
        <w:rPr>
          <w:rFonts w:hint="eastAsia" w:ascii="宋体" w:hAnsi="宋体" w:eastAsia="宋体" w:cs="宋体"/>
          <w:color w:val="000000" w:themeColor="text1"/>
          <w:szCs w:val="24"/>
          <w:highlight w:val="none"/>
          <w:lang w:val="en-US" w:eastAsia="zh-CN"/>
          <w14:textFill>
            <w14:solidFill>
              <w14:schemeClr w14:val="tx1"/>
            </w14:solidFill>
          </w14:textFill>
        </w:rPr>
        <w:t>4</w:t>
      </w:r>
      <w:r>
        <w:rPr>
          <w:rFonts w:hint="eastAsia" w:ascii="宋体" w:hAnsi="宋体" w:eastAsia="宋体" w:cs="宋体"/>
          <w:color w:val="000000" w:themeColor="text1"/>
          <w:szCs w:val="24"/>
          <w:highlight w:val="none"/>
          <w14:textFill>
            <w14:solidFill>
              <w14:schemeClr w14:val="tx1"/>
            </w14:solidFill>
          </w14:textFill>
        </w:rPr>
        <w:t xml:space="preserve">　投标人存在下列情况之一的，投标无效: </w:t>
      </w:r>
    </w:p>
    <w:p w14:paraId="03884F1D">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（一）投标文件未按招标文件要求签署、盖章的；</w:t>
      </w:r>
    </w:p>
    <w:p w14:paraId="5B6CEE1E">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（二）不具备招标文件中规定的资格要求的；</w:t>
      </w:r>
    </w:p>
    <w:p w14:paraId="46515BB0">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（三）报价超过招标文件中规定的预算金额或者最高限价的；</w:t>
      </w:r>
    </w:p>
    <w:p w14:paraId="224204EA">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（四）投标文件含有采购人不能接受的附加条件的；</w:t>
      </w:r>
    </w:p>
    <w:p w14:paraId="0D95E2F4">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（五）法律、法规和招标文件规定的其他无效情形。</w:t>
      </w:r>
    </w:p>
    <w:p w14:paraId="6EFC72B2">
      <w:pPr>
        <w:pageBreakBefore w:val="0"/>
        <w:widowControl w:val="0"/>
        <w:kinsoku/>
        <w:wordWrap/>
        <w:overflowPunct/>
        <w:topLinePunct w:val="0"/>
        <w:autoSpaceDE/>
        <w:autoSpaceDN/>
        <w:bidi w:val="0"/>
        <w:spacing w:line="360" w:lineRule="auto"/>
        <w:ind w:firstLine="567" w:firstLineChars="27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3.1.</w:t>
      </w:r>
      <w:r>
        <w:rPr>
          <w:rFonts w:hint="eastAsia" w:ascii="宋体" w:hAnsi="宋体" w:eastAsia="宋体" w:cs="宋体"/>
          <w:color w:val="000000" w:themeColor="text1"/>
          <w:szCs w:val="24"/>
          <w:highlight w:val="none"/>
          <w:lang w:val="en-US" w:eastAsia="zh-CN"/>
          <w14:textFill>
            <w14:solidFill>
              <w14:schemeClr w14:val="tx1"/>
            </w14:solidFill>
          </w14:textFill>
        </w:rPr>
        <w:t>5</w:t>
      </w:r>
      <w:r>
        <w:rPr>
          <w:rFonts w:hint="eastAsia" w:ascii="宋体" w:hAnsi="宋体" w:eastAsia="宋体" w:cs="宋体"/>
          <w:color w:val="000000" w:themeColor="text1"/>
          <w:szCs w:val="24"/>
          <w:highlight w:val="none"/>
          <w14:textFill>
            <w14:solidFill>
              <w14:schemeClr w14:val="tx1"/>
            </w14:solidFill>
          </w14:textFill>
        </w:rPr>
        <w:t>其他投标（响应）文件无效情形</w:t>
      </w:r>
    </w:p>
    <w:p w14:paraId="633CA031">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依据《河南省财政厅关于防范供应商串通投标促进政府采购公平竞争的通知》豫财购﹝2021﹞6号文件，参与同一个标段（包）的供应商存在下列情形之一的，其投标（响应）文件无效：</w:t>
      </w:r>
    </w:p>
    <w:p w14:paraId="673B1390">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（1）不同供应商的电子投标（响应）文件上传计算机的网卡MAC地址、CPU序列号和硬盘序列号等硬件信息相同的；</w:t>
      </w:r>
    </w:p>
    <w:p w14:paraId="59D10749">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（2）不同供应商的投标（响应）文件由同一电子设备编制、打印加密或者上传；</w:t>
      </w:r>
    </w:p>
    <w:p w14:paraId="604B59C1">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（3）不同供应商的投标（响应）文件由同一电子设备打印、复印；</w:t>
      </w:r>
    </w:p>
    <w:p w14:paraId="35B057E4">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（4）不同供应商的投标（响应）文件由同一人送达或者分发，或者不同供应商联系人为同一人或不同联系人的联系电话一致的；</w:t>
      </w:r>
    </w:p>
    <w:p w14:paraId="034822E5">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（5）不同供应商的投标（响应）文件的内容存在两处以上细节错误一致；</w:t>
      </w:r>
    </w:p>
    <w:p w14:paraId="05ECFCF3">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（6）不同供应商的法定代表人、委托代理人、项目经理、项目负责人等由同一个单位缴纳社会保险或者领取报酬的；</w:t>
      </w:r>
    </w:p>
    <w:p w14:paraId="7540E958">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（7）不同供应商投标（响应）文件中法定代表人或者负责人签字出自同一人之手；</w:t>
      </w:r>
    </w:p>
    <w:p w14:paraId="1C6BB29B">
      <w:pPr>
        <w:pageBreakBefore w:val="0"/>
        <w:widowControl w:val="0"/>
        <w:kinsoku/>
        <w:wordWrap/>
        <w:overflowPunct/>
        <w:topLinePunct w:val="0"/>
        <w:autoSpaceDE/>
        <w:autoSpaceDN/>
        <w:bidi w:val="0"/>
        <w:spacing w:line="360" w:lineRule="auto"/>
        <w:ind w:firstLine="850" w:firstLineChars="405"/>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（8）其它涉嫌串通的情形。</w:t>
      </w:r>
    </w:p>
    <w:p w14:paraId="30EBEE1C">
      <w:pPr>
        <w:keepNext/>
        <w:keepLines/>
        <w:pageBreakBefore w:val="0"/>
        <w:widowControl w:val="0"/>
        <w:kinsoku/>
        <w:wordWrap/>
        <w:overflowPunct/>
        <w:topLinePunct w:val="0"/>
        <w:autoSpaceDE/>
        <w:autoSpaceDN/>
        <w:bidi w:val="0"/>
        <w:spacing w:line="360" w:lineRule="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751" w:name="_Toc135648937"/>
      <w:bookmarkStart w:id="752" w:name="_Toc135922575"/>
      <w:r>
        <w:rPr>
          <w:rFonts w:hint="eastAsia" w:ascii="宋体" w:hAnsi="宋体" w:eastAsia="宋体" w:cs="宋体"/>
          <w:b/>
          <w:bCs/>
          <w:color w:val="000000" w:themeColor="text1"/>
          <w:sz w:val="28"/>
          <w:szCs w:val="28"/>
          <w:highlight w:val="none"/>
          <w14:textFill>
            <w14:solidFill>
              <w14:schemeClr w14:val="tx1"/>
            </w14:solidFill>
          </w14:textFill>
        </w:rPr>
        <w:t>3.2 详细评审</w:t>
      </w:r>
      <w:bookmarkEnd w:id="751"/>
      <w:bookmarkEnd w:id="752"/>
    </w:p>
    <w:p w14:paraId="2988920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3.2.1 评标委员会按本章第</w:t>
      </w:r>
      <w:r>
        <w:rPr>
          <w:rFonts w:hint="eastAsia" w:ascii="宋体" w:hAnsi="宋体" w:eastAsia="宋体" w:cs="宋体"/>
          <w:color w:val="000000" w:themeColor="text1"/>
          <w:szCs w:val="24"/>
          <w:highlight w:val="none"/>
          <w:lang w:val="en-US" w:eastAsia="zh-CN"/>
          <w14:textFill>
            <w14:solidFill>
              <w14:schemeClr w14:val="tx1"/>
            </w14:solidFill>
          </w14:textFill>
        </w:rPr>
        <w:t>4</w:t>
      </w:r>
      <w:r>
        <w:rPr>
          <w:rFonts w:hint="eastAsia" w:ascii="宋体" w:hAnsi="宋体" w:eastAsia="宋体" w:cs="宋体"/>
          <w:color w:val="000000" w:themeColor="text1"/>
          <w:szCs w:val="24"/>
          <w:highlight w:val="none"/>
          <w14:textFill>
            <w14:solidFill>
              <w14:schemeClr w14:val="tx1"/>
            </w14:solidFill>
          </w14:textFill>
        </w:rPr>
        <w:t>款规定的量化因素和分值进行打分，并计算出综合评审得分。</w:t>
      </w:r>
    </w:p>
    <w:p w14:paraId="14B32A23">
      <w:pPr>
        <w:pageBreakBefore w:val="0"/>
        <w:widowControl w:val="0"/>
        <w:kinsoku/>
        <w:wordWrap/>
        <w:overflowPunct/>
        <w:topLinePunct w:val="0"/>
        <w:autoSpaceDE/>
        <w:autoSpaceDN/>
        <w:bidi w:val="0"/>
        <w:spacing w:line="360" w:lineRule="auto"/>
        <w:ind w:firstLine="718" w:firstLineChars="34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（1）按本章第</w:t>
      </w:r>
      <w:r>
        <w:rPr>
          <w:rFonts w:hint="eastAsia" w:ascii="宋体" w:hAnsi="宋体" w:eastAsia="宋体" w:cs="宋体"/>
          <w:color w:val="000000" w:themeColor="text1"/>
          <w:szCs w:val="24"/>
          <w:highlight w:val="none"/>
          <w:lang w:val="en-US" w:eastAsia="zh-CN"/>
          <w14:textFill>
            <w14:solidFill>
              <w14:schemeClr w14:val="tx1"/>
            </w14:solidFill>
          </w14:textFill>
        </w:rPr>
        <w:t>4</w:t>
      </w:r>
      <w:r>
        <w:rPr>
          <w:rFonts w:hint="eastAsia" w:ascii="宋体" w:hAnsi="宋体" w:eastAsia="宋体" w:cs="宋体"/>
          <w:color w:val="000000" w:themeColor="text1"/>
          <w:szCs w:val="24"/>
          <w:highlight w:val="none"/>
          <w14:textFill>
            <w14:solidFill>
              <w14:schemeClr w14:val="tx1"/>
            </w14:solidFill>
          </w14:textFill>
        </w:rPr>
        <w:t>.1目规定的评审因素和分值对投标报价计算出得分A；</w:t>
      </w:r>
    </w:p>
    <w:p w14:paraId="4008A27B">
      <w:pPr>
        <w:pageBreakBefore w:val="0"/>
        <w:widowControl w:val="0"/>
        <w:kinsoku/>
        <w:wordWrap/>
        <w:overflowPunct/>
        <w:topLinePunct w:val="0"/>
        <w:autoSpaceDE/>
        <w:autoSpaceDN/>
        <w:bidi w:val="0"/>
        <w:spacing w:line="360" w:lineRule="auto"/>
        <w:ind w:firstLine="718" w:firstLineChars="34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（2）按本章第</w:t>
      </w:r>
      <w:r>
        <w:rPr>
          <w:rFonts w:hint="eastAsia" w:ascii="宋体" w:hAnsi="宋体" w:eastAsia="宋体" w:cs="宋体"/>
          <w:color w:val="000000" w:themeColor="text1"/>
          <w:szCs w:val="24"/>
          <w:highlight w:val="none"/>
          <w:lang w:val="en-US" w:eastAsia="zh-CN"/>
          <w14:textFill>
            <w14:solidFill>
              <w14:schemeClr w14:val="tx1"/>
            </w14:solidFill>
          </w14:textFill>
        </w:rPr>
        <w:t>4</w:t>
      </w:r>
      <w:r>
        <w:rPr>
          <w:rFonts w:hint="eastAsia" w:ascii="宋体" w:hAnsi="宋体" w:eastAsia="宋体" w:cs="宋体"/>
          <w:color w:val="000000" w:themeColor="text1"/>
          <w:szCs w:val="24"/>
          <w:highlight w:val="none"/>
          <w14:textFill>
            <w14:solidFill>
              <w14:schemeClr w14:val="tx1"/>
            </w14:solidFill>
          </w14:textFill>
        </w:rPr>
        <w:t>.2目规定的评审因素和分值对技术标部分计算出得分B；</w:t>
      </w:r>
    </w:p>
    <w:p w14:paraId="083B3944">
      <w:pPr>
        <w:pageBreakBefore w:val="0"/>
        <w:widowControl w:val="0"/>
        <w:kinsoku/>
        <w:wordWrap/>
        <w:overflowPunct/>
        <w:topLinePunct w:val="0"/>
        <w:autoSpaceDE/>
        <w:autoSpaceDN/>
        <w:bidi w:val="0"/>
        <w:spacing w:line="360" w:lineRule="auto"/>
        <w:ind w:firstLine="718" w:firstLineChars="342"/>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（3）按本章第</w:t>
      </w:r>
      <w:r>
        <w:rPr>
          <w:rFonts w:hint="eastAsia" w:ascii="宋体" w:hAnsi="宋体" w:eastAsia="宋体" w:cs="宋体"/>
          <w:color w:val="000000" w:themeColor="text1"/>
          <w:szCs w:val="24"/>
          <w:highlight w:val="none"/>
          <w:lang w:val="en-US" w:eastAsia="zh-CN"/>
          <w14:textFill>
            <w14:solidFill>
              <w14:schemeClr w14:val="tx1"/>
            </w14:solidFill>
          </w14:textFill>
        </w:rPr>
        <w:t>4</w:t>
      </w:r>
      <w:r>
        <w:rPr>
          <w:rFonts w:hint="eastAsia" w:ascii="宋体" w:hAnsi="宋体" w:eastAsia="宋体" w:cs="宋体"/>
          <w:color w:val="000000" w:themeColor="text1"/>
          <w:szCs w:val="24"/>
          <w:highlight w:val="none"/>
          <w14:textFill>
            <w14:solidFill>
              <w14:schemeClr w14:val="tx1"/>
            </w14:solidFill>
          </w14:textFill>
        </w:rPr>
        <w:t>.3目规定的评审因素和分值对</w:t>
      </w:r>
      <w:r>
        <w:rPr>
          <w:rFonts w:hint="eastAsia" w:ascii="宋体" w:hAnsi="宋体" w:eastAsia="宋体" w:cs="宋体"/>
          <w:color w:val="000000" w:themeColor="text1"/>
          <w:szCs w:val="24"/>
          <w:highlight w:val="none"/>
          <w:lang w:eastAsia="zh-CN"/>
          <w14:textFill>
            <w14:solidFill>
              <w14:schemeClr w14:val="tx1"/>
            </w14:solidFill>
          </w14:textFill>
        </w:rPr>
        <w:t>综合部分</w:t>
      </w:r>
      <w:r>
        <w:rPr>
          <w:rFonts w:hint="eastAsia" w:ascii="宋体" w:hAnsi="宋体" w:eastAsia="宋体" w:cs="宋体"/>
          <w:color w:val="000000" w:themeColor="text1"/>
          <w:szCs w:val="24"/>
          <w:highlight w:val="none"/>
          <w14:textFill>
            <w14:solidFill>
              <w14:schemeClr w14:val="tx1"/>
            </w14:solidFill>
          </w14:textFill>
        </w:rPr>
        <w:t>计算出得分C；</w:t>
      </w:r>
    </w:p>
    <w:p w14:paraId="51208310">
      <w:pPr>
        <w:pageBreakBefore w:val="0"/>
        <w:widowControl w:val="0"/>
        <w:kinsoku/>
        <w:wordWrap/>
        <w:overflowPunct/>
        <w:topLinePunct w:val="0"/>
        <w:autoSpaceDE/>
        <w:autoSpaceDN/>
        <w:bidi w:val="0"/>
        <w:spacing w:line="360" w:lineRule="auto"/>
        <w:ind w:firstLine="424" w:firstLineChars="202"/>
        <w:jc w:val="left"/>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3.2.2 评分分值计算保留小数点后两位，小数点后第三位“四舍五入”。</w:t>
      </w:r>
    </w:p>
    <w:p w14:paraId="36F0ADA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3.2.3 投标人得分=A+B+C；投标人最终得分为所有评委打分汇总之后的算术平均值。</w:t>
      </w:r>
    </w:p>
    <w:p w14:paraId="1FD3ABF7">
      <w:pPr>
        <w:keepNext/>
        <w:keepLines/>
        <w:pageBreakBefore w:val="0"/>
        <w:widowControl w:val="0"/>
        <w:kinsoku/>
        <w:wordWrap/>
        <w:overflowPunct/>
        <w:topLinePunct w:val="0"/>
        <w:autoSpaceDE/>
        <w:autoSpaceDN/>
        <w:bidi w:val="0"/>
        <w:spacing w:line="360" w:lineRule="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753" w:name="_Toc135648938"/>
      <w:bookmarkStart w:id="754" w:name="_Toc135922576"/>
      <w:r>
        <w:rPr>
          <w:rFonts w:hint="eastAsia" w:ascii="宋体" w:hAnsi="宋体" w:eastAsia="宋体" w:cs="宋体"/>
          <w:b/>
          <w:bCs/>
          <w:color w:val="000000" w:themeColor="text1"/>
          <w:sz w:val="28"/>
          <w:szCs w:val="28"/>
          <w:highlight w:val="none"/>
          <w14:textFill>
            <w14:solidFill>
              <w14:schemeClr w14:val="tx1"/>
            </w14:solidFill>
          </w14:textFill>
        </w:rPr>
        <w:t>3.3 投标文件的澄清和补正</w:t>
      </w:r>
      <w:bookmarkEnd w:id="753"/>
      <w:bookmarkEnd w:id="754"/>
    </w:p>
    <w:p w14:paraId="28B7C86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3.3.1在评标过程中，评标委员会可以要求投标人对所提交投标文件中不明确的内容进行澄清或说明，或者对细微偏差进行补正。评标委员会不接受投标人主动提出的澄清、说明或补正。</w:t>
      </w:r>
    </w:p>
    <w:p w14:paraId="1D74E13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3.3.2 澄清、说明和补正不得改变投标文件的实质性内容。投标人的澄清、说明和补正属于投标文件的组成部分。</w:t>
      </w:r>
    </w:p>
    <w:p w14:paraId="246618B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3.3.3 评标委员会对投标人提交的澄清、说明或补正有疑问的，可以要求投标人进一步澄清、说明或补正，直至满足评标委员会的要求。</w:t>
      </w:r>
    </w:p>
    <w:p w14:paraId="05DC47DB">
      <w:pPr>
        <w:keepNext/>
        <w:keepLines/>
        <w:pageBreakBefore w:val="0"/>
        <w:widowControl w:val="0"/>
        <w:kinsoku/>
        <w:wordWrap/>
        <w:overflowPunct/>
        <w:topLinePunct w:val="0"/>
        <w:autoSpaceDE/>
        <w:autoSpaceDN/>
        <w:bidi w:val="0"/>
        <w:spacing w:line="360" w:lineRule="auto"/>
        <w:outlineLvl w:val="3"/>
        <w:rPr>
          <w:rFonts w:hint="eastAsia" w:ascii="宋体" w:hAnsi="宋体" w:eastAsia="宋体" w:cs="宋体"/>
          <w:b/>
          <w:bCs/>
          <w:color w:val="000000" w:themeColor="text1"/>
          <w:sz w:val="28"/>
          <w:szCs w:val="28"/>
          <w:highlight w:val="none"/>
          <w14:textFill>
            <w14:solidFill>
              <w14:schemeClr w14:val="tx1"/>
            </w14:solidFill>
          </w14:textFill>
        </w:rPr>
      </w:pPr>
      <w:bookmarkStart w:id="755" w:name="_Toc135922577"/>
      <w:bookmarkStart w:id="756" w:name="_Toc135648939"/>
      <w:r>
        <w:rPr>
          <w:rFonts w:hint="eastAsia" w:ascii="宋体" w:hAnsi="宋体" w:eastAsia="宋体" w:cs="宋体"/>
          <w:b/>
          <w:bCs/>
          <w:color w:val="000000" w:themeColor="text1"/>
          <w:sz w:val="28"/>
          <w:szCs w:val="28"/>
          <w:highlight w:val="none"/>
          <w14:textFill>
            <w14:solidFill>
              <w14:schemeClr w14:val="tx1"/>
            </w14:solidFill>
          </w14:textFill>
        </w:rPr>
        <w:t>3.4 评标结果</w:t>
      </w:r>
      <w:bookmarkEnd w:id="755"/>
      <w:bookmarkEnd w:id="756"/>
    </w:p>
    <w:p w14:paraId="5A01635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3.4.1除第二章“投标人须知”前附表授权直接确定中标人外，评标委员会按照得分由高到低的顺序推荐中标候选人。</w:t>
      </w:r>
    </w:p>
    <w:p w14:paraId="398CCA5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3.4.2 评标委员会完成评标后，应当向采购人提交书面评标报告。评标委员会成员对需要共同认定的事项存在争议的，应当按照少数服从多数的原则作出结论。持不同意见的评标委员会成员应当在评标报告上签署不同意见及理由，否则视为同意评标报告。</w:t>
      </w:r>
    </w:p>
    <w:p w14:paraId="6347677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3.4.3 在招标采购中，出现下列情形之一的，应予废标:</w:t>
      </w:r>
    </w:p>
    <w:p w14:paraId="4AB0958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　　（一）符合专业条件的供应商或者对招标文件作实质响应的供应商不足三家的；</w:t>
      </w:r>
    </w:p>
    <w:p w14:paraId="2668FA8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　　（二）出现影响采购公正的违法、违规行为的；</w:t>
      </w:r>
    </w:p>
    <w:p w14:paraId="249415A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　　（三）投标人的报价均超过了采购预算，采购人不能支付的；</w:t>
      </w:r>
    </w:p>
    <w:p w14:paraId="1E1C704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000000" w:themeColor="text1"/>
          <w:szCs w:val="24"/>
          <w:highlight w:val="none"/>
          <w14:textFill>
            <w14:solidFill>
              <w14:schemeClr w14:val="tx1"/>
            </w14:solidFill>
          </w14:textFill>
        </w:rPr>
        <w:sectPr>
          <w:footerReference r:id="rId5" w:type="first"/>
          <w:footerReference r:id="rId4" w:type="default"/>
          <w:pgSz w:w="11906" w:h="16838"/>
          <w:pgMar w:top="1134" w:right="1134" w:bottom="1417" w:left="1417" w:header="851" w:footer="992" w:gutter="0"/>
          <w:pgNumType w:fmt="decimal" w:start="1"/>
          <w:cols w:space="720" w:num="1"/>
          <w:titlePg/>
          <w:docGrid w:linePitch="286" w:charSpace="0"/>
        </w:sectPr>
      </w:pPr>
      <w:r>
        <w:rPr>
          <w:rFonts w:hint="eastAsia" w:ascii="宋体" w:hAnsi="宋体" w:eastAsia="宋体" w:cs="宋体"/>
          <w:color w:val="000000" w:themeColor="text1"/>
          <w:szCs w:val="24"/>
          <w:highlight w:val="none"/>
          <w14:textFill>
            <w14:solidFill>
              <w14:schemeClr w14:val="tx1"/>
            </w14:solidFill>
          </w14:textFill>
        </w:rPr>
        <w:t>　　（四）因重大变故，采购任务取消的。</w:t>
      </w:r>
    </w:p>
    <w:p w14:paraId="0F2AC609">
      <w:pPr>
        <w:pStyle w:val="3"/>
        <w:bidi w:val="0"/>
        <w:rPr>
          <w:rFonts w:hint="eastAsia"/>
          <w:color w:val="000000" w:themeColor="text1"/>
          <w:sz w:val="32"/>
          <w:szCs w:val="32"/>
          <w14:textFill>
            <w14:solidFill>
              <w14:schemeClr w14:val="tx1"/>
            </w14:solidFill>
          </w14:textFill>
        </w:rPr>
      </w:pPr>
      <w:bookmarkStart w:id="757" w:name="_Toc135922578"/>
      <w:bookmarkStart w:id="758" w:name="_Toc23104"/>
      <w:r>
        <w:rPr>
          <w:rFonts w:hint="eastAsia"/>
          <w:color w:val="000000" w:themeColor="text1"/>
          <w:sz w:val="32"/>
          <w:szCs w:val="32"/>
          <w14:textFill>
            <w14:solidFill>
              <w14:schemeClr w14:val="tx1"/>
            </w14:solidFill>
          </w14:textFill>
        </w:rPr>
        <w:t>第四章  采购内容及要求</w:t>
      </w:r>
      <w:bookmarkEnd w:id="728"/>
      <w:bookmarkEnd w:id="729"/>
      <w:bookmarkEnd w:id="730"/>
      <w:bookmarkEnd w:id="731"/>
      <w:bookmarkEnd w:id="732"/>
      <w:bookmarkEnd w:id="733"/>
      <w:bookmarkEnd w:id="734"/>
      <w:bookmarkEnd w:id="757"/>
      <w:bookmarkEnd w:id="758"/>
    </w:p>
    <w:p w14:paraId="58CC077E">
      <w:pPr>
        <w:rPr>
          <w:rFonts w:hint="eastAsia"/>
          <w:color w:val="000000" w:themeColor="text1"/>
          <w14:textFill>
            <w14:solidFill>
              <w14:schemeClr w14:val="tx1"/>
            </w14:solidFill>
          </w14:textFill>
        </w:rPr>
      </w:pPr>
    </w:p>
    <w:tbl>
      <w:tblPr>
        <w:tblStyle w:val="18"/>
        <w:tblW w:w="94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1"/>
        <w:gridCol w:w="1841"/>
        <w:gridCol w:w="5033"/>
        <w:gridCol w:w="927"/>
        <w:gridCol w:w="858"/>
      </w:tblGrid>
      <w:tr w14:paraId="115A4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7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50A49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序号</w:t>
            </w:r>
          </w:p>
        </w:tc>
        <w:tc>
          <w:tcPr>
            <w:tcW w:w="1841" w:type="dxa"/>
            <w:tcBorders>
              <w:top w:val="single" w:color="000000" w:sz="8" w:space="0"/>
              <w:left w:val="nil"/>
              <w:bottom w:val="single" w:color="000000" w:sz="8" w:space="0"/>
              <w:right w:val="single" w:color="000000" w:sz="8" w:space="0"/>
            </w:tcBorders>
            <w:shd w:val="clear" w:color="auto" w:fill="auto"/>
            <w:noWrap/>
            <w:vAlign w:val="center"/>
          </w:tcPr>
          <w:p w14:paraId="2D3CC19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设备名称</w:t>
            </w:r>
          </w:p>
        </w:tc>
        <w:tc>
          <w:tcPr>
            <w:tcW w:w="5033" w:type="dxa"/>
            <w:tcBorders>
              <w:top w:val="single" w:color="000000" w:sz="8" w:space="0"/>
              <w:left w:val="nil"/>
              <w:bottom w:val="single" w:color="000000" w:sz="8" w:space="0"/>
              <w:right w:val="single" w:color="000000" w:sz="8" w:space="0"/>
            </w:tcBorders>
            <w:shd w:val="clear" w:color="auto" w:fill="auto"/>
            <w:vAlign w:val="center"/>
          </w:tcPr>
          <w:p w14:paraId="2E278CA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参数</w:t>
            </w:r>
          </w:p>
        </w:tc>
        <w:tc>
          <w:tcPr>
            <w:tcW w:w="927" w:type="dxa"/>
            <w:tcBorders>
              <w:top w:val="single" w:color="000000" w:sz="8" w:space="0"/>
              <w:left w:val="nil"/>
              <w:bottom w:val="single" w:color="000000" w:sz="8" w:space="0"/>
              <w:right w:val="single" w:color="000000" w:sz="8" w:space="0"/>
            </w:tcBorders>
            <w:shd w:val="clear" w:color="auto" w:fill="auto"/>
            <w:noWrap/>
            <w:vAlign w:val="center"/>
          </w:tcPr>
          <w:p w14:paraId="09F52AA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数量</w:t>
            </w:r>
          </w:p>
        </w:tc>
        <w:tc>
          <w:tcPr>
            <w:tcW w:w="858" w:type="dxa"/>
            <w:tcBorders>
              <w:top w:val="single" w:color="000000" w:sz="8" w:space="0"/>
              <w:left w:val="nil"/>
              <w:bottom w:val="single" w:color="000000" w:sz="8" w:space="0"/>
              <w:right w:val="single" w:color="000000" w:sz="8" w:space="0"/>
            </w:tcBorders>
            <w:shd w:val="clear" w:color="auto" w:fill="auto"/>
            <w:noWrap/>
            <w:vAlign w:val="center"/>
          </w:tcPr>
          <w:p w14:paraId="298E23D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w:t>
            </w:r>
          </w:p>
        </w:tc>
      </w:tr>
      <w:tr w14:paraId="1E199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098450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10C85F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饲料加工机</w:t>
            </w:r>
          </w:p>
        </w:tc>
        <w:tc>
          <w:tcPr>
            <w:tcW w:w="5033" w:type="dxa"/>
            <w:tcBorders>
              <w:top w:val="nil"/>
              <w:left w:val="nil"/>
              <w:bottom w:val="nil"/>
              <w:right w:val="single" w:color="000000" w:sz="8" w:space="0"/>
            </w:tcBorders>
            <w:shd w:val="clear" w:color="auto" w:fill="auto"/>
            <w:vAlign w:val="center"/>
          </w:tcPr>
          <w:p w14:paraId="41A208B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1、粉碎机采用6毫米加厚钢板，更结实耐用；加大转子直径555mm，粉碎速度更快；配套动力18.5kw，在细粉碎筛网下也能保持超强动力；</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2E2DA9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0677FA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55BFE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2F668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7F7BC0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000000" w:sz="8" w:space="0"/>
              <w:right w:val="single" w:color="000000" w:sz="8" w:space="0"/>
            </w:tcBorders>
            <w:shd w:val="clear" w:color="auto" w:fill="auto"/>
            <w:vAlign w:val="center"/>
          </w:tcPr>
          <w:p w14:paraId="3133A36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2、配套4000公斤立式搅拌机，加厚板材板厚2.0毫米，配套动力5.5kw；整机直径2.2米，高度4.1米，充分保障混合均匀度。</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3、粉碎机采用新型无尘吸料管，搅拌机采用脚踏式放料结构，一人即可操作，是一种集粉碎搅拌于一体的多功能饲料加工设备；广泛适用于养殖厂、饲料加工店等饲料生产领域。</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C2A10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C4546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F2CB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32F06F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27DBA3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饲料加工机</w:t>
            </w:r>
          </w:p>
        </w:tc>
        <w:tc>
          <w:tcPr>
            <w:tcW w:w="5033" w:type="dxa"/>
            <w:tcBorders>
              <w:top w:val="nil"/>
              <w:left w:val="nil"/>
              <w:bottom w:val="nil"/>
              <w:right w:val="single" w:color="000000" w:sz="8" w:space="0"/>
            </w:tcBorders>
            <w:shd w:val="clear" w:color="auto" w:fill="auto"/>
            <w:vAlign w:val="center"/>
          </w:tcPr>
          <w:p w14:paraId="07A59D9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1、粉碎机采用6毫米加厚钢板，更结实耐用；加大转子直径555mm，粉碎速度更快；配套动力18.5kw，在细粉碎筛网下也能保持超强动力；</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535754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5B9710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4403C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BB17F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0C327E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000000" w:sz="8" w:space="0"/>
              <w:right w:val="single" w:color="000000" w:sz="8" w:space="0"/>
            </w:tcBorders>
            <w:shd w:val="clear" w:color="auto" w:fill="auto"/>
            <w:vAlign w:val="center"/>
          </w:tcPr>
          <w:p w14:paraId="575498E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2、配套2000公斤立式搅拌机，加厚板材板厚1.8毫米，配套动力4.0kw；整机直径1.7米，高度3.1米，充分保障混合均匀度。</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3、粉碎机采用新型无尘吸料管，搅拌机采用脚踏式放料结构，一人即可操作，是一种集粉碎搅拌于一体的多功能饲料加工设备；广泛适用于养殖厂、饲料加工店等饲料生产领域。</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B414A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B9B13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041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41FE8E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71E457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自走青贮取料机</w:t>
            </w:r>
          </w:p>
        </w:tc>
        <w:tc>
          <w:tcPr>
            <w:tcW w:w="5033" w:type="dxa"/>
            <w:tcBorders>
              <w:top w:val="nil"/>
              <w:left w:val="nil"/>
              <w:bottom w:val="nil"/>
              <w:right w:val="single" w:color="000000" w:sz="8" w:space="0"/>
            </w:tcBorders>
            <w:shd w:val="clear" w:color="auto" w:fill="auto"/>
            <w:vAlign w:val="center"/>
          </w:tcPr>
          <w:p w14:paraId="7C3DB69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1、整机尺寸（长*宽*高）5.4*1.7*3.0米，取料高度6米，取料宽度1.4米，输送带宽度1米；</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667B8F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72E678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50D72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06D6C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90DB0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6D9CB85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2、输入电压：380V，滚刀电机功率7.5kw，输送电机功率2.2kw，行走电机功率2.2kw，液压油泵电机功率3kw；</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DAF34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2175E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8C34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26BDE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A1DFE7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000000" w:sz="8" w:space="0"/>
              <w:right w:val="single" w:color="000000" w:sz="8" w:space="0"/>
            </w:tcBorders>
            <w:shd w:val="clear" w:color="auto" w:fill="auto"/>
            <w:vAlign w:val="center"/>
          </w:tcPr>
          <w:p w14:paraId="4D3B9CD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3、性能特点：取料截面整齐严密，减少青贮饲料养分流失；取料输送过程，使青贮饲料得到充分搅拌，养分分布更均匀；自走式设计，电力、液压驱动，操作简便快捷。</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25235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9691C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63A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36871E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0F1D76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双组TMR</w:t>
            </w:r>
          </w:p>
        </w:tc>
        <w:tc>
          <w:tcPr>
            <w:tcW w:w="5033" w:type="dxa"/>
            <w:tcBorders>
              <w:top w:val="nil"/>
              <w:left w:val="nil"/>
              <w:bottom w:val="nil"/>
              <w:right w:val="single" w:color="000000" w:sz="8" w:space="0"/>
            </w:tcBorders>
            <w:shd w:val="clear" w:color="auto" w:fill="auto"/>
            <w:vAlign w:val="center"/>
          </w:tcPr>
          <w:p w14:paraId="2E6F00D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1、整机尺寸（长*宽*高）6.8*2.5*3米，电机：37*2=74kw；</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65CE8E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42804C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737C0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2F80B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017B8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000000" w:sz="8" w:space="0"/>
              <w:right w:val="single" w:color="000000" w:sz="8" w:space="0"/>
            </w:tcBorders>
            <w:shd w:val="clear" w:color="auto" w:fill="auto"/>
            <w:vAlign w:val="center"/>
          </w:tcPr>
          <w:p w14:paraId="4D5C69A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性能特点：混合机箱体呈立桶形，能有效避免残料死角，仓体磨损少，使用寿命长；箱体内部装塔式螺旋绞龙，可以快速将各种秸秆、方草捆切割揉丝；桶壁设计有可伸缩的底刀，可任意控制切割草料的长短。</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3、设备操作灵活简单、省人工，运行稳定、维修方便，可将多种物料一次彻底粉碎搅拌均匀。</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211972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44F03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AA3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181DA4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47933C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单组TMR</w:t>
            </w:r>
          </w:p>
        </w:tc>
        <w:tc>
          <w:tcPr>
            <w:tcW w:w="5033" w:type="dxa"/>
            <w:tcBorders>
              <w:top w:val="nil"/>
              <w:left w:val="nil"/>
              <w:bottom w:val="nil"/>
              <w:right w:val="single" w:color="000000" w:sz="8" w:space="0"/>
            </w:tcBorders>
            <w:shd w:val="clear" w:color="auto" w:fill="auto"/>
            <w:vAlign w:val="center"/>
          </w:tcPr>
          <w:p w14:paraId="3E7D565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1、整机尺寸（长*宽*高）4*2.25*2.7米，电机：37kw；</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07DB74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7366C6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235D3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0" w:type="auto"/>
            <w:vMerge w:val="continue"/>
            <w:tcBorders>
              <w:top w:val="nil"/>
              <w:left w:val="single" w:color="000000" w:sz="8" w:space="0"/>
              <w:bottom w:val="single" w:color="auto" w:sz="4" w:space="0"/>
              <w:right w:val="single" w:color="000000" w:sz="8" w:space="0"/>
            </w:tcBorders>
            <w:shd w:val="clear" w:color="auto" w:fill="auto"/>
            <w:noWrap/>
            <w:vAlign w:val="center"/>
          </w:tcPr>
          <w:p w14:paraId="6568C8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auto" w:sz="4" w:space="0"/>
              <w:right w:val="single" w:color="000000" w:sz="8" w:space="0"/>
            </w:tcBorders>
            <w:shd w:val="clear" w:color="auto" w:fill="auto"/>
            <w:noWrap/>
            <w:vAlign w:val="center"/>
          </w:tcPr>
          <w:p w14:paraId="0C6D0A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auto" w:sz="4" w:space="0"/>
              <w:right w:val="single" w:color="000000" w:sz="8" w:space="0"/>
            </w:tcBorders>
            <w:shd w:val="clear" w:color="auto" w:fill="auto"/>
            <w:vAlign w:val="center"/>
          </w:tcPr>
          <w:p w14:paraId="1FDCD63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2、性能特点：能耗小、噪音低、维护方便、使用寿命长；锰钢材质的揉搓刀片，秸秆等粗纤维物料更容易切断；内部加厚加大刀轴采用多种刀片相结合，混合更均匀；设计加大加宽放料口，放料速度更快。</w:t>
            </w:r>
          </w:p>
        </w:tc>
        <w:tc>
          <w:tcPr>
            <w:tcW w:w="0" w:type="auto"/>
            <w:vMerge w:val="continue"/>
            <w:tcBorders>
              <w:top w:val="nil"/>
              <w:left w:val="nil"/>
              <w:bottom w:val="single" w:color="auto" w:sz="4" w:space="0"/>
              <w:right w:val="single" w:color="000000" w:sz="8" w:space="0"/>
            </w:tcBorders>
            <w:shd w:val="clear" w:color="auto" w:fill="auto"/>
            <w:noWrap/>
            <w:vAlign w:val="center"/>
          </w:tcPr>
          <w:p w14:paraId="21A974C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auto" w:sz="4" w:space="0"/>
              <w:right w:val="single" w:color="000000" w:sz="8" w:space="0"/>
            </w:tcBorders>
            <w:shd w:val="clear" w:color="auto" w:fill="auto"/>
            <w:noWrap/>
            <w:vAlign w:val="center"/>
          </w:tcPr>
          <w:p w14:paraId="2B2BA5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92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6783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71DA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智能肉牛称重机</w:t>
            </w: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6B91A15B">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Style w:val="36"/>
                <w:color w:val="000000" w:themeColor="text1"/>
                <w:lang w:val="en-US" w:eastAsia="zh-CN" w:bidi="ar"/>
                <w14:textFill>
                  <w14:solidFill>
                    <w14:schemeClr w14:val="tx1"/>
                  </w14:solidFill>
                </w14:textFill>
              </w:rPr>
              <w:t>1、称重范围：</w:t>
            </w:r>
            <w:r>
              <w:rPr>
                <w:rStyle w:val="37"/>
                <w:rFonts w:eastAsia="宋体"/>
                <w:color w:val="000000" w:themeColor="text1"/>
                <w:lang w:val="en-US" w:eastAsia="zh-CN" w:bidi="ar"/>
                <w14:textFill>
                  <w14:solidFill>
                    <w14:schemeClr w14:val="tx1"/>
                  </w14:solidFill>
                </w14:textFill>
              </w:rPr>
              <w:t>0~2000KG</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F6B5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D3E9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r>
      <w:tr w14:paraId="37C11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B2A00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6F9D41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5C4DDF95">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2</w:t>
            </w:r>
            <w:r>
              <w:rPr>
                <w:rStyle w:val="36"/>
                <w:color w:val="000000" w:themeColor="text1"/>
                <w:lang w:val="en-US" w:eastAsia="zh-CN" w:bidi="ar"/>
                <w14:textFill>
                  <w14:solidFill>
                    <w14:schemeClr w14:val="tx1"/>
                  </w14:solidFill>
                </w14:textFill>
              </w:rPr>
              <w:t>、精度值：±</w:t>
            </w:r>
            <w:r>
              <w:rPr>
                <w:rStyle w:val="37"/>
                <w:rFonts w:eastAsia="宋体"/>
                <w:color w:val="000000" w:themeColor="text1"/>
                <w:lang w:val="en-US" w:eastAsia="zh-CN" w:bidi="ar"/>
                <w14:textFill>
                  <w14:solidFill>
                    <w14:schemeClr w14:val="tx1"/>
                  </w14:solidFill>
                </w14:textFill>
              </w:rPr>
              <w:t>500g</w:t>
            </w:r>
            <w:r>
              <w:rPr>
                <w:rStyle w:val="36"/>
                <w:color w:val="000000" w:themeColor="text1"/>
                <w:lang w:val="en-US" w:eastAsia="zh-CN" w:bidi="ar"/>
                <w14:textFill>
                  <w14:solidFill>
                    <w14:schemeClr w14:val="tx1"/>
                  </w14:solidFill>
                </w14:textFill>
              </w:rPr>
              <w:t>，系统自动称量出的重量，与该牛只全麻醉后的静态重量比较</w:t>
            </w:r>
            <w:r>
              <w:rPr>
                <w:rStyle w:val="37"/>
                <w:rFonts w:eastAsia="宋体"/>
                <w:color w:val="000000" w:themeColor="text1"/>
                <w:lang w:val="en-US" w:eastAsia="zh-CN" w:bidi="ar"/>
                <w14:textFill>
                  <w14:solidFill>
                    <w14:schemeClr w14:val="tx1"/>
                  </w14:solidFill>
                </w14:textFill>
              </w:rPr>
              <w:t>,</w:t>
            </w:r>
            <w:r>
              <w:rPr>
                <w:rStyle w:val="36"/>
                <w:color w:val="000000" w:themeColor="text1"/>
                <w:lang w:val="en-US" w:eastAsia="zh-CN" w:bidi="ar"/>
                <w14:textFill>
                  <w14:solidFill>
                    <w14:schemeClr w14:val="tx1"/>
                  </w14:solidFill>
                </w14:textFill>
              </w:rPr>
              <w:t>误差不超过千分之一，内置活畜动态称重算法，可在</w:t>
            </w:r>
            <w:r>
              <w:rPr>
                <w:rStyle w:val="37"/>
                <w:rFonts w:eastAsia="宋体"/>
                <w:color w:val="000000" w:themeColor="text1"/>
                <w:lang w:val="en-US" w:eastAsia="zh-CN" w:bidi="ar"/>
                <w14:textFill>
                  <w14:solidFill>
                    <w14:schemeClr w14:val="tx1"/>
                  </w14:solidFill>
                </w14:textFill>
              </w:rPr>
              <w:t>3</w:t>
            </w:r>
            <w:r>
              <w:rPr>
                <w:rStyle w:val="36"/>
                <w:color w:val="000000" w:themeColor="text1"/>
                <w:lang w:val="en-US" w:eastAsia="zh-CN" w:bidi="ar"/>
                <w14:textFill>
                  <w14:solidFill>
                    <w14:schemeClr w14:val="tx1"/>
                  </w14:solidFill>
                </w14:textFill>
              </w:rPr>
              <w:t>秒内采集到牛只的真实体重值。</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5761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75869D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1AE7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7291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8496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4F36F753">
            <w:pPr>
              <w:keepNext w:val="0"/>
              <w:keepLines w:val="0"/>
              <w:widowControl/>
              <w:suppressLineNumbers w:val="0"/>
              <w:ind w:firstLineChars="10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Style w:val="36"/>
                <w:color w:val="000000" w:themeColor="text1"/>
                <w:lang w:val="en-US" w:eastAsia="zh-CN" w:bidi="ar"/>
                <w14:textFill>
                  <w14:solidFill>
                    <w14:schemeClr w14:val="tx1"/>
                  </w14:solidFill>
                </w14:textFill>
              </w:rPr>
              <w:t>（测试方法：可通过人员进行精度验证。首先称量出人静止站立在秤上的重量，然后人员在秤上进行无规则的活动，仪表自动称量出重量，对比两个重量的差值可做到千分之一以内）；</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DBED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EE04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BB73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vMerge w:val="continue"/>
            <w:tcBorders>
              <w:top w:val="single" w:color="auto" w:sz="4" w:space="0"/>
              <w:left w:val="single" w:color="auto" w:sz="4" w:space="0"/>
              <w:bottom w:val="single" w:color="000000" w:sz="8" w:space="0"/>
              <w:right w:val="single" w:color="000000" w:sz="8" w:space="0"/>
            </w:tcBorders>
            <w:shd w:val="clear" w:color="auto" w:fill="auto"/>
            <w:noWrap/>
            <w:vAlign w:val="center"/>
          </w:tcPr>
          <w:p w14:paraId="5F494A4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nil"/>
              <w:bottom w:val="single" w:color="000000" w:sz="8" w:space="0"/>
              <w:right w:val="single" w:color="000000" w:sz="8" w:space="0"/>
            </w:tcBorders>
            <w:shd w:val="clear" w:color="auto" w:fill="auto"/>
            <w:noWrap/>
            <w:vAlign w:val="center"/>
          </w:tcPr>
          <w:p w14:paraId="5CA5512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nil"/>
              <w:bottom w:val="nil"/>
              <w:right w:val="single" w:color="000000" w:sz="8" w:space="0"/>
            </w:tcBorders>
            <w:shd w:val="clear" w:color="auto" w:fill="auto"/>
            <w:vAlign w:val="center"/>
          </w:tcPr>
          <w:p w14:paraId="3B0E85EF">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3</w:t>
            </w:r>
            <w:r>
              <w:rPr>
                <w:rStyle w:val="36"/>
                <w:color w:val="000000" w:themeColor="text1"/>
                <w:lang w:val="en-US" w:eastAsia="zh-CN" w:bidi="ar"/>
                <w14:textFill>
                  <w14:solidFill>
                    <w14:schemeClr w14:val="tx1"/>
                  </w14:solidFill>
                </w14:textFill>
              </w:rPr>
              <w:t>、围栏：饮水或采食时进入，采食完毕退出，下一头继续。</w:t>
            </w:r>
          </w:p>
        </w:tc>
        <w:tc>
          <w:tcPr>
            <w:tcW w:w="0" w:type="auto"/>
            <w:vMerge w:val="continue"/>
            <w:tcBorders>
              <w:top w:val="single" w:color="auto" w:sz="4" w:space="0"/>
              <w:left w:val="nil"/>
              <w:bottom w:val="single" w:color="000000" w:sz="8" w:space="0"/>
              <w:right w:val="single" w:color="000000" w:sz="8" w:space="0"/>
            </w:tcBorders>
            <w:shd w:val="clear" w:color="auto" w:fill="auto"/>
            <w:noWrap/>
            <w:vAlign w:val="center"/>
          </w:tcPr>
          <w:p w14:paraId="6A5A06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nil"/>
              <w:bottom w:val="single" w:color="000000" w:sz="8" w:space="0"/>
              <w:right w:val="single" w:color="auto" w:sz="4" w:space="0"/>
            </w:tcBorders>
            <w:shd w:val="clear" w:color="auto" w:fill="auto"/>
            <w:noWrap/>
            <w:vAlign w:val="center"/>
          </w:tcPr>
          <w:p w14:paraId="5E7252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D3B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0F55CBA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2AF5C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45497F3B">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4</w:t>
            </w:r>
            <w:r>
              <w:rPr>
                <w:rStyle w:val="36"/>
                <w:color w:val="000000" w:themeColor="text1"/>
                <w:lang w:val="en-US" w:eastAsia="zh-CN" w:bidi="ar"/>
                <w14:textFill>
                  <w14:solidFill>
                    <w14:schemeClr w14:val="tx1"/>
                  </w14:solidFill>
                </w14:textFill>
              </w:rPr>
              <w:t>、远距离耳标识别：</w:t>
            </w:r>
            <w:r>
              <w:rPr>
                <w:rStyle w:val="37"/>
                <w:rFonts w:eastAsia="宋体"/>
                <w:color w:val="000000" w:themeColor="text1"/>
                <w:lang w:val="en-US" w:eastAsia="zh-CN" w:bidi="ar"/>
                <w14:textFill>
                  <w14:solidFill>
                    <w14:schemeClr w14:val="tx1"/>
                  </w14:solidFill>
                </w14:textFill>
              </w:rPr>
              <w:t>920Mhz-925Mhz</w:t>
            </w:r>
            <w:r>
              <w:rPr>
                <w:rStyle w:val="36"/>
                <w:color w:val="000000" w:themeColor="text1"/>
                <w:lang w:val="en-US" w:eastAsia="zh-CN" w:bidi="ar"/>
                <w14:textFill>
                  <w14:solidFill>
                    <w14:schemeClr w14:val="tx1"/>
                  </w14:solidFill>
                </w14:textFill>
              </w:rPr>
              <w:t>频段，耳标识读率</w:t>
            </w:r>
            <w:r>
              <w:rPr>
                <w:rStyle w:val="37"/>
                <w:rFonts w:eastAsia="宋体"/>
                <w:color w:val="000000" w:themeColor="text1"/>
                <w:lang w:val="en-US" w:eastAsia="zh-CN" w:bidi="ar"/>
                <w14:textFill>
                  <w14:solidFill>
                    <w14:schemeClr w14:val="tx1"/>
                  </w14:solidFill>
                </w14:textFill>
              </w:rPr>
              <w:t>100%</w:t>
            </w:r>
            <w:r>
              <w:rPr>
                <w:rStyle w:val="36"/>
                <w:color w:val="000000" w:themeColor="text1"/>
                <w:lang w:val="en-US" w:eastAsia="zh-CN" w:bidi="ar"/>
                <w14:textFill>
                  <w14:solidFill>
                    <w14:schemeClr w14:val="tx1"/>
                  </w14:solidFill>
                </w14:textFill>
              </w:rPr>
              <w:t>，识读距离</w:t>
            </w:r>
            <w:r>
              <w:rPr>
                <w:rStyle w:val="37"/>
                <w:rFonts w:eastAsia="宋体"/>
                <w:color w:val="000000" w:themeColor="text1"/>
                <w:lang w:val="en-US" w:eastAsia="zh-CN" w:bidi="ar"/>
                <w14:textFill>
                  <w14:solidFill>
                    <w14:schemeClr w14:val="tx1"/>
                  </w14:solidFill>
                </w14:textFill>
              </w:rPr>
              <w:t>1~2</w:t>
            </w:r>
            <w:r>
              <w:rPr>
                <w:rStyle w:val="36"/>
                <w:color w:val="000000" w:themeColor="text1"/>
                <w:lang w:val="en-US" w:eastAsia="zh-CN" w:bidi="ar"/>
                <w14:textFill>
                  <w14:solidFill>
                    <w14:schemeClr w14:val="tx1"/>
                  </w14:solidFill>
                </w14:textFill>
              </w:rPr>
              <w:t>米；或</w:t>
            </w:r>
            <w:r>
              <w:rPr>
                <w:rStyle w:val="37"/>
                <w:rFonts w:eastAsia="宋体"/>
                <w:color w:val="000000" w:themeColor="text1"/>
                <w:lang w:val="en-US" w:eastAsia="zh-CN" w:bidi="ar"/>
                <w14:textFill>
                  <w14:solidFill>
                    <w14:schemeClr w14:val="tx1"/>
                  </w14:solidFill>
                </w14:textFill>
              </w:rPr>
              <w:t>134.2KHz</w:t>
            </w:r>
            <w:r>
              <w:rPr>
                <w:rStyle w:val="36"/>
                <w:color w:val="000000" w:themeColor="text1"/>
                <w:lang w:val="en-US" w:eastAsia="zh-CN" w:bidi="ar"/>
                <w14:textFill>
                  <w14:solidFill>
                    <w14:schemeClr w14:val="tx1"/>
                  </w14:solidFill>
                </w14:textFill>
              </w:rPr>
              <w:t>频段，耳标识读率</w:t>
            </w:r>
            <w:r>
              <w:rPr>
                <w:rStyle w:val="37"/>
                <w:rFonts w:eastAsia="宋体"/>
                <w:color w:val="000000" w:themeColor="text1"/>
                <w:lang w:val="en-US" w:eastAsia="zh-CN" w:bidi="ar"/>
                <w14:textFill>
                  <w14:solidFill>
                    <w14:schemeClr w14:val="tx1"/>
                  </w14:solidFill>
                </w14:textFill>
              </w:rPr>
              <w:t>100%</w:t>
            </w:r>
            <w:r>
              <w:rPr>
                <w:rStyle w:val="36"/>
                <w:color w:val="000000" w:themeColor="text1"/>
                <w:lang w:val="en-US" w:eastAsia="zh-CN" w:bidi="ar"/>
                <w14:textFill>
                  <w14:solidFill>
                    <w14:schemeClr w14:val="tx1"/>
                  </w14:solidFill>
                </w14:textFill>
              </w:rPr>
              <w:t>，识读距离</w:t>
            </w:r>
            <w:r>
              <w:rPr>
                <w:rStyle w:val="37"/>
                <w:rFonts w:eastAsia="宋体"/>
                <w:color w:val="000000" w:themeColor="text1"/>
                <w:lang w:val="en-US" w:eastAsia="zh-CN" w:bidi="ar"/>
                <w14:textFill>
                  <w14:solidFill>
                    <w14:schemeClr w14:val="tx1"/>
                  </w14:solidFill>
                </w14:textFill>
              </w:rPr>
              <w:t>0.6</w:t>
            </w:r>
            <w:r>
              <w:rPr>
                <w:rStyle w:val="36"/>
                <w:color w:val="000000" w:themeColor="text1"/>
                <w:lang w:val="en-US" w:eastAsia="zh-CN" w:bidi="ar"/>
                <w14:textFill>
                  <w14:solidFill>
                    <w14:schemeClr w14:val="tx1"/>
                  </w14:solidFill>
                </w14:textFill>
              </w:rPr>
              <w:t>米；</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83B95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3EEF39A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F9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6334B3E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E4CB7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29550C42">
            <w:pPr>
              <w:keepNext w:val="0"/>
              <w:keepLines w:val="0"/>
              <w:widowControl/>
              <w:suppressLineNumbers w:val="0"/>
              <w:jc w:val="left"/>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5</w:t>
            </w:r>
            <w:r>
              <w:rPr>
                <w:rStyle w:val="36"/>
                <w:color w:val="000000" w:themeColor="text1"/>
                <w:lang w:val="en-US" w:eastAsia="zh-CN" w:bidi="ar"/>
                <w14:textFill>
                  <w14:solidFill>
                    <w14:schemeClr w14:val="tx1"/>
                  </w14:solidFill>
                </w14:textFill>
              </w:rPr>
              <w:t>、控制器：8寸工业防水防尘触屏电脑（扩展型强），存储数据500万条以上，数据采集终端</w:t>
            </w:r>
            <w:r>
              <w:rPr>
                <w:rStyle w:val="37"/>
                <w:rFonts w:eastAsia="宋体"/>
                <w:color w:val="000000" w:themeColor="text1"/>
                <w:lang w:val="en-US" w:eastAsia="zh-CN" w:bidi="ar"/>
                <w14:textFill>
                  <w14:solidFill>
                    <w14:schemeClr w14:val="tx1"/>
                  </w14:solidFill>
                </w14:textFill>
              </w:rPr>
              <w:t>+</w:t>
            </w:r>
            <w:r>
              <w:rPr>
                <w:rStyle w:val="36"/>
                <w:color w:val="000000" w:themeColor="text1"/>
                <w:lang w:val="en-US" w:eastAsia="zh-CN" w:bidi="ar"/>
                <w14:textFill>
                  <w14:solidFill>
                    <w14:schemeClr w14:val="tx1"/>
                  </w14:solidFill>
                </w14:textFill>
              </w:rPr>
              <w:t>二次分析仪表</w:t>
            </w:r>
            <w:r>
              <w:rPr>
                <w:rStyle w:val="37"/>
                <w:rFonts w:eastAsia="宋体"/>
                <w:color w:val="000000" w:themeColor="text1"/>
                <w:lang w:val="en-US" w:eastAsia="zh-CN" w:bidi="ar"/>
                <w14:textFill>
                  <w14:solidFill>
                    <w14:schemeClr w14:val="tx1"/>
                  </w14:solidFill>
                </w14:textFill>
              </w:rPr>
              <w:t>+PLC</w:t>
            </w:r>
            <w:r>
              <w:rPr>
                <w:rStyle w:val="36"/>
                <w:color w:val="000000" w:themeColor="text1"/>
                <w:lang w:val="en-US" w:eastAsia="zh-CN" w:bidi="ar"/>
                <w14:textFill>
                  <w14:solidFill>
                    <w14:schemeClr w14:val="tx1"/>
                  </w14:solidFill>
                </w14:textFill>
              </w:rPr>
              <w:t>核心处理</w:t>
            </w:r>
            <w:r>
              <w:rPr>
                <w:rStyle w:val="37"/>
                <w:rFonts w:eastAsia="宋体"/>
                <w:color w:val="000000" w:themeColor="text1"/>
                <w:lang w:val="en-US" w:eastAsia="zh-CN" w:bidi="ar"/>
                <w14:textFill>
                  <w14:solidFill>
                    <w14:schemeClr w14:val="tx1"/>
                  </w14:solidFill>
                </w14:textFill>
              </w:rPr>
              <w:t>+PC</w:t>
            </w:r>
            <w:r>
              <w:rPr>
                <w:rStyle w:val="36"/>
                <w:color w:val="000000" w:themeColor="text1"/>
                <w:lang w:val="en-US" w:eastAsia="zh-CN" w:bidi="ar"/>
                <w14:textFill>
                  <w14:solidFill>
                    <w14:schemeClr w14:val="tx1"/>
                  </w14:solidFill>
                </w14:textFill>
              </w:rPr>
              <w:t>上位管理，此方式能保证设备长期稳定运行；</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661BB3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688316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F28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532EE0D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4EAB4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59A6AE13">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6</w:t>
            </w:r>
            <w:r>
              <w:rPr>
                <w:rStyle w:val="36"/>
                <w:color w:val="000000" w:themeColor="text1"/>
                <w:lang w:val="en-US" w:eastAsia="zh-CN" w:bidi="ar"/>
                <w14:textFill>
                  <w14:solidFill>
                    <w14:schemeClr w14:val="tx1"/>
                  </w14:solidFill>
                </w14:textFill>
              </w:rPr>
              <w:t>、数据上传平台：开放数据接口，对接牧场管理系统</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74283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52B5EF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59D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1B07A1F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35DA1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0DB238FE">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7</w:t>
            </w:r>
            <w:r>
              <w:rPr>
                <w:rStyle w:val="36"/>
                <w:color w:val="000000" w:themeColor="text1"/>
                <w:lang w:val="en-US" w:eastAsia="zh-CN" w:bidi="ar"/>
                <w14:textFill>
                  <w14:solidFill>
                    <w14:schemeClr w14:val="tx1"/>
                  </w14:solidFill>
                </w14:textFill>
              </w:rPr>
              <w:t>、材质与工艺：</w:t>
            </w:r>
            <w:r>
              <w:rPr>
                <w:rStyle w:val="37"/>
                <w:rFonts w:eastAsia="宋体"/>
                <w:color w:val="000000" w:themeColor="text1"/>
                <w:lang w:val="en-US" w:eastAsia="zh-CN" w:bidi="ar"/>
                <w14:textFill>
                  <w14:solidFill>
                    <w14:schemeClr w14:val="tx1"/>
                  </w14:solidFill>
                </w14:textFill>
              </w:rPr>
              <w:t xml:space="preserve"> </w:t>
            </w:r>
            <w:r>
              <w:rPr>
                <w:rStyle w:val="36"/>
                <w:color w:val="000000" w:themeColor="text1"/>
                <w:lang w:val="en-US" w:eastAsia="zh-CN" w:bidi="ar"/>
                <w14:textFill>
                  <w14:solidFill>
                    <w14:schemeClr w14:val="tx1"/>
                  </w14:solidFill>
                </w14:textFill>
              </w:rPr>
              <w:t>整机均采用镀锌钢管，钢管壁厚</w:t>
            </w:r>
            <w:r>
              <w:rPr>
                <w:rStyle w:val="37"/>
                <w:rFonts w:eastAsia="宋体"/>
                <w:color w:val="000000" w:themeColor="text1"/>
                <w:lang w:val="en-US" w:eastAsia="zh-CN" w:bidi="ar"/>
                <w14:textFill>
                  <w14:solidFill>
                    <w14:schemeClr w14:val="tx1"/>
                  </w14:solidFill>
                </w14:textFill>
              </w:rPr>
              <w:t>2.5mm</w:t>
            </w:r>
            <w:r>
              <w:rPr>
                <w:rStyle w:val="36"/>
                <w:color w:val="000000" w:themeColor="text1"/>
                <w:lang w:val="en-US" w:eastAsia="zh-CN" w:bidi="ar"/>
                <w14:textFill>
                  <w14:solidFill>
                    <w14:schemeClr w14:val="tx1"/>
                  </w14:solidFill>
                </w14:textFill>
              </w:rPr>
              <w:t>；设备整机耐高温、防潮，耐腐蚀，夯实耐用。</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28F9C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070E7F7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0DD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3805749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118204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09088B0F">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8</w:t>
            </w:r>
            <w:r>
              <w:rPr>
                <w:rStyle w:val="36"/>
                <w:color w:val="000000" w:themeColor="text1"/>
                <w:lang w:val="en-US" w:eastAsia="zh-CN" w:bidi="ar"/>
                <w14:textFill>
                  <w14:solidFill>
                    <w14:schemeClr w14:val="tx1"/>
                  </w14:solidFill>
                </w14:textFill>
              </w:rPr>
              <w:t>、设备内部规格：</w:t>
            </w:r>
            <w:r>
              <w:rPr>
                <w:rStyle w:val="37"/>
                <w:rFonts w:eastAsia="宋体"/>
                <w:color w:val="000000" w:themeColor="text1"/>
                <w:lang w:val="en-US" w:eastAsia="zh-CN" w:bidi="ar"/>
                <w14:textFill>
                  <w14:solidFill>
                    <w14:schemeClr w14:val="tx1"/>
                  </w14:solidFill>
                </w14:textFill>
              </w:rPr>
              <w:t>L2400*800mm</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C327E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27E0FC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5B61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4CB79B5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9F9F0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55C16E7D">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9</w:t>
            </w:r>
            <w:r>
              <w:rPr>
                <w:rStyle w:val="36"/>
                <w:color w:val="000000" w:themeColor="text1"/>
                <w:lang w:val="en-US" w:eastAsia="zh-CN" w:bidi="ar"/>
                <w14:textFill>
                  <w14:solidFill>
                    <w14:schemeClr w14:val="tx1"/>
                  </w14:solidFill>
                </w14:textFill>
              </w:rPr>
              <w:t>、工作温度：</w:t>
            </w:r>
            <w:r>
              <w:rPr>
                <w:rStyle w:val="37"/>
                <w:rFonts w:eastAsia="宋体"/>
                <w:color w:val="000000" w:themeColor="text1"/>
                <w:lang w:val="en-US" w:eastAsia="zh-CN" w:bidi="ar"/>
                <w14:textFill>
                  <w14:solidFill>
                    <w14:schemeClr w14:val="tx1"/>
                  </w14:solidFill>
                </w14:textFill>
              </w:rPr>
              <w:t>-20℃~70℃</w:t>
            </w:r>
            <w:r>
              <w:rPr>
                <w:rStyle w:val="36"/>
                <w:color w:val="000000" w:themeColor="text1"/>
                <w:lang w:val="en-US" w:eastAsia="zh-CN" w:bidi="ar"/>
                <w14:textFill>
                  <w14:solidFill>
                    <w14:schemeClr w14:val="tx1"/>
                  </w14:solidFill>
                </w14:textFill>
              </w:rPr>
              <w:t>；</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72F66B1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6B38575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E89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21EA0AC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FACEA6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2877A415">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10</w:t>
            </w:r>
            <w:r>
              <w:rPr>
                <w:rStyle w:val="36"/>
                <w:color w:val="000000" w:themeColor="text1"/>
                <w:lang w:val="en-US" w:eastAsia="zh-CN" w:bidi="ar"/>
                <w14:textFill>
                  <w14:solidFill>
                    <w14:schemeClr w14:val="tx1"/>
                  </w14:solidFill>
                </w14:textFill>
              </w:rPr>
              <w:t>、工作湿度：</w:t>
            </w:r>
            <w:r>
              <w:rPr>
                <w:rStyle w:val="37"/>
                <w:rFonts w:eastAsia="宋体"/>
                <w:color w:val="000000" w:themeColor="text1"/>
                <w:lang w:val="en-US" w:eastAsia="zh-CN" w:bidi="ar"/>
                <w14:textFill>
                  <w14:solidFill>
                    <w14:schemeClr w14:val="tx1"/>
                  </w14:solidFill>
                </w14:textFill>
              </w:rPr>
              <w:t xml:space="preserve"> </w:t>
            </w:r>
            <w:r>
              <w:rPr>
                <w:rStyle w:val="36"/>
                <w:color w:val="000000" w:themeColor="text1"/>
                <w:lang w:val="en-US" w:eastAsia="zh-CN" w:bidi="ar"/>
                <w14:textFill>
                  <w14:solidFill>
                    <w14:schemeClr w14:val="tx1"/>
                  </w14:solidFill>
                </w14:textFill>
              </w:rPr>
              <w:t>电气部分：防尘、不可结露；机械部分：防尘、防雨淋。</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5E0A891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3C8F620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F20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062D8C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047D0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500494F1">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11</w:t>
            </w:r>
            <w:r>
              <w:rPr>
                <w:rStyle w:val="36"/>
                <w:color w:val="000000" w:themeColor="text1"/>
                <w:lang w:val="en-US" w:eastAsia="zh-CN" w:bidi="ar"/>
                <w14:textFill>
                  <w14:solidFill>
                    <w14:schemeClr w14:val="tx1"/>
                  </w14:solidFill>
                </w14:textFill>
              </w:rPr>
              <w:t>、</w:t>
            </w:r>
            <w:r>
              <w:rPr>
                <w:rStyle w:val="37"/>
                <w:rFonts w:eastAsia="宋体"/>
                <w:color w:val="000000" w:themeColor="text1"/>
                <w:lang w:val="en-US" w:eastAsia="zh-CN" w:bidi="ar"/>
                <w14:textFill>
                  <w14:solidFill>
                    <w14:schemeClr w14:val="tx1"/>
                  </w14:solidFill>
                </w14:textFill>
              </w:rPr>
              <w:t>6</w:t>
            </w:r>
            <w:r>
              <w:rPr>
                <w:rStyle w:val="36"/>
                <w:color w:val="000000" w:themeColor="text1"/>
                <w:lang w:val="en-US" w:eastAsia="zh-CN" w:bidi="ar"/>
                <w14:textFill>
                  <w14:solidFill>
                    <w14:schemeClr w14:val="tx1"/>
                  </w14:solidFill>
                </w14:textFill>
              </w:rPr>
              <w:t>防护等级：</w:t>
            </w:r>
            <w:r>
              <w:rPr>
                <w:rStyle w:val="37"/>
                <w:rFonts w:eastAsia="宋体"/>
                <w:color w:val="000000" w:themeColor="text1"/>
                <w:lang w:val="en-US" w:eastAsia="zh-CN" w:bidi="ar"/>
                <w14:textFill>
                  <w14:solidFill>
                    <w14:schemeClr w14:val="tx1"/>
                  </w14:solidFill>
                </w14:textFill>
              </w:rPr>
              <w:t>IP66</w:t>
            </w:r>
            <w:r>
              <w:rPr>
                <w:rStyle w:val="36"/>
                <w:color w:val="000000" w:themeColor="text1"/>
                <w:lang w:val="en-US" w:eastAsia="zh-CN" w:bidi="ar"/>
                <w14:textFill>
                  <w14:solidFill>
                    <w14:schemeClr w14:val="tx1"/>
                  </w14:solidFill>
                </w14:textFill>
              </w:rPr>
              <w:t>，防尘防溅水；</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AAFDD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6C7AC8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CB9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76DBA7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512552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7DBD3004">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实现功能：牛只饮水称重系统在牛只日常自然饮水过程中，自动、无感地完成个体体重数据采集。它实现了零应激精准称重，为牧场提供连续的个体生长数据，直接服务于精准饲喂管理和料肉比分析。</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0EFD79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369AE8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DE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51F26E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F8EAA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nil"/>
              <w:right w:val="single" w:color="000000" w:sz="8" w:space="0"/>
            </w:tcBorders>
            <w:shd w:val="clear" w:color="auto" w:fill="auto"/>
            <w:vAlign w:val="center"/>
          </w:tcPr>
          <w:p w14:paraId="4B878054">
            <w:pPr>
              <w:keepNext w:val="0"/>
              <w:keepLines w:val="0"/>
              <w:widowControl/>
              <w:suppressLineNumbers w:val="0"/>
              <w:jc w:val="both"/>
              <w:textAlignment w:val="center"/>
              <w:rPr>
                <w:rFonts w:hint="default" w:ascii="Calibri" w:hAnsi="Calibri" w:eastAsia="宋体" w:cs="Calibri"/>
                <w:i w:val="0"/>
                <w:iCs w:val="0"/>
                <w:color w:val="000000" w:themeColor="text1"/>
                <w:sz w:val="18"/>
                <w:szCs w:val="18"/>
                <w:u w:val="none"/>
                <w14:textFill>
                  <w14:solidFill>
                    <w14:schemeClr w14:val="tx1"/>
                  </w14:solidFill>
                </w14:textFill>
              </w:rPr>
            </w:pPr>
            <w:r>
              <w:rPr>
                <w:rStyle w:val="37"/>
                <w:rFonts w:eastAsia="宋体"/>
                <w:color w:val="000000" w:themeColor="text1"/>
                <w:lang w:val="en-US" w:eastAsia="zh-CN" w:bidi="ar"/>
                <w14:textFill>
                  <w14:solidFill>
                    <w14:schemeClr w14:val="tx1"/>
                  </w14:solidFill>
                </w14:textFill>
              </w:rPr>
              <w:t>12.</w:t>
            </w:r>
            <w:r>
              <w:rPr>
                <w:rStyle w:val="36"/>
                <w:color w:val="000000" w:themeColor="text1"/>
                <w:lang w:val="en-US" w:eastAsia="zh-CN" w:bidi="ar"/>
                <w14:textFill>
                  <w14:solidFill>
                    <w14:schemeClr w14:val="tx1"/>
                  </w14:solidFill>
                </w14:textFill>
              </w:rPr>
              <w:t>、设备组成：称重平台，不锈钢称重传感器，围栏，电子耳标识别器，称重控制仪表，光电开关，工业触屏电脑，称重管理软件，数据采集软件，数据上传牛场管理系统，控制箱，橡胶板等。</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B6B830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132325C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00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324BA2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716CFB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降温风扇</w:t>
            </w:r>
          </w:p>
        </w:tc>
        <w:tc>
          <w:tcPr>
            <w:tcW w:w="5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387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1、外壳塑料材质，扇叶采用201不锈钢材质；</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18DFDE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360</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1AA441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r>
      <w:tr w14:paraId="6CCCA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0" w:type="auto"/>
            <w:vMerge w:val="continue"/>
            <w:tcBorders>
              <w:top w:val="nil"/>
              <w:left w:val="single" w:color="000000" w:sz="8" w:space="0"/>
              <w:bottom w:val="single" w:color="auto" w:sz="4" w:space="0"/>
              <w:right w:val="single" w:color="000000" w:sz="8" w:space="0"/>
            </w:tcBorders>
            <w:shd w:val="clear" w:color="auto" w:fill="auto"/>
            <w:noWrap/>
            <w:vAlign w:val="center"/>
          </w:tcPr>
          <w:p w14:paraId="5C053D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auto" w:sz="4" w:space="0"/>
              <w:right w:val="single" w:color="000000" w:sz="8" w:space="0"/>
            </w:tcBorders>
            <w:shd w:val="clear" w:color="auto" w:fill="auto"/>
            <w:noWrap/>
            <w:vAlign w:val="center"/>
          </w:tcPr>
          <w:p w14:paraId="3C2410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auto" w:sz="4" w:space="0"/>
              <w:right w:val="single" w:color="000000" w:sz="8" w:space="0"/>
            </w:tcBorders>
            <w:shd w:val="clear" w:color="auto" w:fill="auto"/>
            <w:vAlign w:val="center"/>
          </w:tcPr>
          <w:p w14:paraId="3BBFA270">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2、配套380V,410W电机，直径1.1米，四扇叶。</w:t>
            </w:r>
          </w:p>
        </w:tc>
        <w:tc>
          <w:tcPr>
            <w:tcW w:w="0" w:type="auto"/>
            <w:vMerge w:val="continue"/>
            <w:tcBorders>
              <w:top w:val="nil"/>
              <w:left w:val="nil"/>
              <w:bottom w:val="single" w:color="auto" w:sz="4" w:space="0"/>
              <w:right w:val="single" w:color="000000" w:sz="8" w:space="0"/>
            </w:tcBorders>
            <w:shd w:val="clear" w:color="auto" w:fill="auto"/>
            <w:noWrap/>
            <w:vAlign w:val="center"/>
          </w:tcPr>
          <w:p w14:paraId="6B5616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auto" w:sz="4" w:space="0"/>
              <w:right w:val="single" w:color="000000" w:sz="8" w:space="0"/>
            </w:tcBorders>
            <w:shd w:val="clear" w:color="auto" w:fill="auto"/>
            <w:noWrap/>
            <w:vAlign w:val="center"/>
          </w:tcPr>
          <w:p w14:paraId="7CC9EA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533D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jc w:val="center"/>
        </w:trPr>
        <w:tc>
          <w:tcPr>
            <w:tcW w:w="0" w:type="auto"/>
            <w:tcBorders>
              <w:top w:val="single" w:color="auto" w:sz="4" w:space="0"/>
              <w:left w:val="single" w:color="auto" w:sz="4" w:space="0"/>
              <w:bottom w:val="single" w:color="auto" w:sz="4" w:space="0"/>
              <w:right w:val="single" w:color="000000" w:sz="8" w:space="0"/>
            </w:tcBorders>
            <w:shd w:val="clear" w:color="auto" w:fill="auto"/>
            <w:noWrap/>
            <w:vAlign w:val="center"/>
          </w:tcPr>
          <w:p w14:paraId="429074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0" w:type="auto"/>
            <w:tcBorders>
              <w:top w:val="single" w:color="auto" w:sz="4" w:space="0"/>
              <w:left w:val="nil"/>
              <w:bottom w:val="single" w:color="auto" w:sz="4" w:space="0"/>
              <w:right w:val="single" w:color="000000" w:sz="8" w:space="0"/>
            </w:tcBorders>
            <w:shd w:val="clear" w:color="auto" w:fill="auto"/>
            <w:noWrap/>
            <w:vAlign w:val="center"/>
          </w:tcPr>
          <w:p w14:paraId="0EE8C3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牛棚喷淋降温机</w:t>
            </w:r>
          </w:p>
        </w:tc>
        <w:tc>
          <w:tcPr>
            <w:tcW w:w="5033" w:type="dxa"/>
            <w:tcBorders>
              <w:top w:val="single" w:color="auto" w:sz="4" w:space="0"/>
              <w:left w:val="nil"/>
              <w:bottom w:val="single" w:color="auto" w:sz="4" w:space="0"/>
              <w:right w:val="single" w:color="000000" w:sz="8" w:space="0"/>
            </w:tcBorders>
            <w:shd w:val="clear" w:color="auto" w:fill="auto"/>
            <w:vAlign w:val="center"/>
          </w:tcPr>
          <w:p w14:paraId="0CD31F2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Style w:val="38"/>
                <w:color w:val="000000" w:themeColor="text1"/>
                <w:lang w:val="en-US" w:eastAsia="zh-CN" w:bidi="ar"/>
                <w14:textFill>
                  <w14:solidFill>
                    <w14:schemeClr w14:val="tx1"/>
                  </w14:solidFill>
                </w14:textFill>
              </w:rPr>
              <w:t>1、智能控制和维护方便</w:t>
            </w:r>
            <w:r>
              <w:rPr>
                <w:rStyle w:val="39"/>
                <w:rFonts w:eastAsia="宋体"/>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：现代智能风机和喷淋系统可以通过联网控制，实现定时开关、风速调节等功能。新型智能风机可以根据天气变化自动调整转速，遇到下雨天自动停机，操作更加便捷</w:t>
            </w:r>
            <w:r>
              <w:rPr>
                <w:rStyle w:val="39"/>
                <w:rFonts w:eastAsia="宋体"/>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br w:type="textWrapping"/>
            </w:r>
            <w:r>
              <w:rPr>
                <w:rStyle w:val="38"/>
                <w:color w:val="000000" w:themeColor="text1"/>
                <w:lang w:val="en-US" w:eastAsia="zh-CN" w:bidi="ar"/>
                <w14:textFill>
                  <w14:solidFill>
                    <w14:schemeClr w14:val="tx1"/>
                  </w14:solidFill>
                </w14:textFill>
              </w:rPr>
              <w:t>2、喷淋系统也具备智能控制功能，可以根据牛只的站位自动启停，减少人工干预，提高管理效率；</w:t>
            </w:r>
            <w:r>
              <w:rPr>
                <w:rStyle w:val="38"/>
                <w:color w:val="000000" w:themeColor="text1"/>
                <w:lang w:val="en-US" w:eastAsia="zh-CN" w:bidi="ar"/>
                <w14:textFill>
                  <w14:solidFill>
                    <w14:schemeClr w14:val="tx1"/>
                  </w14:solidFill>
                </w14:textFill>
              </w:rPr>
              <w:br w:type="textWrapping"/>
            </w:r>
            <w:r>
              <w:rPr>
                <w:rStyle w:val="38"/>
                <w:color w:val="000000" w:themeColor="text1"/>
                <w:lang w:val="en-US" w:eastAsia="zh-CN" w:bidi="ar"/>
                <w14:textFill>
                  <w14:solidFill>
                    <w14:schemeClr w14:val="tx1"/>
                  </w14:solidFill>
                </w14:textFill>
              </w:rPr>
              <w:t>3、减少设备投资和维护成本</w:t>
            </w:r>
            <w:r>
              <w:rPr>
                <w:rStyle w:val="39"/>
                <w:rFonts w:eastAsia="宋体"/>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：通过合理布置风机和喷淋系统，可以减少设备的投资和维护成本。例如，风扇高度设置在1.8-2米的位置，既能覆盖牛背又不影响饲喂通道作业</w:t>
            </w:r>
            <w:r>
              <w:rPr>
                <w:rStyle w:val="39"/>
                <w:rFonts w:eastAsia="宋体"/>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w:t>
            </w:r>
          </w:p>
        </w:tc>
        <w:tc>
          <w:tcPr>
            <w:tcW w:w="0" w:type="auto"/>
            <w:tcBorders>
              <w:top w:val="single" w:color="auto" w:sz="4" w:space="0"/>
              <w:left w:val="nil"/>
              <w:bottom w:val="single" w:color="auto" w:sz="4" w:space="0"/>
              <w:right w:val="single" w:color="000000" w:sz="8" w:space="0"/>
            </w:tcBorders>
            <w:shd w:val="clear" w:color="auto" w:fill="auto"/>
            <w:noWrap/>
            <w:vAlign w:val="center"/>
          </w:tcPr>
          <w:p w14:paraId="2F0A0B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2FD2EA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r>
      <w:tr w14:paraId="74757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jc w:val="center"/>
        </w:trPr>
        <w:tc>
          <w:tcPr>
            <w:tcW w:w="0" w:type="auto"/>
            <w:vMerge w:val="restart"/>
            <w:tcBorders>
              <w:top w:val="single" w:color="auto" w:sz="4" w:space="0"/>
              <w:left w:val="single" w:color="auto" w:sz="4" w:space="0"/>
              <w:bottom w:val="single" w:color="000000" w:sz="8" w:space="0"/>
              <w:right w:val="single" w:color="auto" w:sz="4" w:space="0"/>
            </w:tcBorders>
            <w:shd w:val="clear" w:color="auto" w:fill="auto"/>
            <w:noWrap/>
            <w:vAlign w:val="center"/>
          </w:tcPr>
          <w:p w14:paraId="1CFC12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p>
        </w:tc>
        <w:tc>
          <w:tcPr>
            <w:tcW w:w="0" w:type="auto"/>
            <w:vMerge w:val="restart"/>
            <w:tcBorders>
              <w:top w:val="single" w:color="auto" w:sz="4" w:space="0"/>
              <w:left w:val="single" w:color="auto" w:sz="4" w:space="0"/>
              <w:bottom w:val="single" w:color="000000" w:sz="8" w:space="0"/>
              <w:right w:val="single" w:color="000000" w:sz="8" w:space="0"/>
            </w:tcBorders>
            <w:shd w:val="clear" w:color="auto" w:fill="auto"/>
            <w:noWrap/>
            <w:vAlign w:val="center"/>
          </w:tcPr>
          <w:p w14:paraId="1BC30C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监控设备</w:t>
            </w:r>
          </w:p>
        </w:tc>
        <w:tc>
          <w:tcPr>
            <w:tcW w:w="5033" w:type="dxa"/>
            <w:tcBorders>
              <w:top w:val="single" w:color="auto" w:sz="4" w:space="0"/>
              <w:left w:val="single" w:color="000000" w:sz="4" w:space="0"/>
              <w:bottom w:val="single" w:color="000000" w:sz="4" w:space="0"/>
              <w:right w:val="single" w:color="000000" w:sz="4" w:space="0"/>
            </w:tcBorders>
            <w:shd w:val="clear" w:color="auto" w:fill="auto"/>
            <w:vAlign w:val="center"/>
          </w:tcPr>
          <w:p w14:paraId="6FE554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核心参数：高性能4K NVR。可接驳符合ONVIF、RTSP标准的众多主流厂商网络摄像机；支持接入H.265、Smart265、H.264、Smart264视频编码码流；产品类型:8盘位网络录像机（NVR）;硬盘盘位:4个SATA接口硬盘盘位;最大单盘容量:支持最大10TB硬盘;视频接入路数:最大支持32路网络视频接入;录像分辨率:支持最高12MP(1200万像素)的视频录制;解码能力:支持4路1080P实时同步解码;视频输出:HDMI输出:1个，最高支持4K(3840x2160)分辨率,VGA输出:1个，最高支持1920x1080分辨率,支持HDMI+VGA异源输出;同步回放路数:支持4路同步回放;网络接口:1个千兆以太网口（RJ45），支持网络容错、负载均衡;USB接口:1个USB2.0，1个USB3.0接口;电源:100-240VAC，50/60Hz自适应;功耗:最大约35W（不含硬盘）;工作温度:-10°C~+55°C;机箱尺寸:440mm(宽)×495mm(深)×88mm(高)[标准2U高度];协议支持:支持ONVIF、GB/T28181，RTSP，CGI，PSA通用标准协议等</w:t>
            </w:r>
          </w:p>
        </w:tc>
        <w:tc>
          <w:tcPr>
            <w:tcW w:w="927" w:type="dxa"/>
            <w:tcBorders>
              <w:top w:val="single" w:color="auto" w:sz="4" w:space="0"/>
              <w:left w:val="nil"/>
              <w:bottom w:val="single" w:color="000000" w:sz="8" w:space="0"/>
              <w:right w:val="single" w:color="000000" w:sz="8" w:space="0"/>
            </w:tcBorders>
            <w:shd w:val="clear" w:color="auto" w:fill="auto"/>
            <w:vAlign w:val="center"/>
          </w:tcPr>
          <w:p w14:paraId="36D3B1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858" w:type="dxa"/>
            <w:tcBorders>
              <w:top w:val="single" w:color="auto" w:sz="4" w:space="0"/>
              <w:left w:val="nil"/>
              <w:bottom w:val="single" w:color="000000" w:sz="8" w:space="0"/>
              <w:right w:val="single" w:color="000000" w:sz="8" w:space="0"/>
            </w:tcBorders>
            <w:shd w:val="clear" w:color="auto" w:fill="auto"/>
            <w:vAlign w:val="center"/>
          </w:tcPr>
          <w:p w14:paraId="5060AC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5A6CD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jc w:val="center"/>
        </w:trPr>
        <w:tc>
          <w:tcPr>
            <w:tcW w:w="0" w:type="auto"/>
            <w:vMerge w:val="continue"/>
            <w:tcBorders>
              <w:top w:val="nil"/>
              <w:left w:val="single" w:color="auto" w:sz="4" w:space="0"/>
              <w:bottom w:val="single" w:color="auto" w:sz="4" w:space="0"/>
              <w:right w:val="single" w:color="auto" w:sz="4" w:space="0"/>
            </w:tcBorders>
            <w:shd w:val="clear" w:color="auto" w:fill="auto"/>
            <w:noWrap/>
            <w:vAlign w:val="center"/>
          </w:tcPr>
          <w:p w14:paraId="738929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auto" w:sz="4" w:space="0"/>
              <w:right w:val="single" w:color="000000" w:sz="8" w:space="0"/>
            </w:tcBorders>
            <w:shd w:val="clear" w:color="auto" w:fill="auto"/>
            <w:noWrap/>
            <w:vAlign w:val="center"/>
          </w:tcPr>
          <w:p w14:paraId="47620AE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auto" w:sz="4" w:space="0"/>
              <w:right w:val="single" w:color="000000" w:sz="8" w:space="0"/>
            </w:tcBorders>
            <w:shd w:val="clear" w:color="auto" w:fill="auto"/>
            <w:vAlign w:val="center"/>
          </w:tcPr>
          <w:p w14:paraId="3B82C8A9">
            <w:pPr>
              <w:keepNext w:val="0"/>
              <w:keepLines w:val="0"/>
              <w:widowControl/>
              <w:suppressLineNumbers w:val="0"/>
              <w:spacing w:after="180" w:afterAutospacing="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监控专用硬盘。1. 规格：3.5英寸、10TB容量，CMR传统磁记录，SATA 6Gb/s标准接口，适配NVR/DVR监控主机。2. 性能：转速7200转，缓存≥256MB，顺序读取≥210MB/s，支持4K原生扇区、NCQ指令队列，可稳定承载≥64路高清视频录像。3. 可靠性：专为7×24小时不间断录像设计，年均工作负载≥180TB，MTBF≥10万小时，内置多盘位振动补偿、硬件ECC纠错、断电磁头保护。4. 适配：支持RAID磁盘阵列、标准SMART硬盘健康检测，兼容全品牌监控录像机，工作温度0℃~60℃</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p>
        </w:tc>
        <w:tc>
          <w:tcPr>
            <w:tcW w:w="927" w:type="dxa"/>
            <w:tcBorders>
              <w:top w:val="nil"/>
              <w:left w:val="nil"/>
              <w:bottom w:val="single" w:color="auto" w:sz="4" w:space="0"/>
              <w:right w:val="single" w:color="000000" w:sz="8" w:space="0"/>
            </w:tcBorders>
            <w:shd w:val="clear" w:color="auto" w:fill="auto"/>
            <w:vAlign w:val="center"/>
          </w:tcPr>
          <w:p w14:paraId="0A68A3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858" w:type="dxa"/>
            <w:tcBorders>
              <w:top w:val="nil"/>
              <w:left w:val="nil"/>
              <w:bottom w:val="single" w:color="auto" w:sz="4" w:space="0"/>
              <w:right w:val="single" w:color="000000" w:sz="8" w:space="0"/>
            </w:tcBorders>
            <w:shd w:val="clear" w:color="auto" w:fill="auto"/>
            <w:vAlign w:val="center"/>
          </w:tcPr>
          <w:p w14:paraId="6E09F8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块</w:t>
            </w:r>
          </w:p>
        </w:tc>
      </w:tr>
      <w:tr w14:paraId="3CF18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0034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9EE8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000000" w:sz="8" w:space="0"/>
            </w:tcBorders>
            <w:shd w:val="clear" w:color="auto" w:fill="auto"/>
            <w:vAlign w:val="center"/>
          </w:tcPr>
          <w:p w14:paraId="5FE095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高清摄像头。400万像素网络摄像机，支持smart功能智能事件：移动侦测（支持人形检测），异常2；接口音频：1个内置麦克风；网口：1个RJ45 10M/100M自适应以太网口、补光红外波长范围：850nm防补光过曝；支持补光灯类型：智能补光，网络同时预览路数：最多6路同时网页预览，支持通用标准视频管理客户端，兼容符合ONVIF协议的第三方监控管理平台；浏览器：Chrome 80+，Firefox 80+，Edge 89+，Safari 13及以上；接口协议（API）：开放型网络视频接口，ISUP，SDK，GB28181协议，TCP/IP，ICMP，HTTP，DHCP，DNS，RTP，RTSP，RCTP，NTP，FTP，QoS，UPnP，Bonjour，SSL/TLS，HTTPS，DDNS，IPv4，IPv6；一般规范启动及工作温湿度：-30℃~60℃，湿度小于95%（无凝结）存储温湿度：-30℃~60℃，湿度小于95%（无凝结）联动方式：上传中心通用功能：心跳，密码保护，水印技术恢复出厂设置；支持客户端或浏览器恢复供电方式：DC 12 V ±25%，支持防反接保护 PoE 机型支持：IEEE 802.3af，Class 3电流及功耗：DC 12 V，0.42 A，最大功耗：5 W PoE机型支持：IEEE 802.3af，CLASS 3，最大功耗：6.5 W；电源接口类型：6.5 mm 圆口产品尺寸：不大于88 × 172 mm；包装尺寸：216 × 121 × 118 mm；设备重量：360 g 带包装重量：540 g；视频最大分辨率：2560 × 1440 主码流帧率分辨率：50 Hz：25 fps（2560 × 1440，1920 × 1080，1280 × 720）子码流帧率分辨率：50 Hz：25 fps（768 × 432，640 × 480，640 × 360）视频压缩标准：主码流：H.265/H.264/Smart264/Smart265，支持超级智能编码子码流：H.265/H.264 视频码率控制：32 Kbps~8 Mbps；H.264编码类型：BaseLine Profile/Main Profile/High Profile；H.265编码类型：Main Profile；码率控制：定码率，最低照度：彩色：0.005 Lux；快门：1/3 s~1/100,000 s；日夜切换模式：ICR红外滤片式宽动态：数字宽动态。</w:t>
            </w:r>
          </w:p>
        </w:tc>
        <w:tc>
          <w:tcPr>
            <w:tcW w:w="927" w:type="dxa"/>
            <w:tcBorders>
              <w:top w:val="single" w:color="auto" w:sz="4" w:space="0"/>
              <w:left w:val="nil"/>
              <w:bottom w:val="single" w:color="auto" w:sz="4" w:space="0"/>
              <w:right w:val="single" w:color="000000" w:sz="8" w:space="0"/>
            </w:tcBorders>
            <w:shd w:val="clear" w:color="auto" w:fill="auto"/>
            <w:vAlign w:val="center"/>
          </w:tcPr>
          <w:p w14:paraId="001C9A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w:t>
            </w:r>
          </w:p>
        </w:tc>
        <w:tc>
          <w:tcPr>
            <w:tcW w:w="858" w:type="dxa"/>
            <w:tcBorders>
              <w:top w:val="single" w:color="auto" w:sz="4" w:space="0"/>
              <w:left w:val="nil"/>
              <w:bottom w:val="single" w:color="auto" w:sz="4" w:space="0"/>
              <w:right w:val="single" w:color="auto" w:sz="4" w:space="0"/>
            </w:tcBorders>
            <w:shd w:val="clear" w:color="auto" w:fill="auto"/>
            <w:vAlign w:val="center"/>
          </w:tcPr>
          <w:p w14:paraId="2A4917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r>
      <w:tr w14:paraId="1F09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0" w:type="auto"/>
            <w:vMerge w:val="continue"/>
            <w:tcBorders>
              <w:top w:val="single" w:color="auto" w:sz="4" w:space="0"/>
              <w:left w:val="single" w:color="auto" w:sz="4" w:space="0"/>
              <w:bottom w:val="single" w:color="000000" w:sz="8" w:space="0"/>
              <w:right w:val="single" w:color="auto" w:sz="4" w:space="0"/>
            </w:tcBorders>
            <w:shd w:val="clear" w:color="auto" w:fill="auto"/>
            <w:noWrap/>
            <w:vAlign w:val="center"/>
          </w:tcPr>
          <w:p w14:paraId="452813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000000" w:sz="8" w:space="0"/>
              <w:right w:val="single" w:color="000000" w:sz="8" w:space="0"/>
            </w:tcBorders>
            <w:shd w:val="clear" w:color="auto" w:fill="auto"/>
            <w:noWrap/>
            <w:vAlign w:val="center"/>
          </w:tcPr>
          <w:p w14:paraId="1161F6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nil"/>
              <w:bottom w:val="single" w:color="000000" w:sz="8" w:space="0"/>
              <w:right w:val="single" w:color="000000" w:sz="8" w:space="0"/>
            </w:tcBorders>
            <w:shd w:val="clear" w:color="auto" w:fill="auto"/>
            <w:vAlign w:val="center"/>
          </w:tcPr>
          <w:p w14:paraId="313A08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超五类网线。产品类型 U/UTP CAT5E-4P-PVC-CMX；芯线导体无氧铜，符合国标CAT5E传输标准；绝缘高密度聚乙烯绝缘外皮；外护套PVC CMX阻燃材质，符合RoHS环保标准，支持千兆网络传输。</w:t>
            </w:r>
          </w:p>
        </w:tc>
        <w:tc>
          <w:tcPr>
            <w:tcW w:w="927" w:type="dxa"/>
            <w:tcBorders>
              <w:top w:val="single" w:color="auto" w:sz="4" w:space="0"/>
              <w:left w:val="nil"/>
              <w:bottom w:val="single" w:color="000000" w:sz="8" w:space="0"/>
              <w:right w:val="single" w:color="000000" w:sz="8" w:space="0"/>
            </w:tcBorders>
            <w:shd w:val="clear" w:color="auto" w:fill="auto"/>
            <w:vAlign w:val="center"/>
          </w:tcPr>
          <w:p w14:paraId="059AF5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w:t>
            </w:r>
          </w:p>
        </w:tc>
        <w:tc>
          <w:tcPr>
            <w:tcW w:w="858" w:type="dxa"/>
            <w:tcBorders>
              <w:top w:val="single" w:color="auto" w:sz="4" w:space="0"/>
              <w:left w:val="nil"/>
              <w:bottom w:val="single" w:color="000000" w:sz="8" w:space="0"/>
              <w:right w:val="single" w:color="000000" w:sz="8" w:space="0"/>
            </w:tcBorders>
            <w:shd w:val="clear" w:color="auto" w:fill="auto"/>
            <w:vAlign w:val="center"/>
          </w:tcPr>
          <w:p w14:paraId="4FB285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箱</w:t>
            </w:r>
          </w:p>
        </w:tc>
      </w:tr>
      <w:tr w14:paraId="45346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3EEECB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44B182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000000" w:sz="8" w:space="0"/>
              <w:right w:val="single" w:color="000000" w:sz="8" w:space="0"/>
            </w:tcBorders>
            <w:shd w:val="clear" w:color="auto" w:fill="auto"/>
            <w:vAlign w:val="center"/>
          </w:tcPr>
          <w:p w14:paraId="5B471B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枪机支架。U型一体加厚专用枪机支架</w:t>
            </w:r>
          </w:p>
        </w:tc>
        <w:tc>
          <w:tcPr>
            <w:tcW w:w="927" w:type="dxa"/>
            <w:tcBorders>
              <w:top w:val="nil"/>
              <w:left w:val="nil"/>
              <w:bottom w:val="single" w:color="000000" w:sz="8" w:space="0"/>
              <w:right w:val="single" w:color="000000" w:sz="8" w:space="0"/>
            </w:tcBorders>
            <w:shd w:val="clear" w:color="auto" w:fill="auto"/>
            <w:vAlign w:val="center"/>
          </w:tcPr>
          <w:p w14:paraId="1D5C50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w:t>
            </w:r>
          </w:p>
        </w:tc>
        <w:tc>
          <w:tcPr>
            <w:tcW w:w="858" w:type="dxa"/>
            <w:tcBorders>
              <w:top w:val="nil"/>
              <w:left w:val="nil"/>
              <w:bottom w:val="single" w:color="000000" w:sz="8" w:space="0"/>
              <w:right w:val="single" w:color="000000" w:sz="8" w:space="0"/>
            </w:tcBorders>
            <w:shd w:val="clear" w:color="auto" w:fill="auto"/>
            <w:vAlign w:val="center"/>
          </w:tcPr>
          <w:p w14:paraId="21DCD9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r>
      <w:tr w14:paraId="1F7BE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126354A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auto" w:sz="4" w:space="0"/>
              <w:right w:val="single" w:color="000000" w:sz="8" w:space="0"/>
            </w:tcBorders>
            <w:shd w:val="clear" w:color="auto" w:fill="auto"/>
            <w:noWrap/>
            <w:vAlign w:val="center"/>
          </w:tcPr>
          <w:p w14:paraId="44C4BF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auto" w:sz="4" w:space="0"/>
              <w:right w:val="single" w:color="000000" w:sz="8" w:space="0"/>
            </w:tcBorders>
            <w:shd w:val="clear" w:color="auto" w:fill="auto"/>
            <w:vAlign w:val="center"/>
          </w:tcPr>
          <w:p w14:paraId="059B2E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机房汇聚交换机。支持IEEE 802.3at/af支持IEEE 802.3、IEEE 802.3u、IEEE 802.3x、IEEE802.3ab、IEEE802.3z支持6 KV防浪涌（PoE口）支持PoE输出功率管理千兆网络接入设计线速转发、无阻塞设计存储转发交换方式坚固式高强度金属外壳无风扇设计，高可靠性</w:t>
            </w:r>
          </w:p>
        </w:tc>
        <w:tc>
          <w:tcPr>
            <w:tcW w:w="927" w:type="dxa"/>
            <w:tcBorders>
              <w:top w:val="nil"/>
              <w:left w:val="nil"/>
              <w:bottom w:val="single" w:color="auto" w:sz="4" w:space="0"/>
              <w:right w:val="single" w:color="000000" w:sz="8" w:space="0"/>
            </w:tcBorders>
            <w:shd w:val="clear" w:color="auto" w:fill="auto"/>
            <w:vAlign w:val="center"/>
          </w:tcPr>
          <w:p w14:paraId="5EC2F5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858" w:type="dxa"/>
            <w:tcBorders>
              <w:top w:val="nil"/>
              <w:left w:val="nil"/>
              <w:bottom w:val="single" w:color="auto" w:sz="4" w:space="0"/>
              <w:right w:val="single" w:color="000000" w:sz="8" w:space="0"/>
            </w:tcBorders>
            <w:shd w:val="clear" w:color="auto" w:fill="auto"/>
            <w:vAlign w:val="center"/>
          </w:tcPr>
          <w:p w14:paraId="476C4E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66366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60E6EF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000000" w:sz="8" w:space="0"/>
              <w:right w:val="single" w:color="auto" w:sz="4" w:space="0"/>
            </w:tcBorders>
            <w:shd w:val="clear" w:color="auto" w:fill="auto"/>
            <w:noWrap/>
            <w:vAlign w:val="center"/>
          </w:tcPr>
          <w:p w14:paraId="522913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000000" w:sz="8" w:space="0"/>
              <w:right w:val="single" w:color="auto" w:sz="4" w:space="0"/>
            </w:tcBorders>
            <w:shd w:val="clear" w:color="auto" w:fill="auto"/>
            <w:vAlign w:val="center"/>
          </w:tcPr>
          <w:p w14:paraId="229A14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节点交换机。支持IEEE 802.3at/af支持IEEE 802.3、IEEE 802.3u、IEEE 802.3x、IEEE802.3ab、IEEE802.3z支持6 KV防浪涌（PoE口）支持PoE输出功率管理千兆网络接入设计线速转发、无阻塞设计存储转发交换方式坚固式高强度金属外壳无风扇设计，高可靠性</w:t>
            </w:r>
          </w:p>
        </w:tc>
        <w:tc>
          <w:tcPr>
            <w:tcW w:w="927" w:type="dxa"/>
            <w:tcBorders>
              <w:top w:val="single" w:color="auto" w:sz="4" w:space="0"/>
              <w:left w:val="single" w:color="auto" w:sz="4" w:space="0"/>
              <w:bottom w:val="single" w:color="000000" w:sz="8" w:space="0"/>
              <w:right w:val="single" w:color="000000" w:sz="8" w:space="0"/>
            </w:tcBorders>
            <w:shd w:val="clear" w:color="auto" w:fill="auto"/>
            <w:vAlign w:val="center"/>
          </w:tcPr>
          <w:p w14:paraId="4EFE27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w:t>
            </w:r>
          </w:p>
        </w:tc>
        <w:tc>
          <w:tcPr>
            <w:tcW w:w="858" w:type="dxa"/>
            <w:tcBorders>
              <w:top w:val="single" w:color="auto" w:sz="4" w:space="0"/>
              <w:left w:val="nil"/>
              <w:bottom w:val="single" w:color="000000" w:sz="8" w:space="0"/>
              <w:right w:val="single" w:color="auto" w:sz="4" w:space="0"/>
            </w:tcBorders>
            <w:shd w:val="clear" w:color="auto" w:fill="auto"/>
            <w:vAlign w:val="center"/>
          </w:tcPr>
          <w:p w14:paraId="2402DF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7F0C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1841E18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4B1D47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single" w:color="auto" w:sz="4" w:space="0"/>
              <w:bottom w:val="single" w:color="000000" w:sz="8" w:space="0"/>
              <w:right w:val="single" w:color="auto" w:sz="4" w:space="0"/>
            </w:tcBorders>
            <w:shd w:val="clear" w:color="auto" w:fill="auto"/>
            <w:vAlign w:val="center"/>
          </w:tcPr>
          <w:p w14:paraId="4576FB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显示器。24寸led显示器，支持HDMI、VGA输出</w:t>
            </w:r>
          </w:p>
        </w:tc>
        <w:tc>
          <w:tcPr>
            <w:tcW w:w="927" w:type="dxa"/>
            <w:tcBorders>
              <w:top w:val="nil"/>
              <w:left w:val="single" w:color="auto" w:sz="4" w:space="0"/>
              <w:bottom w:val="single" w:color="000000" w:sz="8" w:space="0"/>
              <w:right w:val="single" w:color="000000" w:sz="8" w:space="0"/>
            </w:tcBorders>
            <w:shd w:val="clear" w:color="auto" w:fill="auto"/>
            <w:vAlign w:val="center"/>
          </w:tcPr>
          <w:p w14:paraId="3BE134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858" w:type="dxa"/>
            <w:tcBorders>
              <w:top w:val="nil"/>
              <w:left w:val="nil"/>
              <w:bottom w:val="single" w:color="000000" w:sz="8" w:space="0"/>
              <w:right w:val="single" w:color="auto" w:sz="4" w:space="0"/>
            </w:tcBorders>
            <w:shd w:val="clear" w:color="auto" w:fill="auto"/>
            <w:vAlign w:val="center"/>
          </w:tcPr>
          <w:p w14:paraId="336151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021E5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22CCCE5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388FE1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single" w:color="auto" w:sz="4" w:space="0"/>
              <w:bottom w:val="single" w:color="000000" w:sz="8" w:space="0"/>
              <w:right w:val="single" w:color="auto" w:sz="4" w:space="0"/>
            </w:tcBorders>
            <w:shd w:val="clear" w:color="auto" w:fill="auto"/>
            <w:vAlign w:val="center"/>
          </w:tcPr>
          <w:p w14:paraId="414DA6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弱电箱。不锈钢弱电箱</w:t>
            </w:r>
          </w:p>
        </w:tc>
        <w:tc>
          <w:tcPr>
            <w:tcW w:w="927" w:type="dxa"/>
            <w:tcBorders>
              <w:top w:val="nil"/>
              <w:left w:val="single" w:color="auto" w:sz="4" w:space="0"/>
              <w:bottom w:val="single" w:color="000000" w:sz="8" w:space="0"/>
              <w:right w:val="single" w:color="000000" w:sz="8" w:space="0"/>
            </w:tcBorders>
            <w:shd w:val="clear" w:color="auto" w:fill="auto"/>
            <w:vAlign w:val="center"/>
          </w:tcPr>
          <w:p w14:paraId="780A66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w:t>
            </w:r>
          </w:p>
        </w:tc>
        <w:tc>
          <w:tcPr>
            <w:tcW w:w="858" w:type="dxa"/>
            <w:tcBorders>
              <w:top w:val="nil"/>
              <w:left w:val="nil"/>
              <w:bottom w:val="single" w:color="000000" w:sz="8" w:space="0"/>
              <w:right w:val="single" w:color="auto" w:sz="4" w:space="0"/>
            </w:tcBorders>
            <w:shd w:val="clear" w:color="auto" w:fill="auto"/>
            <w:vAlign w:val="center"/>
          </w:tcPr>
          <w:p w14:paraId="0CDD18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r>
      <w:tr w14:paraId="65D2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0CBA5F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3CE88A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single" w:color="auto" w:sz="4" w:space="0"/>
              <w:bottom w:val="single" w:color="000000" w:sz="8" w:space="0"/>
              <w:right w:val="single" w:color="auto" w:sz="4" w:space="0"/>
            </w:tcBorders>
            <w:shd w:val="clear" w:color="auto" w:fill="auto"/>
            <w:vAlign w:val="center"/>
          </w:tcPr>
          <w:p w14:paraId="204120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光纤收发器。千兆，单模单纤，1个SC光口，1个千兆电口，传输3公里</w:t>
            </w:r>
          </w:p>
        </w:tc>
        <w:tc>
          <w:tcPr>
            <w:tcW w:w="927" w:type="dxa"/>
            <w:tcBorders>
              <w:top w:val="nil"/>
              <w:left w:val="single" w:color="auto" w:sz="4" w:space="0"/>
              <w:bottom w:val="single" w:color="000000" w:sz="8" w:space="0"/>
              <w:right w:val="single" w:color="000000" w:sz="8" w:space="0"/>
            </w:tcBorders>
            <w:shd w:val="clear" w:color="auto" w:fill="auto"/>
            <w:vAlign w:val="center"/>
          </w:tcPr>
          <w:p w14:paraId="035168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w:t>
            </w:r>
          </w:p>
        </w:tc>
        <w:tc>
          <w:tcPr>
            <w:tcW w:w="858" w:type="dxa"/>
            <w:tcBorders>
              <w:top w:val="nil"/>
              <w:left w:val="nil"/>
              <w:bottom w:val="single" w:color="000000" w:sz="8" w:space="0"/>
              <w:right w:val="single" w:color="auto" w:sz="4" w:space="0"/>
            </w:tcBorders>
            <w:shd w:val="clear" w:color="auto" w:fill="auto"/>
            <w:vAlign w:val="center"/>
          </w:tcPr>
          <w:p w14:paraId="5631AA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对</w:t>
            </w:r>
          </w:p>
        </w:tc>
      </w:tr>
      <w:tr w14:paraId="49851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32D243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66EC60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single" w:color="auto" w:sz="4" w:space="0"/>
              <w:bottom w:val="single" w:color="000000" w:sz="8" w:space="0"/>
              <w:right w:val="single" w:color="auto" w:sz="4" w:space="0"/>
            </w:tcBorders>
            <w:shd w:val="clear" w:color="auto" w:fill="auto"/>
            <w:vAlign w:val="center"/>
          </w:tcPr>
          <w:p w14:paraId="522F46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电缆。国标RVV2*1.5*200M</w:t>
            </w:r>
          </w:p>
        </w:tc>
        <w:tc>
          <w:tcPr>
            <w:tcW w:w="927" w:type="dxa"/>
            <w:tcBorders>
              <w:top w:val="nil"/>
              <w:left w:val="single" w:color="auto" w:sz="4" w:space="0"/>
              <w:bottom w:val="single" w:color="000000" w:sz="8" w:space="0"/>
              <w:right w:val="single" w:color="000000" w:sz="8" w:space="0"/>
            </w:tcBorders>
            <w:shd w:val="clear" w:color="auto" w:fill="auto"/>
            <w:vAlign w:val="center"/>
          </w:tcPr>
          <w:p w14:paraId="2A76CE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c>
          <w:tcPr>
            <w:tcW w:w="858" w:type="dxa"/>
            <w:tcBorders>
              <w:top w:val="nil"/>
              <w:left w:val="nil"/>
              <w:bottom w:val="single" w:color="000000" w:sz="8" w:space="0"/>
              <w:right w:val="single" w:color="auto" w:sz="4" w:space="0"/>
            </w:tcBorders>
            <w:shd w:val="clear" w:color="auto" w:fill="auto"/>
            <w:vAlign w:val="center"/>
          </w:tcPr>
          <w:p w14:paraId="770698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盘</w:t>
            </w:r>
          </w:p>
        </w:tc>
      </w:tr>
      <w:tr w14:paraId="39345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3773749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6EE4BF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single" w:color="auto" w:sz="4" w:space="0"/>
              <w:bottom w:val="single" w:color="000000" w:sz="8" w:space="0"/>
              <w:right w:val="single" w:color="auto" w:sz="4" w:space="0"/>
            </w:tcBorders>
            <w:shd w:val="clear" w:color="auto" w:fill="auto"/>
            <w:vAlign w:val="center"/>
          </w:tcPr>
          <w:p w14:paraId="2A3C47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光缆。电信级16芯抗拉防老化光缆</w:t>
            </w:r>
          </w:p>
        </w:tc>
        <w:tc>
          <w:tcPr>
            <w:tcW w:w="927" w:type="dxa"/>
            <w:tcBorders>
              <w:top w:val="nil"/>
              <w:left w:val="single" w:color="auto" w:sz="4" w:space="0"/>
              <w:bottom w:val="single" w:color="000000" w:sz="8" w:space="0"/>
              <w:right w:val="single" w:color="000000" w:sz="8" w:space="0"/>
            </w:tcBorders>
            <w:shd w:val="clear" w:color="auto" w:fill="auto"/>
            <w:vAlign w:val="center"/>
          </w:tcPr>
          <w:p w14:paraId="5EEF6E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3000</w:t>
            </w:r>
          </w:p>
        </w:tc>
        <w:tc>
          <w:tcPr>
            <w:tcW w:w="858" w:type="dxa"/>
            <w:tcBorders>
              <w:top w:val="nil"/>
              <w:left w:val="nil"/>
              <w:bottom w:val="single" w:color="000000" w:sz="8" w:space="0"/>
              <w:right w:val="single" w:color="auto" w:sz="4" w:space="0"/>
            </w:tcBorders>
            <w:shd w:val="clear" w:color="auto" w:fill="auto"/>
            <w:vAlign w:val="center"/>
          </w:tcPr>
          <w:p w14:paraId="6A0CB3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米</w:t>
            </w:r>
          </w:p>
        </w:tc>
      </w:tr>
      <w:tr w14:paraId="27497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7C24EE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6575CD2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single" w:color="auto" w:sz="4" w:space="0"/>
              <w:bottom w:val="single" w:color="000000" w:sz="8" w:space="0"/>
              <w:right w:val="single" w:color="auto" w:sz="4" w:space="0"/>
            </w:tcBorders>
            <w:shd w:val="clear" w:color="auto" w:fill="auto"/>
            <w:vAlign w:val="center"/>
          </w:tcPr>
          <w:p w14:paraId="455A67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线管。PVC阻燃线管</w:t>
            </w:r>
          </w:p>
        </w:tc>
        <w:tc>
          <w:tcPr>
            <w:tcW w:w="927" w:type="dxa"/>
            <w:tcBorders>
              <w:top w:val="nil"/>
              <w:left w:val="single" w:color="auto" w:sz="4" w:space="0"/>
              <w:bottom w:val="single" w:color="000000" w:sz="8" w:space="0"/>
              <w:right w:val="single" w:color="000000" w:sz="8" w:space="0"/>
            </w:tcBorders>
            <w:shd w:val="clear" w:color="auto" w:fill="auto"/>
            <w:vAlign w:val="center"/>
          </w:tcPr>
          <w:p w14:paraId="556010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2000</w:t>
            </w:r>
          </w:p>
        </w:tc>
        <w:tc>
          <w:tcPr>
            <w:tcW w:w="858" w:type="dxa"/>
            <w:tcBorders>
              <w:top w:val="nil"/>
              <w:left w:val="nil"/>
              <w:bottom w:val="single" w:color="000000" w:sz="8" w:space="0"/>
              <w:right w:val="single" w:color="auto" w:sz="4" w:space="0"/>
            </w:tcBorders>
            <w:shd w:val="clear" w:color="auto" w:fill="auto"/>
            <w:vAlign w:val="center"/>
          </w:tcPr>
          <w:p w14:paraId="21CE8E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根</w:t>
            </w:r>
          </w:p>
        </w:tc>
      </w:tr>
      <w:tr w14:paraId="6A1A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195F7C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1F4983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single" w:color="auto" w:sz="4" w:space="0"/>
              <w:bottom w:val="single" w:color="auto" w:sz="4" w:space="0"/>
              <w:right w:val="single" w:color="auto" w:sz="4" w:space="0"/>
            </w:tcBorders>
            <w:shd w:val="clear" w:color="auto" w:fill="auto"/>
            <w:vAlign w:val="center"/>
          </w:tcPr>
          <w:p w14:paraId="624299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黑色32U机柜</w:t>
            </w:r>
          </w:p>
        </w:tc>
        <w:tc>
          <w:tcPr>
            <w:tcW w:w="927" w:type="dxa"/>
            <w:vMerge w:val="restart"/>
            <w:tcBorders>
              <w:top w:val="nil"/>
              <w:left w:val="single" w:color="auto" w:sz="4" w:space="0"/>
              <w:bottom w:val="single" w:color="auto" w:sz="4" w:space="0"/>
              <w:right w:val="single" w:color="000000" w:sz="8" w:space="0"/>
            </w:tcBorders>
            <w:shd w:val="clear" w:color="auto" w:fill="auto"/>
            <w:vAlign w:val="center"/>
          </w:tcPr>
          <w:p w14:paraId="05CE70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858" w:type="dxa"/>
            <w:vMerge w:val="restart"/>
            <w:tcBorders>
              <w:top w:val="nil"/>
              <w:left w:val="nil"/>
              <w:bottom w:val="single" w:color="auto" w:sz="4" w:space="0"/>
              <w:right w:val="single" w:color="auto" w:sz="4" w:space="0"/>
            </w:tcBorders>
            <w:shd w:val="clear" w:color="auto" w:fill="auto"/>
            <w:vAlign w:val="center"/>
          </w:tcPr>
          <w:p w14:paraId="38F578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台</w:t>
            </w:r>
          </w:p>
        </w:tc>
      </w:tr>
      <w:tr w14:paraId="55975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201144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37305A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nil"/>
              <w:bottom w:val="nil"/>
              <w:right w:val="single" w:color="auto" w:sz="4" w:space="0"/>
            </w:tcBorders>
            <w:shd w:val="clear" w:color="auto" w:fill="auto"/>
            <w:vAlign w:val="center"/>
          </w:tcPr>
          <w:p w14:paraId="330E6D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机柜。宽600*深600*高1400mm</w:t>
            </w:r>
          </w:p>
        </w:tc>
        <w:tc>
          <w:tcPr>
            <w:tcW w:w="927" w:type="dxa"/>
            <w:vMerge w:val="continue"/>
            <w:tcBorders>
              <w:top w:val="single" w:color="auto" w:sz="4" w:space="0"/>
              <w:left w:val="single" w:color="auto" w:sz="4" w:space="0"/>
              <w:bottom w:val="single" w:color="000000" w:sz="8" w:space="0"/>
              <w:right w:val="single" w:color="000000" w:sz="8" w:space="0"/>
            </w:tcBorders>
            <w:shd w:val="clear" w:color="auto" w:fill="auto"/>
            <w:vAlign w:val="center"/>
          </w:tcPr>
          <w:p w14:paraId="5B5A40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858" w:type="dxa"/>
            <w:vMerge w:val="continue"/>
            <w:tcBorders>
              <w:top w:val="single" w:color="auto" w:sz="4" w:space="0"/>
              <w:left w:val="nil"/>
              <w:bottom w:val="single" w:color="000000" w:sz="8" w:space="0"/>
              <w:right w:val="single" w:color="auto" w:sz="4" w:space="0"/>
            </w:tcBorders>
            <w:shd w:val="clear" w:color="auto" w:fill="auto"/>
            <w:vAlign w:val="center"/>
          </w:tcPr>
          <w:p w14:paraId="048187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D9C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auto" w:sz="4" w:space="0"/>
              <w:right w:val="single" w:color="auto" w:sz="4" w:space="0"/>
            </w:tcBorders>
            <w:shd w:val="clear" w:color="auto" w:fill="auto"/>
            <w:noWrap/>
            <w:vAlign w:val="center"/>
          </w:tcPr>
          <w:p w14:paraId="6D5BA8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single" w:color="auto" w:sz="4" w:space="0"/>
              <w:bottom w:val="single" w:color="auto" w:sz="4" w:space="0"/>
              <w:right w:val="single" w:color="000000" w:sz="8" w:space="0"/>
            </w:tcBorders>
            <w:shd w:val="clear" w:color="auto" w:fill="auto"/>
            <w:noWrap/>
            <w:vAlign w:val="center"/>
          </w:tcPr>
          <w:p w14:paraId="1BEBBD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auto" w:sz="4" w:space="0"/>
              <w:right w:val="single" w:color="auto" w:sz="4" w:space="0"/>
            </w:tcBorders>
            <w:shd w:val="clear" w:color="auto" w:fill="auto"/>
            <w:vAlign w:val="center"/>
          </w:tcPr>
          <w:p w14:paraId="33B4DD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含PDU</w:t>
            </w:r>
          </w:p>
        </w:tc>
        <w:tc>
          <w:tcPr>
            <w:tcW w:w="927" w:type="dxa"/>
            <w:vMerge w:val="continue"/>
            <w:tcBorders>
              <w:top w:val="nil"/>
              <w:left w:val="single" w:color="auto" w:sz="4" w:space="0"/>
              <w:bottom w:val="single" w:color="auto" w:sz="4" w:space="0"/>
              <w:right w:val="single" w:color="000000" w:sz="8" w:space="0"/>
            </w:tcBorders>
            <w:shd w:val="clear" w:color="auto" w:fill="auto"/>
            <w:vAlign w:val="center"/>
          </w:tcPr>
          <w:p w14:paraId="65C9C5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858" w:type="dxa"/>
            <w:vMerge w:val="continue"/>
            <w:tcBorders>
              <w:top w:val="nil"/>
              <w:left w:val="nil"/>
              <w:bottom w:val="single" w:color="auto" w:sz="4" w:space="0"/>
              <w:right w:val="single" w:color="auto" w:sz="4" w:space="0"/>
            </w:tcBorders>
            <w:shd w:val="clear" w:color="auto" w:fill="auto"/>
            <w:vAlign w:val="center"/>
          </w:tcPr>
          <w:p w14:paraId="5723A84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33CF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AA81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18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FC7C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智能分组轮灌水肥一体化灌溉机</w:t>
            </w: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69E3B05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需要恒压变频。①灌溉水泵+施肥机+田间阀门融合联控，智能分组轮灌和施肥，可节省大量灌溉人工，实现更好的灌溉和施肥效果，保障增产增收：</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2F422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EE2CD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套</w:t>
            </w:r>
          </w:p>
        </w:tc>
      </w:tr>
      <w:tr w14:paraId="2CF02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C372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4087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0EA98A40">
            <w:pPr>
              <w:keepNext w:val="0"/>
              <w:keepLines w:val="0"/>
              <w:widowControl/>
              <w:suppressLineNumbers w:val="0"/>
              <w:jc w:val="left"/>
              <w:textAlignment w:val="center"/>
              <w:rPr>
                <w:rFonts w:ascii="黑体" w:hAnsi="宋体" w:eastAsia="黑体" w:cs="黑体"/>
                <w:b/>
                <w:bCs/>
                <w:i w:val="0"/>
                <w:iCs w:val="0"/>
                <w:color w:val="000000" w:themeColor="text1"/>
                <w:sz w:val="18"/>
                <w:szCs w:val="18"/>
                <w:u w:val="none"/>
                <w14:textFill>
                  <w14:solidFill>
                    <w14:schemeClr w14:val="tx1"/>
                  </w14:solidFill>
                </w14:textFill>
              </w:rPr>
            </w:pPr>
            <w:r>
              <w:rPr>
                <w:rStyle w:val="40"/>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②支持无编码组网，自助绑定阀门，分组与命名，安装调试和应用不再依赖厂家技术支持，确保可自主灵活设置分组轮灌和施肥策略；</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66F8B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29974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F3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9C922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1F92E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4DBB9776">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③智能分组轮灌+施肥支持断电、电压低等异常停泵后，恢复正常，可自动接续执行未完任务：</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683D52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D303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B3FB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8D21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A363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15368A61">
            <w:pPr>
              <w:keepNext w:val="0"/>
              <w:keepLines w:val="0"/>
              <w:widowControl/>
              <w:suppressLineNumbers w:val="0"/>
              <w:jc w:val="left"/>
              <w:textAlignment w:val="center"/>
              <w:rPr>
                <w:rFonts w:hint="eastAsia" w:ascii="黑体" w:hAnsi="宋体" w:eastAsia="黑体" w:cs="黑体"/>
                <w:b/>
                <w:bCs/>
                <w:i w:val="0"/>
                <w:iCs w:val="0"/>
                <w:color w:val="000000" w:themeColor="text1"/>
                <w:sz w:val="18"/>
                <w:szCs w:val="18"/>
                <w:u w:val="none"/>
                <w14:textFill>
                  <w14:solidFill>
                    <w14:schemeClr w14:val="tx1"/>
                  </w14:solidFill>
                </w14:textFill>
              </w:rPr>
            </w:pPr>
            <w:r>
              <w:rPr>
                <w:rStyle w:val="40"/>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④基于微信平台应用，无需下载APP,无需培训，用户即可熟练掌握，简单便携：</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7430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7E2CB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F7C0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C0D24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1A36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3F639B93">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⑤云智能SaaS平台由腾讯云提供计算、存储、带宽等运行环境，安全可靠；</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33BB8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707F6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F9B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DB0716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9C4A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01219B4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⑥经邀请认证的多个管控用户，可相互了解和监督灌溉任务执行情况：</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432D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5391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092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1815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54DAB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3644A187">
            <w:pPr>
              <w:keepNext w:val="0"/>
              <w:keepLines w:val="0"/>
              <w:widowControl/>
              <w:suppressLineNumbers w:val="0"/>
              <w:jc w:val="left"/>
              <w:textAlignment w:val="center"/>
              <w:rPr>
                <w:rStyle w:val="40"/>
                <w:color w:val="000000" w:themeColor="text1"/>
                <w:lang w:val="en-US" w:eastAsia="zh-CN" w:bidi="ar"/>
                <w14:textFill>
                  <w14:solidFill>
                    <w14:schemeClr w14:val="tx1"/>
                  </w14:solidFill>
                </w14:textFill>
              </w:rPr>
            </w:pPr>
            <w:r>
              <w:rPr>
                <w:rStyle w:val="40"/>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⑦手机远控、人工智能、现场操控无感切换，本地操控响应≤500ms;传感器驱动</w:t>
            </w:r>
          </w:p>
          <w:p w14:paraId="718C162D">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响应≤120s:</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464755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67B52B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EED9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3EB95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90A2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59FB7C19">
            <w:pPr>
              <w:keepNext w:val="0"/>
              <w:keepLines w:val="0"/>
              <w:widowControl/>
              <w:suppressLineNumbers w:val="0"/>
              <w:jc w:val="left"/>
              <w:textAlignment w:val="center"/>
              <w:rPr>
                <w:rFonts w:hint="eastAsia" w:ascii="黑体" w:hAnsi="宋体" w:eastAsia="黑体" w:cs="黑体"/>
                <w:b/>
                <w:bCs/>
                <w:i w:val="0"/>
                <w:iCs w:val="0"/>
                <w:color w:val="000000" w:themeColor="text1"/>
                <w:sz w:val="18"/>
                <w:szCs w:val="18"/>
                <w:u w:val="none"/>
                <w14:textFill>
                  <w14:solidFill>
                    <w14:schemeClr w14:val="tx1"/>
                  </w14:solidFill>
                </w14:textFill>
              </w:rPr>
            </w:pPr>
            <w:r>
              <w:rPr>
                <w:rStyle w:val="40"/>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⑧支持扩展综合水价改革相关的流转与非流转农田灌溉收水费功能：</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EBBD9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A5ED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8656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591DE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B54DD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1500660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⑨支持扩展过滤器、流量计、墙情仪、EC、PH等设备和传感器，数据异常，可及时推送相关人员报警消息。</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91683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09D873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E9E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0BF6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49F04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5EBCC08A">
            <w:pPr>
              <w:keepNext w:val="0"/>
              <w:keepLines w:val="0"/>
              <w:widowControl/>
              <w:suppressLineNumbers w:val="0"/>
              <w:jc w:val="left"/>
              <w:textAlignment w:val="center"/>
              <w:rPr>
                <w:rFonts w:hint="eastAsia" w:ascii="黑体" w:hAnsi="宋体" w:eastAsia="黑体" w:cs="黑体"/>
                <w:b/>
                <w:bCs/>
                <w:i w:val="0"/>
                <w:iCs w:val="0"/>
                <w:color w:val="000000" w:themeColor="text1"/>
                <w:sz w:val="18"/>
                <w:szCs w:val="18"/>
                <w:u w:val="none"/>
                <w14:textFill>
                  <w14:solidFill>
                    <w14:schemeClr w14:val="tx1"/>
                  </w14:solidFill>
                </w14:textFill>
              </w:rPr>
            </w:pPr>
            <w:r>
              <w:rPr>
                <w:rStyle w:val="40"/>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附件：小阵雨阀控器可控2个灌溉阀-1路ES485+1ora通信+光伏供电+爆闪灯</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3AAACE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2D8E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20753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53B3B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1478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41B3DD8B">
            <w:pPr>
              <w:keepNext w:val="0"/>
              <w:keepLines w:val="0"/>
              <w:widowControl/>
              <w:suppressLineNumbers w:val="0"/>
              <w:jc w:val="left"/>
              <w:textAlignment w:val="center"/>
              <w:rPr>
                <w:rFonts w:hint="eastAsia" w:ascii="黑体" w:hAnsi="宋体" w:eastAsia="黑体" w:cs="黑体"/>
                <w:b/>
                <w:bCs/>
                <w:i w:val="0"/>
                <w:iCs w:val="0"/>
                <w:color w:val="000000" w:themeColor="text1"/>
                <w:sz w:val="18"/>
                <w:szCs w:val="18"/>
                <w:u w:val="none"/>
                <w14:textFill>
                  <w14:solidFill>
                    <w14:schemeClr w14:val="tx1"/>
                  </w14:solidFill>
                </w14:textFill>
              </w:rPr>
            </w:pPr>
            <w:r>
              <w:rPr>
                <w:rStyle w:val="40"/>
                <w:color w:val="000000" w:themeColor="text1"/>
                <w:lang w:val="en-US" w:eastAsia="zh-CN" w:bidi="ar"/>
                <w14:textFill>
                  <w14:solidFill>
                    <w14:schemeClr w14:val="tx1"/>
                  </w14:solidFill>
                </w14:textFill>
              </w:rPr>
              <w:t>＊</w:t>
            </w:r>
            <w:r>
              <w:rPr>
                <w:rStyle w:val="38"/>
                <w:color w:val="000000" w:themeColor="text1"/>
                <w:lang w:val="en-US" w:eastAsia="zh-CN" w:bidi="ar"/>
                <w14:textFill>
                  <w14:solidFill>
                    <w14:schemeClr w14:val="tx1"/>
                  </w14:solidFill>
                </w14:textFill>
              </w:rPr>
              <w:t>智能稳压灌溉阀柱塞式、自动稳压、消洗3V微功耗驱动|带状态反馈</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EEE1C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5CE8C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916A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086AA8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7A66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4A4BEA0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灌溉阀、三通灌溉阀配件</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11BF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AA6C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06A4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11EFB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BB73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vAlign w:val="center"/>
          </w:tcPr>
          <w:p w14:paraId="1A51E0F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水压传感器0-6Mpa|4-20mA|M20*1.5</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2228A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1451FF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32CC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0" w:type="auto"/>
            <w:vMerge w:val="continue"/>
            <w:tcBorders>
              <w:top w:val="single" w:color="auto" w:sz="4" w:space="0"/>
              <w:left w:val="single" w:color="auto" w:sz="4" w:space="0"/>
              <w:bottom w:val="single" w:color="000000" w:sz="8" w:space="0"/>
              <w:right w:val="single" w:color="auto" w:sz="4" w:space="0"/>
            </w:tcBorders>
            <w:shd w:val="clear" w:color="auto" w:fill="auto"/>
            <w:noWrap/>
            <w:vAlign w:val="center"/>
          </w:tcPr>
          <w:p w14:paraId="74BA4E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single" w:color="auto" w:sz="4" w:space="0"/>
              <w:left w:val="single" w:color="auto" w:sz="4" w:space="0"/>
              <w:bottom w:val="single" w:color="000000" w:sz="8" w:space="0"/>
              <w:right w:val="single" w:color="000000" w:sz="8" w:space="0"/>
            </w:tcBorders>
            <w:shd w:val="clear" w:color="auto" w:fill="auto"/>
            <w:vAlign w:val="center"/>
          </w:tcPr>
          <w:p w14:paraId="754928C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single" w:color="auto" w:sz="4" w:space="0"/>
              <w:left w:val="nil"/>
              <w:bottom w:val="single" w:color="000000" w:sz="8" w:space="0"/>
              <w:right w:val="single" w:color="auto" w:sz="4" w:space="0"/>
            </w:tcBorders>
            <w:shd w:val="clear" w:color="auto" w:fill="auto"/>
            <w:vAlign w:val="top"/>
          </w:tcPr>
          <w:p w14:paraId="7AE2743F">
            <w:pPr>
              <w:keepNext w:val="0"/>
              <w:keepLines w:val="0"/>
              <w:widowControl/>
              <w:suppressLineNumbers w:val="0"/>
              <w:jc w:val="left"/>
              <w:textAlignment w:val="top"/>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泵控+网关泵控天线3段支架非标定制|30*30mm镀锌方管|激光切割组装件</w:t>
            </w:r>
          </w:p>
        </w:tc>
        <w:tc>
          <w:tcPr>
            <w:tcW w:w="0" w:type="auto"/>
            <w:vMerge w:val="continue"/>
            <w:tcBorders>
              <w:top w:val="single" w:color="auto" w:sz="4" w:space="0"/>
              <w:left w:val="single" w:color="auto" w:sz="4" w:space="0"/>
              <w:bottom w:val="single" w:color="000000" w:sz="8" w:space="0"/>
              <w:right w:val="single" w:color="000000" w:sz="8" w:space="0"/>
            </w:tcBorders>
            <w:shd w:val="clear" w:color="auto" w:fill="auto"/>
            <w:noWrap/>
            <w:vAlign w:val="center"/>
          </w:tcPr>
          <w:p w14:paraId="0C0BD9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single" w:color="auto" w:sz="4" w:space="0"/>
              <w:left w:val="nil"/>
              <w:bottom w:val="single" w:color="000000" w:sz="8" w:space="0"/>
              <w:right w:val="single" w:color="auto" w:sz="4" w:space="0"/>
            </w:tcBorders>
            <w:shd w:val="clear" w:color="auto" w:fill="auto"/>
            <w:noWrap/>
            <w:vAlign w:val="center"/>
          </w:tcPr>
          <w:p w14:paraId="090588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68CC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32AD19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nil"/>
              <w:left w:val="single" w:color="auto" w:sz="4" w:space="0"/>
              <w:bottom w:val="single" w:color="000000" w:sz="8" w:space="0"/>
              <w:right w:val="single" w:color="000000" w:sz="8" w:space="0"/>
            </w:tcBorders>
            <w:shd w:val="clear" w:color="auto" w:fill="auto"/>
            <w:vAlign w:val="center"/>
          </w:tcPr>
          <w:p w14:paraId="5BE1ED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000000" w:sz="8" w:space="0"/>
              <w:right w:val="single" w:color="auto" w:sz="4" w:space="0"/>
            </w:tcBorders>
            <w:shd w:val="clear" w:color="auto" w:fill="auto"/>
            <w:vAlign w:val="center"/>
          </w:tcPr>
          <w:p w14:paraId="748A36DE">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泵控天线3段支架非标定制40/32/20镀锌3段圆管3.5米|激光切割组装件</w:t>
            </w:r>
          </w:p>
        </w:tc>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06C5200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5A6EB62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3FC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3DCD35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nil"/>
              <w:left w:val="single" w:color="auto" w:sz="4" w:space="0"/>
              <w:bottom w:val="single" w:color="000000" w:sz="8" w:space="0"/>
              <w:right w:val="single" w:color="000000" w:sz="8" w:space="0"/>
            </w:tcBorders>
            <w:shd w:val="clear" w:color="auto" w:fill="auto"/>
            <w:vAlign w:val="center"/>
          </w:tcPr>
          <w:p w14:paraId="5BC7F27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000000" w:sz="8" w:space="0"/>
              <w:right w:val="single" w:color="auto" w:sz="4" w:space="0"/>
            </w:tcBorders>
            <w:shd w:val="clear" w:color="auto" w:fill="auto"/>
            <w:vAlign w:val="center"/>
          </w:tcPr>
          <w:p w14:paraId="420306A8">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适用功率≤37KW水泵-恒压变频+水压传感器|支持智能施肥</w:t>
            </w:r>
          </w:p>
        </w:tc>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57609B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276842E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C8D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vMerge w:val="continue"/>
            <w:tcBorders>
              <w:top w:val="nil"/>
              <w:left w:val="single" w:color="auto" w:sz="4" w:space="0"/>
              <w:bottom w:val="single" w:color="000000" w:sz="8" w:space="0"/>
              <w:right w:val="single" w:color="auto" w:sz="4" w:space="0"/>
            </w:tcBorders>
            <w:shd w:val="clear" w:color="auto" w:fill="auto"/>
            <w:noWrap/>
            <w:vAlign w:val="center"/>
          </w:tcPr>
          <w:p w14:paraId="77F8CAF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nil"/>
              <w:left w:val="single" w:color="auto" w:sz="4" w:space="0"/>
              <w:bottom w:val="single" w:color="000000" w:sz="8" w:space="0"/>
              <w:right w:val="single" w:color="000000" w:sz="8" w:space="0"/>
            </w:tcBorders>
            <w:shd w:val="clear" w:color="auto" w:fill="auto"/>
            <w:vAlign w:val="center"/>
          </w:tcPr>
          <w:p w14:paraId="0077FB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000000" w:sz="8" w:space="0"/>
              <w:right w:val="single" w:color="auto" w:sz="4" w:space="0"/>
            </w:tcBorders>
            <w:shd w:val="clear" w:color="auto" w:fill="auto"/>
            <w:vAlign w:val="center"/>
          </w:tcPr>
          <w:p w14:paraId="3AE0D6EA">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注肥机</w:t>
            </w:r>
          </w:p>
        </w:tc>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3C3A96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3767C5D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639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0" w:type="auto"/>
            <w:vMerge w:val="continue"/>
            <w:tcBorders>
              <w:top w:val="nil"/>
              <w:left w:val="single" w:color="auto" w:sz="4" w:space="0"/>
              <w:bottom w:val="single" w:color="auto" w:sz="4" w:space="0"/>
              <w:right w:val="single" w:color="auto" w:sz="4" w:space="0"/>
            </w:tcBorders>
            <w:shd w:val="clear" w:color="auto" w:fill="auto"/>
            <w:noWrap/>
            <w:vAlign w:val="center"/>
          </w:tcPr>
          <w:p w14:paraId="6C6D44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41" w:type="dxa"/>
            <w:vMerge w:val="continue"/>
            <w:tcBorders>
              <w:top w:val="nil"/>
              <w:left w:val="single" w:color="auto" w:sz="4" w:space="0"/>
              <w:bottom w:val="single" w:color="auto" w:sz="4" w:space="0"/>
              <w:right w:val="single" w:color="000000" w:sz="8" w:space="0"/>
            </w:tcBorders>
            <w:shd w:val="clear" w:color="auto" w:fill="auto"/>
            <w:vAlign w:val="center"/>
          </w:tcPr>
          <w:p w14:paraId="0A70EF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033" w:type="dxa"/>
            <w:tcBorders>
              <w:top w:val="nil"/>
              <w:left w:val="nil"/>
              <w:bottom w:val="single" w:color="auto" w:sz="4" w:space="0"/>
              <w:right w:val="single" w:color="auto" w:sz="4" w:space="0"/>
            </w:tcBorders>
            <w:shd w:val="clear" w:color="auto" w:fill="auto"/>
            <w:vAlign w:val="center"/>
          </w:tcPr>
          <w:p w14:paraId="7BE4E4F2">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阀控立杆非标定制|激光切割组装件|入地0.5米，出地1米</w:t>
            </w:r>
          </w:p>
        </w:tc>
        <w:tc>
          <w:tcPr>
            <w:tcW w:w="0" w:type="auto"/>
            <w:vMerge w:val="continue"/>
            <w:tcBorders>
              <w:top w:val="nil"/>
              <w:left w:val="single" w:color="auto" w:sz="4" w:space="0"/>
              <w:bottom w:val="single" w:color="000000" w:sz="8" w:space="0"/>
              <w:right w:val="single" w:color="000000" w:sz="8" w:space="0"/>
            </w:tcBorders>
            <w:shd w:val="clear" w:color="auto" w:fill="auto"/>
            <w:noWrap/>
            <w:vAlign w:val="center"/>
          </w:tcPr>
          <w:p w14:paraId="17D0567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vMerge w:val="continue"/>
            <w:tcBorders>
              <w:top w:val="nil"/>
              <w:left w:val="nil"/>
              <w:bottom w:val="single" w:color="000000" w:sz="8" w:space="0"/>
              <w:right w:val="single" w:color="auto" w:sz="4" w:space="0"/>
            </w:tcBorders>
            <w:shd w:val="clear" w:color="auto" w:fill="auto"/>
            <w:noWrap/>
            <w:vAlign w:val="center"/>
          </w:tcPr>
          <w:p w14:paraId="7ED38FA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bl>
    <w:p w14:paraId="0BBCCEAE">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571D6AFC">
      <w:pPr>
        <w:bidi w:val="0"/>
        <w:rPr>
          <w:rFonts w:hint="eastAsia"/>
          <w:color w:val="000000" w:themeColor="text1"/>
          <w14:textFill>
            <w14:solidFill>
              <w14:schemeClr w14:val="tx1"/>
            </w14:solidFill>
          </w14:textFill>
        </w:rPr>
      </w:pPr>
    </w:p>
    <w:p w14:paraId="37E09AD8">
      <w:pPr>
        <w:pStyle w:val="3"/>
        <w:bidi w:val="0"/>
        <w:rPr>
          <w:rFonts w:hint="eastAsia"/>
          <w:color w:val="000000" w:themeColor="text1"/>
          <w14:textFill>
            <w14:solidFill>
              <w14:schemeClr w14:val="tx1"/>
            </w14:solidFill>
          </w14:textFill>
        </w:rPr>
      </w:pPr>
      <w:bookmarkStart w:id="759" w:name="_Toc12576"/>
      <w:r>
        <w:rPr>
          <w:rFonts w:hint="eastAsia"/>
          <w:color w:val="000000" w:themeColor="text1"/>
          <w14:textFill>
            <w14:solidFill>
              <w14:schemeClr w14:val="tx1"/>
            </w14:solidFill>
          </w14:textFill>
        </w:rPr>
        <w:t xml:space="preserve">第五章 </w:t>
      </w:r>
      <w:bookmarkStart w:id="760" w:name="_Toc7667"/>
      <w:bookmarkStart w:id="761" w:name="_Toc17566"/>
      <w:bookmarkStart w:id="762" w:name="_Toc32151"/>
      <w:bookmarkStart w:id="763" w:name="_Toc1243"/>
      <w:bookmarkStart w:id="764" w:name="_Toc14405"/>
      <w:r>
        <w:rPr>
          <w:rFonts w:hint="eastAsia"/>
          <w:color w:val="000000" w:themeColor="text1"/>
          <w14:textFill>
            <w14:solidFill>
              <w14:schemeClr w14:val="tx1"/>
            </w14:solidFill>
          </w14:textFill>
        </w:rPr>
        <w:t>合同条款及格式</w:t>
      </w:r>
      <w:bookmarkEnd w:id="759"/>
      <w:bookmarkEnd w:id="760"/>
      <w:bookmarkEnd w:id="761"/>
      <w:bookmarkEnd w:id="762"/>
      <w:bookmarkEnd w:id="763"/>
      <w:bookmarkEnd w:id="764"/>
    </w:p>
    <w:p w14:paraId="75DB45B4">
      <w:pPr>
        <w:jc w:val="center"/>
        <w:rPr>
          <w:rFonts w:hint="eastAsia" w:ascii="宋体" w:hAnsi="宋体" w:eastAsia="宋体" w:cs="宋体"/>
          <w:color w:val="000000" w:themeColor="text1"/>
          <w:highlight w:val="none"/>
          <w14:textFill>
            <w14:solidFill>
              <w14:schemeClr w14:val="tx1"/>
            </w14:solidFill>
          </w14:textFill>
        </w:rPr>
      </w:pPr>
    </w:p>
    <w:p w14:paraId="5F5F3848">
      <w:pPr>
        <w:pStyle w:val="16"/>
        <w:spacing w:line="440" w:lineRule="exact"/>
        <w:jc w:val="both"/>
        <w:outlineLvl w:val="9"/>
        <w:rPr>
          <w:rFonts w:hint="eastAsia" w:ascii="宋体" w:hAnsi="宋体" w:eastAsia="宋体" w:cs="宋体"/>
          <w:color w:val="000000" w:themeColor="text1"/>
          <w:sz w:val="36"/>
          <w:szCs w:val="36"/>
          <w:highlight w:val="none"/>
          <w14:textFill>
            <w14:solidFill>
              <w14:schemeClr w14:val="tx1"/>
            </w14:solidFill>
          </w14:textFill>
        </w:rPr>
      </w:pPr>
    </w:p>
    <w:p w14:paraId="791D6BFC">
      <w:pPr>
        <w:spacing w:line="440" w:lineRule="exact"/>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甲方（采购人）：</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5CF515F0">
      <w:pPr>
        <w:spacing w:line="440" w:lineRule="exact"/>
        <w:ind w:right="-420" w:rightChars="-200"/>
        <w:rPr>
          <w:rFonts w:hint="eastAsia" w:ascii="宋体" w:hAnsi="宋体" w:eastAsia="宋体" w:cs="宋体"/>
          <w:b/>
          <w:color w:val="000000" w:themeColor="text1"/>
          <w:sz w:val="21"/>
          <w:szCs w:val="21"/>
          <w:highlight w:val="none"/>
          <w:u w:val="singl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乙方（中标人）：</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2D82FAC6">
      <w:pPr>
        <w:spacing w:line="46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根据《中华人民共和国民法典》等有关法律、法规、规章、部门及行业规定、标准等的规定，依据甲方要求并结合本项目具体情况，遵循平等、自愿、公平和诚实信用的原则，甲乙双方经友好协商，签订本合同。</w:t>
      </w:r>
      <w:bookmarkStart w:id="765" w:name="_Hlt504194270"/>
      <w:bookmarkEnd w:id="765"/>
      <w:bookmarkStart w:id="766" w:name="_Hlt504194631"/>
      <w:bookmarkEnd w:id="766"/>
      <w:bookmarkStart w:id="767" w:name="_Hlt503689602"/>
      <w:bookmarkEnd w:id="767"/>
    </w:p>
    <w:p w14:paraId="2BBD9FB8">
      <w:pPr>
        <w:snapToGrid w:val="0"/>
        <w:spacing w:line="460" w:lineRule="exact"/>
        <w:ind w:firstLine="422" w:firstLineChars="200"/>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14:textFill>
            <w14:solidFill>
              <w14:schemeClr w14:val="tx1"/>
            </w14:solidFill>
          </w14:textFill>
        </w:rPr>
        <w:t>第一条 项目概况</w:t>
      </w:r>
    </w:p>
    <w:p w14:paraId="27D70056">
      <w:pPr>
        <w:snapToGrid w:val="0"/>
        <w:spacing w:line="46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项目名称：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5352D679">
      <w:pPr>
        <w:snapToGrid w:val="0"/>
        <w:spacing w:line="46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项目地点：</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1F56B1FD">
      <w:pPr>
        <w:snapToGrid w:val="0"/>
        <w:spacing w:line="460" w:lineRule="exact"/>
        <w:ind w:firstLine="422"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第二条 采购范围</w:t>
      </w:r>
    </w:p>
    <w:p w14:paraId="67DF2434">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乙方负责甲方所采购设备的</w:t>
      </w:r>
      <w:r>
        <w:rPr>
          <w:rFonts w:hint="eastAsia" w:ascii="宋体" w:hAnsi="宋体" w:eastAsia="宋体" w:cs="宋体"/>
          <w:color w:val="000000" w:themeColor="text1"/>
          <w:kern w:val="0"/>
          <w:sz w:val="21"/>
          <w:szCs w:val="21"/>
          <w:highlight w:val="none"/>
          <w14:textFill>
            <w14:solidFill>
              <w14:schemeClr w14:val="tx1"/>
            </w14:solidFill>
          </w14:textFill>
        </w:rPr>
        <w:t>供货、运输保险、安装调试、培训、验收、售后服务及其他相关伴随服务</w:t>
      </w:r>
      <w:r>
        <w:rPr>
          <w:rFonts w:hint="eastAsia" w:ascii="宋体" w:hAnsi="宋体" w:eastAsia="宋体" w:cs="宋体"/>
          <w:bCs/>
          <w:color w:val="000000" w:themeColor="text1"/>
          <w:sz w:val="21"/>
          <w:szCs w:val="21"/>
          <w:highlight w:val="none"/>
          <w14:textFill>
            <w14:solidFill>
              <w14:schemeClr w14:val="tx1"/>
            </w14:solidFill>
          </w14:textFill>
        </w:rPr>
        <w:t>。</w:t>
      </w:r>
    </w:p>
    <w:p w14:paraId="6864ECDF">
      <w:pPr>
        <w:spacing w:line="46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第三条 采购设备清单</w:t>
      </w:r>
    </w:p>
    <w:tbl>
      <w:tblPr>
        <w:tblStyle w:val="18"/>
        <w:tblW w:w="9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890"/>
        <w:gridCol w:w="2504"/>
        <w:gridCol w:w="1350"/>
        <w:gridCol w:w="1484"/>
        <w:gridCol w:w="1464"/>
      </w:tblGrid>
      <w:tr w14:paraId="449A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noWrap w:val="0"/>
            <w:vAlign w:val="top"/>
          </w:tcPr>
          <w:p w14:paraId="1DC33746">
            <w:pPr>
              <w:spacing w:line="460" w:lineRule="exact"/>
              <w:jc w:val="center"/>
              <w:rPr>
                <w:rFonts w:hint="eastAsia" w:ascii="宋体" w:hAnsi="宋体" w:eastAsia="宋体" w:cs="宋体"/>
                <w:color w:val="000000" w:themeColor="text1"/>
                <w:sz w:val="21"/>
                <w:szCs w:val="21"/>
                <w:highlight w:val="none"/>
                <w14:textFill>
                  <w14:solidFill>
                    <w14:schemeClr w14:val="tx1"/>
                  </w14:solidFill>
                </w14:textFill>
              </w:rPr>
            </w:pPr>
            <w:bookmarkStart w:id="768" w:name="_Toc135648941"/>
            <w:r>
              <w:rPr>
                <w:rFonts w:hint="eastAsia" w:ascii="宋体" w:hAnsi="宋体" w:eastAsia="宋体" w:cs="宋体"/>
                <w:color w:val="000000" w:themeColor="text1"/>
                <w:sz w:val="21"/>
                <w:szCs w:val="21"/>
                <w:highlight w:val="none"/>
                <w14:textFill>
                  <w14:solidFill>
                    <w14:schemeClr w14:val="tx1"/>
                  </w14:solidFill>
                </w14:textFill>
              </w:rPr>
              <w:t>序号</w:t>
            </w:r>
          </w:p>
        </w:tc>
        <w:tc>
          <w:tcPr>
            <w:tcW w:w="1890" w:type="dxa"/>
            <w:tcBorders>
              <w:top w:val="single" w:color="auto" w:sz="4" w:space="0"/>
              <w:left w:val="nil"/>
              <w:bottom w:val="single" w:color="auto" w:sz="4" w:space="0"/>
              <w:right w:val="single" w:color="auto" w:sz="4" w:space="0"/>
            </w:tcBorders>
            <w:noWrap w:val="0"/>
            <w:vAlign w:val="top"/>
          </w:tcPr>
          <w:p w14:paraId="1D6E5A5F">
            <w:pPr>
              <w:spacing w:line="4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产品名称</w:t>
            </w:r>
          </w:p>
        </w:tc>
        <w:tc>
          <w:tcPr>
            <w:tcW w:w="2504" w:type="dxa"/>
            <w:tcBorders>
              <w:top w:val="single" w:color="auto" w:sz="4" w:space="0"/>
              <w:left w:val="nil"/>
              <w:bottom w:val="single" w:color="auto" w:sz="4" w:space="0"/>
              <w:right w:val="single" w:color="auto" w:sz="4" w:space="0"/>
            </w:tcBorders>
            <w:noWrap w:val="0"/>
            <w:vAlign w:val="top"/>
          </w:tcPr>
          <w:p w14:paraId="44A6E636">
            <w:pPr>
              <w:spacing w:line="4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品牌、型号规格</w:t>
            </w:r>
          </w:p>
        </w:tc>
        <w:tc>
          <w:tcPr>
            <w:tcW w:w="1350" w:type="dxa"/>
            <w:tcBorders>
              <w:top w:val="single" w:color="auto" w:sz="4" w:space="0"/>
              <w:left w:val="nil"/>
              <w:bottom w:val="single" w:color="auto" w:sz="4" w:space="0"/>
              <w:right w:val="single" w:color="auto" w:sz="4" w:space="0"/>
            </w:tcBorders>
            <w:noWrap w:val="0"/>
            <w:vAlign w:val="top"/>
          </w:tcPr>
          <w:p w14:paraId="62A60397">
            <w:pPr>
              <w:spacing w:line="4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484" w:type="dxa"/>
            <w:tcBorders>
              <w:top w:val="single" w:color="auto" w:sz="4" w:space="0"/>
              <w:left w:val="nil"/>
              <w:bottom w:val="single" w:color="auto" w:sz="4" w:space="0"/>
              <w:right w:val="single" w:color="auto" w:sz="4" w:space="0"/>
            </w:tcBorders>
            <w:noWrap w:val="0"/>
            <w:vAlign w:val="top"/>
          </w:tcPr>
          <w:p w14:paraId="4A14A67D">
            <w:pPr>
              <w:spacing w:line="4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单价</w:t>
            </w:r>
          </w:p>
        </w:tc>
        <w:tc>
          <w:tcPr>
            <w:tcW w:w="1464" w:type="dxa"/>
            <w:tcBorders>
              <w:top w:val="single" w:color="auto" w:sz="4" w:space="0"/>
              <w:left w:val="nil"/>
              <w:bottom w:val="single" w:color="auto" w:sz="4" w:space="0"/>
              <w:right w:val="single" w:color="auto" w:sz="4" w:space="0"/>
            </w:tcBorders>
            <w:noWrap w:val="0"/>
            <w:vAlign w:val="top"/>
          </w:tcPr>
          <w:p w14:paraId="346B7382">
            <w:pPr>
              <w:spacing w:line="4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合计</w:t>
            </w:r>
          </w:p>
        </w:tc>
      </w:tr>
      <w:tr w14:paraId="7D17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678820FD">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890" w:type="dxa"/>
            <w:tcBorders>
              <w:top w:val="single" w:color="auto" w:sz="4" w:space="0"/>
              <w:left w:val="nil"/>
              <w:bottom w:val="single" w:color="auto" w:sz="4" w:space="0"/>
              <w:right w:val="single" w:color="auto" w:sz="4" w:space="0"/>
            </w:tcBorders>
            <w:noWrap w:val="0"/>
            <w:vAlign w:val="center"/>
          </w:tcPr>
          <w:p w14:paraId="32379D08">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2504" w:type="dxa"/>
            <w:tcBorders>
              <w:top w:val="single" w:color="auto" w:sz="4" w:space="0"/>
              <w:left w:val="nil"/>
              <w:bottom w:val="single" w:color="auto" w:sz="4" w:space="0"/>
              <w:right w:val="single" w:color="auto" w:sz="4" w:space="0"/>
            </w:tcBorders>
            <w:noWrap w:val="0"/>
            <w:vAlign w:val="center"/>
          </w:tcPr>
          <w:p w14:paraId="09745305">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50" w:type="dxa"/>
            <w:tcBorders>
              <w:top w:val="single" w:color="auto" w:sz="4" w:space="0"/>
              <w:left w:val="nil"/>
              <w:bottom w:val="single" w:color="auto" w:sz="4" w:space="0"/>
              <w:right w:val="single" w:color="auto" w:sz="4" w:space="0"/>
            </w:tcBorders>
            <w:noWrap w:val="0"/>
            <w:vAlign w:val="center"/>
          </w:tcPr>
          <w:p w14:paraId="5B921644">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484" w:type="dxa"/>
            <w:tcBorders>
              <w:top w:val="single" w:color="auto" w:sz="4" w:space="0"/>
              <w:left w:val="nil"/>
              <w:bottom w:val="single" w:color="auto" w:sz="4" w:space="0"/>
              <w:right w:val="single" w:color="auto" w:sz="4" w:space="0"/>
            </w:tcBorders>
            <w:noWrap w:val="0"/>
            <w:vAlign w:val="center"/>
          </w:tcPr>
          <w:p w14:paraId="7E843FF3">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464" w:type="dxa"/>
            <w:tcBorders>
              <w:top w:val="single" w:color="auto" w:sz="4" w:space="0"/>
              <w:left w:val="nil"/>
              <w:bottom w:val="single" w:color="auto" w:sz="4" w:space="0"/>
              <w:right w:val="single" w:color="auto" w:sz="4" w:space="0"/>
            </w:tcBorders>
            <w:noWrap w:val="0"/>
            <w:vAlign w:val="center"/>
          </w:tcPr>
          <w:p w14:paraId="384407C3">
            <w:pPr>
              <w:rPr>
                <w:rFonts w:hint="eastAsia" w:ascii="宋体" w:hAnsi="宋体" w:eastAsia="宋体" w:cs="宋体"/>
                <w:color w:val="000000" w:themeColor="text1"/>
                <w:kern w:val="0"/>
                <w:sz w:val="21"/>
                <w:szCs w:val="21"/>
                <w:highlight w:val="none"/>
                <w14:textFill>
                  <w14:solidFill>
                    <w14:schemeClr w14:val="tx1"/>
                  </w14:solidFill>
                </w14:textFill>
              </w:rPr>
            </w:pPr>
          </w:p>
        </w:tc>
      </w:tr>
      <w:tr w14:paraId="72D8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0B180874">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c>
          <w:tcPr>
            <w:tcW w:w="1890" w:type="dxa"/>
            <w:tcBorders>
              <w:top w:val="single" w:color="auto" w:sz="4" w:space="0"/>
              <w:left w:val="nil"/>
              <w:bottom w:val="single" w:color="auto" w:sz="4" w:space="0"/>
              <w:right w:val="single" w:color="auto" w:sz="4" w:space="0"/>
            </w:tcBorders>
            <w:noWrap w:val="0"/>
            <w:vAlign w:val="center"/>
          </w:tcPr>
          <w:p w14:paraId="44E60BB7">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2504" w:type="dxa"/>
            <w:tcBorders>
              <w:top w:val="single" w:color="auto" w:sz="4" w:space="0"/>
              <w:left w:val="nil"/>
              <w:bottom w:val="single" w:color="auto" w:sz="4" w:space="0"/>
              <w:right w:val="single" w:color="auto" w:sz="4" w:space="0"/>
            </w:tcBorders>
            <w:noWrap w:val="0"/>
            <w:vAlign w:val="center"/>
          </w:tcPr>
          <w:p w14:paraId="1E2DBE37">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50" w:type="dxa"/>
            <w:tcBorders>
              <w:top w:val="single" w:color="auto" w:sz="4" w:space="0"/>
              <w:left w:val="nil"/>
              <w:bottom w:val="single" w:color="auto" w:sz="4" w:space="0"/>
              <w:right w:val="single" w:color="auto" w:sz="4" w:space="0"/>
            </w:tcBorders>
            <w:noWrap w:val="0"/>
            <w:vAlign w:val="center"/>
          </w:tcPr>
          <w:p w14:paraId="6D7DB78D">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484" w:type="dxa"/>
            <w:tcBorders>
              <w:top w:val="single" w:color="auto" w:sz="4" w:space="0"/>
              <w:left w:val="nil"/>
              <w:bottom w:val="single" w:color="auto" w:sz="4" w:space="0"/>
              <w:right w:val="single" w:color="auto" w:sz="4" w:space="0"/>
            </w:tcBorders>
            <w:noWrap w:val="0"/>
            <w:vAlign w:val="center"/>
          </w:tcPr>
          <w:p w14:paraId="65880E8C">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464" w:type="dxa"/>
            <w:tcBorders>
              <w:top w:val="single" w:color="auto" w:sz="4" w:space="0"/>
              <w:left w:val="nil"/>
              <w:bottom w:val="single" w:color="auto" w:sz="4" w:space="0"/>
              <w:right w:val="single" w:color="auto" w:sz="4" w:space="0"/>
            </w:tcBorders>
            <w:noWrap w:val="0"/>
            <w:vAlign w:val="center"/>
          </w:tcPr>
          <w:p w14:paraId="0EBD7E2F">
            <w:pPr>
              <w:rPr>
                <w:rFonts w:hint="eastAsia" w:ascii="宋体" w:hAnsi="宋体" w:eastAsia="宋体" w:cs="宋体"/>
                <w:color w:val="000000" w:themeColor="text1"/>
                <w:kern w:val="0"/>
                <w:sz w:val="21"/>
                <w:szCs w:val="21"/>
                <w:highlight w:val="none"/>
                <w14:textFill>
                  <w14:solidFill>
                    <w14:schemeClr w14:val="tx1"/>
                  </w14:solidFill>
                </w14:textFill>
              </w:rPr>
            </w:pPr>
          </w:p>
        </w:tc>
      </w:tr>
      <w:tr w14:paraId="16E2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8" w:type="dxa"/>
            <w:gridSpan w:val="6"/>
            <w:tcBorders>
              <w:top w:val="single" w:color="auto" w:sz="4" w:space="0"/>
              <w:left w:val="single" w:color="auto" w:sz="4" w:space="0"/>
              <w:bottom w:val="single" w:color="auto" w:sz="4" w:space="0"/>
              <w:right w:val="single" w:color="auto" w:sz="4" w:space="0"/>
            </w:tcBorders>
            <w:noWrap w:val="0"/>
            <w:vAlign w:val="top"/>
          </w:tcPr>
          <w:p w14:paraId="7F05844F">
            <w:pPr>
              <w:snapToGrid w:val="0"/>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本合同总价（人民币，元，含税）：￥</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2A6955DF">
            <w:pPr>
              <w:snapToGrid w:val="0"/>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本合同总价中已包括但不限于</w:t>
            </w:r>
            <w:r>
              <w:rPr>
                <w:rFonts w:hint="eastAsia" w:ascii="宋体" w:hAnsi="宋体" w:eastAsia="宋体" w:cs="宋体"/>
                <w:color w:val="000000" w:themeColor="text1"/>
                <w:sz w:val="21"/>
                <w:szCs w:val="21"/>
                <w:highlight w:val="none"/>
                <w14:textFill>
                  <w14:solidFill>
                    <w14:schemeClr w14:val="tx1"/>
                  </w14:solidFill>
                </w14:textFill>
              </w:rPr>
              <w:t>设</w:t>
            </w:r>
            <w:r>
              <w:rPr>
                <w:rFonts w:hint="eastAsia" w:ascii="宋体" w:hAnsi="宋体" w:eastAsia="宋体" w:cs="宋体"/>
                <w:color w:val="000000" w:themeColor="text1"/>
                <w:kern w:val="0"/>
                <w:sz w:val="21"/>
                <w:szCs w:val="21"/>
                <w:highlight w:val="none"/>
                <w14:textFill>
                  <w14:solidFill>
                    <w14:schemeClr w14:val="tx1"/>
                  </w14:solidFill>
                </w14:textFill>
              </w:rPr>
              <w:t>采购设备的供货、运输、装卸、保险、国家规定的税金、安装调试、培训、验收、售后服务及其他相关伴随服务</w:t>
            </w:r>
            <w:r>
              <w:rPr>
                <w:rFonts w:hint="eastAsia" w:ascii="宋体" w:hAnsi="宋体" w:eastAsia="宋体" w:cs="宋体"/>
                <w:color w:val="000000" w:themeColor="text1"/>
                <w:sz w:val="21"/>
                <w:szCs w:val="21"/>
                <w:highlight w:val="none"/>
                <w14:textFill>
                  <w14:solidFill>
                    <w14:schemeClr w14:val="tx1"/>
                  </w14:solidFill>
                </w14:textFill>
              </w:rPr>
              <w:t>等费用。</w:t>
            </w:r>
            <w:r>
              <w:rPr>
                <w:rFonts w:hint="eastAsia" w:ascii="宋体" w:hAnsi="宋体" w:eastAsia="宋体" w:cs="宋体"/>
                <w:color w:val="000000" w:themeColor="text1"/>
                <w:kern w:val="28"/>
                <w:sz w:val="21"/>
                <w:szCs w:val="21"/>
                <w:highlight w:val="none"/>
                <w14:textFill>
                  <w14:solidFill>
                    <w14:schemeClr w14:val="tx1"/>
                  </w14:solidFill>
                </w14:textFill>
              </w:rPr>
              <w:t>该价格为固定价格，在合同有效期内，</w:t>
            </w:r>
            <w:r>
              <w:rPr>
                <w:rFonts w:hint="eastAsia" w:ascii="宋体" w:hAnsi="宋体" w:eastAsia="宋体" w:cs="宋体"/>
                <w:color w:val="000000" w:themeColor="text1"/>
                <w:sz w:val="21"/>
                <w:szCs w:val="21"/>
                <w:highlight w:val="none"/>
                <w14:textFill>
                  <w14:solidFill>
                    <w14:schemeClr w14:val="tx1"/>
                  </w14:solidFill>
                </w14:textFill>
              </w:rPr>
              <w:t>甲</w:t>
            </w:r>
            <w:r>
              <w:rPr>
                <w:rFonts w:hint="eastAsia" w:ascii="宋体" w:hAnsi="宋体" w:eastAsia="宋体" w:cs="宋体"/>
                <w:color w:val="000000" w:themeColor="text1"/>
                <w:kern w:val="28"/>
                <w:sz w:val="21"/>
                <w:szCs w:val="21"/>
                <w:highlight w:val="none"/>
                <w14:textFill>
                  <w14:solidFill>
                    <w14:schemeClr w14:val="tx1"/>
                  </w14:solidFill>
                </w14:textFill>
              </w:rPr>
              <w:t>方不承担因各种因素所导致的制造成本上升而产生的价格上涨风险。</w:t>
            </w:r>
          </w:p>
        </w:tc>
      </w:tr>
    </w:tbl>
    <w:p w14:paraId="40B75283">
      <w:pPr>
        <w:adjustRightInd w:val="0"/>
        <w:snapToGrid w:val="0"/>
        <w:spacing w:line="460" w:lineRule="exact"/>
        <w:ind w:firstLine="462" w:firstLineChars="200"/>
        <w:rPr>
          <w:rFonts w:hint="eastAsia" w:ascii="宋体" w:hAnsi="宋体" w:eastAsia="宋体" w:cs="宋体"/>
          <w:b/>
          <w:color w:val="000000" w:themeColor="text1"/>
          <w:spacing w:val="10"/>
          <w:kern w:val="0"/>
          <w:sz w:val="21"/>
          <w:szCs w:val="21"/>
          <w:highlight w:val="none"/>
          <w14:textFill>
            <w14:solidFill>
              <w14:schemeClr w14:val="tx1"/>
            </w14:solidFill>
          </w14:textFill>
        </w:rPr>
      </w:pPr>
    </w:p>
    <w:p w14:paraId="097E0F0A">
      <w:pPr>
        <w:adjustRightInd w:val="0"/>
        <w:snapToGrid w:val="0"/>
        <w:spacing w:line="460" w:lineRule="exact"/>
        <w:ind w:firstLine="462" w:firstLineChars="200"/>
        <w:rPr>
          <w:rFonts w:hint="eastAsia" w:ascii="宋体" w:hAnsi="宋体" w:eastAsia="宋体" w:cs="宋体"/>
          <w:b/>
          <w:color w:val="000000" w:themeColor="text1"/>
          <w:spacing w:val="10"/>
          <w:kern w:val="0"/>
          <w:sz w:val="21"/>
          <w:szCs w:val="21"/>
          <w:highlight w:val="none"/>
          <w14:textFill>
            <w14:solidFill>
              <w14:schemeClr w14:val="tx1"/>
            </w14:solidFill>
          </w14:textFill>
        </w:rPr>
      </w:pPr>
      <w:r>
        <w:rPr>
          <w:rFonts w:hint="eastAsia" w:ascii="宋体" w:hAnsi="宋体" w:eastAsia="宋体" w:cs="宋体"/>
          <w:b/>
          <w:color w:val="000000" w:themeColor="text1"/>
          <w:spacing w:val="10"/>
          <w:kern w:val="0"/>
          <w:sz w:val="21"/>
          <w:szCs w:val="21"/>
          <w:highlight w:val="none"/>
          <w14:textFill>
            <w14:solidFill>
              <w14:schemeClr w14:val="tx1"/>
            </w14:solidFill>
          </w14:textFill>
        </w:rPr>
        <w:t>第四条 设备质量要求</w:t>
      </w:r>
      <w:bookmarkEnd w:id="768"/>
    </w:p>
    <w:p w14:paraId="6367BA1B">
      <w:pPr>
        <w:adjustRightInd w:val="0"/>
        <w:snapToGrid w:val="0"/>
        <w:spacing w:line="460" w:lineRule="exact"/>
        <w:ind w:firstLine="460" w:firstLineChars="200"/>
        <w:rPr>
          <w:rFonts w:hint="eastAsia" w:ascii="宋体" w:hAnsi="宋体" w:eastAsia="宋体" w:cs="宋体"/>
          <w:color w:val="000000" w:themeColor="text1"/>
          <w:spacing w:val="10"/>
          <w:kern w:val="0"/>
          <w:sz w:val="21"/>
          <w:szCs w:val="21"/>
          <w:highlight w:val="none"/>
          <w14:textFill>
            <w14:solidFill>
              <w14:schemeClr w14:val="tx1"/>
            </w14:solidFill>
          </w14:textFill>
        </w:rPr>
      </w:pPr>
      <w:r>
        <w:rPr>
          <w:rFonts w:hint="eastAsia" w:ascii="宋体" w:hAnsi="宋体" w:eastAsia="宋体" w:cs="宋体"/>
          <w:color w:val="000000" w:themeColor="text1"/>
          <w:spacing w:val="10"/>
          <w:kern w:val="0"/>
          <w:sz w:val="21"/>
          <w:szCs w:val="21"/>
          <w:highlight w:val="none"/>
          <w14:textFill>
            <w14:solidFill>
              <w14:schemeClr w14:val="tx1"/>
            </w14:solidFill>
          </w14:textFill>
        </w:rPr>
        <w:t>1.质量要求：</w:t>
      </w:r>
      <w:r>
        <w:rPr>
          <w:rFonts w:hint="eastAsia" w:ascii="宋体" w:hAnsi="宋体" w:eastAsia="宋体" w:cs="宋体"/>
          <w:color w:val="000000" w:themeColor="text1"/>
          <w:spacing w:val="10"/>
          <w:kern w:val="0"/>
          <w:sz w:val="21"/>
          <w:szCs w:val="21"/>
          <w:highlight w:val="none"/>
          <w:u w:val="single"/>
          <w14:textFill>
            <w14:solidFill>
              <w14:schemeClr w14:val="tx1"/>
            </w14:solidFill>
          </w14:textFill>
        </w:rPr>
        <w:tab/>
      </w:r>
      <w:r>
        <w:rPr>
          <w:rFonts w:hint="eastAsia" w:ascii="宋体" w:hAnsi="宋体" w:eastAsia="宋体" w:cs="宋体"/>
          <w:color w:val="000000" w:themeColor="text1"/>
          <w:spacing w:val="10"/>
          <w:kern w:val="0"/>
          <w:sz w:val="21"/>
          <w:szCs w:val="21"/>
          <w:highlight w:val="none"/>
          <w:u w:val="single"/>
          <w14:textFill>
            <w14:solidFill>
              <w14:schemeClr w14:val="tx1"/>
            </w14:solidFill>
          </w14:textFill>
        </w:rPr>
        <w:tab/>
      </w:r>
      <w:r>
        <w:rPr>
          <w:rFonts w:hint="eastAsia" w:ascii="宋体" w:hAnsi="宋体" w:eastAsia="宋体" w:cs="宋体"/>
          <w:color w:val="000000" w:themeColor="text1"/>
          <w:spacing w:val="10"/>
          <w:kern w:val="0"/>
          <w:sz w:val="21"/>
          <w:szCs w:val="21"/>
          <w:highlight w:val="none"/>
          <w:u w:val="single"/>
          <w14:textFill>
            <w14:solidFill>
              <w14:schemeClr w14:val="tx1"/>
            </w14:solidFill>
          </w14:textFill>
        </w:rPr>
        <w:tab/>
      </w:r>
      <w:r>
        <w:rPr>
          <w:rFonts w:hint="eastAsia" w:ascii="宋体" w:hAnsi="宋体" w:eastAsia="宋体" w:cs="宋体"/>
          <w:color w:val="000000" w:themeColor="text1"/>
          <w:spacing w:val="10"/>
          <w:kern w:val="0"/>
          <w:sz w:val="21"/>
          <w:szCs w:val="21"/>
          <w:highlight w:val="none"/>
          <w:u w:val="single"/>
          <w14:textFill>
            <w14:solidFill>
              <w14:schemeClr w14:val="tx1"/>
            </w14:solidFill>
          </w14:textFill>
        </w:rPr>
        <w:tab/>
      </w:r>
      <w:r>
        <w:rPr>
          <w:rFonts w:hint="eastAsia" w:ascii="宋体" w:hAnsi="宋体" w:eastAsia="宋体" w:cs="宋体"/>
          <w:color w:val="000000" w:themeColor="text1"/>
          <w:spacing w:val="10"/>
          <w:kern w:val="0"/>
          <w:sz w:val="21"/>
          <w:szCs w:val="21"/>
          <w:highlight w:val="none"/>
          <w:u w:val="single"/>
          <w14:textFill>
            <w14:solidFill>
              <w14:schemeClr w14:val="tx1"/>
            </w14:solidFill>
          </w14:textFill>
        </w:rPr>
        <w:tab/>
      </w:r>
      <w:r>
        <w:rPr>
          <w:rFonts w:hint="eastAsia" w:ascii="宋体" w:hAnsi="宋体" w:eastAsia="宋体" w:cs="宋体"/>
          <w:color w:val="000000" w:themeColor="text1"/>
          <w:spacing w:val="10"/>
          <w:kern w:val="0"/>
          <w:sz w:val="21"/>
          <w:szCs w:val="21"/>
          <w:highlight w:val="none"/>
          <w:u w:val="single"/>
          <w14:textFill>
            <w14:solidFill>
              <w14:schemeClr w14:val="tx1"/>
            </w14:solidFill>
          </w14:textFill>
        </w:rPr>
        <w:tab/>
      </w:r>
      <w:r>
        <w:rPr>
          <w:rFonts w:hint="eastAsia" w:ascii="宋体" w:hAnsi="宋体" w:eastAsia="宋体" w:cs="宋体"/>
          <w:color w:val="000000" w:themeColor="text1"/>
          <w:spacing w:val="10"/>
          <w:kern w:val="0"/>
          <w:sz w:val="21"/>
          <w:szCs w:val="21"/>
          <w:highlight w:val="none"/>
          <w:u w:val="single"/>
          <w14:textFill>
            <w14:solidFill>
              <w14:schemeClr w14:val="tx1"/>
            </w14:solidFill>
          </w14:textFill>
        </w:rPr>
        <w:tab/>
      </w:r>
      <w:r>
        <w:rPr>
          <w:rFonts w:hint="eastAsia" w:ascii="宋体" w:hAnsi="宋体" w:eastAsia="宋体" w:cs="宋体"/>
          <w:color w:val="000000" w:themeColor="text1"/>
          <w:spacing w:val="10"/>
          <w:kern w:val="0"/>
          <w:sz w:val="21"/>
          <w:szCs w:val="21"/>
          <w:highlight w:val="none"/>
          <w14:textFill>
            <w14:solidFill>
              <w14:schemeClr w14:val="tx1"/>
            </w14:solidFill>
          </w14:textFill>
        </w:rPr>
        <w:t>。</w:t>
      </w:r>
    </w:p>
    <w:p w14:paraId="48D53AB1">
      <w:pPr>
        <w:adjustRightInd w:val="0"/>
        <w:snapToGrid w:val="0"/>
        <w:spacing w:line="460" w:lineRule="exact"/>
        <w:ind w:firstLine="460" w:firstLineChars="200"/>
        <w:rPr>
          <w:rFonts w:hint="eastAsia" w:ascii="宋体" w:hAnsi="宋体" w:eastAsia="宋体" w:cs="宋体"/>
          <w:color w:val="000000" w:themeColor="text1"/>
          <w:spacing w:val="10"/>
          <w:kern w:val="0"/>
          <w:sz w:val="21"/>
          <w:szCs w:val="21"/>
          <w:highlight w:val="none"/>
          <w14:textFill>
            <w14:solidFill>
              <w14:schemeClr w14:val="tx1"/>
            </w14:solidFill>
          </w14:textFill>
        </w:rPr>
      </w:pPr>
      <w:r>
        <w:rPr>
          <w:rFonts w:hint="eastAsia" w:ascii="宋体" w:hAnsi="宋体" w:eastAsia="宋体" w:cs="宋体"/>
          <w:color w:val="000000" w:themeColor="text1"/>
          <w:spacing w:val="10"/>
          <w:kern w:val="0"/>
          <w:sz w:val="21"/>
          <w:szCs w:val="21"/>
          <w:highlight w:val="none"/>
          <w14:textFill>
            <w14:solidFill>
              <w14:schemeClr w14:val="tx1"/>
            </w14:solidFill>
          </w14:textFill>
        </w:rPr>
        <w:t>2.乙方提供的设备均须为</w:t>
      </w:r>
      <w:r>
        <w:rPr>
          <w:rFonts w:hint="eastAsia" w:ascii="宋体" w:hAnsi="宋体" w:eastAsia="宋体" w:cs="宋体"/>
          <w:bCs/>
          <w:color w:val="000000" w:themeColor="text1"/>
          <w:kern w:val="0"/>
          <w:sz w:val="21"/>
          <w:szCs w:val="21"/>
          <w:highlight w:val="none"/>
          <w14:textFill>
            <w14:solidFill>
              <w14:schemeClr w14:val="tx1"/>
            </w14:solidFill>
          </w14:textFill>
        </w:rPr>
        <w:t>全新的、未使用过的</w:t>
      </w:r>
      <w:r>
        <w:rPr>
          <w:rFonts w:hint="eastAsia" w:ascii="宋体" w:hAnsi="宋体" w:eastAsia="宋体" w:cs="宋体"/>
          <w:color w:val="000000" w:themeColor="text1"/>
          <w:spacing w:val="10"/>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包括零部件、附件、备品备件</w:t>
      </w:r>
      <w:r>
        <w:rPr>
          <w:rFonts w:hint="eastAsia" w:ascii="宋体" w:hAnsi="宋体" w:eastAsia="宋体" w:cs="宋体"/>
          <w:color w:val="000000" w:themeColor="text1"/>
          <w:spacing w:val="10"/>
          <w:kern w:val="0"/>
          <w:sz w:val="21"/>
          <w:szCs w:val="21"/>
          <w:highlight w:val="none"/>
          <w14:textFill>
            <w14:solidFill>
              <w14:schemeClr w14:val="tx1"/>
            </w14:solidFill>
          </w14:textFill>
        </w:rPr>
        <w:t>）。</w:t>
      </w:r>
    </w:p>
    <w:p w14:paraId="3EE2A4AC">
      <w:pPr>
        <w:adjustRightInd w:val="0"/>
        <w:snapToGrid w:val="0"/>
        <w:spacing w:line="460" w:lineRule="exact"/>
        <w:ind w:firstLine="46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pacing w:val="10"/>
          <w:kern w:val="0"/>
          <w:sz w:val="21"/>
          <w:szCs w:val="21"/>
          <w:highlight w:val="none"/>
          <w14:textFill>
            <w14:solidFill>
              <w14:schemeClr w14:val="tx1"/>
            </w14:solidFill>
          </w14:textFill>
        </w:rPr>
        <w:t>3</w:t>
      </w:r>
      <w:r>
        <w:rPr>
          <w:rFonts w:hint="eastAsia" w:ascii="宋体" w:hAnsi="宋体" w:eastAsia="宋体" w:cs="宋体"/>
          <w:color w:val="000000" w:themeColor="text1"/>
          <w:kern w:val="0"/>
          <w:sz w:val="21"/>
          <w:szCs w:val="21"/>
          <w:highlight w:val="none"/>
          <w14:textFill>
            <w14:solidFill>
              <w14:schemeClr w14:val="tx1"/>
            </w14:solidFill>
          </w14:textFill>
        </w:rPr>
        <w:t>.乙方保证所供设备质量符合国家相关质量标准和技术要求，符合设备清单中所载规格及参数；所供设备没有国家质量标准的，符合行业质量标准。</w:t>
      </w:r>
    </w:p>
    <w:p w14:paraId="367C2DDB">
      <w:pPr>
        <w:adjustRightInd w:val="0"/>
        <w:snapToGrid w:val="0"/>
        <w:spacing w:line="46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 xml:space="preserve">4.产品的质量应符合招标文件、投标文件及乙方在评标过程中做出的书面澄清及承诺。 </w:t>
      </w:r>
    </w:p>
    <w:p w14:paraId="17D899E7">
      <w:pPr>
        <w:adjustRightInd w:val="0"/>
        <w:snapToGrid w:val="0"/>
        <w:spacing w:line="46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5.乙方提供的设备不符合上述质量要求的，甲方有权拒绝接收该设备，乙方应更换被拒绝的设备，并符合合同规定的质量要求，由此所造</w:t>
      </w:r>
      <w:r>
        <w:rPr>
          <w:rFonts w:hint="eastAsia" w:ascii="宋体" w:hAnsi="宋体" w:eastAsia="宋体" w:cs="宋体"/>
          <w:color w:val="000000" w:themeColor="text1"/>
          <w:kern w:val="0"/>
          <w:sz w:val="21"/>
          <w:szCs w:val="21"/>
          <w:highlight w:val="none"/>
          <w14:textFill>
            <w14:solidFill>
              <w14:schemeClr w14:val="tx1"/>
            </w14:solidFill>
          </w14:textFill>
        </w:rPr>
        <w:t>成的交货逾期损失由乙方承担。</w:t>
      </w:r>
    </w:p>
    <w:p w14:paraId="0E8582E8">
      <w:pPr>
        <w:adjustRightInd w:val="0"/>
        <w:snapToGrid w:val="0"/>
        <w:spacing w:line="46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6.因采购的设备的质量问题发生争议，由具备该类产品质量检测资格的相关部门进行质量鉴定，</w:t>
      </w:r>
      <w:r>
        <w:rPr>
          <w:rFonts w:hint="eastAsia" w:ascii="宋体" w:hAnsi="宋体" w:eastAsia="宋体" w:cs="宋体"/>
          <w:color w:val="000000" w:themeColor="text1"/>
          <w:kern w:val="0"/>
          <w:sz w:val="21"/>
          <w:szCs w:val="21"/>
          <w:highlight w:val="none"/>
          <w14:textFill>
            <w14:solidFill>
              <w14:schemeClr w14:val="tx1"/>
            </w14:solidFill>
          </w14:textFill>
        </w:rPr>
        <w:t>鉴定费用由乙方负责。</w:t>
      </w:r>
    </w:p>
    <w:p w14:paraId="6631665C">
      <w:pPr>
        <w:spacing w:line="460" w:lineRule="exact"/>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第五条 专利</w:t>
      </w:r>
    </w:p>
    <w:p w14:paraId="7D089AAF">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乙方必须保障甲方在使用其提供的产品时不受到第三方关于侵犯专利权、商标权及其所有知识产权的指控。任何第三方如果提出侵权指控，乙方必须与第三方交涉并承担因此产生的一切法律责任和损失。</w:t>
      </w:r>
    </w:p>
    <w:p w14:paraId="0280627F">
      <w:pPr>
        <w:spacing w:line="46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第六条 交货及验收</w:t>
      </w:r>
    </w:p>
    <w:p w14:paraId="50953EB3">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bookmarkStart w:id="769" w:name="_Hlt503602554"/>
      <w:bookmarkEnd w:id="769"/>
      <w:bookmarkStart w:id="770" w:name="_Hlt503599660"/>
      <w:bookmarkEnd w:id="770"/>
      <w:bookmarkStart w:id="771" w:name="第三条交货地点"/>
      <w:r>
        <w:rPr>
          <w:rFonts w:hint="eastAsia" w:ascii="宋体" w:hAnsi="宋体" w:eastAsia="宋体" w:cs="宋体"/>
          <w:color w:val="000000" w:themeColor="text1"/>
          <w:sz w:val="21"/>
          <w:szCs w:val="21"/>
          <w:highlight w:val="none"/>
          <w14:textFill>
            <w14:solidFill>
              <w14:schemeClr w14:val="tx1"/>
            </w14:solidFill>
          </w14:textFill>
        </w:rPr>
        <w:t>1、乙方须在合同生效后</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日内完成交货及安装调试，交货地及安装点</w:t>
      </w:r>
      <w:bookmarkEnd w:id="771"/>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47659D46">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2、货物在到达甲方所要求的上述地点的运输、装卸、保险等事项均由乙方负责办理，乙方应当自行承担交货验收合格前的一切费用和风险。</w:t>
      </w:r>
      <w:bookmarkStart w:id="772" w:name="_Hlt503692535"/>
      <w:bookmarkEnd w:id="772"/>
      <w:bookmarkStart w:id="773" w:name="第四条交货时间"/>
    </w:p>
    <w:p w14:paraId="5A9D2B56">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3、交货的同时，乙方负责免费提供设备现场操作、运行、维护、修理的现场培训，直到甲方受训人员能完全掌握仪器设备的基本操作和仪器的日常维护。</w:t>
      </w:r>
    </w:p>
    <w:bookmarkEnd w:id="773"/>
    <w:p w14:paraId="3B0F2639">
      <w:pPr>
        <w:spacing w:line="4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bookmarkStart w:id="774" w:name="_Hlt503692538"/>
      <w:bookmarkEnd w:id="774"/>
      <w:r>
        <w:rPr>
          <w:rFonts w:hint="eastAsia" w:ascii="宋体" w:hAnsi="宋体" w:eastAsia="宋体" w:cs="宋体"/>
          <w:color w:val="000000" w:themeColor="text1"/>
          <w:sz w:val="21"/>
          <w:szCs w:val="21"/>
          <w:highlight w:val="none"/>
          <w14:textFill>
            <w14:solidFill>
              <w14:schemeClr w14:val="tx1"/>
            </w14:solidFill>
          </w14:textFill>
        </w:rPr>
        <w:t>4、检验标准、方法、地点及期限：</w:t>
      </w:r>
    </w:p>
    <w:p w14:paraId="178BE569">
      <w:pPr>
        <w:spacing w:line="4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（1）检验标准:按本合同第四条质量标准进行检验。</w:t>
      </w:r>
    </w:p>
    <w:p w14:paraId="2C8919F2">
      <w:pPr>
        <w:spacing w:line="4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（2）验收方式:</w:t>
      </w:r>
    </w:p>
    <w:p w14:paraId="327399E5">
      <w:pPr>
        <w:adjustRightInd w:val="0"/>
        <w:snapToGrid w:val="0"/>
        <w:spacing w:line="460" w:lineRule="exact"/>
        <w:ind w:firstLine="460" w:firstLineChars="200"/>
        <w:rPr>
          <w:rFonts w:hint="eastAsia" w:ascii="宋体" w:hAnsi="宋体" w:eastAsia="宋体" w:cs="宋体"/>
          <w:color w:val="000000" w:themeColor="text1"/>
          <w:spacing w:val="10"/>
          <w:kern w:val="0"/>
          <w:sz w:val="21"/>
          <w:szCs w:val="21"/>
          <w:highlight w:val="none"/>
          <w14:textFill>
            <w14:solidFill>
              <w14:schemeClr w14:val="tx1"/>
            </w14:solidFill>
          </w14:textFill>
        </w:rPr>
      </w:pPr>
      <w:r>
        <w:rPr>
          <w:rFonts w:hint="eastAsia" w:ascii="宋体" w:hAnsi="宋体" w:eastAsia="宋体" w:cs="宋体"/>
          <w:color w:val="000000" w:themeColor="text1"/>
          <w:spacing w:val="10"/>
          <w:kern w:val="0"/>
          <w:sz w:val="21"/>
          <w:szCs w:val="21"/>
          <w:highlight w:val="none"/>
          <w14:textFill>
            <w14:solidFill>
              <w14:schemeClr w14:val="tx1"/>
            </w14:solidFill>
          </w14:textFill>
        </w:rPr>
        <w:t>①货物到货时，包装必须完好无缺,产品规格型号、产品种类、数量等符合合同要求。</w:t>
      </w:r>
    </w:p>
    <w:p w14:paraId="64A0E347">
      <w:pPr>
        <w:adjustRightInd w:val="0"/>
        <w:snapToGrid w:val="0"/>
        <w:spacing w:line="460" w:lineRule="exact"/>
        <w:ind w:firstLine="460" w:firstLineChars="200"/>
        <w:rPr>
          <w:rFonts w:hint="eastAsia" w:ascii="宋体" w:hAnsi="宋体" w:eastAsia="宋体" w:cs="宋体"/>
          <w:color w:val="000000" w:themeColor="text1"/>
          <w:spacing w:val="10"/>
          <w:kern w:val="0"/>
          <w:sz w:val="21"/>
          <w:szCs w:val="21"/>
          <w:highlight w:val="none"/>
          <w14:textFill>
            <w14:solidFill>
              <w14:schemeClr w14:val="tx1"/>
            </w14:solidFill>
          </w14:textFill>
        </w:rPr>
      </w:pPr>
      <w:r>
        <w:rPr>
          <w:rFonts w:hint="eastAsia" w:ascii="宋体" w:hAnsi="宋体" w:eastAsia="宋体" w:cs="宋体"/>
          <w:color w:val="000000" w:themeColor="text1"/>
          <w:spacing w:val="10"/>
          <w:kern w:val="0"/>
          <w:sz w:val="21"/>
          <w:szCs w:val="21"/>
          <w:highlight w:val="none"/>
          <w14:textFill>
            <w14:solidFill>
              <w14:schemeClr w14:val="tx1"/>
            </w14:solidFill>
          </w14:textFill>
        </w:rPr>
        <w:t>②到货后，甲方会同乙方到现场进行清点，清点货物数量、品牌规格型号、配件等与合同的约定是否相符。货物有丢失或损坏，或者货物的包装、品牌、规格型号等不符合合同约定的，甲方有权要求乙方退回更换或补齐货物，乙方实际交货时间以最终补齐货物时间为准。参与交货验收的单位在货物清单上共同签字。此签单仅作为乙方交货的凭证，不作为乙方货物是否合格的最终依据。若乙方的产品经送检不符合本合同约定或安装后因产品质量问题未能通过验收的，乙方仍应当向甲方承担违约责任。</w:t>
      </w:r>
    </w:p>
    <w:p w14:paraId="4BE990EF">
      <w:pPr>
        <w:adjustRightInd w:val="0"/>
        <w:snapToGrid w:val="0"/>
        <w:spacing w:line="460" w:lineRule="exact"/>
        <w:ind w:firstLine="460" w:firstLineChars="200"/>
        <w:rPr>
          <w:rFonts w:hint="eastAsia" w:ascii="宋体" w:hAnsi="宋体" w:eastAsia="宋体" w:cs="宋体"/>
          <w:color w:val="000000" w:themeColor="text1"/>
          <w:spacing w:val="10"/>
          <w:kern w:val="0"/>
          <w:sz w:val="21"/>
          <w:szCs w:val="21"/>
          <w:highlight w:val="none"/>
          <w14:textFill>
            <w14:solidFill>
              <w14:schemeClr w14:val="tx1"/>
            </w14:solidFill>
          </w14:textFill>
        </w:rPr>
      </w:pPr>
      <w:r>
        <w:rPr>
          <w:rFonts w:hint="eastAsia" w:ascii="宋体" w:hAnsi="宋体" w:eastAsia="宋体" w:cs="宋体"/>
          <w:color w:val="000000" w:themeColor="text1"/>
          <w:spacing w:val="10"/>
          <w:kern w:val="0"/>
          <w:sz w:val="21"/>
          <w:szCs w:val="21"/>
          <w:highlight w:val="none"/>
          <w14:textFill>
            <w14:solidFill>
              <w14:schemeClr w14:val="tx1"/>
            </w14:solidFill>
          </w14:textFill>
        </w:rPr>
        <w:t>③在交货的同时应向甲方提交产品合格证等产品质量证明文件、说明书、保修凭证等相关资料，否则，甲方有权拒绝接受货物。</w:t>
      </w:r>
    </w:p>
    <w:p w14:paraId="45B5D85B">
      <w:pPr>
        <w:adjustRightInd w:val="0"/>
        <w:snapToGrid w:val="0"/>
        <w:spacing w:line="460" w:lineRule="exact"/>
        <w:ind w:firstLine="460" w:firstLineChars="200"/>
        <w:rPr>
          <w:rFonts w:hint="eastAsia" w:ascii="宋体" w:hAnsi="宋体" w:eastAsia="宋体" w:cs="宋体"/>
          <w:color w:val="000000" w:themeColor="text1"/>
          <w:spacing w:val="10"/>
          <w:kern w:val="0"/>
          <w:sz w:val="21"/>
          <w:szCs w:val="21"/>
          <w:highlight w:val="none"/>
          <w14:textFill>
            <w14:solidFill>
              <w14:schemeClr w14:val="tx1"/>
            </w14:solidFill>
          </w14:textFill>
        </w:rPr>
      </w:pPr>
      <w:r>
        <w:rPr>
          <w:rFonts w:hint="eastAsia" w:ascii="宋体" w:hAnsi="宋体" w:eastAsia="宋体" w:cs="宋体"/>
          <w:color w:val="000000" w:themeColor="text1"/>
          <w:spacing w:val="10"/>
          <w:kern w:val="0"/>
          <w:sz w:val="21"/>
          <w:szCs w:val="21"/>
          <w:highlight w:val="none"/>
          <w14:textFill>
            <w14:solidFill>
              <w14:schemeClr w14:val="tx1"/>
            </w14:solidFill>
          </w14:textFill>
        </w:rPr>
        <w:t>④设备安装调试：设备经开箱检查确认一切正常后，由设备安装工程师执行安装调试直至达到验收指标（以技术规格要求指标为验收指标）。</w:t>
      </w:r>
    </w:p>
    <w:p w14:paraId="1D64DB1E">
      <w:pPr>
        <w:adjustRightInd w:val="0"/>
        <w:snapToGrid w:val="0"/>
        <w:spacing w:line="460" w:lineRule="exact"/>
        <w:ind w:firstLine="460" w:firstLineChars="200"/>
        <w:rPr>
          <w:rFonts w:hint="eastAsia" w:ascii="宋体" w:hAnsi="宋体" w:eastAsia="宋体" w:cs="宋体"/>
          <w:color w:val="000000" w:themeColor="text1"/>
          <w:spacing w:val="10"/>
          <w:kern w:val="0"/>
          <w:sz w:val="21"/>
          <w:szCs w:val="21"/>
          <w:highlight w:val="none"/>
          <w14:textFill>
            <w14:solidFill>
              <w14:schemeClr w14:val="tx1"/>
            </w14:solidFill>
          </w14:textFill>
        </w:rPr>
      </w:pPr>
      <w:r>
        <w:rPr>
          <w:rFonts w:hint="eastAsia" w:ascii="宋体" w:hAnsi="宋体" w:eastAsia="宋体" w:cs="宋体"/>
          <w:color w:val="000000" w:themeColor="text1"/>
          <w:spacing w:val="10"/>
          <w:kern w:val="0"/>
          <w:sz w:val="21"/>
          <w:szCs w:val="21"/>
          <w:highlight w:val="none"/>
          <w14:textFill>
            <w14:solidFill>
              <w14:schemeClr w14:val="tx1"/>
            </w14:solidFill>
          </w14:textFill>
        </w:rPr>
        <w:t>4、安装</w:t>
      </w:r>
    </w:p>
    <w:p w14:paraId="63ED83D5">
      <w:pPr>
        <w:adjustRightInd w:val="0"/>
        <w:snapToGrid w:val="0"/>
        <w:spacing w:line="460" w:lineRule="exact"/>
        <w:ind w:firstLine="420" w:firstLineChars="200"/>
        <w:rPr>
          <w:rFonts w:hint="eastAsia" w:ascii="宋体" w:hAnsi="宋体" w:eastAsia="宋体" w:cs="宋体"/>
          <w:color w:val="000000" w:themeColor="text1"/>
          <w:spacing w:val="10"/>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（1）货物验收合格后，乙方应在</w:t>
      </w:r>
      <w:r>
        <w:rPr>
          <w:rFonts w:hint="eastAsia" w:ascii="宋体" w:hAnsi="宋体" w:eastAsia="宋体" w:cs="宋体"/>
          <w:color w:val="000000" w:themeColor="text1"/>
          <w:kern w:val="0"/>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 w:val="21"/>
          <w:szCs w:val="21"/>
          <w:highlight w:val="none"/>
          <w14:textFill>
            <w14:solidFill>
              <w14:schemeClr w14:val="tx1"/>
            </w14:solidFill>
          </w14:textFill>
        </w:rPr>
        <w:t>年</w:t>
      </w:r>
      <w:r>
        <w:rPr>
          <w:rFonts w:hint="eastAsia" w:ascii="宋体" w:hAnsi="宋体" w:eastAsia="宋体" w:cs="宋体"/>
          <w:color w:val="000000" w:themeColor="text1"/>
          <w:kern w:val="0"/>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 w:val="21"/>
          <w:szCs w:val="21"/>
          <w:highlight w:val="none"/>
          <w14:textFill>
            <w14:solidFill>
              <w14:schemeClr w14:val="tx1"/>
            </w14:solidFill>
          </w14:textFill>
        </w:rPr>
        <w:t>月</w:t>
      </w:r>
      <w:r>
        <w:rPr>
          <w:rFonts w:hint="eastAsia" w:ascii="宋体" w:hAnsi="宋体" w:eastAsia="宋体" w:cs="宋体"/>
          <w:color w:val="000000" w:themeColor="text1"/>
          <w:kern w:val="0"/>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 w:val="21"/>
          <w:szCs w:val="21"/>
          <w:highlight w:val="none"/>
          <w14:textFill>
            <w14:solidFill>
              <w14:schemeClr w14:val="tx1"/>
            </w14:solidFill>
          </w14:textFill>
        </w:rPr>
        <w:t>日前完成所有设备的安装调试</w:t>
      </w:r>
      <w:r>
        <w:rPr>
          <w:rFonts w:hint="eastAsia" w:ascii="宋体" w:hAnsi="宋体" w:eastAsia="宋体" w:cs="宋体"/>
          <w:color w:val="000000" w:themeColor="text1"/>
          <w:spacing w:val="10"/>
          <w:kern w:val="0"/>
          <w:sz w:val="21"/>
          <w:szCs w:val="21"/>
          <w:highlight w:val="none"/>
          <w14:textFill>
            <w14:solidFill>
              <w14:schemeClr w14:val="tx1"/>
            </w14:solidFill>
          </w14:textFill>
        </w:rPr>
        <w:t>，使其投入正常使用，若相关设备无法正常使用，则</w:t>
      </w:r>
      <w:r>
        <w:rPr>
          <w:rFonts w:hint="eastAsia" w:ascii="宋体" w:hAnsi="宋体" w:eastAsia="宋体" w:cs="宋体"/>
          <w:color w:val="000000" w:themeColor="text1"/>
          <w:kern w:val="0"/>
          <w:sz w:val="21"/>
          <w:szCs w:val="21"/>
          <w:highlight w:val="none"/>
          <w14:textFill>
            <w14:solidFill>
              <w14:schemeClr w14:val="tx1"/>
            </w14:solidFill>
          </w14:textFill>
        </w:rPr>
        <w:t>按不能交货对待。</w:t>
      </w:r>
      <w:r>
        <w:rPr>
          <w:rFonts w:hint="eastAsia" w:ascii="宋体" w:hAnsi="宋体" w:eastAsia="宋体" w:cs="宋体"/>
          <w:color w:val="000000" w:themeColor="text1"/>
          <w:kern w:val="0"/>
          <w:sz w:val="21"/>
          <w:szCs w:val="21"/>
          <w:highlight w:val="none"/>
          <w14:textFill>
            <w14:solidFill>
              <w14:schemeClr w14:val="tx1"/>
            </w14:solidFill>
          </w14:textFill>
        </w:rPr>
        <w:t>安装时由乙方有资质的技术人员依据本合同要求进行安装、调试。</w:t>
      </w:r>
    </w:p>
    <w:p w14:paraId="16BCA5B3">
      <w:pPr>
        <w:adjustRightInd w:val="0"/>
        <w:snapToGrid w:val="0"/>
        <w:spacing w:line="46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（2）乙方工作人员应遵守甲方各项规章制度，做到安装调试现场文明安全施工，举止礼貌，对所产生的废弃垃圾进行相应的收集和处理，做到工完场清。若因</w:t>
      </w:r>
      <w:r>
        <w:rPr>
          <w:rFonts w:hint="eastAsia" w:ascii="宋体" w:hAnsi="宋体" w:eastAsia="宋体" w:cs="宋体"/>
          <w:color w:val="000000" w:themeColor="text1"/>
          <w:kern w:val="0"/>
          <w:sz w:val="21"/>
          <w:szCs w:val="21"/>
          <w:highlight w:val="none"/>
          <w14:textFill>
            <w14:solidFill>
              <w14:schemeClr w14:val="tx1"/>
            </w14:solidFill>
          </w14:textFill>
        </w:rPr>
        <w:t>垃圾处理不当所产生的环境污染等责任由乙方承担。</w:t>
      </w:r>
    </w:p>
    <w:p w14:paraId="3141CF4D">
      <w:pPr>
        <w:adjustRightInd w:val="0"/>
        <w:snapToGrid w:val="0"/>
        <w:spacing w:line="460" w:lineRule="exact"/>
        <w:ind w:firstLine="462" w:firstLineChars="200"/>
        <w:rPr>
          <w:rFonts w:hint="eastAsia" w:ascii="宋体" w:hAnsi="宋体" w:eastAsia="宋体" w:cs="宋体"/>
          <w:b/>
          <w:color w:val="000000" w:themeColor="text1"/>
          <w:spacing w:val="10"/>
          <w:kern w:val="0"/>
          <w:sz w:val="21"/>
          <w:szCs w:val="21"/>
          <w:highlight w:val="none"/>
          <w14:textFill>
            <w14:solidFill>
              <w14:schemeClr w14:val="tx1"/>
            </w14:solidFill>
          </w14:textFill>
        </w:rPr>
      </w:pPr>
      <w:bookmarkStart w:id="775" w:name="_Toc135648942"/>
      <w:r>
        <w:rPr>
          <w:rFonts w:hint="eastAsia" w:ascii="宋体" w:hAnsi="宋体" w:eastAsia="宋体" w:cs="宋体"/>
          <w:b/>
          <w:color w:val="000000" w:themeColor="text1"/>
          <w:spacing w:val="10"/>
          <w:kern w:val="0"/>
          <w:sz w:val="21"/>
          <w:szCs w:val="21"/>
          <w:highlight w:val="none"/>
          <w14:textFill>
            <w14:solidFill>
              <w14:schemeClr w14:val="tx1"/>
            </w14:solidFill>
          </w14:textFill>
        </w:rPr>
        <w:t>第七条 付款方式及期限</w:t>
      </w:r>
      <w:bookmarkEnd w:id="775"/>
    </w:p>
    <w:p w14:paraId="58FB5839">
      <w:pPr>
        <w:spacing w:line="460" w:lineRule="exact"/>
        <w:ind w:firstLine="420" w:firstLineChars="200"/>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货物到货验收合格后支付合同金额的30%，剩余70%在安装调试完毕并经甲方最终验收合格后一次性付清。 </w:t>
      </w:r>
    </w:p>
    <w:p w14:paraId="790A4626">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2、乙方确认收款账户如下：</w:t>
      </w:r>
    </w:p>
    <w:p w14:paraId="425E62FB">
      <w:pPr>
        <w:spacing w:line="46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账户名称：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298F792A">
      <w:pPr>
        <w:spacing w:line="460" w:lineRule="exact"/>
        <w:ind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账户号码：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224E3248">
      <w:pPr>
        <w:spacing w:line="460" w:lineRule="exact"/>
        <w:ind w:firstLine="420"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开户银行：</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7FEFDCB7">
      <w:pPr>
        <w:spacing w:line="46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第八条 售后服务</w:t>
      </w:r>
    </w:p>
    <w:p w14:paraId="74A8FA5F">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1、乙方售后服务部门负责人姓名：</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，联系电话：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1493B8C2">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2、质保期：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47E9FF05">
      <w:pPr>
        <w:adjustRightInd w:val="0"/>
        <w:snapToGrid w:val="0"/>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3、其他售后服务要求：</w:t>
      </w:r>
    </w:p>
    <w:p w14:paraId="59DC311A">
      <w:pPr>
        <w:adjustRightInd w:val="0"/>
        <w:snapToGrid w:val="0"/>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（1）质保期内，中标人负责对其提供的设备上门进行维修。自接到用户报修后，2小时内响应，48小时内到达现场并解决问题。</w:t>
      </w:r>
    </w:p>
    <w:p w14:paraId="44F557C8">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（2）其他服务约定：</w:t>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t>。</w:t>
      </w:r>
    </w:p>
    <w:p w14:paraId="065721EB">
      <w:pPr>
        <w:spacing w:line="460" w:lineRule="exact"/>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bookmarkStart w:id="776" w:name="第十四条变更处理方法"/>
      <w:bookmarkStart w:id="777" w:name="第十六条质量保修"/>
      <w:r>
        <w:rPr>
          <w:rFonts w:hint="eastAsia" w:ascii="宋体" w:hAnsi="宋体" w:eastAsia="宋体" w:cs="宋体"/>
          <w:b/>
          <w:color w:val="000000" w:themeColor="text1"/>
          <w:sz w:val="21"/>
          <w:szCs w:val="21"/>
          <w:highlight w:val="none"/>
          <w14:textFill>
            <w14:solidFill>
              <w14:schemeClr w14:val="tx1"/>
            </w14:solidFill>
          </w14:textFill>
        </w:rPr>
        <w:t>第九条</w:t>
      </w:r>
      <w:bookmarkEnd w:id="776"/>
      <w:bookmarkStart w:id="778" w:name="_Hlt503692967"/>
      <w:bookmarkEnd w:id="778"/>
      <w:bookmarkStart w:id="779" w:name="_Hlt503692969"/>
      <w:bookmarkEnd w:id="779"/>
      <w:r>
        <w:rPr>
          <w:rFonts w:hint="eastAsia" w:ascii="宋体" w:hAnsi="宋体" w:eastAsia="宋体" w:cs="宋体"/>
          <w:b/>
          <w:color w:val="000000" w:themeColor="text1"/>
          <w:sz w:val="21"/>
          <w:szCs w:val="21"/>
          <w:highlight w:val="none"/>
          <w14:textFill>
            <w14:solidFill>
              <w14:schemeClr w14:val="tx1"/>
            </w14:solidFill>
          </w14:textFill>
        </w:rPr>
        <w:t xml:space="preserve"> 合同的变更与解除</w:t>
      </w:r>
    </w:p>
    <w:p w14:paraId="7D5D9EC8">
      <w:pPr>
        <w:tabs>
          <w:tab w:val="left" w:pos="0"/>
        </w:tabs>
        <w:spacing w:line="46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1、合同履行中，如甲方要求变更或解除合同，则应于合同约定交货日3天之前以书面形式通知乙方。合同变更后需重新确定交货期，合同变更的事项双方需另签合同补充协议，并经双方签字盖章后生效。</w:t>
      </w:r>
    </w:p>
    <w:p w14:paraId="0A2A52B4">
      <w:pPr>
        <w:tabs>
          <w:tab w:val="left" w:pos="0"/>
        </w:tabs>
        <w:spacing w:line="46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2、甲、乙双方任何一方非依法定事由或约定解除合同的，须向另一方偿付合同总金额20％的违约金。</w:t>
      </w:r>
    </w:p>
    <w:bookmarkEnd w:id="777"/>
    <w:p w14:paraId="659428DA">
      <w:pPr>
        <w:spacing w:line="46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第十条 违约责任</w:t>
      </w:r>
    </w:p>
    <w:p w14:paraId="4C42BCF5">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1、除本合同另有规定外，合同双方必须完全履行本合同，否则，应承担相应的违约责任。</w:t>
      </w:r>
    </w:p>
    <w:p w14:paraId="28EA654C">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乙方逾期供货或没按约定时间完成安装调试的，乙方每日应当按总货款1%的标准支付给甲方违约金；若此违约金不足以弥补甲方损失的，乙方应当按甲方损失的10%向甲方支付违约金。逾期交货或逾期安装超过15日的，甲方有权单方解除本协议，乙方应向甲方退还所有已收款项，并按总价款20%的标准向甲方支付违约金。</w:t>
      </w:r>
    </w:p>
    <w:p w14:paraId="7D495D25">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3、因为货物的包装、品种、型号、规格、数量等问题致使未通过交货清点的，视为乙方没有交货，因此造成逾期交货的，按照本合同上述逾期交货的有关约定执行。</w:t>
      </w:r>
    </w:p>
    <w:p w14:paraId="466FAEE4">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4、履约期间，甲方可以任意抽取产品</w:t>
      </w:r>
      <w:r>
        <w:rPr>
          <w:rFonts w:hint="eastAsia" w:ascii="宋体" w:hAnsi="宋体" w:eastAsia="宋体" w:cs="宋体"/>
          <w:color w:val="000000" w:themeColor="text1"/>
          <w:sz w:val="21"/>
          <w:szCs w:val="21"/>
          <w:highlight w:val="none"/>
          <w14:textFill>
            <w14:solidFill>
              <w14:schemeClr w14:val="tx1"/>
            </w14:solidFill>
          </w14:textFill>
        </w:rPr>
        <w:t>由具备该类产品质量检测资格的相关部门进行质量鉴定，</w:t>
      </w:r>
      <w:r>
        <w:rPr>
          <w:rFonts w:hint="eastAsia" w:ascii="宋体" w:hAnsi="宋体" w:eastAsia="宋体" w:cs="宋体"/>
          <w:color w:val="000000" w:themeColor="text1"/>
          <w:sz w:val="21"/>
          <w:szCs w:val="21"/>
          <w:highlight w:val="none"/>
          <w14:textFill>
            <w14:solidFill>
              <w14:schemeClr w14:val="tx1"/>
            </w14:solidFill>
          </w14:textFill>
        </w:rPr>
        <w:t>鉴定费用由乙方负责。如果检验质量达不到相关标准要求，甲方有权认为其相关产品均不合格。届时，乙方应当立即无偿换货并向甲方支付未通过验收部分产品价款的10％作为违约金，最终交货时间以换货产品交付并验收合格时间为准；乙方拒不换货或因为产品质量问题致使第二次没有通过验收的，甲方有权单方解除本协议，乙方应向甲方退还所有已收款项，并按总价款20%的标准向甲方支付违约金。</w:t>
      </w:r>
    </w:p>
    <w:p w14:paraId="664D3931">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5、乙方承担因为产品质量问题而给甲方造成的一切损失。</w:t>
      </w:r>
    </w:p>
    <w:p w14:paraId="370254BC">
      <w:pPr>
        <w:spacing w:line="46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bookmarkStart w:id="780" w:name="_Hlt503676492"/>
      <w:bookmarkEnd w:id="780"/>
      <w:bookmarkStart w:id="781" w:name="_Hlt504196077"/>
      <w:bookmarkEnd w:id="781"/>
      <w:bookmarkStart w:id="782" w:name="第十七条纠纷争议处理方式"/>
      <w:r>
        <w:rPr>
          <w:rFonts w:hint="eastAsia" w:ascii="宋体" w:hAnsi="宋体" w:eastAsia="宋体" w:cs="宋体"/>
          <w:b/>
          <w:color w:val="000000" w:themeColor="text1"/>
          <w:sz w:val="21"/>
          <w:szCs w:val="21"/>
          <w:highlight w:val="none"/>
          <w14:textFill>
            <w14:solidFill>
              <w14:schemeClr w14:val="tx1"/>
            </w14:solidFill>
          </w14:textFill>
        </w:rPr>
        <w:t>第十一条  争议处理方式</w:t>
      </w:r>
      <w:bookmarkEnd w:id="782"/>
    </w:p>
    <w:p w14:paraId="7FEF401A">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bookmarkStart w:id="783" w:name="_Hlt503695519"/>
      <w:bookmarkEnd w:id="783"/>
      <w:bookmarkStart w:id="784" w:name="_Hlt504196186"/>
      <w:bookmarkEnd w:id="784"/>
      <w:r>
        <w:rPr>
          <w:rFonts w:hint="eastAsia" w:ascii="宋体" w:hAnsi="宋体" w:eastAsia="宋体" w:cs="宋体"/>
          <w:color w:val="000000" w:themeColor="text1"/>
          <w:sz w:val="21"/>
          <w:szCs w:val="21"/>
          <w:highlight w:val="none"/>
          <w14:textFill>
            <w14:solidFill>
              <w14:schemeClr w14:val="tx1"/>
            </w14:solidFill>
          </w14:textFill>
        </w:rPr>
        <w:t>凡因本合同引起的或与本合同有关的争议，双方应当协商解决。当调解不成时，可向甲方所在地人民法院起诉解决。</w:t>
      </w:r>
    </w:p>
    <w:p w14:paraId="4C31F699">
      <w:pPr>
        <w:tabs>
          <w:tab w:val="left" w:pos="360"/>
        </w:tabs>
        <w:spacing w:line="460" w:lineRule="exact"/>
        <w:ind w:firstLine="422" w:firstLineChars="20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第十二条   其他事项</w:t>
      </w:r>
    </w:p>
    <w:p w14:paraId="534D5E55">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1、本合同一式</w:t>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t>份，甲乙双方各执</w:t>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t>份，具有同等法律效力。</w:t>
      </w:r>
    </w:p>
    <w:p w14:paraId="6EE68BBB">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2、其他未尽事宜，双方协商解决。经合同双方协商后做出的补充协议，与本合同具有同等法律效力。</w:t>
      </w:r>
    </w:p>
    <w:p w14:paraId="4A9F9A6A">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3、本合同</w:t>
      </w:r>
      <w:r>
        <w:rPr>
          <w:rFonts w:hint="eastAsia" w:ascii="宋体" w:hAnsi="宋体" w:eastAsia="宋体" w:cs="宋体"/>
          <w:color w:val="000000" w:themeColor="text1"/>
          <w:sz w:val="21"/>
          <w:szCs w:val="21"/>
          <w:highlight w:val="none"/>
          <w14:textFill>
            <w14:solidFill>
              <w14:schemeClr w14:val="tx1"/>
            </w14:solidFill>
          </w14:textFill>
        </w:rPr>
        <w:t>自双方签字、盖章之日起生效。</w:t>
      </w:r>
      <w:bookmarkStart w:id="785" w:name="_Hlt504197654"/>
      <w:bookmarkEnd w:id="785"/>
    </w:p>
    <w:p w14:paraId="76F1825F">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p>
    <w:p w14:paraId="3113874C">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p>
    <w:p w14:paraId="68B5AD32">
      <w:pPr>
        <w:spacing w:line="46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p>
    <w:p w14:paraId="70B88160">
      <w:pPr>
        <w:spacing w:line="480" w:lineRule="auto"/>
        <w:ind w:firstLine="371" w:firstLineChars="17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甲方：(公章)                         乙方：(公章)</w:t>
      </w:r>
    </w:p>
    <w:p w14:paraId="1559371A">
      <w:pPr>
        <w:spacing w:line="480" w:lineRule="auto"/>
        <w:ind w:firstLine="371" w:firstLineChars="17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法定代表人或                         法定代表人或</w:t>
      </w:r>
    </w:p>
    <w:p w14:paraId="0BA5BBA0">
      <w:pPr>
        <w:spacing w:line="480" w:lineRule="auto"/>
        <w:ind w:firstLine="371" w:firstLineChars="17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其委托代理人（签字）：                其委托代理人（签字）：</w:t>
      </w:r>
    </w:p>
    <w:p w14:paraId="220C618F">
      <w:pPr>
        <w:spacing w:line="480" w:lineRule="auto"/>
        <w:ind w:firstLine="371" w:firstLineChars="17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                               地址：</w:t>
      </w:r>
    </w:p>
    <w:p w14:paraId="1020C3AB">
      <w:pPr>
        <w:spacing w:line="480" w:lineRule="auto"/>
        <w:ind w:firstLine="371" w:firstLineChars="17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联系电话：                           联系电话： </w:t>
      </w:r>
    </w:p>
    <w:p w14:paraId="1F331971">
      <w:pPr>
        <w:widowControl/>
        <w:kinsoku w:val="0"/>
        <w:autoSpaceDE w:val="0"/>
        <w:autoSpaceDN w:val="0"/>
        <w:adjustRightInd w:val="0"/>
        <w:snapToGrid w:val="0"/>
        <w:ind w:firstLine="630" w:firstLineChars="300"/>
        <w:jc w:val="left"/>
        <w:textAlignment w:val="baseline"/>
        <w:rPr>
          <w:rFonts w:hint="eastAsia" w:ascii="宋体" w:hAnsi="宋体" w:eastAsia="宋体" w:cs="宋体"/>
          <w:color w:val="000000" w:themeColor="text1"/>
          <w:sz w:val="21"/>
          <w:szCs w:val="21"/>
          <w:highlight w:val="none"/>
          <w:lang w:val="en-US" w:eastAsia="zh-CN"/>
          <w14:textFill>
            <w14:solidFill>
              <w14:schemeClr w14:val="tx1"/>
            </w14:solidFill>
          </w14:textFill>
        </w:rPr>
        <w:sectPr>
          <w:pgSz w:w="11906" w:h="16838"/>
          <w:pgMar w:top="1134" w:right="1134" w:bottom="1418" w:left="1418" w:header="851" w:footer="992" w:gutter="0"/>
          <w:pgNumType w:fmt="decimal"/>
          <w:cols w:space="720" w:num="1"/>
          <w:docGrid w:linePitch="286" w:charSpace="0"/>
        </w:sectPr>
      </w:pPr>
      <w:r>
        <w:rPr>
          <w:rFonts w:hint="eastAsia" w:ascii="宋体" w:hAnsi="宋体" w:eastAsia="宋体" w:cs="宋体"/>
          <w:color w:val="000000" w:themeColor="text1"/>
          <w:sz w:val="21"/>
          <w:szCs w:val="21"/>
          <w:highlight w:val="none"/>
          <w14:textFill>
            <w14:solidFill>
              <w14:schemeClr w14:val="tx1"/>
            </w14:solidFill>
          </w14:textFill>
        </w:rPr>
        <w:t xml:space="preserve"> 年   月   日                             年  月   </w:t>
      </w:r>
      <w:r>
        <w:rPr>
          <w:rFonts w:hint="eastAsia" w:ascii="宋体" w:hAnsi="宋体" w:eastAsia="宋体" w:cs="宋体"/>
          <w:color w:val="000000" w:themeColor="text1"/>
          <w:sz w:val="21"/>
          <w:szCs w:val="21"/>
          <w:highlight w:val="none"/>
          <w:lang w:val="en-US" w:eastAsia="zh-CN"/>
          <w14:textFill>
            <w14:solidFill>
              <w14:schemeClr w14:val="tx1"/>
            </w14:solidFill>
          </w14:textFill>
        </w:rPr>
        <w:t>日</w:t>
      </w:r>
    </w:p>
    <w:p w14:paraId="7EEEB953">
      <w:pPr>
        <w:jc w:val="left"/>
        <w:rPr>
          <w:rFonts w:hint="eastAsia" w:ascii="宋体" w:hAnsi="宋体" w:eastAsia="宋体" w:cs="宋体"/>
          <w:b/>
          <w:color w:val="000000" w:themeColor="text1"/>
          <w:kern w:val="0"/>
          <w:sz w:val="32"/>
          <w:szCs w:val="20"/>
          <w:highlight w:val="none"/>
          <w14:textFill>
            <w14:solidFill>
              <w14:schemeClr w14:val="tx1"/>
            </w14:solidFill>
          </w14:textFill>
        </w:rPr>
      </w:pPr>
      <w:bookmarkStart w:id="786" w:name="_Toc13442"/>
      <w:bookmarkStart w:id="787" w:name="_Toc9815"/>
      <w:bookmarkStart w:id="788" w:name="_Toc246996354"/>
      <w:bookmarkStart w:id="789" w:name="_Toc11416"/>
      <w:bookmarkStart w:id="790" w:name="_Toc179632806"/>
      <w:bookmarkStart w:id="791" w:name="_Toc247085872"/>
      <w:bookmarkStart w:id="792" w:name="_Toc246997097"/>
      <w:bookmarkStart w:id="793" w:name="_Toc152045786"/>
      <w:bookmarkStart w:id="794" w:name="_Toc152042575"/>
      <w:bookmarkStart w:id="795" w:name="_Toc144974855"/>
    </w:p>
    <w:p w14:paraId="7727FE0A">
      <w:pPr>
        <w:pStyle w:val="3"/>
        <w:bidi w:val="0"/>
        <w:rPr>
          <w:rFonts w:hint="eastAsia"/>
          <w:color w:val="000000" w:themeColor="text1"/>
          <w14:textFill>
            <w14:solidFill>
              <w14:schemeClr w14:val="tx1"/>
            </w14:solidFill>
          </w14:textFill>
        </w:rPr>
      </w:pPr>
      <w:bookmarkStart w:id="796" w:name="_Toc135922580"/>
      <w:bookmarkStart w:id="797" w:name="_Toc21355"/>
      <w:bookmarkStart w:id="798" w:name="_Toc135648943"/>
      <w:r>
        <w:rPr>
          <w:rFonts w:hint="eastAsia"/>
          <w:color w:val="000000" w:themeColor="text1"/>
          <w14:textFill>
            <w14:solidFill>
              <w14:schemeClr w14:val="tx1"/>
            </w14:solidFill>
          </w14:textFill>
        </w:rPr>
        <w:t>第六章  投标文件格式</w:t>
      </w:r>
      <w:bookmarkEnd w:id="786"/>
      <w:bookmarkEnd w:id="787"/>
      <w:bookmarkEnd w:id="788"/>
      <w:bookmarkEnd w:id="789"/>
      <w:bookmarkEnd w:id="790"/>
      <w:bookmarkEnd w:id="791"/>
      <w:bookmarkEnd w:id="792"/>
      <w:bookmarkEnd w:id="793"/>
      <w:bookmarkEnd w:id="794"/>
      <w:bookmarkEnd w:id="795"/>
      <w:bookmarkEnd w:id="796"/>
      <w:bookmarkEnd w:id="797"/>
      <w:bookmarkEnd w:id="798"/>
    </w:p>
    <w:p w14:paraId="1BDB5F3F">
      <w:pPr>
        <w:spacing w:line="360" w:lineRule="auto"/>
        <w:rPr>
          <w:rFonts w:hint="eastAsia" w:ascii="宋体" w:hAnsi="宋体" w:eastAsia="宋体" w:cs="宋体"/>
          <w:color w:val="000000" w:themeColor="text1"/>
          <w:sz w:val="20"/>
          <w:szCs w:val="20"/>
          <w:highlight w:val="none"/>
          <w14:textFill>
            <w14:solidFill>
              <w14:schemeClr w14:val="tx1"/>
            </w14:solidFill>
          </w14:textFill>
        </w:rPr>
      </w:pPr>
    </w:p>
    <w:p w14:paraId="11F6DA2B">
      <w:pPr>
        <w:jc w:val="center"/>
        <w:rPr>
          <w:rFonts w:hint="eastAsia" w:ascii="宋体" w:hAnsi="宋体" w:eastAsia="宋体" w:cs="宋体"/>
          <w:color w:val="000000" w:themeColor="text1"/>
          <w:sz w:val="48"/>
          <w:szCs w:val="48"/>
          <w:highlight w:val="none"/>
          <w14:textFill>
            <w14:solidFill>
              <w14:schemeClr w14:val="tx1"/>
            </w14:solidFill>
          </w14:textFill>
        </w:rPr>
      </w:pPr>
      <w:r>
        <w:rPr>
          <w:rFonts w:hint="eastAsia" w:ascii="宋体" w:hAnsi="宋体" w:eastAsia="宋体" w:cs="宋体"/>
          <w:color w:val="000000" w:themeColor="text1"/>
          <w:sz w:val="48"/>
          <w:szCs w:val="48"/>
          <w:highlight w:val="none"/>
          <w14:textFill>
            <w14:solidFill>
              <w14:schemeClr w14:val="tx1"/>
            </w14:solidFill>
          </w14:textFill>
        </w:rPr>
        <w:t>___________（项目名称）</w:t>
      </w:r>
    </w:p>
    <w:p w14:paraId="17F0D155">
      <w:pPr>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p>
    <w:p w14:paraId="03B4D593">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p>
    <w:p w14:paraId="18F4B4F9">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p>
    <w:p w14:paraId="6FAE99B4">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p>
    <w:p w14:paraId="586F6E17">
      <w:pPr>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p>
    <w:p w14:paraId="5337A18E">
      <w:pPr>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p>
    <w:p w14:paraId="3020584E">
      <w:pPr>
        <w:spacing w:line="360" w:lineRule="auto"/>
        <w:jc w:val="center"/>
        <w:rPr>
          <w:rFonts w:hint="eastAsia" w:ascii="宋体" w:hAnsi="宋体" w:eastAsia="宋体" w:cs="宋体"/>
          <w:b/>
          <w:color w:val="000000" w:themeColor="text1"/>
          <w:sz w:val="48"/>
          <w:szCs w:val="48"/>
          <w:highlight w:val="none"/>
          <w14:textFill>
            <w14:solidFill>
              <w14:schemeClr w14:val="tx1"/>
            </w14:solidFill>
          </w14:textFill>
        </w:rPr>
      </w:pPr>
      <w:r>
        <w:rPr>
          <w:rFonts w:hint="eastAsia" w:ascii="宋体" w:hAnsi="宋体" w:eastAsia="宋体" w:cs="宋体"/>
          <w:b/>
          <w:color w:val="000000" w:themeColor="text1"/>
          <w:sz w:val="48"/>
          <w:szCs w:val="48"/>
          <w:highlight w:val="none"/>
          <w14:textFill>
            <w14:solidFill>
              <w14:schemeClr w14:val="tx1"/>
            </w14:solidFill>
          </w14:textFill>
        </w:rPr>
        <w:t>投标文件</w:t>
      </w:r>
    </w:p>
    <w:p w14:paraId="568E9064">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项目编号：</w:t>
      </w:r>
    </w:p>
    <w:p w14:paraId="18601186">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p>
    <w:p w14:paraId="69E06B44">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p>
    <w:p w14:paraId="5C8BBF0A">
      <w:pPr>
        <w:spacing w:line="360" w:lineRule="auto"/>
        <w:jc w:val="left"/>
        <w:rPr>
          <w:rFonts w:hint="eastAsia" w:ascii="宋体" w:hAnsi="宋体" w:eastAsia="宋体" w:cs="宋体"/>
          <w:b/>
          <w:color w:val="000000" w:themeColor="text1"/>
          <w:sz w:val="28"/>
          <w:szCs w:val="28"/>
          <w:highlight w:val="none"/>
          <w14:textFill>
            <w14:solidFill>
              <w14:schemeClr w14:val="tx1"/>
            </w14:solidFill>
          </w14:textFill>
        </w:rPr>
      </w:pPr>
    </w:p>
    <w:p w14:paraId="124E2294">
      <w:pPr>
        <w:spacing w:line="360" w:lineRule="auto"/>
        <w:rPr>
          <w:rFonts w:hint="eastAsia" w:ascii="宋体" w:hAnsi="宋体" w:eastAsia="宋体" w:cs="宋体"/>
          <w:color w:val="000000" w:themeColor="text1"/>
          <w:sz w:val="28"/>
          <w:szCs w:val="28"/>
          <w:highlight w:val="none"/>
          <w14:textFill>
            <w14:solidFill>
              <w14:schemeClr w14:val="tx1"/>
            </w14:solidFill>
          </w14:textFill>
        </w:rPr>
      </w:pPr>
    </w:p>
    <w:p w14:paraId="4929E5F3">
      <w:pPr>
        <w:spacing w:line="360" w:lineRule="auto"/>
        <w:rPr>
          <w:rFonts w:hint="eastAsia" w:ascii="宋体" w:hAnsi="宋体" w:eastAsia="宋体" w:cs="宋体"/>
          <w:color w:val="000000" w:themeColor="text1"/>
          <w:sz w:val="28"/>
          <w:szCs w:val="28"/>
          <w:highlight w:val="none"/>
          <w14:textFill>
            <w14:solidFill>
              <w14:schemeClr w14:val="tx1"/>
            </w14:solidFill>
          </w14:textFill>
        </w:rPr>
      </w:pPr>
    </w:p>
    <w:p w14:paraId="7F424BFF">
      <w:pPr>
        <w:spacing w:line="360" w:lineRule="auto"/>
        <w:rPr>
          <w:rFonts w:hint="eastAsia" w:ascii="宋体" w:hAnsi="宋体" w:eastAsia="宋体" w:cs="宋体"/>
          <w:color w:val="000000" w:themeColor="text1"/>
          <w:sz w:val="28"/>
          <w:szCs w:val="28"/>
          <w:highlight w:val="none"/>
          <w14:textFill>
            <w14:solidFill>
              <w14:schemeClr w14:val="tx1"/>
            </w14:solidFill>
          </w14:textFill>
        </w:rPr>
      </w:pPr>
    </w:p>
    <w:p w14:paraId="50CCC634">
      <w:pPr>
        <w:spacing w:line="360" w:lineRule="auto"/>
        <w:rPr>
          <w:rFonts w:hint="eastAsia" w:ascii="宋体" w:hAnsi="宋体" w:eastAsia="宋体" w:cs="宋体"/>
          <w:color w:val="000000" w:themeColor="text1"/>
          <w:sz w:val="28"/>
          <w:szCs w:val="28"/>
          <w:highlight w:val="none"/>
          <w14:textFill>
            <w14:solidFill>
              <w14:schemeClr w14:val="tx1"/>
            </w14:solidFill>
          </w14:textFill>
        </w:rPr>
      </w:pPr>
    </w:p>
    <w:p w14:paraId="25CFAD6B">
      <w:pPr>
        <w:rPr>
          <w:rFonts w:hint="eastAsia" w:ascii="宋体" w:hAnsi="宋体" w:eastAsia="宋体" w:cs="宋体"/>
          <w:color w:val="000000" w:themeColor="text1"/>
          <w:highlight w:val="none"/>
          <w14:textFill>
            <w14:solidFill>
              <w14:schemeClr w14:val="tx1"/>
            </w14:solidFill>
          </w14:textFill>
        </w:rPr>
      </w:pPr>
    </w:p>
    <w:p w14:paraId="2F3CB933">
      <w:pPr>
        <w:rPr>
          <w:rFonts w:hint="eastAsia" w:ascii="宋体" w:hAnsi="宋体" w:eastAsia="宋体" w:cs="宋体"/>
          <w:color w:val="000000" w:themeColor="text1"/>
          <w:highlight w:val="none"/>
          <w14:textFill>
            <w14:solidFill>
              <w14:schemeClr w14:val="tx1"/>
            </w14:solidFill>
          </w14:textFill>
        </w:rPr>
      </w:pPr>
    </w:p>
    <w:p w14:paraId="17EDA17B">
      <w:pPr>
        <w:spacing w:line="360" w:lineRule="auto"/>
        <w:rPr>
          <w:rFonts w:hint="eastAsia" w:ascii="宋体" w:hAnsi="宋体" w:eastAsia="宋体" w:cs="宋体"/>
          <w:color w:val="000000" w:themeColor="text1"/>
          <w:sz w:val="28"/>
          <w:szCs w:val="28"/>
          <w:highlight w:val="none"/>
          <w14:textFill>
            <w14:solidFill>
              <w14:schemeClr w14:val="tx1"/>
            </w14:solidFill>
          </w14:textFill>
        </w:rPr>
      </w:pPr>
    </w:p>
    <w:p w14:paraId="1A33859C">
      <w:pPr>
        <w:spacing w:line="360" w:lineRule="auto"/>
        <w:rPr>
          <w:rFonts w:hint="eastAsia" w:ascii="宋体" w:hAnsi="宋体" w:eastAsia="宋体" w:cs="宋体"/>
          <w:color w:val="000000" w:themeColor="text1"/>
          <w:sz w:val="28"/>
          <w:szCs w:val="28"/>
          <w:highlight w:val="none"/>
          <w14:textFill>
            <w14:solidFill>
              <w14:schemeClr w14:val="tx1"/>
            </w14:solidFill>
          </w14:textFill>
        </w:rPr>
      </w:pPr>
    </w:p>
    <w:p w14:paraId="00836949">
      <w:pPr>
        <w:spacing w:line="360" w:lineRule="auto"/>
        <w:rPr>
          <w:rFonts w:hint="eastAsia" w:ascii="宋体" w:hAnsi="宋体" w:eastAsia="宋体" w:cs="宋体"/>
          <w:color w:val="000000" w:themeColor="text1"/>
          <w:sz w:val="28"/>
          <w:szCs w:val="28"/>
          <w:highlight w:val="none"/>
          <w14:textFill>
            <w14:solidFill>
              <w14:schemeClr w14:val="tx1"/>
            </w14:solidFill>
          </w14:textFill>
        </w:rPr>
      </w:pPr>
    </w:p>
    <w:p w14:paraId="68264C3B">
      <w:pPr>
        <w:spacing w:line="360" w:lineRule="auto"/>
        <w:rPr>
          <w:rFonts w:hint="eastAsia" w:ascii="宋体" w:hAnsi="宋体" w:eastAsia="宋体" w:cs="宋体"/>
          <w:color w:val="000000" w:themeColor="text1"/>
          <w:sz w:val="28"/>
          <w:szCs w:val="28"/>
          <w:highlight w:val="none"/>
          <w14:textFill>
            <w14:solidFill>
              <w14:schemeClr w14:val="tx1"/>
            </w14:solidFill>
          </w14:textFill>
        </w:rPr>
      </w:pPr>
    </w:p>
    <w:p w14:paraId="77DDD158">
      <w:pPr>
        <w:spacing w:line="360" w:lineRule="auto"/>
        <w:ind w:firstLine="1120" w:firstLineChars="400"/>
        <w:jc w:val="both"/>
        <w:rPr>
          <w:rFonts w:hint="eastAsia" w:ascii="宋体" w:hAnsi="宋体" w:eastAsia="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投标人：</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（电子印章）</w:t>
      </w:r>
    </w:p>
    <w:p w14:paraId="7C6ADA83">
      <w:pPr>
        <w:spacing w:line="360" w:lineRule="auto"/>
        <w:ind w:firstLine="1120" w:firstLineChars="400"/>
        <w:jc w:val="both"/>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法定代表人或其委托代理人：</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（电子印章）</w:t>
      </w:r>
    </w:p>
    <w:p w14:paraId="396E3F43">
      <w:pPr>
        <w:ind w:firstLine="1120" w:firstLineChars="4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日  期：</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日</w:t>
      </w:r>
    </w:p>
    <w:p w14:paraId="39A9FF77">
      <w:pPr>
        <w:ind w:firstLine="743" w:firstLineChars="354"/>
        <w:rPr>
          <w:rFonts w:hint="eastAsia" w:ascii="宋体" w:hAnsi="宋体" w:eastAsia="宋体" w:cs="宋体"/>
          <w:color w:val="000000" w:themeColor="text1"/>
          <w:szCs w:val="21"/>
          <w:highlight w:val="none"/>
          <w14:textFill>
            <w14:solidFill>
              <w14:schemeClr w14:val="tx1"/>
            </w14:solidFill>
          </w14:textFill>
        </w:rPr>
      </w:pPr>
    </w:p>
    <w:p w14:paraId="19DE5D18">
      <w:pPr>
        <w:rPr>
          <w:rFonts w:hint="eastAsia" w:ascii="宋体" w:hAnsi="宋体" w:eastAsia="宋体" w:cs="宋体"/>
          <w:color w:val="000000" w:themeColor="text1"/>
          <w:highlight w:val="none"/>
          <w14:textFill>
            <w14:solidFill>
              <w14:schemeClr w14:val="tx1"/>
            </w14:solidFill>
          </w14:textFill>
        </w:rPr>
      </w:pPr>
    </w:p>
    <w:p w14:paraId="2C070B2F">
      <w:pPr>
        <w:numPr>
          <w:ilvl w:val="0"/>
          <w:numId w:val="1"/>
        </w:numPr>
        <w:adjustRightInd w:val="0"/>
        <w:spacing w:before="240" w:after="60" w:line="420" w:lineRule="atLeast"/>
        <w:jc w:val="center"/>
        <w:outlineLvl w:val="0"/>
        <w:rPr>
          <w:rFonts w:hint="eastAsia" w:ascii="宋体" w:hAnsi="宋体" w:eastAsia="宋体" w:cs="宋体"/>
          <w:b/>
          <w:color w:val="000000" w:themeColor="text1"/>
          <w:kern w:val="0"/>
          <w:sz w:val="32"/>
          <w:szCs w:val="20"/>
          <w:highlight w:val="none"/>
          <w14:textFill>
            <w14:solidFill>
              <w14:schemeClr w14:val="tx1"/>
            </w14:solidFill>
          </w14:textFill>
        </w:rPr>
      </w:pPr>
      <w:bookmarkStart w:id="799" w:name="_Toc246997099"/>
      <w:bookmarkStart w:id="800" w:name="_Toc144974857"/>
      <w:bookmarkStart w:id="801" w:name="_Toc179632808"/>
      <w:bookmarkStart w:id="802" w:name="_Toc7339"/>
      <w:bookmarkStart w:id="803" w:name="_Toc21679"/>
      <w:bookmarkStart w:id="804" w:name="_Toc152045788"/>
      <w:bookmarkStart w:id="805" w:name="_Toc246996356"/>
      <w:bookmarkStart w:id="806" w:name="_Toc152042577"/>
      <w:bookmarkStart w:id="807" w:name="_Toc135922581"/>
      <w:bookmarkStart w:id="808" w:name="_Toc445287836"/>
      <w:bookmarkStart w:id="809" w:name="_Toc135648944"/>
      <w:bookmarkStart w:id="810" w:name="_Toc247085874"/>
      <w:bookmarkStart w:id="811" w:name="_Toc24195"/>
      <w:bookmarkStart w:id="812" w:name="_Toc17527"/>
      <w:r>
        <w:rPr>
          <w:rFonts w:hint="eastAsia" w:ascii="宋体" w:hAnsi="宋体" w:eastAsia="宋体" w:cs="宋体"/>
          <w:b/>
          <w:color w:val="000000" w:themeColor="text1"/>
          <w:kern w:val="0"/>
          <w:sz w:val="32"/>
          <w:szCs w:val="20"/>
          <w:highlight w:val="none"/>
          <w14:textFill>
            <w14:solidFill>
              <w14:schemeClr w14:val="tx1"/>
            </w14:solidFill>
          </w14:textFill>
        </w:rPr>
        <w:t>投标函及</w:t>
      </w:r>
      <w:bookmarkEnd w:id="799"/>
      <w:bookmarkEnd w:id="800"/>
      <w:bookmarkEnd w:id="801"/>
      <w:bookmarkEnd w:id="802"/>
      <w:bookmarkEnd w:id="803"/>
      <w:bookmarkEnd w:id="804"/>
      <w:bookmarkEnd w:id="805"/>
      <w:bookmarkEnd w:id="806"/>
      <w:bookmarkEnd w:id="807"/>
      <w:bookmarkEnd w:id="808"/>
      <w:bookmarkEnd w:id="809"/>
      <w:bookmarkEnd w:id="810"/>
      <w:bookmarkEnd w:id="811"/>
      <w:r>
        <w:rPr>
          <w:rFonts w:hint="eastAsia" w:ascii="宋体" w:hAnsi="宋体" w:eastAsia="宋体" w:cs="宋体"/>
          <w:b/>
          <w:color w:val="000000" w:themeColor="text1"/>
          <w:kern w:val="0"/>
          <w:sz w:val="32"/>
          <w:szCs w:val="20"/>
          <w:highlight w:val="none"/>
          <w14:textFill>
            <w14:solidFill>
              <w14:schemeClr w14:val="tx1"/>
            </w14:solidFill>
          </w14:textFill>
        </w:rPr>
        <w:t>投标函附录</w:t>
      </w:r>
      <w:bookmarkEnd w:id="812"/>
    </w:p>
    <w:p w14:paraId="74C12B9E">
      <w:pPr>
        <w:keepNext/>
        <w:keepLines/>
        <w:spacing w:before="280" w:after="290" w:line="374" w:lineRule="auto"/>
        <w:jc w:val="center"/>
        <w:outlineLvl w:val="3"/>
        <w:rPr>
          <w:rFonts w:hint="eastAsia" w:ascii="宋体" w:hAnsi="宋体" w:eastAsia="宋体" w:cs="宋体"/>
          <w:b/>
          <w:bCs/>
          <w:color w:val="000000" w:themeColor="text1"/>
          <w:kern w:val="0"/>
          <w:sz w:val="28"/>
          <w:szCs w:val="28"/>
          <w:highlight w:val="none"/>
          <w14:textFill>
            <w14:solidFill>
              <w14:schemeClr w14:val="tx1"/>
            </w14:solidFill>
          </w14:textFill>
        </w:rPr>
      </w:pPr>
      <w:bookmarkStart w:id="813" w:name="_Toc10124796"/>
      <w:bookmarkStart w:id="814" w:name="_Toc28089"/>
      <w:bookmarkStart w:id="815" w:name="_Toc152042578"/>
      <w:bookmarkStart w:id="816" w:name="_Toc152045789"/>
      <w:bookmarkStart w:id="817" w:name="_Toc14619"/>
      <w:bookmarkStart w:id="818" w:name="_Toc144974858"/>
      <w:bookmarkStart w:id="819" w:name="_Toc135648945"/>
      <w:bookmarkStart w:id="820" w:name="_Toc19940"/>
      <w:bookmarkStart w:id="821" w:name="_Toc179632809"/>
      <w:bookmarkStart w:id="822" w:name="_Toc445287837"/>
      <w:bookmarkStart w:id="823" w:name="_Toc246997100"/>
      <w:bookmarkStart w:id="824" w:name="_Toc246996357"/>
      <w:bookmarkStart w:id="825" w:name="_Toc247085875"/>
      <w:r>
        <w:rPr>
          <w:rFonts w:hint="eastAsia" w:ascii="宋体" w:hAnsi="宋体" w:eastAsia="宋体" w:cs="宋体"/>
          <w:b/>
          <w:bCs/>
          <w:color w:val="000000" w:themeColor="text1"/>
          <w:kern w:val="0"/>
          <w:sz w:val="28"/>
          <w:szCs w:val="28"/>
          <w:highlight w:val="none"/>
          <w14:textFill>
            <w14:solidFill>
              <w14:schemeClr w14:val="tx1"/>
            </w14:solidFill>
          </w14:textFill>
        </w:rPr>
        <w:t>（一）投标函</w:t>
      </w:r>
      <w:bookmarkEnd w:id="813"/>
      <w:bookmarkEnd w:id="814"/>
      <w:bookmarkEnd w:id="815"/>
      <w:bookmarkEnd w:id="816"/>
      <w:bookmarkEnd w:id="817"/>
      <w:bookmarkEnd w:id="818"/>
      <w:bookmarkEnd w:id="819"/>
      <w:bookmarkEnd w:id="820"/>
      <w:bookmarkEnd w:id="821"/>
      <w:bookmarkEnd w:id="822"/>
      <w:bookmarkEnd w:id="823"/>
      <w:bookmarkEnd w:id="824"/>
      <w:bookmarkEnd w:id="825"/>
    </w:p>
    <w:p w14:paraId="27BBBE57">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（采购人名称）：</w:t>
      </w:r>
    </w:p>
    <w:p w14:paraId="106E2CB1">
      <w:pPr>
        <w:spacing w:line="440" w:lineRule="exact"/>
        <w:rPr>
          <w:rFonts w:hint="eastAsia" w:ascii="宋体" w:hAnsi="宋体" w:eastAsia="宋体" w:cs="宋体"/>
          <w:color w:val="000000" w:themeColor="text1"/>
          <w:szCs w:val="21"/>
          <w:highlight w:val="none"/>
          <w14:textFill>
            <w14:solidFill>
              <w14:schemeClr w14:val="tx1"/>
            </w14:solidFill>
          </w14:textFill>
        </w:rPr>
      </w:pPr>
    </w:p>
    <w:p w14:paraId="6C84471C">
      <w:pPr>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1．我方已仔细研究了</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（项目名称）招标文件的全部内容，愿意以人民币（大写）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元）的投标报价，按合同约定实施和完成该项目。</w:t>
      </w:r>
    </w:p>
    <w:p w14:paraId="589FD592">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2．如我方中标：</w:t>
      </w:r>
    </w:p>
    <w:p w14:paraId="1F214E5E">
      <w:pPr>
        <w:spacing w:line="360" w:lineRule="auto"/>
        <w:ind w:firstLine="718" w:firstLineChars="3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（1）我方承诺在收到中标通知书后，在中标通知书规定的期限内与你方签订合同。</w:t>
      </w:r>
    </w:p>
    <w:p w14:paraId="3AE026D9">
      <w:pPr>
        <w:spacing w:line="440" w:lineRule="exact"/>
        <w:ind w:firstLine="718" w:firstLineChars="3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（2）随同本投标函递交的</w:t>
      </w:r>
      <w:r>
        <w:rPr>
          <w:rFonts w:hint="eastAsia" w:ascii="宋体" w:hAnsi="宋体" w:eastAsia="宋体" w:cs="宋体"/>
          <w:color w:val="000000" w:themeColor="text1"/>
          <w:szCs w:val="21"/>
          <w:highlight w:val="none"/>
          <w:lang w:eastAsia="zh-CN"/>
          <w14:textFill>
            <w14:solidFill>
              <w14:schemeClr w14:val="tx1"/>
            </w14:solidFill>
          </w14:textFill>
        </w:rPr>
        <w:t>投标函附录</w:t>
      </w:r>
      <w:r>
        <w:rPr>
          <w:rFonts w:hint="eastAsia" w:ascii="宋体" w:hAnsi="宋体" w:eastAsia="宋体" w:cs="宋体"/>
          <w:color w:val="000000" w:themeColor="text1"/>
          <w:szCs w:val="21"/>
          <w:highlight w:val="none"/>
          <w14:textFill>
            <w14:solidFill>
              <w14:schemeClr w14:val="tx1"/>
            </w14:solidFill>
          </w14:textFill>
        </w:rPr>
        <w:t>属于合同文件的组成部分。</w:t>
      </w:r>
    </w:p>
    <w:p w14:paraId="0A59E7DB">
      <w:pPr>
        <w:spacing w:line="440" w:lineRule="exact"/>
        <w:ind w:firstLine="718" w:firstLineChars="3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（3）我方承诺按照招标文件规定向你方递交履约担保（如有）。</w:t>
      </w:r>
    </w:p>
    <w:p w14:paraId="276A1D76">
      <w:pPr>
        <w:spacing w:line="440" w:lineRule="exact"/>
        <w:ind w:firstLine="718" w:firstLineChars="3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（4）我方承诺在合同约定的期限内完成全部合同项目。</w:t>
      </w:r>
    </w:p>
    <w:p w14:paraId="4EA439DB">
      <w:pPr>
        <w:spacing w:line="48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（5）我方承诺将按照招标文件的具体规定向招标代理机构交纳招标代理服务费。</w:t>
      </w:r>
    </w:p>
    <w:p w14:paraId="3941F8B5">
      <w:pPr>
        <w:spacing w:line="440" w:lineRule="exact"/>
        <w:ind w:firstLine="420" w:firstLineChars="20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4"/>
          <w:highlight w:val="none"/>
          <w14:textFill>
            <w14:solidFill>
              <w14:schemeClr w14:val="tx1"/>
            </w14:solidFill>
          </w14:textFill>
        </w:rPr>
        <w:t>我方在此声明，所递交的投标文件及有关资料内容完整、真实和准确。</w:t>
      </w:r>
    </w:p>
    <w:p w14:paraId="61563574">
      <w:pPr>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 我方完全响应招标文件要求的所有内容。</w:t>
      </w:r>
    </w:p>
    <w:p w14:paraId="10501AFA">
      <w:pPr>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（其他补充说明）。</w:t>
      </w:r>
    </w:p>
    <w:p w14:paraId="7DDC7808">
      <w:pPr>
        <w:spacing w:line="440" w:lineRule="exact"/>
        <w:rPr>
          <w:rFonts w:hint="eastAsia" w:ascii="宋体" w:hAnsi="宋体" w:eastAsia="宋体" w:cs="宋体"/>
          <w:color w:val="000000" w:themeColor="text1"/>
          <w:szCs w:val="21"/>
          <w:highlight w:val="none"/>
          <w14:textFill>
            <w14:solidFill>
              <w14:schemeClr w14:val="tx1"/>
            </w14:solidFill>
          </w14:textFill>
        </w:rPr>
      </w:pPr>
    </w:p>
    <w:p w14:paraId="778346B1">
      <w:pPr>
        <w:spacing w:line="440" w:lineRule="exact"/>
        <w:rPr>
          <w:rFonts w:hint="eastAsia" w:ascii="宋体" w:hAnsi="宋体" w:eastAsia="宋体" w:cs="宋体"/>
          <w:color w:val="000000" w:themeColor="text1"/>
          <w:szCs w:val="21"/>
          <w:highlight w:val="none"/>
          <w14:textFill>
            <w14:solidFill>
              <w14:schemeClr w14:val="tx1"/>
            </w14:solidFill>
          </w14:textFill>
        </w:rPr>
      </w:pPr>
    </w:p>
    <w:p w14:paraId="3E3B3410">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（电子印章）</w:t>
      </w:r>
    </w:p>
    <w:p w14:paraId="20962AB0">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（电子印章）</w:t>
      </w:r>
    </w:p>
    <w:p w14:paraId="702F6553">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8D6B0CD">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393EDEE3">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04E3A0F4">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2CB835E4">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3AE0425C">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7395B07C">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104C6E81">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42591335">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179F0D9D">
      <w:pPr>
        <w:spacing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453A3061">
      <w:pPr>
        <w:spacing w:line="360" w:lineRule="auto"/>
        <w:ind w:firstLine="3675" w:firstLineChars="1750"/>
        <w:rPr>
          <w:rFonts w:hint="eastAsia" w:ascii="宋体" w:hAnsi="宋体" w:eastAsia="宋体" w:cs="宋体"/>
          <w:color w:val="000000" w:themeColor="text1"/>
          <w:highlight w:val="none"/>
          <w14:textFill>
            <w14:solidFill>
              <w14:schemeClr w14:val="tx1"/>
            </w14:solidFill>
          </w14:textFill>
        </w:rPr>
      </w:pPr>
    </w:p>
    <w:p w14:paraId="19529580">
      <w:pPr>
        <w:keepNext/>
        <w:keepLines/>
        <w:spacing w:before="280" w:after="290" w:line="374" w:lineRule="auto"/>
        <w:jc w:val="center"/>
        <w:outlineLvl w:val="3"/>
        <w:rPr>
          <w:rFonts w:hint="eastAsia" w:ascii="宋体" w:hAnsi="宋体" w:eastAsia="宋体" w:cs="宋体"/>
          <w:b/>
          <w:bCs/>
          <w:color w:val="000000" w:themeColor="text1"/>
          <w:kern w:val="0"/>
          <w:sz w:val="28"/>
          <w:szCs w:val="28"/>
          <w:highlight w:val="none"/>
          <w14:textFill>
            <w14:solidFill>
              <w14:schemeClr w14:val="tx1"/>
            </w14:solidFill>
          </w14:textFill>
        </w:rPr>
      </w:pPr>
      <w:bookmarkStart w:id="826" w:name="_Toc247085876"/>
      <w:bookmarkStart w:id="827" w:name="_Toc445287838"/>
      <w:bookmarkStart w:id="828" w:name="_Toc4764"/>
      <w:bookmarkStart w:id="829" w:name="_Toc27203"/>
      <w:bookmarkStart w:id="830" w:name="_Toc246997101"/>
      <w:bookmarkStart w:id="831" w:name="_Toc152042579"/>
      <w:bookmarkStart w:id="832" w:name="_Toc246996358"/>
      <w:bookmarkStart w:id="833" w:name="_Toc144974859"/>
      <w:bookmarkStart w:id="834" w:name="_Toc152045790"/>
      <w:bookmarkStart w:id="835" w:name="_Toc179632810"/>
      <w:bookmarkStart w:id="836" w:name="_Toc135648946"/>
      <w:bookmarkStart w:id="837" w:name="_Toc9792"/>
      <w:r>
        <w:rPr>
          <w:rFonts w:hint="eastAsia" w:ascii="宋体" w:hAnsi="宋体" w:eastAsia="宋体" w:cs="宋体"/>
          <w:b/>
          <w:bCs/>
          <w:color w:val="000000" w:themeColor="text1"/>
          <w:kern w:val="0"/>
          <w:sz w:val="28"/>
          <w:szCs w:val="28"/>
          <w:highlight w:val="none"/>
          <w14:textFill>
            <w14:solidFill>
              <w14:schemeClr w14:val="tx1"/>
            </w14:solidFill>
          </w14:textFill>
        </w:rPr>
        <w:t>（二）</w:t>
      </w:r>
      <w:bookmarkEnd w:id="826"/>
      <w:bookmarkEnd w:id="827"/>
      <w:bookmarkEnd w:id="828"/>
      <w:bookmarkEnd w:id="829"/>
      <w:bookmarkEnd w:id="830"/>
      <w:bookmarkEnd w:id="831"/>
      <w:bookmarkEnd w:id="832"/>
      <w:bookmarkEnd w:id="833"/>
      <w:bookmarkEnd w:id="834"/>
      <w:bookmarkEnd w:id="835"/>
      <w:bookmarkEnd w:id="836"/>
      <w:bookmarkEnd w:id="837"/>
      <w:r>
        <w:rPr>
          <w:rFonts w:hint="eastAsia" w:ascii="宋体" w:hAnsi="宋体" w:eastAsia="宋体" w:cs="宋体"/>
          <w:b/>
          <w:color w:val="000000" w:themeColor="text1"/>
          <w:kern w:val="0"/>
          <w:sz w:val="32"/>
          <w:szCs w:val="20"/>
          <w:highlight w:val="none"/>
          <w14:textFill>
            <w14:solidFill>
              <w14:schemeClr w14:val="tx1"/>
            </w14:solidFill>
          </w14:textFill>
        </w:rPr>
        <w:t>投标函附录</w:t>
      </w:r>
    </w:p>
    <w:tbl>
      <w:tblPr>
        <w:tblStyle w:val="18"/>
        <w:tblW w:w="0" w:type="auto"/>
        <w:jc w:val="center"/>
        <w:tblLayout w:type="fixed"/>
        <w:tblCellMar>
          <w:top w:w="0" w:type="dxa"/>
          <w:left w:w="108" w:type="dxa"/>
          <w:bottom w:w="0" w:type="dxa"/>
          <w:right w:w="108" w:type="dxa"/>
        </w:tblCellMar>
      </w:tblPr>
      <w:tblGrid>
        <w:gridCol w:w="828"/>
        <w:gridCol w:w="2525"/>
        <w:gridCol w:w="5051"/>
      </w:tblGrid>
      <w:tr w14:paraId="75762AFE">
        <w:tblPrEx>
          <w:tblCellMar>
            <w:top w:w="0" w:type="dxa"/>
            <w:left w:w="108" w:type="dxa"/>
            <w:bottom w:w="0" w:type="dxa"/>
            <w:right w:w="108" w:type="dxa"/>
          </w:tblCellMar>
        </w:tblPrEx>
        <w:trPr>
          <w:trHeight w:val="851" w:hRule="atLeast"/>
          <w:jc w:val="center"/>
        </w:trPr>
        <w:tc>
          <w:tcPr>
            <w:tcW w:w="828" w:type="dxa"/>
            <w:tcBorders>
              <w:top w:val="single" w:color="auto" w:sz="4" w:space="0"/>
              <w:left w:val="single" w:color="auto" w:sz="4" w:space="0"/>
              <w:bottom w:val="single" w:color="auto" w:sz="4" w:space="0"/>
              <w:right w:val="nil"/>
            </w:tcBorders>
            <w:noWrap w:val="0"/>
            <w:vAlign w:val="center"/>
          </w:tcPr>
          <w:p w14:paraId="1207A1C5">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序号</w:t>
            </w:r>
          </w:p>
        </w:tc>
        <w:tc>
          <w:tcPr>
            <w:tcW w:w="2525" w:type="dxa"/>
            <w:tcBorders>
              <w:top w:val="single" w:color="auto" w:sz="6" w:space="0"/>
              <w:left w:val="single" w:color="auto" w:sz="6" w:space="0"/>
              <w:bottom w:val="single" w:color="auto" w:sz="6" w:space="0"/>
              <w:right w:val="single" w:color="auto" w:sz="6" w:space="0"/>
            </w:tcBorders>
            <w:noWrap w:val="0"/>
            <w:vAlign w:val="center"/>
          </w:tcPr>
          <w:p w14:paraId="3A9CABA8">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项目名称</w:t>
            </w:r>
          </w:p>
        </w:tc>
        <w:tc>
          <w:tcPr>
            <w:tcW w:w="5051" w:type="dxa"/>
            <w:tcBorders>
              <w:top w:val="single" w:color="auto" w:sz="6" w:space="0"/>
              <w:left w:val="single" w:color="auto" w:sz="6" w:space="0"/>
              <w:bottom w:val="single" w:color="auto" w:sz="6" w:space="0"/>
              <w:right w:val="single" w:color="auto" w:sz="6" w:space="0"/>
            </w:tcBorders>
            <w:noWrap w:val="0"/>
            <w:vAlign w:val="center"/>
          </w:tcPr>
          <w:p w14:paraId="0EEF3927">
            <w:pPr>
              <w:jc w:val="center"/>
              <w:rPr>
                <w:rFonts w:hint="eastAsia" w:ascii="宋体" w:hAnsi="宋体" w:eastAsia="宋体" w:cs="宋体"/>
                <w:color w:val="000000" w:themeColor="text1"/>
                <w:szCs w:val="24"/>
                <w:highlight w:val="none"/>
                <w14:textFill>
                  <w14:solidFill>
                    <w14:schemeClr w14:val="tx1"/>
                  </w14:solidFill>
                </w14:textFill>
              </w:rPr>
            </w:pPr>
          </w:p>
        </w:tc>
      </w:tr>
      <w:tr w14:paraId="3CD348B9">
        <w:tblPrEx>
          <w:tblCellMar>
            <w:top w:w="0" w:type="dxa"/>
            <w:left w:w="108" w:type="dxa"/>
            <w:bottom w:w="0" w:type="dxa"/>
            <w:right w:w="108" w:type="dxa"/>
          </w:tblCellMar>
        </w:tblPrEx>
        <w:trPr>
          <w:trHeight w:val="851" w:hRule="atLeast"/>
          <w:jc w:val="center"/>
        </w:trPr>
        <w:tc>
          <w:tcPr>
            <w:tcW w:w="828" w:type="dxa"/>
            <w:tcBorders>
              <w:top w:val="single" w:color="auto" w:sz="4" w:space="0"/>
              <w:left w:val="single" w:color="auto" w:sz="4" w:space="0"/>
              <w:bottom w:val="single" w:color="auto" w:sz="4" w:space="0"/>
              <w:right w:val="nil"/>
            </w:tcBorders>
            <w:noWrap w:val="0"/>
            <w:vAlign w:val="center"/>
          </w:tcPr>
          <w:p w14:paraId="44F42ADF">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w:t>
            </w:r>
          </w:p>
        </w:tc>
        <w:tc>
          <w:tcPr>
            <w:tcW w:w="2525" w:type="dxa"/>
            <w:tcBorders>
              <w:top w:val="single" w:color="auto" w:sz="6" w:space="0"/>
              <w:left w:val="single" w:color="auto" w:sz="6" w:space="0"/>
              <w:bottom w:val="single" w:color="auto" w:sz="6" w:space="0"/>
              <w:right w:val="single" w:color="auto" w:sz="6" w:space="0"/>
            </w:tcBorders>
            <w:noWrap w:val="0"/>
            <w:vAlign w:val="center"/>
          </w:tcPr>
          <w:p w14:paraId="4CFBB54D">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投标人名称</w:t>
            </w:r>
          </w:p>
        </w:tc>
        <w:tc>
          <w:tcPr>
            <w:tcW w:w="5051" w:type="dxa"/>
            <w:tcBorders>
              <w:top w:val="single" w:color="auto" w:sz="6" w:space="0"/>
              <w:left w:val="single" w:color="auto" w:sz="6" w:space="0"/>
              <w:bottom w:val="single" w:color="auto" w:sz="6" w:space="0"/>
              <w:right w:val="single" w:color="auto" w:sz="6" w:space="0"/>
            </w:tcBorders>
            <w:noWrap w:val="0"/>
            <w:vAlign w:val="center"/>
          </w:tcPr>
          <w:p w14:paraId="0785362A">
            <w:pPr>
              <w:jc w:val="center"/>
              <w:rPr>
                <w:rFonts w:hint="eastAsia" w:ascii="宋体" w:hAnsi="宋体" w:eastAsia="宋体" w:cs="宋体"/>
                <w:color w:val="000000" w:themeColor="text1"/>
                <w:szCs w:val="24"/>
                <w:highlight w:val="none"/>
                <w14:textFill>
                  <w14:solidFill>
                    <w14:schemeClr w14:val="tx1"/>
                  </w14:solidFill>
                </w14:textFill>
              </w:rPr>
            </w:pPr>
          </w:p>
        </w:tc>
      </w:tr>
      <w:tr w14:paraId="3236799D">
        <w:tblPrEx>
          <w:tblCellMar>
            <w:top w:w="0" w:type="dxa"/>
            <w:left w:w="108" w:type="dxa"/>
            <w:bottom w:w="0" w:type="dxa"/>
            <w:right w:w="108" w:type="dxa"/>
          </w:tblCellMar>
        </w:tblPrEx>
        <w:trPr>
          <w:trHeight w:val="851" w:hRule="atLeast"/>
          <w:jc w:val="center"/>
        </w:trPr>
        <w:tc>
          <w:tcPr>
            <w:tcW w:w="828" w:type="dxa"/>
            <w:tcBorders>
              <w:top w:val="single" w:color="auto" w:sz="4" w:space="0"/>
              <w:left w:val="single" w:color="auto" w:sz="4" w:space="0"/>
              <w:bottom w:val="nil"/>
              <w:right w:val="nil"/>
            </w:tcBorders>
            <w:noWrap w:val="0"/>
            <w:vAlign w:val="center"/>
          </w:tcPr>
          <w:p w14:paraId="11475FC4">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w:t>
            </w:r>
          </w:p>
        </w:tc>
        <w:tc>
          <w:tcPr>
            <w:tcW w:w="2525" w:type="dxa"/>
            <w:tcBorders>
              <w:top w:val="single" w:color="auto" w:sz="6" w:space="0"/>
              <w:left w:val="single" w:color="auto" w:sz="6" w:space="0"/>
              <w:bottom w:val="single" w:color="auto" w:sz="4" w:space="0"/>
              <w:right w:val="single" w:color="auto" w:sz="6" w:space="0"/>
            </w:tcBorders>
            <w:noWrap w:val="0"/>
            <w:vAlign w:val="center"/>
          </w:tcPr>
          <w:p w14:paraId="1E97ED6A">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投标报价（人民币，元）</w:t>
            </w:r>
          </w:p>
        </w:tc>
        <w:tc>
          <w:tcPr>
            <w:tcW w:w="5051" w:type="dxa"/>
            <w:tcBorders>
              <w:top w:val="single" w:color="auto" w:sz="6" w:space="0"/>
              <w:left w:val="single" w:color="auto" w:sz="6" w:space="0"/>
              <w:bottom w:val="single" w:color="auto" w:sz="4" w:space="0"/>
              <w:right w:val="single" w:color="auto" w:sz="6" w:space="0"/>
            </w:tcBorders>
            <w:noWrap w:val="0"/>
            <w:vAlign w:val="center"/>
          </w:tcPr>
          <w:p w14:paraId="0D366360">
            <w:pP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小写：</w:t>
            </w:r>
          </w:p>
          <w:p w14:paraId="59C258C4">
            <w:pP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大写：</w:t>
            </w:r>
          </w:p>
        </w:tc>
      </w:tr>
      <w:tr w14:paraId="03C17284">
        <w:tblPrEx>
          <w:tblCellMar>
            <w:top w:w="0" w:type="dxa"/>
            <w:left w:w="108" w:type="dxa"/>
            <w:bottom w:w="0" w:type="dxa"/>
            <w:right w:w="108" w:type="dxa"/>
          </w:tblCellMar>
        </w:tblPrEx>
        <w:trPr>
          <w:trHeight w:val="851" w:hRule="atLeast"/>
          <w:jc w:val="center"/>
        </w:trPr>
        <w:tc>
          <w:tcPr>
            <w:tcW w:w="828" w:type="dxa"/>
            <w:tcBorders>
              <w:top w:val="single" w:color="auto" w:sz="4" w:space="0"/>
              <w:left w:val="single" w:color="auto" w:sz="4" w:space="0"/>
              <w:bottom w:val="single" w:color="auto" w:sz="4" w:space="0"/>
              <w:right w:val="nil"/>
            </w:tcBorders>
            <w:noWrap w:val="0"/>
            <w:vAlign w:val="center"/>
          </w:tcPr>
          <w:p w14:paraId="0ECAB797">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3</w:t>
            </w:r>
          </w:p>
        </w:tc>
        <w:tc>
          <w:tcPr>
            <w:tcW w:w="2525" w:type="dxa"/>
            <w:tcBorders>
              <w:top w:val="single" w:color="auto" w:sz="4" w:space="0"/>
              <w:left w:val="single" w:color="auto" w:sz="6" w:space="0"/>
              <w:bottom w:val="single" w:color="auto" w:sz="4" w:space="0"/>
              <w:right w:val="single" w:color="auto" w:sz="6" w:space="0"/>
            </w:tcBorders>
            <w:noWrap w:val="0"/>
            <w:vAlign w:val="center"/>
          </w:tcPr>
          <w:p w14:paraId="64157D03">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交货及安装地点</w:t>
            </w:r>
          </w:p>
        </w:tc>
        <w:tc>
          <w:tcPr>
            <w:tcW w:w="5051" w:type="dxa"/>
            <w:tcBorders>
              <w:top w:val="single" w:color="auto" w:sz="6" w:space="0"/>
              <w:left w:val="single" w:color="auto" w:sz="6" w:space="0"/>
              <w:bottom w:val="single" w:color="auto" w:sz="4" w:space="0"/>
              <w:right w:val="single" w:color="auto" w:sz="6" w:space="0"/>
            </w:tcBorders>
            <w:noWrap w:val="0"/>
            <w:vAlign w:val="center"/>
          </w:tcPr>
          <w:p w14:paraId="70F21293">
            <w:pPr>
              <w:jc w:val="center"/>
              <w:rPr>
                <w:rFonts w:hint="eastAsia" w:ascii="宋体" w:hAnsi="宋体" w:eastAsia="宋体" w:cs="宋体"/>
                <w:color w:val="000000" w:themeColor="text1"/>
                <w:szCs w:val="24"/>
                <w:highlight w:val="none"/>
                <w14:textFill>
                  <w14:solidFill>
                    <w14:schemeClr w14:val="tx1"/>
                  </w14:solidFill>
                </w14:textFill>
              </w:rPr>
            </w:pPr>
          </w:p>
        </w:tc>
      </w:tr>
      <w:tr w14:paraId="56597A18">
        <w:tblPrEx>
          <w:tblCellMar>
            <w:top w:w="0" w:type="dxa"/>
            <w:left w:w="108" w:type="dxa"/>
            <w:bottom w:w="0" w:type="dxa"/>
            <w:right w:w="108" w:type="dxa"/>
          </w:tblCellMar>
        </w:tblPrEx>
        <w:trPr>
          <w:trHeight w:val="851" w:hRule="atLeast"/>
          <w:jc w:val="center"/>
        </w:trPr>
        <w:tc>
          <w:tcPr>
            <w:tcW w:w="828" w:type="dxa"/>
            <w:tcBorders>
              <w:top w:val="single" w:color="auto" w:sz="4" w:space="0"/>
              <w:left w:val="single" w:color="auto" w:sz="4" w:space="0"/>
              <w:bottom w:val="single" w:color="auto" w:sz="4" w:space="0"/>
              <w:right w:val="nil"/>
            </w:tcBorders>
            <w:noWrap w:val="0"/>
            <w:vAlign w:val="center"/>
          </w:tcPr>
          <w:p w14:paraId="6E1588B7">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4</w:t>
            </w:r>
          </w:p>
        </w:tc>
        <w:tc>
          <w:tcPr>
            <w:tcW w:w="2525" w:type="dxa"/>
            <w:tcBorders>
              <w:top w:val="single" w:color="auto" w:sz="4" w:space="0"/>
              <w:left w:val="single" w:color="auto" w:sz="6" w:space="0"/>
              <w:bottom w:val="single" w:color="auto" w:sz="4" w:space="0"/>
              <w:right w:val="single" w:color="auto" w:sz="6" w:space="0"/>
            </w:tcBorders>
            <w:noWrap w:val="0"/>
            <w:vAlign w:val="center"/>
          </w:tcPr>
          <w:p w14:paraId="4C3AC600">
            <w:pPr>
              <w:ind w:left="210" w:leftChars="10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w:t>
            </w:r>
            <w:r>
              <w:rPr>
                <w:rFonts w:hint="eastAsia" w:ascii="宋体" w:hAnsi="宋体" w:eastAsia="宋体" w:cs="宋体"/>
                <w:color w:val="000000" w:themeColor="text1"/>
                <w:szCs w:val="21"/>
                <w:highlight w:val="none"/>
                <w:lang w:val="en-US" w:eastAsia="zh-CN"/>
                <w14:textFill>
                  <w14:solidFill>
                    <w14:schemeClr w14:val="tx1"/>
                  </w14:solidFill>
                </w14:textFill>
              </w:rPr>
              <w:t>及安装期</w:t>
            </w:r>
          </w:p>
        </w:tc>
        <w:tc>
          <w:tcPr>
            <w:tcW w:w="5051" w:type="dxa"/>
            <w:tcBorders>
              <w:top w:val="single" w:color="auto" w:sz="6" w:space="0"/>
              <w:left w:val="single" w:color="auto" w:sz="6" w:space="0"/>
              <w:bottom w:val="single" w:color="auto" w:sz="4" w:space="0"/>
              <w:right w:val="single" w:color="auto" w:sz="6" w:space="0"/>
            </w:tcBorders>
            <w:noWrap w:val="0"/>
            <w:vAlign w:val="center"/>
          </w:tcPr>
          <w:p w14:paraId="53391F6E">
            <w:pPr>
              <w:jc w:val="center"/>
              <w:rPr>
                <w:rFonts w:hint="eastAsia" w:ascii="宋体" w:hAnsi="宋体" w:eastAsia="宋体" w:cs="宋体"/>
                <w:color w:val="000000" w:themeColor="text1"/>
                <w:szCs w:val="24"/>
                <w:highlight w:val="none"/>
                <w14:textFill>
                  <w14:solidFill>
                    <w14:schemeClr w14:val="tx1"/>
                  </w14:solidFill>
                </w14:textFill>
              </w:rPr>
            </w:pPr>
          </w:p>
        </w:tc>
      </w:tr>
      <w:tr w14:paraId="4597352C">
        <w:tblPrEx>
          <w:tblCellMar>
            <w:top w:w="0" w:type="dxa"/>
            <w:left w:w="108" w:type="dxa"/>
            <w:bottom w:w="0" w:type="dxa"/>
            <w:right w:w="108" w:type="dxa"/>
          </w:tblCellMar>
        </w:tblPrEx>
        <w:trPr>
          <w:trHeight w:val="851" w:hRule="atLeast"/>
          <w:jc w:val="center"/>
        </w:trPr>
        <w:tc>
          <w:tcPr>
            <w:tcW w:w="828" w:type="dxa"/>
            <w:tcBorders>
              <w:top w:val="single" w:color="auto" w:sz="4" w:space="0"/>
              <w:left w:val="single" w:color="auto" w:sz="4" w:space="0"/>
              <w:bottom w:val="single" w:color="auto" w:sz="4" w:space="0"/>
              <w:right w:val="nil"/>
            </w:tcBorders>
            <w:noWrap w:val="0"/>
            <w:vAlign w:val="center"/>
          </w:tcPr>
          <w:p w14:paraId="0BE55664">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5</w:t>
            </w:r>
          </w:p>
        </w:tc>
        <w:tc>
          <w:tcPr>
            <w:tcW w:w="2525" w:type="dxa"/>
            <w:tcBorders>
              <w:top w:val="single" w:color="auto" w:sz="4" w:space="0"/>
              <w:left w:val="single" w:color="auto" w:sz="6" w:space="0"/>
              <w:bottom w:val="single" w:color="auto" w:sz="4" w:space="0"/>
              <w:right w:val="single" w:color="auto" w:sz="6" w:space="0"/>
            </w:tcBorders>
            <w:noWrap w:val="0"/>
            <w:vAlign w:val="center"/>
          </w:tcPr>
          <w:p w14:paraId="3D8EF49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质保期</w:t>
            </w:r>
          </w:p>
        </w:tc>
        <w:tc>
          <w:tcPr>
            <w:tcW w:w="5051" w:type="dxa"/>
            <w:tcBorders>
              <w:top w:val="single" w:color="auto" w:sz="6" w:space="0"/>
              <w:left w:val="single" w:color="auto" w:sz="6" w:space="0"/>
              <w:bottom w:val="single" w:color="auto" w:sz="4" w:space="0"/>
              <w:right w:val="single" w:color="auto" w:sz="6" w:space="0"/>
            </w:tcBorders>
            <w:noWrap w:val="0"/>
            <w:vAlign w:val="center"/>
          </w:tcPr>
          <w:p w14:paraId="12A6476B">
            <w:pPr>
              <w:jc w:val="center"/>
              <w:rPr>
                <w:rFonts w:hint="eastAsia" w:ascii="宋体" w:hAnsi="宋体" w:eastAsia="宋体" w:cs="宋体"/>
                <w:color w:val="000000" w:themeColor="text1"/>
                <w:szCs w:val="24"/>
                <w:highlight w:val="none"/>
                <w14:textFill>
                  <w14:solidFill>
                    <w14:schemeClr w14:val="tx1"/>
                  </w14:solidFill>
                </w14:textFill>
              </w:rPr>
            </w:pPr>
          </w:p>
        </w:tc>
      </w:tr>
      <w:tr w14:paraId="27452107">
        <w:tblPrEx>
          <w:tblCellMar>
            <w:top w:w="0" w:type="dxa"/>
            <w:left w:w="108" w:type="dxa"/>
            <w:bottom w:w="0" w:type="dxa"/>
            <w:right w:w="108" w:type="dxa"/>
          </w:tblCellMar>
        </w:tblPrEx>
        <w:trPr>
          <w:trHeight w:val="851" w:hRule="atLeast"/>
          <w:jc w:val="center"/>
        </w:trPr>
        <w:tc>
          <w:tcPr>
            <w:tcW w:w="828" w:type="dxa"/>
            <w:tcBorders>
              <w:top w:val="single" w:color="auto" w:sz="4" w:space="0"/>
              <w:left w:val="single" w:color="auto" w:sz="4" w:space="0"/>
              <w:bottom w:val="single" w:color="auto" w:sz="4" w:space="0"/>
              <w:right w:val="nil"/>
            </w:tcBorders>
            <w:noWrap w:val="0"/>
            <w:vAlign w:val="center"/>
          </w:tcPr>
          <w:p w14:paraId="291E6DEA">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6</w:t>
            </w:r>
          </w:p>
        </w:tc>
        <w:tc>
          <w:tcPr>
            <w:tcW w:w="2525" w:type="dxa"/>
            <w:tcBorders>
              <w:top w:val="single" w:color="auto" w:sz="4" w:space="0"/>
              <w:left w:val="single" w:color="auto" w:sz="6" w:space="0"/>
              <w:bottom w:val="single" w:color="auto" w:sz="4" w:space="0"/>
              <w:right w:val="single" w:color="auto" w:sz="6" w:space="0"/>
            </w:tcBorders>
            <w:noWrap w:val="0"/>
            <w:vAlign w:val="center"/>
          </w:tcPr>
          <w:p w14:paraId="0B50889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w:t>
            </w:r>
          </w:p>
        </w:tc>
        <w:tc>
          <w:tcPr>
            <w:tcW w:w="5051" w:type="dxa"/>
            <w:tcBorders>
              <w:top w:val="single" w:color="auto" w:sz="6" w:space="0"/>
              <w:left w:val="single" w:color="auto" w:sz="6" w:space="0"/>
              <w:bottom w:val="single" w:color="auto" w:sz="4" w:space="0"/>
              <w:right w:val="single" w:color="auto" w:sz="6" w:space="0"/>
            </w:tcBorders>
            <w:noWrap w:val="0"/>
            <w:vAlign w:val="center"/>
          </w:tcPr>
          <w:p w14:paraId="53C430DB">
            <w:pPr>
              <w:jc w:val="center"/>
              <w:rPr>
                <w:rFonts w:hint="eastAsia" w:ascii="宋体" w:hAnsi="宋体" w:eastAsia="宋体" w:cs="宋体"/>
                <w:color w:val="000000" w:themeColor="text1"/>
                <w:szCs w:val="24"/>
                <w:highlight w:val="none"/>
                <w14:textFill>
                  <w14:solidFill>
                    <w14:schemeClr w14:val="tx1"/>
                  </w14:solidFill>
                </w14:textFill>
              </w:rPr>
            </w:pPr>
          </w:p>
        </w:tc>
      </w:tr>
      <w:tr w14:paraId="61EC6995">
        <w:tblPrEx>
          <w:tblCellMar>
            <w:top w:w="0" w:type="dxa"/>
            <w:left w:w="108" w:type="dxa"/>
            <w:bottom w:w="0" w:type="dxa"/>
            <w:right w:w="108" w:type="dxa"/>
          </w:tblCellMar>
        </w:tblPrEx>
        <w:trPr>
          <w:trHeight w:val="851" w:hRule="atLeast"/>
          <w:jc w:val="center"/>
        </w:trPr>
        <w:tc>
          <w:tcPr>
            <w:tcW w:w="828" w:type="dxa"/>
            <w:tcBorders>
              <w:top w:val="single" w:color="auto" w:sz="4" w:space="0"/>
              <w:left w:val="single" w:color="auto" w:sz="4" w:space="0"/>
              <w:bottom w:val="single" w:color="auto" w:sz="4" w:space="0"/>
              <w:right w:val="nil"/>
            </w:tcBorders>
            <w:noWrap w:val="0"/>
            <w:vAlign w:val="center"/>
          </w:tcPr>
          <w:p w14:paraId="7320DB30">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7</w:t>
            </w:r>
          </w:p>
        </w:tc>
        <w:tc>
          <w:tcPr>
            <w:tcW w:w="2525" w:type="dxa"/>
            <w:tcBorders>
              <w:top w:val="single" w:color="auto" w:sz="4" w:space="0"/>
              <w:left w:val="single" w:color="auto" w:sz="6" w:space="0"/>
              <w:bottom w:val="single" w:color="auto" w:sz="4" w:space="0"/>
              <w:right w:val="single" w:color="auto" w:sz="6" w:space="0"/>
            </w:tcBorders>
            <w:noWrap w:val="0"/>
            <w:vAlign w:val="center"/>
          </w:tcPr>
          <w:p w14:paraId="16BFFA08">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投标有效期</w:t>
            </w:r>
          </w:p>
        </w:tc>
        <w:tc>
          <w:tcPr>
            <w:tcW w:w="5051" w:type="dxa"/>
            <w:tcBorders>
              <w:top w:val="single" w:color="auto" w:sz="4" w:space="0"/>
              <w:left w:val="single" w:color="auto" w:sz="6" w:space="0"/>
              <w:bottom w:val="single" w:color="auto" w:sz="4" w:space="0"/>
              <w:right w:val="single" w:color="auto" w:sz="4" w:space="0"/>
            </w:tcBorders>
            <w:noWrap w:val="0"/>
            <w:vAlign w:val="center"/>
          </w:tcPr>
          <w:p w14:paraId="06B1F420">
            <w:pPr>
              <w:jc w:val="center"/>
              <w:rPr>
                <w:rFonts w:hint="eastAsia" w:ascii="宋体" w:hAnsi="宋体" w:eastAsia="宋体" w:cs="宋体"/>
                <w:color w:val="000000" w:themeColor="text1"/>
                <w:szCs w:val="24"/>
                <w:highlight w:val="none"/>
                <w14:textFill>
                  <w14:solidFill>
                    <w14:schemeClr w14:val="tx1"/>
                  </w14:solidFill>
                </w14:textFill>
              </w:rPr>
            </w:pPr>
          </w:p>
        </w:tc>
      </w:tr>
      <w:tr w14:paraId="5E068C5C">
        <w:tblPrEx>
          <w:tblCellMar>
            <w:top w:w="0" w:type="dxa"/>
            <w:left w:w="108" w:type="dxa"/>
            <w:bottom w:w="0" w:type="dxa"/>
            <w:right w:w="108" w:type="dxa"/>
          </w:tblCellMar>
        </w:tblPrEx>
        <w:trPr>
          <w:trHeight w:val="851" w:hRule="atLeast"/>
          <w:jc w:val="center"/>
        </w:trPr>
        <w:tc>
          <w:tcPr>
            <w:tcW w:w="828" w:type="dxa"/>
            <w:tcBorders>
              <w:top w:val="single" w:color="auto" w:sz="4" w:space="0"/>
              <w:left w:val="single" w:color="auto" w:sz="4" w:space="0"/>
              <w:bottom w:val="single" w:color="auto" w:sz="4" w:space="0"/>
              <w:right w:val="nil"/>
            </w:tcBorders>
            <w:noWrap w:val="0"/>
            <w:vAlign w:val="center"/>
          </w:tcPr>
          <w:p w14:paraId="2410E4B8">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8</w:t>
            </w:r>
          </w:p>
        </w:tc>
        <w:tc>
          <w:tcPr>
            <w:tcW w:w="2525" w:type="dxa"/>
            <w:tcBorders>
              <w:top w:val="single" w:color="auto" w:sz="4" w:space="0"/>
              <w:left w:val="single" w:color="auto" w:sz="6" w:space="0"/>
              <w:bottom w:val="single" w:color="auto" w:sz="4" w:space="0"/>
              <w:right w:val="single" w:color="auto" w:sz="6" w:space="0"/>
            </w:tcBorders>
            <w:noWrap w:val="0"/>
            <w:vAlign w:val="center"/>
          </w:tcPr>
          <w:p w14:paraId="374971DA">
            <w:pPr>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备注</w:t>
            </w:r>
          </w:p>
        </w:tc>
        <w:tc>
          <w:tcPr>
            <w:tcW w:w="5051" w:type="dxa"/>
            <w:tcBorders>
              <w:top w:val="single" w:color="auto" w:sz="4" w:space="0"/>
              <w:left w:val="single" w:color="auto" w:sz="6" w:space="0"/>
              <w:bottom w:val="single" w:color="auto" w:sz="4" w:space="0"/>
              <w:right w:val="single" w:color="auto" w:sz="4" w:space="0"/>
            </w:tcBorders>
            <w:noWrap w:val="0"/>
            <w:vAlign w:val="center"/>
          </w:tcPr>
          <w:p w14:paraId="054D0252">
            <w:pPr>
              <w:jc w:val="center"/>
              <w:rPr>
                <w:rFonts w:hint="eastAsia" w:ascii="宋体" w:hAnsi="宋体" w:eastAsia="宋体" w:cs="宋体"/>
                <w:color w:val="000000" w:themeColor="text1"/>
                <w:szCs w:val="24"/>
                <w:highlight w:val="none"/>
                <w14:textFill>
                  <w14:solidFill>
                    <w14:schemeClr w14:val="tx1"/>
                  </w14:solidFill>
                </w14:textFill>
              </w:rPr>
            </w:pPr>
          </w:p>
        </w:tc>
      </w:tr>
    </w:tbl>
    <w:p w14:paraId="3A6C5B85">
      <w:pPr>
        <w:spacing w:line="440" w:lineRule="exact"/>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52C7D99B">
      <w:pPr>
        <w:spacing w:line="440" w:lineRule="exact"/>
        <w:ind w:firstLine="3675" w:firstLineChars="1750"/>
        <w:rPr>
          <w:rFonts w:hint="eastAsia" w:ascii="宋体" w:hAnsi="宋体" w:eastAsia="宋体" w:cs="宋体"/>
          <w:color w:val="000000" w:themeColor="text1"/>
          <w:szCs w:val="21"/>
          <w:highlight w:val="none"/>
          <w14:textFill>
            <w14:solidFill>
              <w14:schemeClr w14:val="tx1"/>
            </w14:solidFill>
          </w14:textFill>
        </w:rPr>
      </w:pPr>
    </w:p>
    <w:p w14:paraId="6FC5AAEB">
      <w:pPr>
        <w:spacing w:line="440" w:lineRule="exact"/>
        <w:ind w:firstLine="3675" w:firstLineChars="17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 标 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（电子印章）</w:t>
      </w:r>
    </w:p>
    <w:p w14:paraId="3AA79717">
      <w:pPr>
        <w:spacing w:line="440" w:lineRule="exact"/>
        <w:ind w:firstLine="3683" w:firstLineChars="175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（电子印章）</w:t>
      </w:r>
    </w:p>
    <w:p w14:paraId="60F67B59">
      <w:pPr>
        <w:spacing w:line="440" w:lineRule="exact"/>
        <w:ind w:firstLine="3683" w:firstLineChars="175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2B049410">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p>
    <w:p w14:paraId="69ECE7EB">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p>
    <w:p w14:paraId="61DB4F40">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p>
    <w:p w14:paraId="4DFD4D62">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p>
    <w:p w14:paraId="494C4D8B">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p>
    <w:p w14:paraId="7AD5B663">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p>
    <w:p w14:paraId="2AFA74AE">
      <w:pPr>
        <w:spacing w:line="440" w:lineRule="exact"/>
        <w:jc w:val="left"/>
        <w:rPr>
          <w:rFonts w:hint="eastAsia" w:ascii="宋体" w:hAnsi="宋体" w:eastAsia="宋体" w:cs="宋体"/>
          <w:color w:val="000000" w:themeColor="text1"/>
          <w:szCs w:val="21"/>
          <w:highlight w:val="none"/>
          <w14:textFill>
            <w14:solidFill>
              <w14:schemeClr w14:val="tx1"/>
            </w14:solidFill>
          </w14:textFill>
        </w:rPr>
      </w:pPr>
    </w:p>
    <w:p w14:paraId="6ABF3EFD">
      <w:pPr>
        <w:adjustRightInd w:val="0"/>
        <w:spacing w:before="240" w:after="60" w:line="420" w:lineRule="atLeast"/>
        <w:jc w:val="center"/>
        <w:outlineLvl w:val="0"/>
        <w:rPr>
          <w:rFonts w:hint="eastAsia" w:ascii="宋体" w:hAnsi="宋体" w:eastAsia="宋体" w:cs="宋体"/>
          <w:b/>
          <w:color w:val="000000" w:themeColor="text1"/>
          <w:kern w:val="0"/>
          <w:sz w:val="32"/>
          <w:szCs w:val="20"/>
          <w:highlight w:val="none"/>
          <w14:textFill>
            <w14:solidFill>
              <w14:schemeClr w14:val="tx1"/>
            </w14:solidFill>
          </w14:textFill>
        </w:rPr>
      </w:pPr>
      <w:bookmarkStart w:id="838" w:name="_Toc152042580"/>
      <w:bookmarkStart w:id="839" w:name="_Toc7969"/>
      <w:bookmarkStart w:id="840" w:name="_Toc7701"/>
      <w:bookmarkStart w:id="841" w:name="_Toc246997102"/>
      <w:bookmarkStart w:id="842" w:name="_Toc144974860"/>
      <w:bookmarkStart w:id="843" w:name="_Toc152045791"/>
      <w:bookmarkStart w:id="844" w:name="_Toc247085877"/>
      <w:bookmarkStart w:id="845" w:name="_Toc246996359"/>
      <w:bookmarkStart w:id="846" w:name="_Toc445287839"/>
      <w:bookmarkStart w:id="847" w:name="_Toc32222"/>
      <w:bookmarkStart w:id="848" w:name="_Toc179632811"/>
      <w:bookmarkStart w:id="849" w:name="_Toc135648947"/>
      <w:bookmarkStart w:id="850" w:name="_Toc17274"/>
      <w:bookmarkStart w:id="851" w:name="_Toc135922582"/>
      <w:r>
        <w:rPr>
          <w:rFonts w:hint="eastAsia" w:ascii="宋体" w:hAnsi="宋体" w:eastAsia="宋体" w:cs="宋体"/>
          <w:b/>
          <w:color w:val="000000" w:themeColor="text1"/>
          <w:kern w:val="0"/>
          <w:sz w:val="32"/>
          <w:szCs w:val="20"/>
          <w:highlight w:val="none"/>
          <w14:textFill>
            <w14:solidFill>
              <w14:schemeClr w14:val="tx1"/>
            </w14:solidFill>
          </w14:textFill>
        </w:rPr>
        <w:t>二、</w:t>
      </w:r>
      <w:bookmarkEnd w:id="838"/>
      <w:bookmarkEnd w:id="839"/>
      <w:bookmarkEnd w:id="840"/>
      <w:bookmarkEnd w:id="841"/>
      <w:bookmarkEnd w:id="842"/>
      <w:bookmarkEnd w:id="843"/>
      <w:bookmarkEnd w:id="844"/>
      <w:bookmarkEnd w:id="845"/>
      <w:bookmarkEnd w:id="846"/>
      <w:bookmarkEnd w:id="847"/>
      <w:bookmarkEnd w:id="848"/>
      <w:bookmarkEnd w:id="849"/>
      <w:r>
        <w:rPr>
          <w:rFonts w:hint="eastAsia" w:ascii="宋体" w:hAnsi="宋体" w:eastAsia="宋体" w:cs="宋体"/>
          <w:b/>
          <w:color w:val="000000" w:themeColor="text1"/>
          <w:kern w:val="0"/>
          <w:sz w:val="32"/>
          <w:szCs w:val="20"/>
          <w:highlight w:val="none"/>
          <w14:textFill>
            <w14:solidFill>
              <w14:schemeClr w14:val="tx1"/>
            </w14:solidFill>
          </w14:textFill>
        </w:rPr>
        <w:t>法定代表人身份证明或附有法定代表人身份证明的授权委托书</w:t>
      </w:r>
      <w:bookmarkEnd w:id="850"/>
      <w:bookmarkEnd w:id="851"/>
    </w:p>
    <w:p w14:paraId="7EE92BFB">
      <w:pPr>
        <w:spacing w:line="440" w:lineRule="exact"/>
        <w:rPr>
          <w:rFonts w:hint="eastAsia" w:ascii="宋体" w:hAnsi="宋体" w:eastAsia="宋体" w:cs="宋体"/>
          <w:color w:val="000000" w:themeColor="text1"/>
          <w:szCs w:val="21"/>
          <w:highlight w:val="none"/>
          <w14:textFill>
            <w14:solidFill>
              <w14:schemeClr w14:val="tx1"/>
            </w14:solidFill>
          </w14:textFill>
        </w:rPr>
      </w:pPr>
    </w:p>
    <w:p w14:paraId="387DBFE6">
      <w:pPr>
        <w:spacing w:line="48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（一）法定代表人身份证明</w:t>
      </w:r>
    </w:p>
    <w:p w14:paraId="0371BCF0">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5BD5287">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单位性质：</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47EB645">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7094C9A">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成立时间：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4F182551">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经营期限：</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69099B1">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性别：</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职务：</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1396B2F4">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系</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（投标人名称）的法定代表人。</w:t>
      </w:r>
    </w:p>
    <w:p w14:paraId="7EA8DB40">
      <w:pPr>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特此证明。</w:t>
      </w:r>
    </w:p>
    <w:p w14:paraId="39040311">
      <w:pPr>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附：法定代表人身份证原件扫描件或图片</w:t>
      </w:r>
    </w:p>
    <w:p w14:paraId="7065EA44">
      <w:pPr>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599E4EED">
      <w:pPr>
        <w:spacing w:line="440" w:lineRule="exact"/>
        <w:rPr>
          <w:rFonts w:hint="eastAsia" w:ascii="宋体" w:hAnsi="宋体" w:eastAsia="宋体" w:cs="宋体"/>
          <w:color w:val="000000" w:themeColor="text1"/>
          <w:szCs w:val="21"/>
          <w:highlight w:val="none"/>
          <w14:textFill>
            <w14:solidFill>
              <w14:schemeClr w14:val="tx1"/>
            </w14:solidFill>
          </w14:textFill>
        </w:rPr>
      </w:pPr>
    </w:p>
    <w:p w14:paraId="1065130F">
      <w:pPr>
        <w:spacing w:line="440" w:lineRule="exact"/>
        <w:rPr>
          <w:rFonts w:hint="eastAsia" w:ascii="宋体" w:hAnsi="宋体" w:eastAsia="宋体" w:cs="宋体"/>
          <w:color w:val="000000" w:themeColor="text1"/>
          <w:szCs w:val="21"/>
          <w:highlight w:val="none"/>
          <w14:textFill>
            <w14:solidFill>
              <w14:schemeClr w14:val="tx1"/>
            </w14:solidFill>
          </w14:textFill>
        </w:rPr>
      </w:pPr>
    </w:p>
    <w:p w14:paraId="65750E6D">
      <w:pPr>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投标人：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（电子印章）</w:t>
      </w:r>
    </w:p>
    <w:p w14:paraId="4EC3CAAB">
      <w:pPr>
        <w:spacing w:line="440" w:lineRule="exact"/>
        <w:ind w:firstLine="2797" w:firstLineChars="133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31442B59">
      <w:pPr>
        <w:widowControl/>
        <w:jc w:val="left"/>
        <w:rPr>
          <w:rFonts w:hint="eastAsia" w:ascii="宋体" w:hAnsi="宋体" w:eastAsia="宋体" w:cs="宋体"/>
          <w:color w:val="000000" w:themeColor="text1"/>
          <w:szCs w:val="21"/>
          <w:highlight w:val="none"/>
          <w14:textFill>
            <w14:solidFill>
              <w14:schemeClr w14:val="tx1"/>
            </w14:solidFill>
          </w14:textFill>
        </w:rPr>
      </w:pPr>
    </w:p>
    <w:p w14:paraId="2DDE9D30">
      <w:pPr>
        <w:widowControl/>
        <w:jc w:val="left"/>
        <w:rPr>
          <w:rFonts w:hint="eastAsia" w:ascii="宋体" w:hAnsi="宋体" w:eastAsia="宋体" w:cs="宋体"/>
          <w:color w:val="000000" w:themeColor="text1"/>
          <w:szCs w:val="21"/>
          <w:highlight w:val="none"/>
          <w14:textFill>
            <w14:solidFill>
              <w14:schemeClr w14:val="tx1"/>
            </w14:solidFill>
          </w14:textFill>
        </w:rPr>
      </w:pPr>
    </w:p>
    <w:p w14:paraId="6F2ECEB7">
      <w:pPr>
        <w:widowControl/>
        <w:jc w:val="left"/>
        <w:rPr>
          <w:rFonts w:hint="eastAsia" w:ascii="宋体" w:hAnsi="宋体" w:eastAsia="宋体" w:cs="宋体"/>
          <w:color w:val="000000" w:themeColor="text1"/>
          <w:szCs w:val="21"/>
          <w:highlight w:val="none"/>
          <w14:textFill>
            <w14:solidFill>
              <w14:schemeClr w14:val="tx1"/>
            </w14:solidFill>
          </w14:textFill>
        </w:rPr>
      </w:pPr>
    </w:p>
    <w:p w14:paraId="741FE519">
      <w:pPr>
        <w:widowControl/>
        <w:jc w:val="left"/>
        <w:rPr>
          <w:rFonts w:hint="eastAsia" w:ascii="宋体" w:hAnsi="宋体" w:eastAsia="宋体" w:cs="宋体"/>
          <w:color w:val="000000" w:themeColor="text1"/>
          <w:szCs w:val="21"/>
          <w:highlight w:val="none"/>
          <w14:textFill>
            <w14:solidFill>
              <w14:schemeClr w14:val="tx1"/>
            </w14:solidFill>
          </w14:textFill>
        </w:rPr>
      </w:pPr>
    </w:p>
    <w:p w14:paraId="4C8905EA">
      <w:pPr>
        <w:widowControl/>
        <w:jc w:val="left"/>
        <w:rPr>
          <w:rFonts w:hint="eastAsia" w:ascii="宋体" w:hAnsi="宋体" w:eastAsia="宋体" w:cs="宋体"/>
          <w:color w:val="000000" w:themeColor="text1"/>
          <w:szCs w:val="21"/>
          <w:highlight w:val="none"/>
          <w14:textFill>
            <w14:solidFill>
              <w14:schemeClr w14:val="tx1"/>
            </w14:solidFill>
          </w14:textFill>
        </w:rPr>
      </w:pPr>
    </w:p>
    <w:p w14:paraId="7CC33D44">
      <w:pPr>
        <w:widowControl/>
        <w:jc w:val="left"/>
        <w:rPr>
          <w:rFonts w:hint="eastAsia" w:ascii="宋体" w:hAnsi="宋体" w:eastAsia="宋体" w:cs="宋体"/>
          <w:color w:val="000000" w:themeColor="text1"/>
          <w:szCs w:val="21"/>
          <w:highlight w:val="none"/>
          <w14:textFill>
            <w14:solidFill>
              <w14:schemeClr w14:val="tx1"/>
            </w14:solidFill>
          </w14:textFill>
        </w:rPr>
      </w:pPr>
    </w:p>
    <w:p w14:paraId="75D1A2AD">
      <w:pPr>
        <w:widowControl/>
        <w:jc w:val="left"/>
        <w:rPr>
          <w:rFonts w:hint="eastAsia" w:ascii="宋体" w:hAnsi="宋体" w:eastAsia="宋体" w:cs="宋体"/>
          <w:color w:val="000000" w:themeColor="text1"/>
          <w:szCs w:val="21"/>
          <w:highlight w:val="none"/>
          <w14:textFill>
            <w14:solidFill>
              <w14:schemeClr w14:val="tx1"/>
            </w14:solidFill>
          </w14:textFill>
        </w:rPr>
      </w:pPr>
    </w:p>
    <w:p w14:paraId="17CAE0E9">
      <w:pPr>
        <w:rPr>
          <w:rFonts w:hint="eastAsia" w:ascii="宋体" w:hAnsi="宋体" w:eastAsia="宋体" w:cs="宋体"/>
          <w:color w:val="000000" w:themeColor="text1"/>
          <w:highlight w:val="none"/>
          <w14:textFill>
            <w14:solidFill>
              <w14:schemeClr w14:val="tx1"/>
            </w14:solidFill>
          </w14:textFill>
        </w:rPr>
      </w:pPr>
    </w:p>
    <w:p w14:paraId="3F6E47F8">
      <w:pPr>
        <w:rPr>
          <w:rFonts w:hint="eastAsia" w:ascii="宋体" w:hAnsi="宋体" w:eastAsia="宋体" w:cs="宋体"/>
          <w:color w:val="000000" w:themeColor="text1"/>
          <w:highlight w:val="none"/>
          <w14:textFill>
            <w14:solidFill>
              <w14:schemeClr w14:val="tx1"/>
            </w14:solidFill>
          </w14:textFill>
        </w:rPr>
      </w:pPr>
    </w:p>
    <w:p w14:paraId="07948DBB">
      <w:pPr>
        <w:widowControl/>
        <w:jc w:val="left"/>
        <w:rPr>
          <w:rFonts w:hint="eastAsia" w:ascii="宋体" w:hAnsi="宋体" w:eastAsia="宋体" w:cs="宋体"/>
          <w:color w:val="000000" w:themeColor="text1"/>
          <w:szCs w:val="21"/>
          <w:highlight w:val="none"/>
          <w14:textFill>
            <w14:solidFill>
              <w14:schemeClr w14:val="tx1"/>
            </w14:solidFill>
          </w14:textFill>
        </w:rPr>
      </w:pPr>
    </w:p>
    <w:p w14:paraId="5EE5526E">
      <w:pPr>
        <w:widowControl/>
        <w:jc w:val="left"/>
        <w:rPr>
          <w:rFonts w:hint="eastAsia" w:ascii="宋体" w:hAnsi="宋体" w:eastAsia="宋体" w:cs="宋体"/>
          <w:color w:val="000000" w:themeColor="text1"/>
          <w:szCs w:val="21"/>
          <w:highlight w:val="none"/>
          <w14:textFill>
            <w14:solidFill>
              <w14:schemeClr w14:val="tx1"/>
            </w14:solidFill>
          </w14:textFill>
        </w:rPr>
      </w:pPr>
    </w:p>
    <w:p w14:paraId="7AE81CDE">
      <w:pPr>
        <w:widowControl/>
        <w:jc w:val="left"/>
        <w:rPr>
          <w:rFonts w:hint="eastAsia" w:ascii="宋体" w:hAnsi="宋体" w:eastAsia="宋体" w:cs="宋体"/>
          <w:color w:val="000000" w:themeColor="text1"/>
          <w:szCs w:val="21"/>
          <w:highlight w:val="none"/>
          <w14:textFill>
            <w14:solidFill>
              <w14:schemeClr w14:val="tx1"/>
            </w14:solidFill>
          </w14:textFill>
        </w:rPr>
      </w:pPr>
    </w:p>
    <w:p w14:paraId="43403BBE">
      <w:pPr>
        <w:widowControl/>
        <w:jc w:val="left"/>
        <w:rPr>
          <w:rFonts w:hint="eastAsia" w:ascii="宋体" w:hAnsi="宋体" w:eastAsia="宋体" w:cs="宋体"/>
          <w:color w:val="000000" w:themeColor="text1"/>
          <w:szCs w:val="21"/>
          <w:highlight w:val="none"/>
          <w14:textFill>
            <w14:solidFill>
              <w14:schemeClr w14:val="tx1"/>
            </w14:solidFill>
          </w14:textFill>
        </w:rPr>
      </w:pPr>
    </w:p>
    <w:p w14:paraId="3480216F">
      <w:pPr>
        <w:widowControl/>
        <w:jc w:val="left"/>
        <w:rPr>
          <w:rFonts w:hint="eastAsia" w:ascii="宋体" w:hAnsi="宋体" w:eastAsia="宋体" w:cs="宋体"/>
          <w:color w:val="000000" w:themeColor="text1"/>
          <w:szCs w:val="21"/>
          <w:highlight w:val="none"/>
          <w14:textFill>
            <w14:solidFill>
              <w14:schemeClr w14:val="tx1"/>
            </w14:solidFill>
          </w14:textFill>
        </w:rPr>
      </w:pPr>
    </w:p>
    <w:p w14:paraId="0F16739C">
      <w:pPr>
        <w:widowControl/>
        <w:jc w:val="left"/>
        <w:rPr>
          <w:rFonts w:hint="eastAsia" w:ascii="宋体" w:hAnsi="宋体" w:eastAsia="宋体" w:cs="宋体"/>
          <w:color w:val="000000" w:themeColor="text1"/>
          <w:szCs w:val="21"/>
          <w:highlight w:val="none"/>
          <w14:textFill>
            <w14:solidFill>
              <w14:schemeClr w14:val="tx1"/>
            </w14:solidFill>
          </w14:textFill>
        </w:rPr>
      </w:pPr>
    </w:p>
    <w:p w14:paraId="27B78E0A">
      <w:pPr>
        <w:widowControl/>
        <w:jc w:val="left"/>
        <w:rPr>
          <w:rFonts w:hint="eastAsia" w:ascii="宋体" w:hAnsi="宋体" w:eastAsia="宋体" w:cs="宋体"/>
          <w:color w:val="000000" w:themeColor="text1"/>
          <w:szCs w:val="21"/>
          <w:highlight w:val="none"/>
          <w14:textFill>
            <w14:solidFill>
              <w14:schemeClr w14:val="tx1"/>
            </w14:solidFill>
          </w14:textFill>
        </w:rPr>
      </w:pPr>
    </w:p>
    <w:p w14:paraId="5F328723">
      <w:pPr>
        <w:widowControl/>
        <w:jc w:val="left"/>
        <w:rPr>
          <w:rFonts w:hint="eastAsia" w:ascii="宋体" w:hAnsi="宋体" w:eastAsia="宋体" w:cs="宋体"/>
          <w:color w:val="000000" w:themeColor="text1"/>
          <w:szCs w:val="21"/>
          <w:highlight w:val="none"/>
          <w14:textFill>
            <w14:solidFill>
              <w14:schemeClr w14:val="tx1"/>
            </w14:solidFill>
          </w14:textFill>
        </w:rPr>
      </w:pPr>
    </w:p>
    <w:p w14:paraId="2469D339">
      <w:pPr>
        <w:widowControl/>
        <w:jc w:val="left"/>
        <w:rPr>
          <w:rFonts w:hint="eastAsia" w:ascii="宋体" w:hAnsi="宋体" w:eastAsia="宋体" w:cs="宋体"/>
          <w:color w:val="000000" w:themeColor="text1"/>
          <w:szCs w:val="21"/>
          <w:highlight w:val="none"/>
          <w14:textFill>
            <w14:solidFill>
              <w14:schemeClr w14:val="tx1"/>
            </w14:solidFill>
          </w14:textFill>
        </w:rPr>
      </w:pPr>
    </w:p>
    <w:p w14:paraId="366D1B0B">
      <w:pPr>
        <w:widowControl/>
        <w:jc w:val="left"/>
        <w:rPr>
          <w:rFonts w:hint="eastAsia" w:ascii="宋体" w:hAnsi="宋体" w:eastAsia="宋体" w:cs="宋体"/>
          <w:color w:val="000000" w:themeColor="text1"/>
          <w:szCs w:val="21"/>
          <w:highlight w:val="none"/>
          <w14:textFill>
            <w14:solidFill>
              <w14:schemeClr w14:val="tx1"/>
            </w14:solidFill>
          </w14:textFill>
        </w:rPr>
      </w:pPr>
    </w:p>
    <w:p w14:paraId="6C663414">
      <w:pPr>
        <w:widowControl/>
        <w:jc w:val="left"/>
        <w:rPr>
          <w:rFonts w:hint="eastAsia" w:ascii="宋体" w:hAnsi="宋体" w:eastAsia="宋体" w:cs="宋体"/>
          <w:color w:val="000000" w:themeColor="text1"/>
          <w:szCs w:val="21"/>
          <w:highlight w:val="none"/>
          <w14:textFill>
            <w14:solidFill>
              <w14:schemeClr w14:val="tx1"/>
            </w14:solidFill>
          </w14:textFill>
        </w:rPr>
      </w:pPr>
    </w:p>
    <w:p w14:paraId="2B886213">
      <w:pPr>
        <w:widowControl/>
        <w:jc w:val="left"/>
        <w:rPr>
          <w:rFonts w:hint="eastAsia" w:ascii="宋体" w:hAnsi="宋体" w:eastAsia="宋体" w:cs="宋体"/>
          <w:color w:val="000000" w:themeColor="text1"/>
          <w:highlight w:val="none"/>
          <w14:textFill>
            <w14:solidFill>
              <w14:schemeClr w14:val="tx1"/>
            </w14:solidFill>
          </w14:textFill>
        </w:rPr>
      </w:pPr>
    </w:p>
    <w:p w14:paraId="2A473231">
      <w:pPr>
        <w:rPr>
          <w:rFonts w:hint="eastAsia" w:ascii="宋体" w:hAnsi="宋体" w:eastAsia="宋体" w:cs="宋体"/>
          <w:color w:val="000000" w:themeColor="text1"/>
          <w:highlight w:val="none"/>
          <w14:textFill>
            <w14:solidFill>
              <w14:schemeClr w14:val="tx1"/>
            </w14:solidFill>
          </w14:textFill>
        </w:rPr>
      </w:pPr>
    </w:p>
    <w:p w14:paraId="54641C1C">
      <w:pPr>
        <w:spacing w:line="480" w:lineRule="auto"/>
        <w:rPr>
          <w:rFonts w:hint="eastAsia" w:ascii="宋体" w:hAnsi="宋体" w:eastAsia="宋体" w:cs="宋体"/>
          <w:b/>
          <w:color w:val="000000" w:themeColor="text1"/>
          <w:sz w:val="28"/>
          <w:szCs w:val="28"/>
          <w:highlight w:val="none"/>
          <w14:textFill>
            <w14:solidFill>
              <w14:schemeClr w14:val="tx1"/>
            </w14:solidFill>
          </w14:textFill>
        </w:rPr>
      </w:pPr>
      <w:bookmarkStart w:id="852" w:name="_Hlk48293187"/>
    </w:p>
    <w:p w14:paraId="5D3F2F7D">
      <w:pPr>
        <w:spacing w:line="480" w:lineRule="auto"/>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（二）法定代表人授权委托书</w:t>
      </w:r>
      <w:bookmarkEnd w:id="852"/>
      <w:r>
        <w:rPr>
          <w:rFonts w:hint="eastAsia" w:ascii="宋体" w:hAnsi="宋体" w:eastAsia="宋体" w:cs="宋体"/>
          <w:b/>
          <w:color w:val="000000" w:themeColor="text1"/>
          <w:sz w:val="28"/>
          <w:szCs w:val="28"/>
          <w:highlight w:val="none"/>
          <w14:textFill>
            <w14:solidFill>
              <w14:schemeClr w14:val="tx1"/>
            </w14:solidFill>
          </w14:textFill>
        </w:rPr>
        <w:t>（如有）</w:t>
      </w:r>
    </w:p>
    <w:p w14:paraId="07741441">
      <w:pPr>
        <w:topLinePunct/>
        <w:spacing w:line="44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（姓名）系</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（投标人名称）的法定代表人，现委托</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（姓名）为我方代理人。代理人根据授权，以我方名义签署、澄清、说明、补正、递交、撤回、修改</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（项目名称）投标文件、签订合同和处理有关事宜，其法律后果由我方承担。              </w:t>
      </w:r>
    </w:p>
    <w:p w14:paraId="70806910">
      <w:pPr>
        <w:tabs>
          <w:tab w:val="left" w:pos="3560"/>
        </w:tabs>
        <w:autoSpaceDE w:val="0"/>
        <w:autoSpaceDN w:val="0"/>
        <w:adjustRightInd w:val="0"/>
        <w:spacing w:before="81" w:line="333" w:lineRule="exact"/>
        <w:ind w:left="100" w:right="-20" w:firstLine="325" w:firstLineChars="155"/>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position w:val="-4"/>
          <w:szCs w:val="21"/>
          <w:highlight w:val="none"/>
          <w14:textFill>
            <w14:solidFill>
              <w14:schemeClr w14:val="tx1"/>
            </w14:solidFill>
          </w14:textFill>
        </w:rPr>
        <w:t>委托</w:t>
      </w:r>
      <w:r>
        <w:rPr>
          <w:rFonts w:hint="eastAsia" w:ascii="宋体" w:hAnsi="宋体" w:eastAsia="宋体" w:cs="宋体"/>
          <w:color w:val="000000" w:themeColor="text1"/>
          <w:spacing w:val="-2"/>
          <w:kern w:val="0"/>
          <w:position w:val="-4"/>
          <w:szCs w:val="21"/>
          <w:highlight w:val="none"/>
          <w14:textFill>
            <w14:solidFill>
              <w14:schemeClr w14:val="tx1"/>
            </w14:solidFill>
          </w14:textFill>
        </w:rPr>
        <w:t>期</w:t>
      </w:r>
      <w:r>
        <w:rPr>
          <w:rFonts w:hint="eastAsia" w:ascii="宋体" w:hAnsi="宋体" w:eastAsia="宋体" w:cs="宋体"/>
          <w:color w:val="000000" w:themeColor="text1"/>
          <w:kern w:val="0"/>
          <w:position w:val="-4"/>
          <w:szCs w:val="21"/>
          <w:highlight w:val="none"/>
          <w14:textFill>
            <w14:solidFill>
              <w14:schemeClr w14:val="tx1"/>
            </w14:solidFill>
          </w14:textFill>
        </w:rPr>
        <w:t>限</w:t>
      </w:r>
      <w:r>
        <w:rPr>
          <w:rFonts w:hint="eastAsia" w:ascii="宋体" w:hAnsi="宋体" w:eastAsia="宋体" w:cs="宋体"/>
          <w:color w:val="000000" w:themeColor="text1"/>
          <w:spacing w:val="-3"/>
          <w:kern w:val="0"/>
          <w:position w:val="-4"/>
          <w:szCs w:val="21"/>
          <w:highlight w:val="none"/>
          <w14:textFill>
            <w14:solidFill>
              <w14:schemeClr w14:val="tx1"/>
            </w14:solidFill>
          </w14:textFill>
        </w:rPr>
        <w:t>：</w:t>
      </w:r>
      <w:r>
        <w:rPr>
          <w:rFonts w:hint="eastAsia" w:ascii="宋体" w:hAnsi="宋体" w:eastAsia="宋体" w:cs="宋体"/>
          <w:color w:val="000000" w:themeColor="text1"/>
          <w:spacing w:val="43"/>
          <w:kern w:val="0"/>
          <w:position w:val="-4"/>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position w:val="-4"/>
          <w:szCs w:val="21"/>
          <w:highlight w:val="none"/>
          <w:u w:val="single"/>
          <w14:textFill>
            <w14:solidFill>
              <w14:schemeClr w14:val="tx1"/>
            </w14:solidFill>
          </w14:textFill>
        </w:rPr>
        <w:tab/>
      </w:r>
      <w:r>
        <w:rPr>
          <w:rFonts w:hint="eastAsia" w:ascii="宋体" w:hAnsi="宋体" w:eastAsia="宋体" w:cs="宋体"/>
          <w:color w:val="000000" w:themeColor="text1"/>
          <w:kern w:val="0"/>
          <w:position w:val="-4"/>
          <w:szCs w:val="21"/>
          <w:highlight w:val="none"/>
          <w14:textFill>
            <w14:solidFill>
              <w14:schemeClr w14:val="tx1"/>
            </w14:solidFill>
          </w14:textFill>
        </w:rPr>
        <w:t>。</w:t>
      </w:r>
    </w:p>
    <w:p w14:paraId="678F6C19">
      <w:pPr>
        <w:spacing w:line="440" w:lineRule="exact"/>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代理人无转委托权。</w:t>
      </w:r>
    </w:p>
    <w:p w14:paraId="48F8311B">
      <w:pPr>
        <w:spacing w:line="440" w:lineRule="exact"/>
        <w:ind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附：法定代表人和委托代理人身份证原件扫描件或图片</w:t>
      </w:r>
    </w:p>
    <w:p w14:paraId="02A9C9AE">
      <w:pPr>
        <w:spacing w:line="440" w:lineRule="exact"/>
        <w:ind w:firstLine="210" w:firstLineChars="100"/>
        <w:rPr>
          <w:rFonts w:hint="eastAsia" w:ascii="宋体" w:hAnsi="宋体" w:eastAsia="宋体" w:cs="宋体"/>
          <w:color w:val="000000" w:themeColor="text1"/>
          <w:szCs w:val="21"/>
          <w:highlight w:val="none"/>
          <w14:textFill>
            <w14:solidFill>
              <w14:schemeClr w14:val="tx1"/>
            </w14:solidFill>
          </w14:textFill>
        </w:rPr>
      </w:pPr>
    </w:p>
    <w:p w14:paraId="02715D8C">
      <w:pPr>
        <w:spacing w:line="440" w:lineRule="exact"/>
        <w:ind w:firstLine="210" w:firstLineChars="100"/>
        <w:rPr>
          <w:rFonts w:hint="eastAsia" w:ascii="宋体" w:hAnsi="宋体" w:eastAsia="宋体" w:cs="宋体"/>
          <w:color w:val="000000" w:themeColor="text1"/>
          <w:szCs w:val="21"/>
          <w:highlight w:val="none"/>
          <w14:textFill>
            <w14:solidFill>
              <w14:schemeClr w14:val="tx1"/>
            </w14:solidFill>
          </w14:textFill>
        </w:rPr>
      </w:pPr>
    </w:p>
    <w:p w14:paraId="53F20442">
      <w:pPr>
        <w:spacing w:line="440" w:lineRule="exact"/>
        <w:ind w:firstLine="210" w:firstLineChars="100"/>
        <w:rPr>
          <w:rFonts w:hint="eastAsia" w:ascii="宋体" w:hAnsi="宋体" w:eastAsia="宋体" w:cs="宋体"/>
          <w:color w:val="000000" w:themeColor="text1"/>
          <w:szCs w:val="21"/>
          <w:highlight w:val="none"/>
          <w14:textFill>
            <w14:solidFill>
              <w14:schemeClr w14:val="tx1"/>
            </w14:solidFill>
          </w14:textFill>
        </w:rPr>
      </w:pPr>
    </w:p>
    <w:p w14:paraId="20B5AADA">
      <w:pPr>
        <w:spacing w:line="440" w:lineRule="exact"/>
        <w:rPr>
          <w:rFonts w:hint="eastAsia" w:ascii="宋体" w:hAnsi="宋体" w:eastAsia="宋体" w:cs="宋体"/>
          <w:color w:val="000000" w:themeColor="text1"/>
          <w:szCs w:val="21"/>
          <w:highlight w:val="none"/>
          <w14:textFill>
            <w14:solidFill>
              <w14:schemeClr w14:val="tx1"/>
            </w14:solidFill>
          </w14:textFill>
        </w:rPr>
      </w:pPr>
    </w:p>
    <w:p w14:paraId="63CDF332">
      <w:pPr>
        <w:spacing w:line="440" w:lineRule="exact"/>
        <w:ind w:firstLine="2125" w:firstLineChars="101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（电子印章）</w:t>
      </w:r>
    </w:p>
    <w:p w14:paraId="581B57FD">
      <w:pPr>
        <w:spacing w:line="440" w:lineRule="exact"/>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0EBB8A97">
      <w:pPr>
        <w:spacing w:line="440" w:lineRule="exact"/>
        <w:ind w:firstLine="2125" w:firstLineChars="101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（电子印章）</w:t>
      </w:r>
    </w:p>
    <w:p w14:paraId="36BA1622">
      <w:pPr>
        <w:spacing w:line="440" w:lineRule="exact"/>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3C4DD587">
      <w:pPr>
        <w:spacing w:line="440" w:lineRule="exact"/>
        <w:ind w:firstLine="2125" w:firstLineChars="101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日期：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2CBFD542">
      <w:pPr>
        <w:widowControl/>
        <w:jc w:val="left"/>
        <w:rPr>
          <w:rFonts w:hint="eastAsia" w:ascii="宋体" w:hAnsi="宋体" w:eastAsia="宋体" w:cs="宋体"/>
          <w:color w:val="000000" w:themeColor="text1"/>
          <w:szCs w:val="21"/>
          <w:highlight w:val="none"/>
          <w14:textFill>
            <w14:solidFill>
              <w14:schemeClr w14:val="tx1"/>
            </w14:solidFill>
          </w14:textFill>
        </w:rPr>
        <w:sectPr>
          <w:headerReference r:id="rId6" w:type="default"/>
          <w:footerReference r:id="rId7" w:type="default"/>
          <w:pgSz w:w="11906" w:h="16838"/>
          <w:pgMar w:top="1134" w:right="1134" w:bottom="1418" w:left="1418" w:header="851" w:footer="992" w:gutter="0"/>
          <w:pgNumType w:fmt="decimal"/>
          <w:cols w:space="720" w:num="1"/>
          <w:docGrid w:linePitch="286" w:charSpace="0"/>
        </w:sectPr>
      </w:pPr>
    </w:p>
    <w:p w14:paraId="1BCBF7F1">
      <w:pPr>
        <w:adjustRightInd w:val="0"/>
        <w:spacing w:before="240" w:after="60" w:line="420" w:lineRule="atLeast"/>
        <w:jc w:val="center"/>
        <w:outlineLvl w:val="0"/>
        <w:rPr>
          <w:rFonts w:hint="eastAsia" w:ascii="宋体" w:hAnsi="宋体" w:eastAsia="宋体" w:cs="宋体"/>
          <w:b/>
          <w:color w:val="000000" w:themeColor="text1"/>
          <w:kern w:val="0"/>
          <w:sz w:val="32"/>
          <w:szCs w:val="20"/>
          <w:highlight w:val="none"/>
          <w14:textFill>
            <w14:solidFill>
              <w14:schemeClr w14:val="tx1"/>
            </w14:solidFill>
          </w14:textFill>
        </w:rPr>
      </w:pPr>
      <w:bookmarkStart w:id="853" w:name="_Toc135922583"/>
      <w:bookmarkStart w:id="854" w:name="_Toc135648949"/>
      <w:bookmarkStart w:id="855" w:name="_Toc556"/>
      <w:r>
        <w:rPr>
          <w:rFonts w:hint="eastAsia" w:ascii="宋体" w:hAnsi="宋体" w:eastAsia="宋体" w:cs="宋体"/>
          <w:b/>
          <w:color w:val="000000" w:themeColor="text1"/>
          <w:kern w:val="0"/>
          <w:sz w:val="32"/>
          <w:szCs w:val="20"/>
          <w:highlight w:val="none"/>
          <w14:textFill>
            <w14:solidFill>
              <w14:schemeClr w14:val="tx1"/>
            </w14:solidFill>
          </w14:textFill>
        </w:rPr>
        <w:t>三、</w:t>
      </w:r>
      <w:bookmarkEnd w:id="853"/>
      <w:bookmarkEnd w:id="854"/>
      <w:r>
        <w:rPr>
          <w:rFonts w:hint="eastAsia" w:ascii="宋体" w:hAnsi="宋体" w:eastAsia="宋体" w:cs="宋体"/>
          <w:b/>
          <w:color w:val="000000" w:themeColor="text1"/>
          <w:kern w:val="0"/>
          <w:sz w:val="32"/>
          <w:szCs w:val="20"/>
          <w:highlight w:val="none"/>
          <w14:textFill>
            <w14:solidFill>
              <w14:schemeClr w14:val="tx1"/>
            </w14:solidFill>
          </w14:textFill>
        </w:rPr>
        <w:t>分项报价表</w:t>
      </w:r>
      <w:bookmarkEnd w:id="855"/>
    </w:p>
    <w:p w14:paraId="365A6985">
      <w:pPr>
        <w:rPr>
          <w:rFonts w:hint="eastAsia" w:ascii="宋体" w:hAnsi="宋体" w:eastAsia="宋体" w:cs="宋体"/>
          <w:color w:val="000000" w:themeColor="text1"/>
          <w:szCs w:val="21"/>
          <w:highlight w:val="none"/>
          <w14:textFill>
            <w14:solidFill>
              <w14:schemeClr w14:val="tx1"/>
            </w14:solidFill>
          </w14:textFill>
        </w:rPr>
      </w:pPr>
    </w:p>
    <w:tbl>
      <w:tblPr>
        <w:tblStyle w:val="18"/>
        <w:tblpPr w:leftFromText="180" w:rightFromText="180" w:vertAnchor="text" w:horzAnchor="page" w:tblpX="1650" w:tblpY="302"/>
        <w:tblOverlap w:val="never"/>
        <w:tblW w:w="95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Layout w:type="fixed"/>
        <w:tblCellMar>
          <w:top w:w="0" w:type="dxa"/>
          <w:left w:w="108" w:type="dxa"/>
          <w:bottom w:w="0" w:type="dxa"/>
          <w:right w:w="108" w:type="dxa"/>
        </w:tblCellMar>
      </w:tblPr>
      <w:tblGrid>
        <w:gridCol w:w="536"/>
        <w:gridCol w:w="883"/>
        <w:gridCol w:w="843"/>
        <w:gridCol w:w="993"/>
        <w:gridCol w:w="1257"/>
        <w:gridCol w:w="900"/>
        <w:gridCol w:w="850"/>
        <w:gridCol w:w="1325"/>
        <w:gridCol w:w="1288"/>
        <w:gridCol w:w="699"/>
      </w:tblGrid>
      <w:tr w14:paraId="401BD329">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899" w:hRule="atLeast"/>
        </w:trPr>
        <w:tc>
          <w:tcPr>
            <w:tcW w:w="536" w:type="dxa"/>
            <w:tcBorders>
              <w:top w:val="single" w:color="auto" w:sz="12" w:space="0"/>
            </w:tcBorders>
            <w:noWrap w:val="0"/>
            <w:vAlign w:val="center"/>
          </w:tcPr>
          <w:p w14:paraId="27709A78">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序号</w:t>
            </w:r>
          </w:p>
        </w:tc>
        <w:tc>
          <w:tcPr>
            <w:tcW w:w="883" w:type="dxa"/>
            <w:tcBorders>
              <w:top w:val="single" w:color="auto" w:sz="12" w:space="0"/>
            </w:tcBorders>
            <w:noWrap w:val="0"/>
            <w:vAlign w:val="center"/>
          </w:tcPr>
          <w:p w14:paraId="7644C29F">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产品</w:t>
            </w:r>
          </w:p>
          <w:p w14:paraId="5DA0326C">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843" w:type="dxa"/>
            <w:tcBorders>
              <w:top w:val="single" w:color="auto" w:sz="12" w:space="0"/>
            </w:tcBorders>
            <w:noWrap w:val="0"/>
            <w:vAlign w:val="center"/>
          </w:tcPr>
          <w:p w14:paraId="54615F71">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品牌</w:t>
            </w:r>
          </w:p>
        </w:tc>
        <w:tc>
          <w:tcPr>
            <w:tcW w:w="993" w:type="dxa"/>
            <w:tcBorders>
              <w:top w:val="single" w:color="auto" w:sz="12" w:space="0"/>
            </w:tcBorders>
            <w:noWrap w:val="0"/>
            <w:vAlign w:val="center"/>
          </w:tcPr>
          <w:p w14:paraId="04DAD59E">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规格</w:t>
            </w:r>
          </w:p>
          <w:p w14:paraId="34B5135E">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型号</w:t>
            </w:r>
          </w:p>
        </w:tc>
        <w:tc>
          <w:tcPr>
            <w:tcW w:w="1257" w:type="dxa"/>
            <w:tcBorders>
              <w:top w:val="single" w:color="auto" w:sz="12" w:space="0"/>
            </w:tcBorders>
            <w:noWrap w:val="0"/>
            <w:vAlign w:val="center"/>
          </w:tcPr>
          <w:p w14:paraId="4EA246CC">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生产</w:t>
            </w:r>
          </w:p>
          <w:p w14:paraId="5CEA1B43">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厂家</w:t>
            </w:r>
          </w:p>
        </w:tc>
        <w:tc>
          <w:tcPr>
            <w:tcW w:w="900" w:type="dxa"/>
            <w:tcBorders>
              <w:top w:val="single" w:color="auto" w:sz="12" w:space="0"/>
            </w:tcBorders>
            <w:noWrap w:val="0"/>
            <w:vAlign w:val="center"/>
          </w:tcPr>
          <w:p w14:paraId="76D28265">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数量</w:t>
            </w:r>
          </w:p>
        </w:tc>
        <w:tc>
          <w:tcPr>
            <w:tcW w:w="850" w:type="dxa"/>
            <w:tcBorders>
              <w:top w:val="single" w:color="auto" w:sz="12" w:space="0"/>
            </w:tcBorders>
            <w:noWrap w:val="0"/>
            <w:vAlign w:val="center"/>
          </w:tcPr>
          <w:p w14:paraId="47FAECB8">
            <w:pPr>
              <w:snapToGrid w:val="0"/>
              <w:spacing w:line="4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单位</w:t>
            </w:r>
          </w:p>
        </w:tc>
        <w:tc>
          <w:tcPr>
            <w:tcW w:w="1325" w:type="dxa"/>
            <w:tcBorders>
              <w:top w:val="single" w:color="auto" w:sz="12" w:space="0"/>
            </w:tcBorders>
            <w:noWrap w:val="0"/>
            <w:vAlign w:val="center"/>
          </w:tcPr>
          <w:p w14:paraId="30C3EA72">
            <w:pPr>
              <w:widowControl/>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单价（元）</w:t>
            </w:r>
          </w:p>
        </w:tc>
        <w:tc>
          <w:tcPr>
            <w:tcW w:w="1288" w:type="dxa"/>
            <w:tcBorders>
              <w:top w:val="single" w:color="auto" w:sz="12" w:space="0"/>
            </w:tcBorders>
            <w:noWrap w:val="0"/>
            <w:vAlign w:val="center"/>
          </w:tcPr>
          <w:p w14:paraId="4A92587F">
            <w:pPr>
              <w:widowControl/>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合价（元）</w:t>
            </w:r>
          </w:p>
        </w:tc>
        <w:tc>
          <w:tcPr>
            <w:tcW w:w="699" w:type="dxa"/>
            <w:tcBorders>
              <w:top w:val="single" w:color="auto" w:sz="12" w:space="0"/>
            </w:tcBorders>
            <w:noWrap w:val="0"/>
            <w:vAlign w:val="center"/>
          </w:tcPr>
          <w:p w14:paraId="23AC74F3">
            <w:pPr>
              <w:widowControl/>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备注</w:t>
            </w:r>
          </w:p>
        </w:tc>
      </w:tr>
      <w:tr w14:paraId="3F14F3EB">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739" w:hRule="atLeast"/>
        </w:trPr>
        <w:tc>
          <w:tcPr>
            <w:tcW w:w="536" w:type="dxa"/>
            <w:noWrap w:val="0"/>
            <w:vAlign w:val="center"/>
          </w:tcPr>
          <w:p w14:paraId="69A3778E">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p>
        </w:tc>
        <w:tc>
          <w:tcPr>
            <w:tcW w:w="883" w:type="dxa"/>
            <w:noWrap w:val="0"/>
            <w:vAlign w:val="center"/>
          </w:tcPr>
          <w:p w14:paraId="3D688DBD">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843" w:type="dxa"/>
            <w:noWrap w:val="0"/>
            <w:vAlign w:val="center"/>
          </w:tcPr>
          <w:p w14:paraId="32F023EF">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93" w:type="dxa"/>
            <w:noWrap w:val="0"/>
            <w:vAlign w:val="center"/>
          </w:tcPr>
          <w:p w14:paraId="3A7FB390">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257" w:type="dxa"/>
            <w:noWrap w:val="0"/>
            <w:vAlign w:val="center"/>
          </w:tcPr>
          <w:p w14:paraId="1A9E905A">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00" w:type="dxa"/>
            <w:noWrap w:val="0"/>
            <w:vAlign w:val="center"/>
          </w:tcPr>
          <w:p w14:paraId="34F51BD0">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850" w:type="dxa"/>
            <w:noWrap w:val="0"/>
            <w:vAlign w:val="center"/>
          </w:tcPr>
          <w:p w14:paraId="72B31054">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325" w:type="dxa"/>
            <w:noWrap w:val="0"/>
            <w:vAlign w:val="center"/>
          </w:tcPr>
          <w:p w14:paraId="27DF4394">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288" w:type="dxa"/>
            <w:noWrap w:val="0"/>
            <w:vAlign w:val="center"/>
          </w:tcPr>
          <w:p w14:paraId="00A3AE05">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699" w:type="dxa"/>
            <w:noWrap w:val="0"/>
            <w:vAlign w:val="center"/>
          </w:tcPr>
          <w:p w14:paraId="152D7DC1">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r>
      <w:tr w14:paraId="23809F9C">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739" w:hRule="atLeast"/>
        </w:trPr>
        <w:tc>
          <w:tcPr>
            <w:tcW w:w="536" w:type="dxa"/>
            <w:noWrap w:val="0"/>
            <w:vAlign w:val="center"/>
          </w:tcPr>
          <w:p w14:paraId="0D9E0D88">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p>
        </w:tc>
        <w:tc>
          <w:tcPr>
            <w:tcW w:w="883" w:type="dxa"/>
            <w:noWrap w:val="0"/>
            <w:vAlign w:val="center"/>
          </w:tcPr>
          <w:p w14:paraId="7B15AEB8">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843" w:type="dxa"/>
            <w:noWrap w:val="0"/>
            <w:vAlign w:val="center"/>
          </w:tcPr>
          <w:p w14:paraId="7AB378C4">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93" w:type="dxa"/>
            <w:noWrap w:val="0"/>
            <w:vAlign w:val="center"/>
          </w:tcPr>
          <w:p w14:paraId="503284DF">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257" w:type="dxa"/>
            <w:noWrap w:val="0"/>
            <w:vAlign w:val="center"/>
          </w:tcPr>
          <w:p w14:paraId="28829AF6">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00" w:type="dxa"/>
            <w:noWrap w:val="0"/>
            <w:vAlign w:val="center"/>
          </w:tcPr>
          <w:p w14:paraId="29AC0C92">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850" w:type="dxa"/>
            <w:noWrap w:val="0"/>
            <w:vAlign w:val="center"/>
          </w:tcPr>
          <w:p w14:paraId="1C6568A2">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325" w:type="dxa"/>
            <w:noWrap w:val="0"/>
            <w:vAlign w:val="center"/>
          </w:tcPr>
          <w:p w14:paraId="3CE4A6CC">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288" w:type="dxa"/>
            <w:noWrap w:val="0"/>
            <w:vAlign w:val="center"/>
          </w:tcPr>
          <w:p w14:paraId="05720B92">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699" w:type="dxa"/>
            <w:noWrap w:val="0"/>
            <w:vAlign w:val="center"/>
          </w:tcPr>
          <w:p w14:paraId="3DBFA37D">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r>
      <w:tr w14:paraId="79814BE1">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739" w:hRule="atLeast"/>
        </w:trPr>
        <w:tc>
          <w:tcPr>
            <w:tcW w:w="536" w:type="dxa"/>
            <w:noWrap w:val="0"/>
            <w:vAlign w:val="center"/>
          </w:tcPr>
          <w:p w14:paraId="25A2B209">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w:t>
            </w:r>
          </w:p>
        </w:tc>
        <w:tc>
          <w:tcPr>
            <w:tcW w:w="883" w:type="dxa"/>
            <w:noWrap w:val="0"/>
            <w:vAlign w:val="center"/>
          </w:tcPr>
          <w:p w14:paraId="1F59E16D">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843" w:type="dxa"/>
            <w:noWrap w:val="0"/>
            <w:vAlign w:val="center"/>
          </w:tcPr>
          <w:p w14:paraId="79D88203">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93" w:type="dxa"/>
            <w:noWrap w:val="0"/>
            <w:vAlign w:val="center"/>
          </w:tcPr>
          <w:p w14:paraId="6C8C4EAA">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257" w:type="dxa"/>
            <w:noWrap w:val="0"/>
            <w:vAlign w:val="center"/>
          </w:tcPr>
          <w:p w14:paraId="6759CB4D">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00" w:type="dxa"/>
            <w:noWrap w:val="0"/>
            <w:vAlign w:val="center"/>
          </w:tcPr>
          <w:p w14:paraId="24EA1A13">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850" w:type="dxa"/>
            <w:noWrap w:val="0"/>
            <w:vAlign w:val="center"/>
          </w:tcPr>
          <w:p w14:paraId="13EF7A0B">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325" w:type="dxa"/>
            <w:noWrap w:val="0"/>
            <w:vAlign w:val="center"/>
          </w:tcPr>
          <w:p w14:paraId="514D4D2B">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288" w:type="dxa"/>
            <w:noWrap w:val="0"/>
            <w:vAlign w:val="center"/>
          </w:tcPr>
          <w:p w14:paraId="4629F035">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699" w:type="dxa"/>
            <w:noWrap w:val="0"/>
            <w:vAlign w:val="center"/>
          </w:tcPr>
          <w:p w14:paraId="5594E94A">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r>
      <w:tr w14:paraId="1F4BF505">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739" w:hRule="atLeast"/>
        </w:trPr>
        <w:tc>
          <w:tcPr>
            <w:tcW w:w="536" w:type="dxa"/>
            <w:noWrap w:val="0"/>
            <w:vAlign w:val="center"/>
          </w:tcPr>
          <w:p w14:paraId="59F0DBB9">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w:t>
            </w:r>
          </w:p>
        </w:tc>
        <w:tc>
          <w:tcPr>
            <w:tcW w:w="883" w:type="dxa"/>
            <w:noWrap w:val="0"/>
            <w:vAlign w:val="center"/>
          </w:tcPr>
          <w:p w14:paraId="459F2520">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843" w:type="dxa"/>
            <w:noWrap w:val="0"/>
            <w:vAlign w:val="center"/>
          </w:tcPr>
          <w:p w14:paraId="51D9FA74">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93" w:type="dxa"/>
            <w:noWrap w:val="0"/>
            <w:vAlign w:val="center"/>
          </w:tcPr>
          <w:p w14:paraId="45E3B618">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257" w:type="dxa"/>
            <w:noWrap w:val="0"/>
            <w:vAlign w:val="center"/>
          </w:tcPr>
          <w:p w14:paraId="65D0E345">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00" w:type="dxa"/>
            <w:noWrap w:val="0"/>
            <w:vAlign w:val="center"/>
          </w:tcPr>
          <w:p w14:paraId="6E3574FA">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850" w:type="dxa"/>
            <w:noWrap w:val="0"/>
            <w:vAlign w:val="center"/>
          </w:tcPr>
          <w:p w14:paraId="724CCF2C">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325" w:type="dxa"/>
            <w:noWrap w:val="0"/>
            <w:vAlign w:val="center"/>
          </w:tcPr>
          <w:p w14:paraId="0767303A">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288" w:type="dxa"/>
            <w:noWrap w:val="0"/>
            <w:vAlign w:val="center"/>
          </w:tcPr>
          <w:p w14:paraId="7A8C7287">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699" w:type="dxa"/>
            <w:noWrap w:val="0"/>
            <w:vAlign w:val="center"/>
          </w:tcPr>
          <w:p w14:paraId="4909AA16">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r>
      <w:tr w14:paraId="66D326C7">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739" w:hRule="atLeast"/>
        </w:trPr>
        <w:tc>
          <w:tcPr>
            <w:tcW w:w="536" w:type="dxa"/>
            <w:noWrap w:val="0"/>
            <w:vAlign w:val="center"/>
          </w:tcPr>
          <w:p w14:paraId="143E9CE3">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w:t>
            </w:r>
          </w:p>
        </w:tc>
        <w:tc>
          <w:tcPr>
            <w:tcW w:w="883" w:type="dxa"/>
            <w:noWrap w:val="0"/>
            <w:vAlign w:val="center"/>
          </w:tcPr>
          <w:p w14:paraId="2D63C35F">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843" w:type="dxa"/>
            <w:noWrap w:val="0"/>
            <w:vAlign w:val="center"/>
          </w:tcPr>
          <w:p w14:paraId="4AE37B72">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93" w:type="dxa"/>
            <w:noWrap w:val="0"/>
            <w:vAlign w:val="center"/>
          </w:tcPr>
          <w:p w14:paraId="0B783B9B">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257" w:type="dxa"/>
            <w:noWrap w:val="0"/>
            <w:vAlign w:val="center"/>
          </w:tcPr>
          <w:p w14:paraId="282B2022">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00" w:type="dxa"/>
            <w:noWrap w:val="0"/>
            <w:vAlign w:val="center"/>
          </w:tcPr>
          <w:p w14:paraId="262AE0A5">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850" w:type="dxa"/>
            <w:noWrap w:val="0"/>
            <w:vAlign w:val="center"/>
          </w:tcPr>
          <w:p w14:paraId="7C08AD83">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325" w:type="dxa"/>
            <w:noWrap w:val="0"/>
            <w:vAlign w:val="center"/>
          </w:tcPr>
          <w:p w14:paraId="1413C4F1">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288" w:type="dxa"/>
            <w:noWrap w:val="0"/>
            <w:vAlign w:val="center"/>
          </w:tcPr>
          <w:p w14:paraId="50FE17CD">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699" w:type="dxa"/>
            <w:noWrap w:val="0"/>
            <w:vAlign w:val="center"/>
          </w:tcPr>
          <w:p w14:paraId="37C2F913">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r>
      <w:tr w14:paraId="4149A766">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739" w:hRule="atLeast"/>
        </w:trPr>
        <w:tc>
          <w:tcPr>
            <w:tcW w:w="536" w:type="dxa"/>
            <w:noWrap w:val="0"/>
            <w:vAlign w:val="center"/>
          </w:tcPr>
          <w:p w14:paraId="7FE0472F">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p>
        </w:tc>
        <w:tc>
          <w:tcPr>
            <w:tcW w:w="883" w:type="dxa"/>
            <w:noWrap w:val="0"/>
            <w:vAlign w:val="center"/>
          </w:tcPr>
          <w:p w14:paraId="0EF70569">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843" w:type="dxa"/>
            <w:noWrap w:val="0"/>
            <w:vAlign w:val="center"/>
          </w:tcPr>
          <w:p w14:paraId="16DB2805">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93" w:type="dxa"/>
            <w:noWrap w:val="0"/>
            <w:vAlign w:val="center"/>
          </w:tcPr>
          <w:p w14:paraId="178368EC">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257" w:type="dxa"/>
            <w:noWrap w:val="0"/>
            <w:vAlign w:val="center"/>
          </w:tcPr>
          <w:p w14:paraId="48B8CA18">
            <w:pPr>
              <w:spacing w:line="3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900" w:type="dxa"/>
            <w:noWrap w:val="0"/>
            <w:vAlign w:val="center"/>
          </w:tcPr>
          <w:p w14:paraId="39C56D97">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850" w:type="dxa"/>
            <w:noWrap w:val="0"/>
            <w:vAlign w:val="center"/>
          </w:tcPr>
          <w:p w14:paraId="79940A28">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325" w:type="dxa"/>
            <w:noWrap w:val="0"/>
            <w:vAlign w:val="center"/>
          </w:tcPr>
          <w:p w14:paraId="119DC05F">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1288" w:type="dxa"/>
            <w:noWrap w:val="0"/>
            <w:vAlign w:val="center"/>
          </w:tcPr>
          <w:p w14:paraId="1C496025">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699" w:type="dxa"/>
            <w:noWrap w:val="0"/>
            <w:vAlign w:val="center"/>
          </w:tcPr>
          <w:p w14:paraId="5DCBB690">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r>
      <w:tr w14:paraId="2FA95AE0">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668" w:hRule="atLeast"/>
        </w:trPr>
        <w:tc>
          <w:tcPr>
            <w:tcW w:w="1419" w:type="dxa"/>
            <w:gridSpan w:val="2"/>
            <w:vMerge w:val="restart"/>
            <w:noWrap w:val="0"/>
            <w:vAlign w:val="center"/>
          </w:tcPr>
          <w:p w14:paraId="62ACE025">
            <w:pPr>
              <w:snapToGrid w:val="0"/>
              <w:spacing w:line="400" w:lineRule="exact"/>
              <w:rPr>
                <w:rFonts w:hint="eastAsia" w:ascii="宋体" w:hAnsi="宋体" w:eastAsia="宋体" w:cs="宋体"/>
                <w:color w:val="000000" w:themeColor="text1"/>
                <w:kern w:val="0"/>
                <w:szCs w:val="21"/>
                <w:highlight w:val="none"/>
                <w14:textFill>
                  <w14:solidFill>
                    <w14:schemeClr w14:val="tx1"/>
                  </w14:solidFill>
                </w14:textFill>
              </w:rPr>
            </w:pPr>
          </w:p>
          <w:p w14:paraId="632DA32A">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报价合计</w:t>
            </w:r>
          </w:p>
          <w:p w14:paraId="5CC06073">
            <w:pPr>
              <w:snapToGrid w:val="0"/>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p>
        </w:tc>
        <w:tc>
          <w:tcPr>
            <w:tcW w:w="8155" w:type="dxa"/>
            <w:gridSpan w:val="8"/>
            <w:noWrap w:val="0"/>
            <w:vAlign w:val="center"/>
          </w:tcPr>
          <w:p w14:paraId="6701D5DA">
            <w:pPr>
              <w:snapToGrid w:val="0"/>
              <w:spacing w:line="400" w:lineRule="exact"/>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 xml:space="preserve">大写: </w:t>
            </w:r>
            <w:r>
              <w:rPr>
                <w:rFonts w:hint="eastAsia" w:ascii="宋体" w:hAnsi="宋体" w:eastAsia="宋体" w:cs="宋体"/>
                <w:b/>
                <w:bCs/>
                <w:color w:val="000000" w:themeColor="text1"/>
                <w:kern w:val="0"/>
                <w:szCs w:val="21"/>
                <w:highlight w:val="none"/>
                <w:u w:val="single"/>
                <w14:textFill>
                  <w14:solidFill>
                    <w14:schemeClr w14:val="tx1"/>
                  </w14:solidFill>
                </w14:textFill>
              </w:rPr>
              <w:t xml:space="preserve">                     </w:t>
            </w:r>
          </w:p>
        </w:tc>
      </w:tr>
      <w:tr w14:paraId="525B23EA">
        <w:tblPrEx>
          <w:tblBorders>
            <w:top w:val="single" w:color="auto" w:sz="12" w:space="0"/>
            <w:left w:val="single" w:color="auto" w:sz="12" w:space="0"/>
            <w:bottom w:val="single" w:color="auto" w:sz="12" w:space="0"/>
            <w:right w:val="single" w:color="auto" w:sz="12" w:space="0"/>
            <w:insideH w:val="single" w:color="auto" w:sz="4" w:space="0"/>
            <w:insideV w:val="single" w:color="auto" w:sz="2" w:space="0"/>
          </w:tblBorders>
          <w:tblCellMar>
            <w:top w:w="0" w:type="dxa"/>
            <w:left w:w="108" w:type="dxa"/>
            <w:bottom w:w="0" w:type="dxa"/>
            <w:right w:w="108" w:type="dxa"/>
          </w:tblCellMar>
        </w:tblPrEx>
        <w:trPr>
          <w:trHeight w:val="675" w:hRule="atLeast"/>
        </w:trPr>
        <w:tc>
          <w:tcPr>
            <w:tcW w:w="1419" w:type="dxa"/>
            <w:gridSpan w:val="2"/>
            <w:vMerge w:val="continue"/>
            <w:tcBorders>
              <w:bottom w:val="single" w:color="auto" w:sz="12" w:space="0"/>
            </w:tcBorders>
            <w:noWrap w:val="0"/>
            <w:vAlign w:val="center"/>
          </w:tcPr>
          <w:p w14:paraId="4B13F2F1">
            <w:pPr>
              <w:snapToGrid w:val="0"/>
              <w:spacing w:line="400" w:lineRule="exact"/>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8155" w:type="dxa"/>
            <w:gridSpan w:val="8"/>
            <w:tcBorders>
              <w:bottom w:val="single" w:color="auto" w:sz="12" w:space="0"/>
            </w:tcBorders>
            <w:noWrap w:val="0"/>
            <w:vAlign w:val="center"/>
          </w:tcPr>
          <w:p w14:paraId="660930B2">
            <w:pPr>
              <w:snapToGrid w:val="0"/>
              <w:spacing w:line="400" w:lineRule="exact"/>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小写：</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元</w:t>
            </w:r>
          </w:p>
        </w:tc>
      </w:tr>
    </w:tbl>
    <w:p w14:paraId="32AE0E8F">
      <w:pPr>
        <w:rPr>
          <w:rFonts w:hint="eastAsia" w:ascii="宋体" w:hAnsi="宋体" w:eastAsia="宋体" w:cs="宋体"/>
          <w:color w:val="000000" w:themeColor="text1"/>
          <w:sz w:val="24"/>
          <w:highlight w:val="none"/>
          <w14:textFill>
            <w14:solidFill>
              <w14:schemeClr w14:val="tx1"/>
            </w14:solidFill>
          </w14:textFill>
        </w:rPr>
      </w:pPr>
    </w:p>
    <w:p w14:paraId="232CBBCE">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w:t>
      </w:r>
    </w:p>
    <w:p w14:paraId="2C045088">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1.供应商必须严格按照此表格内容对所投全部设备的品牌、规格型号、单价、合价等全部内容逐项填报；如不按照此表格格式、内容逐项填报的，视为不响应招标文件形式评审要求，不再进入下一步评审。</w:t>
      </w:r>
    </w:p>
    <w:p w14:paraId="2E70D1CC">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2.“报价合计”为各分项报价金额之和，且须与投标函中的投标报价一致。</w:t>
      </w:r>
    </w:p>
    <w:p w14:paraId="3FFAAAE2">
      <w:pPr>
        <w:adjustRightInd w:val="0"/>
        <w:snapToGrid w:val="0"/>
        <w:spacing w:line="480" w:lineRule="auto"/>
        <w:rPr>
          <w:rFonts w:hint="eastAsia" w:ascii="宋体" w:hAnsi="宋体" w:eastAsia="宋体" w:cs="宋体"/>
          <w:b/>
          <w:bCs/>
          <w:color w:val="000000" w:themeColor="text1"/>
          <w:sz w:val="21"/>
          <w:szCs w:val="21"/>
          <w:highlight w:val="none"/>
          <w14:textFill>
            <w14:solidFill>
              <w14:schemeClr w14:val="tx1"/>
            </w14:solidFill>
          </w14:textFill>
        </w:rPr>
      </w:pPr>
    </w:p>
    <w:p w14:paraId="72E6C9D0">
      <w:pPr>
        <w:rPr>
          <w:rFonts w:hint="eastAsia" w:ascii="宋体" w:hAnsi="宋体" w:eastAsia="宋体" w:cs="宋体"/>
          <w:color w:val="000000" w:themeColor="text1"/>
          <w:sz w:val="21"/>
          <w:szCs w:val="21"/>
          <w:highlight w:val="none"/>
          <w14:textFill>
            <w14:solidFill>
              <w14:schemeClr w14:val="tx1"/>
            </w14:solidFill>
          </w14:textFill>
        </w:rPr>
      </w:pPr>
    </w:p>
    <w:p w14:paraId="6BFD854C">
      <w:pPr>
        <w:pStyle w:val="28"/>
        <w:spacing w:line="360" w:lineRule="auto"/>
        <w:ind w:right="-46" w:rightChars="-22" w:firstLine="2940" w:firstLineChars="14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供应商名称：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（电子签章）</w:t>
      </w:r>
    </w:p>
    <w:p w14:paraId="046FAD67">
      <w:pPr>
        <w:pStyle w:val="28"/>
        <w:spacing w:line="360" w:lineRule="auto"/>
        <w:ind w:right="-46" w:rightChars="-22" w:firstLine="2940" w:firstLineChars="14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法定代表人或委托代理人：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（电子签章）</w:t>
      </w:r>
    </w:p>
    <w:p w14:paraId="1B1EDB25">
      <w:pPr>
        <w:pStyle w:val="28"/>
        <w:spacing w:line="360" w:lineRule="auto"/>
        <w:ind w:right="-46" w:rightChars="-22" w:firstLine="2940" w:firstLineChars="14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t>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p>
    <w:p w14:paraId="40DAE590">
      <w:pPr>
        <w:adjustRightInd w:val="0"/>
        <w:spacing w:before="240" w:after="60" w:line="360" w:lineRule="auto"/>
        <w:ind w:firstLine="2940" w:firstLineChars="1400"/>
        <w:outlineLvl w:val="0"/>
        <w:rPr>
          <w:rFonts w:hint="eastAsia" w:ascii="宋体" w:hAnsi="宋体" w:eastAsia="宋体" w:cs="宋体"/>
          <w:b/>
          <w:color w:val="000000" w:themeColor="text1"/>
          <w:kern w:val="0"/>
          <w:sz w:val="32"/>
          <w:szCs w:val="20"/>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bookmarkStart w:id="856" w:name="_Toc15443"/>
      <w:bookmarkStart w:id="857" w:name="_Toc135648951"/>
      <w:r>
        <w:rPr>
          <w:rFonts w:hint="eastAsia" w:ascii="宋体" w:hAnsi="宋体" w:eastAsia="宋体" w:cs="宋体"/>
          <w:b/>
          <w:color w:val="000000" w:themeColor="text1"/>
          <w:kern w:val="0"/>
          <w:sz w:val="32"/>
          <w:szCs w:val="20"/>
          <w:highlight w:val="none"/>
          <w14:textFill>
            <w14:solidFill>
              <w14:schemeClr w14:val="tx1"/>
            </w14:solidFill>
          </w14:textFill>
        </w:rPr>
        <w:t>四、技术规格偏差表</w:t>
      </w:r>
      <w:bookmarkEnd w:id="856"/>
      <w:bookmarkEnd w:id="857"/>
    </w:p>
    <w:p w14:paraId="0D45FE22">
      <w:pPr>
        <w:spacing w:line="360" w:lineRule="auto"/>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p>
    <w:tbl>
      <w:tblPr>
        <w:tblStyle w:val="18"/>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669"/>
        <w:gridCol w:w="1875"/>
        <w:gridCol w:w="2126"/>
        <w:gridCol w:w="1417"/>
        <w:gridCol w:w="1276"/>
      </w:tblGrid>
      <w:tr w14:paraId="5343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641" w:type="dxa"/>
            <w:noWrap w:val="0"/>
            <w:vAlign w:val="center"/>
          </w:tcPr>
          <w:p w14:paraId="41B3FF17">
            <w:pPr>
              <w:spacing w:line="360" w:lineRule="auto"/>
              <w:ind w:left="360" w:hanging="36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669" w:type="dxa"/>
            <w:noWrap w:val="0"/>
            <w:vAlign w:val="center"/>
          </w:tcPr>
          <w:p w14:paraId="3E582A4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产品名称</w:t>
            </w:r>
          </w:p>
        </w:tc>
        <w:tc>
          <w:tcPr>
            <w:tcW w:w="1875" w:type="dxa"/>
            <w:noWrap w:val="0"/>
            <w:vAlign w:val="center"/>
          </w:tcPr>
          <w:p w14:paraId="45483D50">
            <w:pPr>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w:t>
            </w:r>
            <w:r>
              <w:rPr>
                <w:rFonts w:hint="eastAsia" w:ascii="宋体" w:hAnsi="宋体" w:eastAsia="宋体" w:cs="宋体"/>
                <w:color w:val="000000" w:themeColor="text1"/>
                <w:szCs w:val="21"/>
                <w:highlight w:val="none"/>
                <w:lang w:val="en-US" w:eastAsia="zh-CN"/>
                <w14:textFill>
                  <w14:solidFill>
                    <w14:schemeClr w14:val="tx1"/>
                  </w14:solidFill>
                </w14:textFill>
              </w:rPr>
              <w:t>技术参数</w:t>
            </w:r>
          </w:p>
        </w:tc>
        <w:tc>
          <w:tcPr>
            <w:tcW w:w="2126" w:type="dxa"/>
            <w:noWrap w:val="0"/>
            <w:vAlign w:val="center"/>
          </w:tcPr>
          <w:p w14:paraId="314A337A">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w:t>
            </w:r>
            <w:r>
              <w:rPr>
                <w:rFonts w:hint="eastAsia" w:ascii="宋体" w:hAnsi="宋体" w:eastAsia="宋体" w:cs="宋体"/>
                <w:color w:val="000000" w:themeColor="text1"/>
                <w:szCs w:val="21"/>
                <w:highlight w:val="none"/>
                <w:lang w:val="en-US" w:eastAsia="zh-CN"/>
                <w14:textFill>
                  <w14:solidFill>
                    <w14:schemeClr w14:val="tx1"/>
                  </w14:solidFill>
                </w14:textFill>
              </w:rPr>
              <w:t>技术参数</w:t>
            </w:r>
          </w:p>
        </w:tc>
        <w:tc>
          <w:tcPr>
            <w:tcW w:w="1417" w:type="dxa"/>
            <w:noWrap w:val="0"/>
            <w:vAlign w:val="center"/>
          </w:tcPr>
          <w:p w14:paraId="26AA88F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有无偏差</w:t>
            </w:r>
          </w:p>
        </w:tc>
        <w:tc>
          <w:tcPr>
            <w:tcW w:w="1276" w:type="dxa"/>
            <w:noWrap w:val="0"/>
            <w:vAlign w:val="center"/>
          </w:tcPr>
          <w:p w14:paraId="7AD2B8E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偏差描述</w:t>
            </w:r>
          </w:p>
        </w:tc>
      </w:tr>
      <w:tr w14:paraId="6916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641" w:type="dxa"/>
            <w:noWrap w:val="0"/>
            <w:vAlign w:val="center"/>
          </w:tcPr>
          <w:p w14:paraId="61822B7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669" w:type="dxa"/>
            <w:noWrap w:val="0"/>
            <w:vAlign w:val="center"/>
          </w:tcPr>
          <w:p w14:paraId="7C4C216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875" w:type="dxa"/>
            <w:noWrap w:val="0"/>
            <w:vAlign w:val="center"/>
          </w:tcPr>
          <w:p w14:paraId="19214FFA">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noWrap w:val="0"/>
            <w:vAlign w:val="center"/>
          </w:tcPr>
          <w:p w14:paraId="17ABFD7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noWrap w:val="0"/>
            <w:vAlign w:val="center"/>
          </w:tcPr>
          <w:p w14:paraId="1CDAD9D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noWrap w:val="0"/>
            <w:vAlign w:val="center"/>
          </w:tcPr>
          <w:p w14:paraId="5DE4D14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B16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trPr>
        <w:tc>
          <w:tcPr>
            <w:tcW w:w="641" w:type="dxa"/>
            <w:noWrap w:val="0"/>
            <w:vAlign w:val="center"/>
          </w:tcPr>
          <w:p w14:paraId="064D6BD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1669" w:type="dxa"/>
            <w:noWrap w:val="0"/>
            <w:vAlign w:val="center"/>
          </w:tcPr>
          <w:p w14:paraId="29FD708B">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875" w:type="dxa"/>
            <w:noWrap w:val="0"/>
            <w:vAlign w:val="center"/>
          </w:tcPr>
          <w:p w14:paraId="693DDDF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noWrap w:val="0"/>
            <w:vAlign w:val="center"/>
          </w:tcPr>
          <w:p w14:paraId="29A2BCD6">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noWrap w:val="0"/>
            <w:vAlign w:val="center"/>
          </w:tcPr>
          <w:p w14:paraId="1289D7C3">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noWrap w:val="0"/>
            <w:vAlign w:val="center"/>
          </w:tcPr>
          <w:p w14:paraId="3534C511">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7D2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641" w:type="dxa"/>
            <w:noWrap w:val="0"/>
            <w:vAlign w:val="center"/>
          </w:tcPr>
          <w:p w14:paraId="7E48F168">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1669" w:type="dxa"/>
            <w:noWrap w:val="0"/>
            <w:vAlign w:val="center"/>
          </w:tcPr>
          <w:p w14:paraId="4DC0AB9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875" w:type="dxa"/>
            <w:noWrap w:val="0"/>
            <w:vAlign w:val="center"/>
          </w:tcPr>
          <w:p w14:paraId="4CBD102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noWrap w:val="0"/>
            <w:vAlign w:val="center"/>
          </w:tcPr>
          <w:p w14:paraId="32AC37F2">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noWrap w:val="0"/>
            <w:vAlign w:val="center"/>
          </w:tcPr>
          <w:p w14:paraId="4CD9A33E">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noWrap w:val="0"/>
            <w:vAlign w:val="center"/>
          </w:tcPr>
          <w:p w14:paraId="6CC1C81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EC8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641" w:type="dxa"/>
            <w:noWrap w:val="0"/>
            <w:vAlign w:val="center"/>
          </w:tcPr>
          <w:p w14:paraId="716C088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1669" w:type="dxa"/>
            <w:noWrap w:val="0"/>
            <w:vAlign w:val="center"/>
          </w:tcPr>
          <w:p w14:paraId="4B4F8C2A">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875" w:type="dxa"/>
            <w:noWrap w:val="0"/>
            <w:vAlign w:val="center"/>
          </w:tcPr>
          <w:p w14:paraId="6E198E5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noWrap w:val="0"/>
            <w:vAlign w:val="center"/>
          </w:tcPr>
          <w:p w14:paraId="1FE86C85">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noWrap w:val="0"/>
            <w:vAlign w:val="center"/>
          </w:tcPr>
          <w:p w14:paraId="13C5CF85">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noWrap w:val="0"/>
            <w:vAlign w:val="center"/>
          </w:tcPr>
          <w:p w14:paraId="4E2E624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37D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641" w:type="dxa"/>
            <w:noWrap w:val="0"/>
            <w:vAlign w:val="center"/>
          </w:tcPr>
          <w:p w14:paraId="6318ECA1">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1669" w:type="dxa"/>
            <w:noWrap w:val="0"/>
            <w:vAlign w:val="center"/>
          </w:tcPr>
          <w:p w14:paraId="621856E4">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875" w:type="dxa"/>
            <w:noWrap w:val="0"/>
            <w:vAlign w:val="center"/>
          </w:tcPr>
          <w:p w14:paraId="5E5F6F9E">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noWrap w:val="0"/>
            <w:vAlign w:val="center"/>
          </w:tcPr>
          <w:p w14:paraId="4FB4C15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noWrap w:val="0"/>
            <w:vAlign w:val="center"/>
          </w:tcPr>
          <w:p w14:paraId="7594B81B">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noWrap w:val="0"/>
            <w:vAlign w:val="center"/>
          </w:tcPr>
          <w:p w14:paraId="41B8EA5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4F8B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641" w:type="dxa"/>
            <w:noWrap w:val="0"/>
            <w:vAlign w:val="center"/>
          </w:tcPr>
          <w:p w14:paraId="7163052B">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tc>
        <w:tc>
          <w:tcPr>
            <w:tcW w:w="1669" w:type="dxa"/>
            <w:noWrap w:val="0"/>
            <w:vAlign w:val="center"/>
          </w:tcPr>
          <w:p w14:paraId="6B52EC8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875" w:type="dxa"/>
            <w:noWrap w:val="0"/>
            <w:vAlign w:val="center"/>
          </w:tcPr>
          <w:p w14:paraId="2563D5B8">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noWrap w:val="0"/>
            <w:vAlign w:val="center"/>
          </w:tcPr>
          <w:p w14:paraId="034F92B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noWrap w:val="0"/>
            <w:vAlign w:val="center"/>
          </w:tcPr>
          <w:p w14:paraId="48A0C391">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276" w:type="dxa"/>
            <w:noWrap w:val="0"/>
            <w:vAlign w:val="center"/>
          </w:tcPr>
          <w:p w14:paraId="5FFD478C">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bl>
    <w:p w14:paraId="1833A9D2">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681B3084">
      <w:pPr>
        <w:spacing w:line="360" w:lineRule="auto"/>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以上表中各项可进一步细分，栏目不够可自行调整表格；2、“有无偏差”一栏中应填写正偏差、无偏差或负偏差；3、投标人投标产品技术规格与招标文件的技术规格要求有不同时，应在“偏差描述”一栏中详细说明。</w:t>
      </w:r>
    </w:p>
    <w:p w14:paraId="517EBB88">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06DD4500">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05ADC88A">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26170685">
      <w:pPr>
        <w:snapToGrid w:val="0"/>
        <w:spacing w:before="100" w:beforeAutospacing="1" w:after="100" w:afterAutospacing="1"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电子签章</w:t>
      </w:r>
      <w:r>
        <w:rPr>
          <w:rFonts w:hint="eastAsia" w:ascii="宋体" w:hAnsi="宋体" w:eastAsia="宋体" w:cs="宋体"/>
          <w:color w:val="000000" w:themeColor="text1"/>
          <w:szCs w:val="21"/>
          <w:highlight w:val="none"/>
          <w14:textFill>
            <w14:solidFill>
              <w14:schemeClr w14:val="tx1"/>
            </w14:solidFill>
          </w14:textFill>
        </w:rPr>
        <w:t>)</w:t>
      </w:r>
    </w:p>
    <w:p w14:paraId="0AD58ABF">
      <w:pPr>
        <w:snapToGrid w:val="0"/>
        <w:spacing w:before="100" w:beforeAutospacing="1" w:after="100" w:afterAutospacing="1" w:line="360" w:lineRule="auto"/>
        <w:ind w:firstLine="3675" w:firstLineChars="17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(电子印章)</w:t>
      </w:r>
    </w:p>
    <w:p w14:paraId="2E20D1A8">
      <w:pPr>
        <w:snapToGrid w:val="0"/>
        <w:spacing w:before="100" w:beforeAutospacing="1" w:after="100" w:afterAutospacing="1" w:line="360" w:lineRule="auto"/>
        <w:ind w:firstLine="3675" w:firstLineChars="175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121CED73">
      <w:pPr>
        <w:widowControl/>
        <w:jc w:val="left"/>
        <w:rPr>
          <w:rFonts w:hint="eastAsia" w:ascii="宋体" w:hAnsi="宋体" w:eastAsia="宋体" w:cs="宋体"/>
          <w:color w:val="000000" w:themeColor="text1"/>
          <w:sz w:val="28"/>
          <w:highlight w:val="none"/>
          <w14:textFill>
            <w14:solidFill>
              <w14:schemeClr w14:val="tx1"/>
            </w14:solidFill>
          </w14:textFill>
        </w:rPr>
        <w:sectPr>
          <w:pgSz w:w="11906" w:h="16838"/>
          <w:pgMar w:top="1134" w:right="1134" w:bottom="1418" w:left="1418" w:header="851" w:footer="992" w:gutter="0"/>
          <w:pgNumType w:fmt="decimal"/>
          <w:cols w:space="720" w:num="1"/>
          <w:docGrid w:linePitch="286" w:charSpace="0"/>
        </w:sectPr>
      </w:pPr>
    </w:p>
    <w:p w14:paraId="34489C92">
      <w:pPr>
        <w:pageBreakBefore w:val="0"/>
        <w:tabs>
          <w:tab w:val="left" w:pos="4678"/>
        </w:tabs>
        <w:kinsoku/>
        <w:wordWrap/>
        <w:overflowPunct/>
        <w:topLinePunct w:val="0"/>
        <w:autoSpaceDE/>
        <w:autoSpaceDN/>
        <w:bidi w:val="0"/>
        <w:adjustRightInd w:val="0"/>
        <w:snapToGrid/>
        <w:spacing w:line="420" w:lineRule="atLeast"/>
        <w:jc w:val="center"/>
        <w:textAlignment w:val="auto"/>
        <w:outlineLvl w:val="0"/>
        <w:rPr>
          <w:rFonts w:hint="eastAsia" w:ascii="宋体" w:hAnsi="宋体" w:eastAsia="宋体" w:cs="宋体"/>
          <w:b/>
          <w:color w:val="000000" w:themeColor="text1"/>
          <w:kern w:val="0"/>
          <w:sz w:val="32"/>
          <w:szCs w:val="20"/>
          <w:highlight w:val="none"/>
          <w14:textFill>
            <w14:solidFill>
              <w14:schemeClr w14:val="tx1"/>
            </w14:solidFill>
          </w14:textFill>
        </w:rPr>
      </w:pPr>
      <w:bookmarkStart w:id="858" w:name="_Toc135922584"/>
      <w:bookmarkStart w:id="859" w:name="_Toc135648952"/>
      <w:bookmarkStart w:id="860" w:name="_Toc28376"/>
      <w:r>
        <w:rPr>
          <w:rFonts w:hint="eastAsia" w:ascii="宋体" w:hAnsi="宋体" w:eastAsia="宋体" w:cs="宋体"/>
          <w:b/>
          <w:color w:val="000000" w:themeColor="text1"/>
          <w:kern w:val="0"/>
          <w:sz w:val="32"/>
          <w:szCs w:val="20"/>
          <w:highlight w:val="none"/>
          <w14:textFill>
            <w14:solidFill>
              <w14:schemeClr w14:val="tx1"/>
            </w14:solidFill>
          </w14:textFill>
        </w:rPr>
        <w:t>五、资格审查资料</w:t>
      </w:r>
      <w:bookmarkEnd w:id="858"/>
      <w:bookmarkEnd w:id="859"/>
      <w:bookmarkEnd w:id="860"/>
    </w:p>
    <w:p w14:paraId="3E487ECE">
      <w:pPr>
        <w:pStyle w:val="3"/>
        <w:pageBreakBefore w:val="0"/>
        <w:kinsoku/>
        <w:wordWrap/>
        <w:overflowPunct/>
        <w:topLinePunct w:val="0"/>
        <w:autoSpaceDE/>
        <w:autoSpaceDN/>
        <w:bidi w:val="0"/>
        <w:snapToGrid/>
        <w:spacing w:beforeLines="0" w:afterLines="0" w:line="360" w:lineRule="auto"/>
        <w:textAlignment w:val="auto"/>
        <w:rPr>
          <w:rFonts w:hint="eastAsia" w:ascii="宋体" w:hAnsi="宋体" w:eastAsia="宋体" w:cs="宋体"/>
          <w:color w:val="000000" w:themeColor="text1"/>
          <w:kern w:val="0"/>
          <w:sz w:val="28"/>
          <w:szCs w:val="28"/>
          <w:highlight w:val="none"/>
          <w14:textFill>
            <w14:solidFill>
              <w14:schemeClr w14:val="tx1"/>
            </w14:solidFill>
          </w14:textFill>
        </w:rPr>
      </w:pPr>
      <w:bookmarkStart w:id="861" w:name="_Toc10576"/>
      <w:r>
        <w:rPr>
          <w:rFonts w:hint="eastAsia" w:ascii="宋体" w:hAnsi="宋体" w:eastAsia="宋体" w:cs="宋体"/>
          <w:color w:val="000000" w:themeColor="text1"/>
          <w:sz w:val="28"/>
          <w:szCs w:val="28"/>
          <w:highlight w:val="none"/>
          <w14:textFill>
            <w14:solidFill>
              <w14:schemeClr w14:val="tx1"/>
            </w14:solidFill>
          </w14:textFill>
        </w:rPr>
        <w:t>（一）</w:t>
      </w:r>
      <w:r>
        <w:rPr>
          <w:rFonts w:hint="eastAsia" w:ascii="宋体" w:hAnsi="宋体" w:eastAsia="宋体" w:cs="宋体"/>
          <w:color w:val="000000" w:themeColor="text1"/>
          <w:kern w:val="0"/>
          <w:sz w:val="28"/>
          <w:szCs w:val="28"/>
          <w:highlight w:val="none"/>
          <w14:textFill>
            <w14:solidFill>
              <w14:schemeClr w14:val="tx1"/>
            </w14:solidFill>
          </w14:textFill>
        </w:rPr>
        <w:t>叶县政府采购供应商信用承诺函</w:t>
      </w:r>
      <w:bookmarkEnd w:id="861"/>
    </w:p>
    <w:p w14:paraId="41A6809E">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致（采购人或代理机构）：______________________</w:t>
      </w:r>
    </w:p>
    <w:p w14:paraId="2173F2A6">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单位名称: ______________________</w:t>
      </w:r>
    </w:p>
    <w:p w14:paraId="4FBF833A">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统一社会信用代码：______________________</w:t>
      </w:r>
    </w:p>
    <w:p w14:paraId="238D6E04">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 ______________________</w:t>
      </w:r>
    </w:p>
    <w:p w14:paraId="67A5BB6F">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联系地址和电话：______________________</w:t>
      </w:r>
    </w:p>
    <w:p w14:paraId="54F365D7">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公司符合《中华人民共和国政府采购法》第二十二条规定的条件:</w:t>
      </w:r>
    </w:p>
    <w:p w14:paraId="209B4C72">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（一）具有独立承担民事责任的能力;</w:t>
      </w:r>
    </w:p>
    <w:p w14:paraId="3E6A307A">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（二）具有良好的商业信誉和健全的财务会计制度；</w:t>
      </w:r>
    </w:p>
    <w:p w14:paraId="47A68C1C">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（三）具有履行合同所必需的设备和专业技术能力；</w:t>
      </w:r>
    </w:p>
    <w:p w14:paraId="005606E3">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（四）有依法缴纳税收和社会保障资金的良好记录；</w:t>
      </w:r>
    </w:p>
    <w:p w14:paraId="56327237">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（五）参加政府采购活动前三年内、在经营活动中没有重大违法记录；</w:t>
      </w:r>
    </w:p>
    <w:p w14:paraId="6AC7E25E">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（六）未被列入失信被执行人、重大税收违法案件当事人名单、政府采购严重违法失信行为记录名单；</w:t>
      </w:r>
    </w:p>
    <w:p w14:paraId="12E48595">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（七）法律、行政法规规定的其他条件。</w:t>
      </w:r>
    </w:p>
    <w:p w14:paraId="71781AB8">
      <w:pPr>
        <w:pStyle w:val="15"/>
        <w:pageBreakBefore w:val="0"/>
        <w:kinsoku/>
        <w:wordWrap/>
        <w:overflowPunct/>
        <w:topLinePunct w:val="0"/>
        <w:autoSpaceDE/>
        <w:autoSpaceDN/>
        <w:bidi w:val="0"/>
        <w:snapToGrid/>
        <w:spacing w:before="0" w:beforeAutospacing="0" w:after="0" w:afterAutospacing="0" w:line="500" w:lineRule="exact"/>
        <w:ind w:firstLine="315" w:firstLineChars="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我单位保证上述承诺事项的真实性，如有弄虚作假或其他违法违规行为，愿意承担一切法律责任，并承担因此所造成的一切损失。</w:t>
      </w:r>
    </w:p>
    <w:p w14:paraId="5F0492C4">
      <w:pPr>
        <w:pStyle w:val="15"/>
        <w:pageBreakBefore w:val="0"/>
        <w:kinsoku/>
        <w:wordWrap/>
        <w:overflowPunct/>
        <w:topLinePunct w:val="0"/>
        <w:autoSpaceDE/>
        <w:autoSpaceDN/>
        <w:bidi w:val="0"/>
        <w:snapToGrid/>
        <w:spacing w:before="0" w:beforeAutospacing="0" w:after="0" w:afterAutospacing="0" w:line="500" w:lineRule="exact"/>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38F0311D">
      <w:pPr>
        <w:pStyle w:val="15"/>
        <w:pageBreakBefore w:val="0"/>
        <w:kinsoku/>
        <w:wordWrap/>
        <w:overflowPunct/>
        <w:topLinePunct w:val="0"/>
        <w:autoSpaceDE/>
        <w:autoSpaceDN/>
        <w:bidi w:val="0"/>
        <w:snapToGrid/>
        <w:spacing w:before="0" w:beforeAutospacing="0" w:after="0" w:afterAutospacing="0" w:line="500" w:lineRule="exact"/>
        <w:ind w:firstLine="2415" w:firstLineChars="115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投标人：______________________（电子印章）</w:t>
      </w:r>
    </w:p>
    <w:p w14:paraId="649844C7">
      <w:pPr>
        <w:pStyle w:val="15"/>
        <w:pageBreakBefore w:val="0"/>
        <w:kinsoku/>
        <w:wordWrap/>
        <w:overflowPunct/>
        <w:topLinePunct w:val="0"/>
        <w:autoSpaceDE/>
        <w:autoSpaceDN/>
        <w:bidi w:val="0"/>
        <w:snapToGrid/>
        <w:spacing w:before="0" w:beforeAutospacing="0" w:after="0" w:afterAutospacing="0" w:line="500" w:lineRule="exact"/>
        <w:ind w:firstLine="2415" w:firstLineChars="115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法定代表人或其委托代理人：_________________（电子印章</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ECD7EC8">
      <w:pPr>
        <w:pStyle w:val="15"/>
        <w:pageBreakBefore w:val="0"/>
        <w:kinsoku/>
        <w:wordWrap/>
        <w:overflowPunct/>
        <w:topLinePunct w:val="0"/>
        <w:autoSpaceDE/>
        <w:autoSpaceDN/>
        <w:bidi w:val="0"/>
        <w:snapToGrid/>
        <w:spacing w:before="0" w:beforeAutospacing="0" w:after="0" w:afterAutospacing="0" w:line="500" w:lineRule="exact"/>
        <w:ind w:firstLine="2415" w:firstLineChars="115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日期：_____年_____月_____日</w:t>
      </w:r>
    </w:p>
    <w:p w14:paraId="35A6F15E">
      <w:pPr>
        <w:jc w:val="center"/>
        <w:rPr>
          <w:rFonts w:hint="eastAsia" w:ascii="宋体" w:hAnsi="宋体" w:eastAsia="宋体" w:cs="宋体"/>
          <w:b/>
          <w:color w:val="000000" w:themeColor="text1"/>
          <w:sz w:val="32"/>
          <w:szCs w:val="32"/>
          <w:highlight w:val="none"/>
          <w14:textFill>
            <w14:solidFill>
              <w14:schemeClr w14:val="tx1"/>
            </w14:solidFill>
          </w14:textFill>
        </w:rPr>
      </w:pPr>
    </w:p>
    <w:p w14:paraId="43011A73">
      <w:pPr>
        <w:jc w:val="center"/>
        <w:rPr>
          <w:rFonts w:hint="eastAsia" w:ascii="宋体" w:hAnsi="宋体" w:eastAsia="宋体" w:cs="宋体"/>
          <w:b/>
          <w:color w:val="000000" w:themeColor="text1"/>
          <w:sz w:val="32"/>
          <w:szCs w:val="32"/>
          <w:highlight w:val="none"/>
          <w14:textFill>
            <w14:solidFill>
              <w14:schemeClr w14:val="tx1"/>
            </w14:solidFill>
          </w14:textFill>
        </w:rPr>
      </w:pPr>
    </w:p>
    <w:p w14:paraId="0DAF4F78">
      <w:pPr>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（二）其他资格审查资料</w:t>
      </w:r>
    </w:p>
    <w:p w14:paraId="1C9DD063">
      <w:pPr>
        <w:jc w:val="center"/>
        <w:rPr>
          <w:rFonts w:hint="eastAsia" w:ascii="宋体" w:hAnsi="宋体" w:eastAsia="宋体" w:cs="宋体"/>
          <w:b/>
          <w:color w:val="000000" w:themeColor="text1"/>
          <w:sz w:val="32"/>
          <w:szCs w:val="32"/>
          <w:highlight w:val="none"/>
          <w14:textFill>
            <w14:solidFill>
              <w14:schemeClr w14:val="tx1"/>
            </w14:solidFill>
          </w14:textFill>
        </w:rPr>
      </w:pPr>
    </w:p>
    <w:p w14:paraId="5A208B14">
      <w:pPr>
        <w:adjustRightInd w:val="0"/>
        <w:spacing w:before="240" w:after="60" w:line="420" w:lineRule="atLeast"/>
        <w:jc w:val="center"/>
        <w:outlineLvl w:val="0"/>
        <w:rPr>
          <w:rFonts w:hint="eastAsia" w:ascii="宋体" w:hAnsi="宋体" w:eastAsia="宋体" w:cs="宋体"/>
          <w:b/>
          <w:color w:val="000000" w:themeColor="text1"/>
          <w:kern w:val="0"/>
          <w:sz w:val="32"/>
          <w:szCs w:val="20"/>
          <w:highlight w:val="none"/>
          <w:lang w:eastAsia="zh-CN"/>
          <w14:textFill>
            <w14:solidFill>
              <w14:schemeClr w14:val="tx1"/>
            </w14:solidFill>
          </w14:textFill>
        </w:rPr>
      </w:pPr>
      <w:bookmarkStart w:id="862" w:name="_Toc135648953"/>
      <w:bookmarkStart w:id="863" w:name="_Toc135922585"/>
      <w:r>
        <w:rPr>
          <w:rFonts w:hint="eastAsia" w:ascii="宋体" w:hAnsi="宋体" w:eastAsia="宋体" w:cs="宋体"/>
          <w:b/>
          <w:color w:val="000000" w:themeColor="text1"/>
          <w:kern w:val="0"/>
          <w:sz w:val="32"/>
          <w:szCs w:val="20"/>
          <w:highlight w:val="none"/>
          <w14:textFill>
            <w14:solidFill>
              <w14:schemeClr w14:val="tx1"/>
            </w14:solidFill>
          </w14:textFill>
        </w:rPr>
        <w:br w:type="page"/>
      </w:r>
      <w:bookmarkStart w:id="864" w:name="_Toc25860"/>
      <w:r>
        <w:rPr>
          <w:rFonts w:hint="eastAsia" w:ascii="宋体" w:hAnsi="宋体" w:eastAsia="宋体" w:cs="宋体"/>
          <w:b/>
          <w:color w:val="000000" w:themeColor="text1"/>
          <w:kern w:val="0"/>
          <w:sz w:val="32"/>
          <w:szCs w:val="20"/>
          <w:highlight w:val="none"/>
          <w14:textFill>
            <w14:solidFill>
              <w14:schemeClr w14:val="tx1"/>
            </w14:solidFill>
          </w14:textFill>
        </w:rPr>
        <w:t>六、技术标</w:t>
      </w:r>
      <w:r>
        <w:rPr>
          <w:rFonts w:hint="eastAsia" w:ascii="宋体" w:hAnsi="宋体" w:eastAsia="宋体" w:cs="宋体"/>
          <w:b/>
          <w:color w:val="000000" w:themeColor="text1"/>
          <w:kern w:val="0"/>
          <w:sz w:val="32"/>
          <w:szCs w:val="20"/>
          <w:highlight w:val="none"/>
          <w:lang w:val="en-US" w:eastAsia="zh-CN"/>
          <w14:textFill>
            <w14:solidFill>
              <w14:schemeClr w14:val="tx1"/>
            </w14:solidFill>
          </w14:textFill>
        </w:rPr>
        <w:t>部分</w:t>
      </w:r>
      <w:bookmarkEnd w:id="862"/>
      <w:bookmarkEnd w:id="863"/>
      <w:bookmarkEnd w:id="864"/>
    </w:p>
    <w:p w14:paraId="0A87BF77">
      <w:pPr>
        <w:rPr>
          <w:rFonts w:hint="eastAsia" w:ascii="宋体" w:hAnsi="宋体" w:eastAsia="宋体" w:cs="宋体"/>
          <w:color w:val="000000" w:themeColor="text1"/>
          <w:highlight w:val="none"/>
          <w14:textFill>
            <w14:solidFill>
              <w14:schemeClr w14:val="tx1"/>
            </w14:solidFill>
          </w14:textFill>
        </w:rPr>
      </w:pPr>
    </w:p>
    <w:p w14:paraId="1C0061C8">
      <w:pPr>
        <w:rPr>
          <w:rFonts w:hint="eastAsia" w:ascii="宋体" w:hAnsi="宋体" w:eastAsia="宋体" w:cs="宋体"/>
          <w:color w:val="000000" w:themeColor="text1"/>
          <w:highlight w:val="none"/>
          <w14:textFill>
            <w14:solidFill>
              <w14:schemeClr w14:val="tx1"/>
            </w14:solidFill>
          </w14:textFill>
        </w:rPr>
      </w:pPr>
    </w:p>
    <w:p w14:paraId="12B222D6">
      <w:pPr>
        <w:rPr>
          <w:rFonts w:hint="eastAsia" w:ascii="宋体" w:hAnsi="宋体" w:eastAsia="宋体" w:cs="宋体"/>
          <w:color w:val="000000" w:themeColor="text1"/>
          <w:highlight w:val="none"/>
          <w14:textFill>
            <w14:solidFill>
              <w14:schemeClr w14:val="tx1"/>
            </w14:solidFill>
          </w14:textFill>
        </w:rPr>
      </w:pPr>
    </w:p>
    <w:p w14:paraId="78F8DFFF">
      <w:pPr>
        <w:rPr>
          <w:rFonts w:hint="eastAsia" w:ascii="宋体" w:hAnsi="宋体" w:eastAsia="宋体" w:cs="宋体"/>
          <w:color w:val="000000" w:themeColor="text1"/>
          <w:highlight w:val="none"/>
          <w14:textFill>
            <w14:solidFill>
              <w14:schemeClr w14:val="tx1"/>
            </w14:solidFill>
          </w14:textFill>
        </w:rPr>
      </w:pPr>
    </w:p>
    <w:p w14:paraId="73004704">
      <w:pPr>
        <w:rPr>
          <w:rFonts w:hint="eastAsia" w:ascii="宋体" w:hAnsi="宋体" w:eastAsia="宋体" w:cs="宋体"/>
          <w:color w:val="000000" w:themeColor="text1"/>
          <w:highlight w:val="none"/>
          <w14:textFill>
            <w14:solidFill>
              <w14:schemeClr w14:val="tx1"/>
            </w14:solidFill>
          </w14:textFill>
        </w:rPr>
      </w:pPr>
    </w:p>
    <w:p w14:paraId="2B5BD1F6">
      <w:pPr>
        <w:rPr>
          <w:rFonts w:hint="eastAsia" w:ascii="宋体" w:hAnsi="宋体" w:eastAsia="宋体" w:cs="宋体"/>
          <w:color w:val="000000" w:themeColor="text1"/>
          <w:highlight w:val="none"/>
          <w14:textFill>
            <w14:solidFill>
              <w14:schemeClr w14:val="tx1"/>
            </w14:solidFill>
          </w14:textFill>
        </w:rPr>
      </w:pPr>
    </w:p>
    <w:p w14:paraId="760BDFCB">
      <w:pPr>
        <w:rPr>
          <w:rFonts w:hint="eastAsia" w:ascii="宋体" w:hAnsi="宋体" w:eastAsia="宋体" w:cs="宋体"/>
          <w:color w:val="000000" w:themeColor="text1"/>
          <w:highlight w:val="none"/>
          <w14:textFill>
            <w14:solidFill>
              <w14:schemeClr w14:val="tx1"/>
            </w14:solidFill>
          </w14:textFill>
        </w:rPr>
      </w:pPr>
    </w:p>
    <w:p w14:paraId="630C103F">
      <w:pPr>
        <w:rPr>
          <w:rFonts w:hint="eastAsia" w:ascii="宋体" w:hAnsi="宋体" w:eastAsia="宋体" w:cs="宋体"/>
          <w:color w:val="000000" w:themeColor="text1"/>
          <w:highlight w:val="none"/>
          <w14:textFill>
            <w14:solidFill>
              <w14:schemeClr w14:val="tx1"/>
            </w14:solidFill>
          </w14:textFill>
        </w:rPr>
      </w:pPr>
    </w:p>
    <w:p w14:paraId="435694F0">
      <w:pPr>
        <w:rPr>
          <w:rFonts w:hint="eastAsia" w:ascii="宋体" w:hAnsi="宋体" w:eastAsia="宋体" w:cs="宋体"/>
          <w:color w:val="000000" w:themeColor="text1"/>
          <w:highlight w:val="none"/>
          <w14:textFill>
            <w14:solidFill>
              <w14:schemeClr w14:val="tx1"/>
            </w14:solidFill>
          </w14:textFill>
        </w:rPr>
      </w:pPr>
    </w:p>
    <w:p w14:paraId="16CFEF81">
      <w:pPr>
        <w:rPr>
          <w:rFonts w:hint="eastAsia" w:ascii="宋体" w:hAnsi="宋体" w:eastAsia="宋体" w:cs="宋体"/>
          <w:color w:val="000000" w:themeColor="text1"/>
          <w:highlight w:val="none"/>
          <w14:textFill>
            <w14:solidFill>
              <w14:schemeClr w14:val="tx1"/>
            </w14:solidFill>
          </w14:textFill>
        </w:rPr>
      </w:pPr>
    </w:p>
    <w:p w14:paraId="12588BBF">
      <w:pPr>
        <w:rPr>
          <w:rFonts w:hint="eastAsia" w:ascii="宋体" w:hAnsi="宋体" w:eastAsia="宋体" w:cs="宋体"/>
          <w:color w:val="000000" w:themeColor="text1"/>
          <w:highlight w:val="none"/>
          <w14:textFill>
            <w14:solidFill>
              <w14:schemeClr w14:val="tx1"/>
            </w14:solidFill>
          </w14:textFill>
        </w:rPr>
      </w:pPr>
    </w:p>
    <w:p w14:paraId="66AADEA9">
      <w:pPr>
        <w:rPr>
          <w:rFonts w:hint="eastAsia" w:ascii="宋体" w:hAnsi="宋体" w:eastAsia="宋体" w:cs="宋体"/>
          <w:color w:val="000000" w:themeColor="text1"/>
          <w:highlight w:val="none"/>
          <w14:textFill>
            <w14:solidFill>
              <w14:schemeClr w14:val="tx1"/>
            </w14:solidFill>
          </w14:textFill>
        </w:rPr>
      </w:pPr>
    </w:p>
    <w:p w14:paraId="235030E2">
      <w:pPr>
        <w:rPr>
          <w:rFonts w:hint="eastAsia" w:ascii="宋体" w:hAnsi="宋体" w:eastAsia="宋体" w:cs="宋体"/>
          <w:color w:val="000000" w:themeColor="text1"/>
          <w:highlight w:val="none"/>
          <w14:textFill>
            <w14:solidFill>
              <w14:schemeClr w14:val="tx1"/>
            </w14:solidFill>
          </w14:textFill>
        </w:rPr>
      </w:pPr>
    </w:p>
    <w:p w14:paraId="6889E32C">
      <w:pPr>
        <w:rPr>
          <w:rFonts w:hint="eastAsia" w:ascii="宋体" w:hAnsi="宋体" w:eastAsia="宋体" w:cs="宋体"/>
          <w:color w:val="000000" w:themeColor="text1"/>
          <w:highlight w:val="none"/>
          <w14:textFill>
            <w14:solidFill>
              <w14:schemeClr w14:val="tx1"/>
            </w14:solidFill>
          </w14:textFill>
        </w:rPr>
      </w:pPr>
    </w:p>
    <w:p w14:paraId="67DC7B0D">
      <w:pPr>
        <w:rPr>
          <w:rFonts w:hint="eastAsia" w:ascii="宋体" w:hAnsi="宋体" w:eastAsia="宋体" w:cs="宋体"/>
          <w:color w:val="000000" w:themeColor="text1"/>
          <w:highlight w:val="none"/>
          <w14:textFill>
            <w14:solidFill>
              <w14:schemeClr w14:val="tx1"/>
            </w14:solidFill>
          </w14:textFill>
        </w:rPr>
      </w:pPr>
    </w:p>
    <w:p w14:paraId="5A14F284">
      <w:pPr>
        <w:rPr>
          <w:rFonts w:hint="eastAsia" w:ascii="宋体" w:hAnsi="宋体" w:eastAsia="宋体" w:cs="宋体"/>
          <w:color w:val="000000" w:themeColor="text1"/>
          <w:highlight w:val="none"/>
          <w14:textFill>
            <w14:solidFill>
              <w14:schemeClr w14:val="tx1"/>
            </w14:solidFill>
          </w14:textFill>
        </w:rPr>
      </w:pPr>
    </w:p>
    <w:p w14:paraId="262FC3AA">
      <w:pPr>
        <w:rPr>
          <w:rFonts w:hint="eastAsia" w:ascii="宋体" w:hAnsi="宋体" w:eastAsia="宋体" w:cs="宋体"/>
          <w:color w:val="000000" w:themeColor="text1"/>
          <w:highlight w:val="none"/>
          <w14:textFill>
            <w14:solidFill>
              <w14:schemeClr w14:val="tx1"/>
            </w14:solidFill>
          </w14:textFill>
        </w:rPr>
      </w:pPr>
    </w:p>
    <w:p w14:paraId="44473C2C">
      <w:pPr>
        <w:rPr>
          <w:rFonts w:hint="eastAsia" w:ascii="宋体" w:hAnsi="宋体" w:eastAsia="宋体" w:cs="宋体"/>
          <w:color w:val="000000" w:themeColor="text1"/>
          <w:highlight w:val="none"/>
          <w14:textFill>
            <w14:solidFill>
              <w14:schemeClr w14:val="tx1"/>
            </w14:solidFill>
          </w14:textFill>
        </w:rPr>
      </w:pPr>
    </w:p>
    <w:p w14:paraId="42D66622">
      <w:pPr>
        <w:rPr>
          <w:rFonts w:hint="eastAsia" w:ascii="宋体" w:hAnsi="宋体" w:eastAsia="宋体" w:cs="宋体"/>
          <w:color w:val="000000" w:themeColor="text1"/>
          <w:highlight w:val="none"/>
          <w14:textFill>
            <w14:solidFill>
              <w14:schemeClr w14:val="tx1"/>
            </w14:solidFill>
          </w14:textFill>
        </w:rPr>
      </w:pPr>
    </w:p>
    <w:p w14:paraId="547A8E5F">
      <w:pPr>
        <w:rPr>
          <w:rFonts w:hint="eastAsia" w:ascii="宋体" w:hAnsi="宋体" w:eastAsia="宋体" w:cs="宋体"/>
          <w:color w:val="000000" w:themeColor="text1"/>
          <w:highlight w:val="none"/>
          <w14:textFill>
            <w14:solidFill>
              <w14:schemeClr w14:val="tx1"/>
            </w14:solidFill>
          </w14:textFill>
        </w:rPr>
      </w:pPr>
    </w:p>
    <w:p w14:paraId="020ACA6E">
      <w:pPr>
        <w:rPr>
          <w:rFonts w:hint="eastAsia" w:ascii="宋体" w:hAnsi="宋体" w:eastAsia="宋体" w:cs="宋体"/>
          <w:color w:val="000000" w:themeColor="text1"/>
          <w:highlight w:val="none"/>
          <w14:textFill>
            <w14:solidFill>
              <w14:schemeClr w14:val="tx1"/>
            </w14:solidFill>
          </w14:textFill>
        </w:rPr>
      </w:pPr>
    </w:p>
    <w:p w14:paraId="2EF3A31F">
      <w:pPr>
        <w:rPr>
          <w:rFonts w:hint="eastAsia" w:ascii="宋体" w:hAnsi="宋体" w:eastAsia="宋体" w:cs="宋体"/>
          <w:color w:val="000000" w:themeColor="text1"/>
          <w:highlight w:val="none"/>
          <w14:textFill>
            <w14:solidFill>
              <w14:schemeClr w14:val="tx1"/>
            </w14:solidFill>
          </w14:textFill>
        </w:rPr>
      </w:pPr>
    </w:p>
    <w:p w14:paraId="2F82EBAD">
      <w:pPr>
        <w:rPr>
          <w:rFonts w:hint="eastAsia" w:ascii="宋体" w:hAnsi="宋体" w:eastAsia="宋体" w:cs="宋体"/>
          <w:color w:val="000000" w:themeColor="text1"/>
          <w:highlight w:val="none"/>
          <w14:textFill>
            <w14:solidFill>
              <w14:schemeClr w14:val="tx1"/>
            </w14:solidFill>
          </w14:textFill>
        </w:rPr>
      </w:pPr>
    </w:p>
    <w:p w14:paraId="7167A805">
      <w:pPr>
        <w:rPr>
          <w:rFonts w:hint="eastAsia" w:ascii="宋体" w:hAnsi="宋体" w:eastAsia="宋体" w:cs="宋体"/>
          <w:color w:val="000000" w:themeColor="text1"/>
          <w:highlight w:val="none"/>
          <w14:textFill>
            <w14:solidFill>
              <w14:schemeClr w14:val="tx1"/>
            </w14:solidFill>
          </w14:textFill>
        </w:rPr>
      </w:pPr>
    </w:p>
    <w:p w14:paraId="50F9BE51">
      <w:pPr>
        <w:rPr>
          <w:rFonts w:hint="eastAsia" w:ascii="宋体" w:hAnsi="宋体" w:eastAsia="宋体" w:cs="宋体"/>
          <w:color w:val="000000" w:themeColor="text1"/>
          <w:highlight w:val="none"/>
          <w14:textFill>
            <w14:solidFill>
              <w14:schemeClr w14:val="tx1"/>
            </w14:solidFill>
          </w14:textFill>
        </w:rPr>
      </w:pPr>
    </w:p>
    <w:p w14:paraId="255E1EF6">
      <w:pPr>
        <w:rPr>
          <w:rFonts w:hint="eastAsia" w:ascii="宋体" w:hAnsi="宋体" w:eastAsia="宋体" w:cs="宋体"/>
          <w:color w:val="000000" w:themeColor="text1"/>
          <w:highlight w:val="none"/>
          <w14:textFill>
            <w14:solidFill>
              <w14:schemeClr w14:val="tx1"/>
            </w14:solidFill>
          </w14:textFill>
        </w:rPr>
      </w:pPr>
    </w:p>
    <w:p w14:paraId="7C72553B">
      <w:pPr>
        <w:rPr>
          <w:rFonts w:hint="eastAsia" w:ascii="宋体" w:hAnsi="宋体" w:eastAsia="宋体" w:cs="宋体"/>
          <w:color w:val="000000" w:themeColor="text1"/>
          <w:highlight w:val="none"/>
          <w14:textFill>
            <w14:solidFill>
              <w14:schemeClr w14:val="tx1"/>
            </w14:solidFill>
          </w14:textFill>
        </w:rPr>
      </w:pPr>
    </w:p>
    <w:p w14:paraId="146FB389">
      <w:pPr>
        <w:rPr>
          <w:rFonts w:hint="eastAsia" w:ascii="宋体" w:hAnsi="宋体" w:eastAsia="宋体" w:cs="宋体"/>
          <w:color w:val="000000" w:themeColor="text1"/>
          <w:highlight w:val="none"/>
          <w14:textFill>
            <w14:solidFill>
              <w14:schemeClr w14:val="tx1"/>
            </w14:solidFill>
          </w14:textFill>
        </w:rPr>
      </w:pPr>
    </w:p>
    <w:p w14:paraId="4A403D73">
      <w:pPr>
        <w:rPr>
          <w:rFonts w:hint="eastAsia" w:ascii="宋体" w:hAnsi="宋体" w:eastAsia="宋体" w:cs="宋体"/>
          <w:color w:val="000000" w:themeColor="text1"/>
          <w:highlight w:val="none"/>
          <w14:textFill>
            <w14:solidFill>
              <w14:schemeClr w14:val="tx1"/>
            </w14:solidFill>
          </w14:textFill>
        </w:rPr>
      </w:pPr>
    </w:p>
    <w:p w14:paraId="29F2E458">
      <w:pPr>
        <w:rPr>
          <w:rFonts w:hint="eastAsia" w:ascii="宋体" w:hAnsi="宋体" w:eastAsia="宋体" w:cs="宋体"/>
          <w:color w:val="000000" w:themeColor="text1"/>
          <w:highlight w:val="none"/>
          <w14:textFill>
            <w14:solidFill>
              <w14:schemeClr w14:val="tx1"/>
            </w14:solidFill>
          </w14:textFill>
        </w:rPr>
      </w:pPr>
    </w:p>
    <w:p w14:paraId="430E0DE2">
      <w:pPr>
        <w:rPr>
          <w:rFonts w:hint="eastAsia" w:ascii="宋体" w:hAnsi="宋体" w:eastAsia="宋体" w:cs="宋体"/>
          <w:color w:val="000000" w:themeColor="text1"/>
          <w:highlight w:val="none"/>
          <w14:textFill>
            <w14:solidFill>
              <w14:schemeClr w14:val="tx1"/>
            </w14:solidFill>
          </w14:textFill>
        </w:rPr>
      </w:pPr>
    </w:p>
    <w:p w14:paraId="11FC15BF">
      <w:pPr>
        <w:rPr>
          <w:rFonts w:hint="eastAsia" w:ascii="宋体" w:hAnsi="宋体" w:eastAsia="宋体" w:cs="宋体"/>
          <w:color w:val="000000" w:themeColor="text1"/>
          <w:highlight w:val="none"/>
          <w14:textFill>
            <w14:solidFill>
              <w14:schemeClr w14:val="tx1"/>
            </w14:solidFill>
          </w14:textFill>
        </w:rPr>
      </w:pPr>
    </w:p>
    <w:p w14:paraId="70B4A922">
      <w:pPr>
        <w:rPr>
          <w:rFonts w:hint="eastAsia" w:ascii="宋体" w:hAnsi="宋体" w:eastAsia="宋体" w:cs="宋体"/>
          <w:color w:val="000000" w:themeColor="text1"/>
          <w:highlight w:val="none"/>
          <w14:textFill>
            <w14:solidFill>
              <w14:schemeClr w14:val="tx1"/>
            </w14:solidFill>
          </w14:textFill>
        </w:rPr>
      </w:pPr>
    </w:p>
    <w:p w14:paraId="7DC34E7F">
      <w:pPr>
        <w:rPr>
          <w:rFonts w:hint="eastAsia" w:ascii="宋体" w:hAnsi="宋体" w:eastAsia="宋体" w:cs="宋体"/>
          <w:color w:val="000000" w:themeColor="text1"/>
          <w:highlight w:val="none"/>
          <w14:textFill>
            <w14:solidFill>
              <w14:schemeClr w14:val="tx1"/>
            </w14:solidFill>
          </w14:textFill>
        </w:rPr>
      </w:pPr>
    </w:p>
    <w:p w14:paraId="7ED7DDD0">
      <w:pPr>
        <w:rPr>
          <w:rFonts w:hint="eastAsia" w:ascii="宋体" w:hAnsi="宋体" w:eastAsia="宋体" w:cs="宋体"/>
          <w:color w:val="000000" w:themeColor="text1"/>
          <w:highlight w:val="none"/>
          <w14:textFill>
            <w14:solidFill>
              <w14:schemeClr w14:val="tx1"/>
            </w14:solidFill>
          </w14:textFill>
        </w:rPr>
      </w:pPr>
    </w:p>
    <w:p w14:paraId="6F98B19E">
      <w:pPr>
        <w:rPr>
          <w:rFonts w:hint="eastAsia" w:ascii="宋体" w:hAnsi="宋体" w:eastAsia="宋体" w:cs="宋体"/>
          <w:color w:val="000000" w:themeColor="text1"/>
          <w:highlight w:val="none"/>
          <w14:textFill>
            <w14:solidFill>
              <w14:schemeClr w14:val="tx1"/>
            </w14:solidFill>
          </w14:textFill>
        </w:rPr>
      </w:pPr>
    </w:p>
    <w:p w14:paraId="114BD19E">
      <w:pPr>
        <w:rPr>
          <w:rFonts w:hint="eastAsia" w:ascii="宋体" w:hAnsi="宋体" w:eastAsia="宋体" w:cs="宋体"/>
          <w:color w:val="000000" w:themeColor="text1"/>
          <w:highlight w:val="none"/>
          <w14:textFill>
            <w14:solidFill>
              <w14:schemeClr w14:val="tx1"/>
            </w14:solidFill>
          </w14:textFill>
        </w:rPr>
      </w:pPr>
    </w:p>
    <w:p w14:paraId="4EB39CE7">
      <w:pPr>
        <w:rPr>
          <w:rFonts w:hint="eastAsia" w:ascii="宋体" w:hAnsi="宋体" w:eastAsia="宋体" w:cs="宋体"/>
          <w:color w:val="000000" w:themeColor="text1"/>
          <w:highlight w:val="none"/>
          <w14:textFill>
            <w14:solidFill>
              <w14:schemeClr w14:val="tx1"/>
            </w14:solidFill>
          </w14:textFill>
        </w:rPr>
      </w:pPr>
    </w:p>
    <w:p w14:paraId="7CF4802C">
      <w:pPr>
        <w:rPr>
          <w:rFonts w:hint="eastAsia" w:ascii="宋体" w:hAnsi="宋体" w:eastAsia="宋体" w:cs="宋体"/>
          <w:color w:val="000000" w:themeColor="text1"/>
          <w:highlight w:val="none"/>
          <w14:textFill>
            <w14:solidFill>
              <w14:schemeClr w14:val="tx1"/>
            </w14:solidFill>
          </w14:textFill>
        </w:rPr>
      </w:pPr>
    </w:p>
    <w:p w14:paraId="0FE697D2">
      <w:pPr>
        <w:rPr>
          <w:rFonts w:hint="eastAsia" w:ascii="宋体" w:hAnsi="宋体" w:eastAsia="宋体" w:cs="宋体"/>
          <w:color w:val="000000" w:themeColor="text1"/>
          <w:highlight w:val="none"/>
          <w14:textFill>
            <w14:solidFill>
              <w14:schemeClr w14:val="tx1"/>
            </w14:solidFill>
          </w14:textFill>
        </w:rPr>
      </w:pPr>
    </w:p>
    <w:p w14:paraId="7268DF3D">
      <w:pPr>
        <w:adjustRightInd w:val="0"/>
        <w:spacing w:before="240" w:after="60" w:line="420" w:lineRule="atLeast"/>
        <w:jc w:val="center"/>
        <w:outlineLvl w:val="0"/>
        <w:rPr>
          <w:rFonts w:hint="eastAsia" w:ascii="宋体" w:hAnsi="宋体" w:eastAsia="宋体" w:cs="宋体"/>
          <w:color w:val="000000" w:themeColor="text1"/>
          <w:highlight w:val="none"/>
          <w:lang w:val="en-US" w:eastAsia="zh-CN"/>
          <w14:textFill>
            <w14:solidFill>
              <w14:schemeClr w14:val="tx1"/>
            </w14:solidFill>
          </w14:textFill>
        </w:rPr>
      </w:pPr>
      <w:bookmarkStart w:id="865" w:name="_Toc135648954"/>
      <w:bookmarkStart w:id="866" w:name="_Toc135922586"/>
      <w:bookmarkStart w:id="867" w:name="_Toc3330"/>
      <w:r>
        <w:rPr>
          <w:rFonts w:hint="eastAsia" w:ascii="宋体" w:hAnsi="宋体" w:eastAsia="宋体" w:cs="宋体"/>
          <w:b/>
          <w:color w:val="000000" w:themeColor="text1"/>
          <w:kern w:val="0"/>
          <w:sz w:val="32"/>
          <w:szCs w:val="20"/>
          <w:highlight w:val="none"/>
          <w14:textFill>
            <w14:solidFill>
              <w14:schemeClr w14:val="tx1"/>
            </w14:solidFill>
          </w14:textFill>
        </w:rPr>
        <w:t>七、</w:t>
      </w:r>
      <w:bookmarkEnd w:id="865"/>
      <w:bookmarkEnd w:id="866"/>
      <w:r>
        <w:rPr>
          <w:rFonts w:hint="eastAsia" w:ascii="宋体" w:hAnsi="宋体" w:eastAsia="宋体" w:cs="宋体"/>
          <w:b/>
          <w:color w:val="000000" w:themeColor="text1"/>
          <w:kern w:val="0"/>
          <w:sz w:val="32"/>
          <w:szCs w:val="20"/>
          <w:highlight w:val="none"/>
          <w:lang w:val="en-US" w:eastAsia="zh-CN"/>
          <w14:textFill>
            <w14:solidFill>
              <w14:schemeClr w14:val="tx1"/>
            </w14:solidFill>
          </w14:textFill>
        </w:rPr>
        <w:t>综合部分</w:t>
      </w:r>
      <w:bookmarkEnd w:id="867"/>
    </w:p>
    <w:p w14:paraId="3E59989C">
      <w:pPr>
        <w:rPr>
          <w:rFonts w:hint="eastAsia" w:ascii="宋体" w:hAnsi="宋体" w:eastAsia="宋体" w:cs="宋体"/>
          <w:color w:val="000000" w:themeColor="text1"/>
          <w:kern w:val="0"/>
          <w:sz w:val="20"/>
          <w:szCs w:val="20"/>
          <w:highlight w:val="none"/>
          <w14:textFill>
            <w14:solidFill>
              <w14:schemeClr w14:val="tx1"/>
            </w14:solidFill>
          </w14:textFill>
        </w:rPr>
      </w:pPr>
    </w:p>
    <w:p w14:paraId="74F33744">
      <w:pPr>
        <w:rPr>
          <w:rFonts w:hint="eastAsia" w:ascii="宋体" w:hAnsi="宋体" w:eastAsia="宋体" w:cs="宋体"/>
          <w:color w:val="000000" w:themeColor="text1"/>
          <w:kern w:val="0"/>
          <w:sz w:val="20"/>
          <w:szCs w:val="20"/>
          <w:highlight w:val="none"/>
          <w14:textFill>
            <w14:solidFill>
              <w14:schemeClr w14:val="tx1"/>
            </w14:solidFill>
          </w14:textFill>
        </w:rPr>
      </w:pPr>
    </w:p>
    <w:p w14:paraId="26D05757">
      <w:pPr>
        <w:rPr>
          <w:rFonts w:hint="eastAsia" w:ascii="宋体" w:hAnsi="宋体" w:eastAsia="宋体" w:cs="宋体"/>
          <w:color w:val="000000" w:themeColor="text1"/>
          <w:kern w:val="0"/>
          <w:sz w:val="20"/>
          <w:szCs w:val="20"/>
          <w:highlight w:val="none"/>
          <w14:textFill>
            <w14:solidFill>
              <w14:schemeClr w14:val="tx1"/>
            </w14:solidFill>
          </w14:textFill>
        </w:rPr>
      </w:pPr>
    </w:p>
    <w:p w14:paraId="708A9943">
      <w:pPr>
        <w:rPr>
          <w:rFonts w:hint="eastAsia" w:ascii="宋体" w:hAnsi="宋体" w:eastAsia="宋体" w:cs="宋体"/>
          <w:color w:val="000000" w:themeColor="text1"/>
          <w:kern w:val="0"/>
          <w:sz w:val="20"/>
          <w:szCs w:val="20"/>
          <w:highlight w:val="none"/>
          <w14:textFill>
            <w14:solidFill>
              <w14:schemeClr w14:val="tx1"/>
            </w14:solidFill>
          </w14:textFill>
        </w:rPr>
      </w:pPr>
    </w:p>
    <w:p w14:paraId="77901AF0">
      <w:pPr>
        <w:rPr>
          <w:rFonts w:hint="eastAsia" w:ascii="宋体" w:hAnsi="宋体" w:eastAsia="宋体" w:cs="宋体"/>
          <w:color w:val="000000" w:themeColor="text1"/>
          <w:kern w:val="0"/>
          <w:sz w:val="20"/>
          <w:szCs w:val="20"/>
          <w:highlight w:val="none"/>
          <w14:textFill>
            <w14:solidFill>
              <w14:schemeClr w14:val="tx1"/>
            </w14:solidFill>
          </w14:textFill>
        </w:rPr>
      </w:pPr>
    </w:p>
    <w:p w14:paraId="27D5087F">
      <w:pPr>
        <w:rPr>
          <w:rFonts w:hint="eastAsia" w:ascii="宋体" w:hAnsi="宋体" w:eastAsia="宋体" w:cs="宋体"/>
          <w:color w:val="000000" w:themeColor="text1"/>
          <w:kern w:val="0"/>
          <w:sz w:val="20"/>
          <w:szCs w:val="20"/>
          <w:highlight w:val="none"/>
          <w14:textFill>
            <w14:solidFill>
              <w14:schemeClr w14:val="tx1"/>
            </w14:solidFill>
          </w14:textFill>
        </w:rPr>
      </w:pPr>
    </w:p>
    <w:p w14:paraId="1C191F33">
      <w:pPr>
        <w:rPr>
          <w:rFonts w:hint="eastAsia" w:ascii="宋体" w:hAnsi="宋体" w:eastAsia="宋体" w:cs="宋体"/>
          <w:color w:val="000000" w:themeColor="text1"/>
          <w:kern w:val="0"/>
          <w:sz w:val="20"/>
          <w:szCs w:val="20"/>
          <w:highlight w:val="none"/>
          <w14:textFill>
            <w14:solidFill>
              <w14:schemeClr w14:val="tx1"/>
            </w14:solidFill>
          </w14:textFill>
        </w:rPr>
      </w:pPr>
    </w:p>
    <w:p w14:paraId="6CE8E2FA">
      <w:pPr>
        <w:rPr>
          <w:rFonts w:hint="eastAsia" w:ascii="宋体" w:hAnsi="宋体" w:eastAsia="宋体" w:cs="宋体"/>
          <w:color w:val="000000" w:themeColor="text1"/>
          <w:kern w:val="0"/>
          <w:sz w:val="20"/>
          <w:szCs w:val="20"/>
          <w:highlight w:val="none"/>
          <w14:textFill>
            <w14:solidFill>
              <w14:schemeClr w14:val="tx1"/>
            </w14:solidFill>
          </w14:textFill>
        </w:rPr>
      </w:pPr>
    </w:p>
    <w:p w14:paraId="62D059AF">
      <w:pPr>
        <w:rPr>
          <w:rFonts w:hint="eastAsia" w:ascii="宋体" w:hAnsi="宋体" w:eastAsia="宋体" w:cs="宋体"/>
          <w:color w:val="000000" w:themeColor="text1"/>
          <w:kern w:val="0"/>
          <w:sz w:val="20"/>
          <w:szCs w:val="20"/>
          <w:highlight w:val="none"/>
          <w14:textFill>
            <w14:solidFill>
              <w14:schemeClr w14:val="tx1"/>
            </w14:solidFill>
          </w14:textFill>
        </w:rPr>
      </w:pPr>
    </w:p>
    <w:p w14:paraId="115DBF71">
      <w:pPr>
        <w:rPr>
          <w:rFonts w:hint="eastAsia" w:ascii="宋体" w:hAnsi="宋体" w:eastAsia="宋体" w:cs="宋体"/>
          <w:color w:val="000000" w:themeColor="text1"/>
          <w:kern w:val="0"/>
          <w:sz w:val="20"/>
          <w:szCs w:val="20"/>
          <w:highlight w:val="none"/>
          <w14:textFill>
            <w14:solidFill>
              <w14:schemeClr w14:val="tx1"/>
            </w14:solidFill>
          </w14:textFill>
        </w:rPr>
      </w:pPr>
    </w:p>
    <w:p w14:paraId="12AB3B17">
      <w:pPr>
        <w:rPr>
          <w:rFonts w:hint="eastAsia" w:ascii="宋体" w:hAnsi="宋体" w:eastAsia="宋体" w:cs="宋体"/>
          <w:color w:val="000000" w:themeColor="text1"/>
          <w:kern w:val="0"/>
          <w:sz w:val="20"/>
          <w:szCs w:val="20"/>
          <w:highlight w:val="none"/>
          <w14:textFill>
            <w14:solidFill>
              <w14:schemeClr w14:val="tx1"/>
            </w14:solidFill>
          </w14:textFill>
        </w:rPr>
      </w:pPr>
    </w:p>
    <w:p w14:paraId="1B993C3D">
      <w:pPr>
        <w:rPr>
          <w:rFonts w:hint="eastAsia" w:ascii="宋体" w:hAnsi="宋体" w:eastAsia="宋体" w:cs="宋体"/>
          <w:color w:val="000000" w:themeColor="text1"/>
          <w:kern w:val="0"/>
          <w:sz w:val="20"/>
          <w:szCs w:val="20"/>
          <w:highlight w:val="none"/>
          <w14:textFill>
            <w14:solidFill>
              <w14:schemeClr w14:val="tx1"/>
            </w14:solidFill>
          </w14:textFill>
        </w:rPr>
      </w:pPr>
    </w:p>
    <w:p w14:paraId="383636BA">
      <w:pPr>
        <w:rPr>
          <w:rFonts w:hint="eastAsia" w:ascii="宋体" w:hAnsi="宋体" w:eastAsia="宋体" w:cs="宋体"/>
          <w:color w:val="000000" w:themeColor="text1"/>
          <w:kern w:val="0"/>
          <w:sz w:val="20"/>
          <w:szCs w:val="20"/>
          <w:highlight w:val="none"/>
          <w14:textFill>
            <w14:solidFill>
              <w14:schemeClr w14:val="tx1"/>
            </w14:solidFill>
          </w14:textFill>
        </w:rPr>
      </w:pPr>
    </w:p>
    <w:p w14:paraId="4507BB69">
      <w:pPr>
        <w:rPr>
          <w:rFonts w:hint="eastAsia" w:ascii="宋体" w:hAnsi="宋体" w:eastAsia="宋体" w:cs="宋体"/>
          <w:color w:val="000000" w:themeColor="text1"/>
          <w:kern w:val="0"/>
          <w:sz w:val="20"/>
          <w:szCs w:val="20"/>
          <w:highlight w:val="none"/>
          <w14:textFill>
            <w14:solidFill>
              <w14:schemeClr w14:val="tx1"/>
            </w14:solidFill>
          </w14:textFill>
        </w:rPr>
      </w:pPr>
    </w:p>
    <w:p w14:paraId="27CFE4F7">
      <w:pPr>
        <w:rPr>
          <w:rFonts w:hint="eastAsia" w:ascii="宋体" w:hAnsi="宋体" w:eastAsia="宋体" w:cs="宋体"/>
          <w:color w:val="000000" w:themeColor="text1"/>
          <w:kern w:val="0"/>
          <w:sz w:val="20"/>
          <w:szCs w:val="20"/>
          <w:highlight w:val="none"/>
          <w14:textFill>
            <w14:solidFill>
              <w14:schemeClr w14:val="tx1"/>
            </w14:solidFill>
          </w14:textFill>
        </w:rPr>
      </w:pPr>
    </w:p>
    <w:p w14:paraId="7A697C6E">
      <w:pPr>
        <w:rPr>
          <w:rFonts w:hint="eastAsia" w:ascii="宋体" w:hAnsi="宋体" w:eastAsia="宋体" w:cs="宋体"/>
          <w:color w:val="000000" w:themeColor="text1"/>
          <w:kern w:val="0"/>
          <w:sz w:val="20"/>
          <w:szCs w:val="20"/>
          <w:highlight w:val="none"/>
          <w14:textFill>
            <w14:solidFill>
              <w14:schemeClr w14:val="tx1"/>
            </w14:solidFill>
          </w14:textFill>
        </w:rPr>
      </w:pPr>
    </w:p>
    <w:p w14:paraId="23B54218">
      <w:pPr>
        <w:rPr>
          <w:rFonts w:hint="eastAsia" w:ascii="宋体" w:hAnsi="宋体" w:eastAsia="宋体" w:cs="宋体"/>
          <w:color w:val="000000" w:themeColor="text1"/>
          <w:kern w:val="0"/>
          <w:sz w:val="20"/>
          <w:szCs w:val="20"/>
          <w:highlight w:val="none"/>
          <w14:textFill>
            <w14:solidFill>
              <w14:schemeClr w14:val="tx1"/>
            </w14:solidFill>
          </w14:textFill>
        </w:rPr>
      </w:pPr>
    </w:p>
    <w:p w14:paraId="1BD6D623">
      <w:pPr>
        <w:rPr>
          <w:rFonts w:hint="eastAsia" w:ascii="宋体" w:hAnsi="宋体" w:eastAsia="宋体" w:cs="宋体"/>
          <w:color w:val="000000" w:themeColor="text1"/>
          <w:kern w:val="0"/>
          <w:sz w:val="20"/>
          <w:szCs w:val="20"/>
          <w:highlight w:val="none"/>
          <w14:textFill>
            <w14:solidFill>
              <w14:schemeClr w14:val="tx1"/>
            </w14:solidFill>
          </w14:textFill>
        </w:rPr>
      </w:pPr>
    </w:p>
    <w:p w14:paraId="4E78CC96">
      <w:pPr>
        <w:rPr>
          <w:rFonts w:hint="eastAsia" w:ascii="宋体" w:hAnsi="宋体" w:eastAsia="宋体" w:cs="宋体"/>
          <w:color w:val="000000" w:themeColor="text1"/>
          <w:kern w:val="0"/>
          <w:sz w:val="20"/>
          <w:szCs w:val="20"/>
          <w:highlight w:val="none"/>
          <w14:textFill>
            <w14:solidFill>
              <w14:schemeClr w14:val="tx1"/>
            </w14:solidFill>
          </w14:textFill>
        </w:rPr>
      </w:pPr>
    </w:p>
    <w:p w14:paraId="427DC9FB">
      <w:pPr>
        <w:rPr>
          <w:rFonts w:hint="eastAsia" w:ascii="宋体" w:hAnsi="宋体" w:eastAsia="宋体" w:cs="宋体"/>
          <w:color w:val="000000" w:themeColor="text1"/>
          <w:kern w:val="0"/>
          <w:sz w:val="20"/>
          <w:szCs w:val="20"/>
          <w:highlight w:val="none"/>
          <w14:textFill>
            <w14:solidFill>
              <w14:schemeClr w14:val="tx1"/>
            </w14:solidFill>
          </w14:textFill>
        </w:rPr>
      </w:pPr>
    </w:p>
    <w:p w14:paraId="4A43B893">
      <w:pPr>
        <w:rPr>
          <w:rFonts w:hint="eastAsia" w:ascii="宋体" w:hAnsi="宋体" w:eastAsia="宋体" w:cs="宋体"/>
          <w:color w:val="000000" w:themeColor="text1"/>
          <w:kern w:val="0"/>
          <w:sz w:val="20"/>
          <w:szCs w:val="20"/>
          <w:highlight w:val="none"/>
          <w14:textFill>
            <w14:solidFill>
              <w14:schemeClr w14:val="tx1"/>
            </w14:solidFill>
          </w14:textFill>
        </w:rPr>
      </w:pPr>
    </w:p>
    <w:p w14:paraId="3438BF49">
      <w:pPr>
        <w:rPr>
          <w:rFonts w:hint="eastAsia" w:ascii="宋体" w:hAnsi="宋体" w:eastAsia="宋体" w:cs="宋体"/>
          <w:color w:val="000000" w:themeColor="text1"/>
          <w:kern w:val="0"/>
          <w:sz w:val="20"/>
          <w:szCs w:val="20"/>
          <w:highlight w:val="none"/>
          <w14:textFill>
            <w14:solidFill>
              <w14:schemeClr w14:val="tx1"/>
            </w14:solidFill>
          </w14:textFill>
        </w:rPr>
      </w:pPr>
    </w:p>
    <w:p w14:paraId="049426A0">
      <w:pPr>
        <w:rPr>
          <w:rFonts w:hint="eastAsia" w:ascii="宋体" w:hAnsi="宋体" w:eastAsia="宋体" w:cs="宋体"/>
          <w:color w:val="000000" w:themeColor="text1"/>
          <w:kern w:val="0"/>
          <w:sz w:val="20"/>
          <w:szCs w:val="20"/>
          <w:highlight w:val="none"/>
          <w14:textFill>
            <w14:solidFill>
              <w14:schemeClr w14:val="tx1"/>
            </w14:solidFill>
          </w14:textFill>
        </w:rPr>
      </w:pPr>
    </w:p>
    <w:p w14:paraId="478C19BF">
      <w:pPr>
        <w:rPr>
          <w:rFonts w:hint="eastAsia" w:ascii="宋体" w:hAnsi="宋体" w:eastAsia="宋体" w:cs="宋体"/>
          <w:color w:val="000000" w:themeColor="text1"/>
          <w:kern w:val="0"/>
          <w:sz w:val="20"/>
          <w:szCs w:val="20"/>
          <w:highlight w:val="none"/>
          <w14:textFill>
            <w14:solidFill>
              <w14:schemeClr w14:val="tx1"/>
            </w14:solidFill>
          </w14:textFill>
        </w:rPr>
      </w:pPr>
    </w:p>
    <w:p w14:paraId="1BAFFBB6">
      <w:pPr>
        <w:rPr>
          <w:rFonts w:hint="eastAsia" w:ascii="宋体" w:hAnsi="宋体" w:eastAsia="宋体" w:cs="宋体"/>
          <w:color w:val="000000" w:themeColor="text1"/>
          <w:kern w:val="0"/>
          <w:sz w:val="20"/>
          <w:szCs w:val="20"/>
          <w:highlight w:val="none"/>
          <w14:textFill>
            <w14:solidFill>
              <w14:schemeClr w14:val="tx1"/>
            </w14:solidFill>
          </w14:textFill>
        </w:rPr>
      </w:pPr>
    </w:p>
    <w:p w14:paraId="36444A1C">
      <w:pPr>
        <w:rPr>
          <w:rFonts w:hint="eastAsia" w:ascii="宋体" w:hAnsi="宋体" w:eastAsia="宋体" w:cs="宋体"/>
          <w:color w:val="000000" w:themeColor="text1"/>
          <w:kern w:val="0"/>
          <w:sz w:val="20"/>
          <w:szCs w:val="20"/>
          <w:highlight w:val="none"/>
          <w14:textFill>
            <w14:solidFill>
              <w14:schemeClr w14:val="tx1"/>
            </w14:solidFill>
          </w14:textFill>
        </w:rPr>
      </w:pPr>
    </w:p>
    <w:p w14:paraId="71A8034B">
      <w:pPr>
        <w:rPr>
          <w:rFonts w:hint="eastAsia" w:ascii="宋体" w:hAnsi="宋体" w:eastAsia="宋体" w:cs="宋体"/>
          <w:color w:val="000000" w:themeColor="text1"/>
          <w:kern w:val="0"/>
          <w:sz w:val="20"/>
          <w:szCs w:val="20"/>
          <w:highlight w:val="none"/>
          <w14:textFill>
            <w14:solidFill>
              <w14:schemeClr w14:val="tx1"/>
            </w14:solidFill>
          </w14:textFill>
        </w:rPr>
      </w:pPr>
    </w:p>
    <w:p w14:paraId="719D72FD">
      <w:pPr>
        <w:rPr>
          <w:rFonts w:hint="eastAsia" w:ascii="宋体" w:hAnsi="宋体" w:eastAsia="宋体" w:cs="宋体"/>
          <w:color w:val="000000" w:themeColor="text1"/>
          <w:kern w:val="0"/>
          <w:sz w:val="20"/>
          <w:szCs w:val="20"/>
          <w:highlight w:val="none"/>
          <w14:textFill>
            <w14:solidFill>
              <w14:schemeClr w14:val="tx1"/>
            </w14:solidFill>
          </w14:textFill>
        </w:rPr>
      </w:pPr>
    </w:p>
    <w:p w14:paraId="3F8832E6">
      <w:pPr>
        <w:rPr>
          <w:rFonts w:hint="eastAsia" w:ascii="宋体" w:hAnsi="宋体" w:eastAsia="宋体" w:cs="宋体"/>
          <w:color w:val="000000" w:themeColor="text1"/>
          <w:kern w:val="0"/>
          <w:sz w:val="20"/>
          <w:szCs w:val="20"/>
          <w:highlight w:val="none"/>
          <w14:textFill>
            <w14:solidFill>
              <w14:schemeClr w14:val="tx1"/>
            </w14:solidFill>
          </w14:textFill>
        </w:rPr>
      </w:pPr>
    </w:p>
    <w:p w14:paraId="4BDDC7B9">
      <w:pPr>
        <w:rPr>
          <w:rFonts w:hint="eastAsia" w:ascii="宋体" w:hAnsi="宋体" w:eastAsia="宋体" w:cs="宋体"/>
          <w:color w:val="000000" w:themeColor="text1"/>
          <w:kern w:val="0"/>
          <w:sz w:val="20"/>
          <w:szCs w:val="20"/>
          <w:highlight w:val="none"/>
          <w14:textFill>
            <w14:solidFill>
              <w14:schemeClr w14:val="tx1"/>
            </w14:solidFill>
          </w14:textFill>
        </w:rPr>
      </w:pPr>
    </w:p>
    <w:p w14:paraId="4447FED6">
      <w:pPr>
        <w:rPr>
          <w:rFonts w:hint="eastAsia" w:ascii="宋体" w:hAnsi="宋体" w:eastAsia="宋体" w:cs="宋体"/>
          <w:color w:val="000000" w:themeColor="text1"/>
          <w:kern w:val="0"/>
          <w:sz w:val="20"/>
          <w:szCs w:val="20"/>
          <w:highlight w:val="none"/>
          <w14:textFill>
            <w14:solidFill>
              <w14:schemeClr w14:val="tx1"/>
            </w14:solidFill>
          </w14:textFill>
        </w:rPr>
      </w:pPr>
    </w:p>
    <w:p w14:paraId="1B21136F">
      <w:pPr>
        <w:rPr>
          <w:rFonts w:hint="eastAsia" w:ascii="宋体" w:hAnsi="宋体" w:eastAsia="宋体" w:cs="宋体"/>
          <w:color w:val="000000" w:themeColor="text1"/>
          <w:kern w:val="0"/>
          <w:sz w:val="20"/>
          <w:szCs w:val="20"/>
          <w:highlight w:val="none"/>
          <w14:textFill>
            <w14:solidFill>
              <w14:schemeClr w14:val="tx1"/>
            </w14:solidFill>
          </w14:textFill>
        </w:rPr>
      </w:pPr>
    </w:p>
    <w:p w14:paraId="53EA4CCA">
      <w:pPr>
        <w:rPr>
          <w:rFonts w:hint="eastAsia" w:ascii="宋体" w:hAnsi="宋体" w:eastAsia="宋体" w:cs="宋体"/>
          <w:color w:val="000000" w:themeColor="text1"/>
          <w:kern w:val="0"/>
          <w:sz w:val="20"/>
          <w:szCs w:val="20"/>
          <w:highlight w:val="none"/>
          <w14:textFill>
            <w14:solidFill>
              <w14:schemeClr w14:val="tx1"/>
            </w14:solidFill>
          </w14:textFill>
        </w:rPr>
      </w:pPr>
    </w:p>
    <w:p w14:paraId="1CB9E207">
      <w:pPr>
        <w:rPr>
          <w:rFonts w:hint="eastAsia" w:ascii="宋体" w:hAnsi="宋体" w:eastAsia="宋体" w:cs="宋体"/>
          <w:color w:val="000000" w:themeColor="text1"/>
          <w:kern w:val="0"/>
          <w:sz w:val="20"/>
          <w:szCs w:val="20"/>
          <w:highlight w:val="none"/>
          <w14:textFill>
            <w14:solidFill>
              <w14:schemeClr w14:val="tx1"/>
            </w14:solidFill>
          </w14:textFill>
        </w:rPr>
      </w:pPr>
    </w:p>
    <w:p w14:paraId="479120D3">
      <w:pPr>
        <w:rPr>
          <w:rFonts w:hint="eastAsia" w:ascii="宋体" w:hAnsi="宋体" w:eastAsia="宋体" w:cs="宋体"/>
          <w:color w:val="000000" w:themeColor="text1"/>
          <w:kern w:val="0"/>
          <w:sz w:val="20"/>
          <w:szCs w:val="20"/>
          <w:highlight w:val="none"/>
          <w14:textFill>
            <w14:solidFill>
              <w14:schemeClr w14:val="tx1"/>
            </w14:solidFill>
          </w14:textFill>
        </w:rPr>
      </w:pPr>
    </w:p>
    <w:p w14:paraId="6C9D8971">
      <w:pPr>
        <w:rPr>
          <w:rFonts w:hint="eastAsia" w:ascii="宋体" w:hAnsi="宋体" w:eastAsia="宋体" w:cs="宋体"/>
          <w:color w:val="000000" w:themeColor="text1"/>
          <w:kern w:val="0"/>
          <w:sz w:val="20"/>
          <w:szCs w:val="20"/>
          <w:highlight w:val="none"/>
          <w14:textFill>
            <w14:solidFill>
              <w14:schemeClr w14:val="tx1"/>
            </w14:solidFill>
          </w14:textFill>
        </w:rPr>
      </w:pPr>
    </w:p>
    <w:p w14:paraId="04ADC6CA">
      <w:pPr>
        <w:rPr>
          <w:rFonts w:hint="eastAsia" w:ascii="宋体" w:hAnsi="宋体" w:eastAsia="宋体" w:cs="宋体"/>
          <w:color w:val="000000" w:themeColor="text1"/>
          <w:kern w:val="0"/>
          <w:sz w:val="20"/>
          <w:szCs w:val="20"/>
          <w:highlight w:val="none"/>
          <w14:textFill>
            <w14:solidFill>
              <w14:schemeClr w14:val="tx1"/>
            </w14:solidFill>
          </w14:textFill>
        </w:rPr>
      </w:pPr>
    </w:p>
    <w:p w14:paraId="697F403E">
      <w:pPr>
        <w:rPr>
          <w:rFonts w:hint="eastAsia" w:ascii="宋体" w:hAnsi="宋体" w:eastAsia="宋体" w:cs="宋体"/>
          <w:color w:val="000000" w:themeColor="text1"/>
          <w:kern w:val="0"/>
          <w:sz w:val="20"/>
          <w:szCs w:val="20"/>
          <w:highlight w:val="none"/>
          <w14:textFill>
            <w14:solidFill>
              <w14:schemeClr w14:val="tx1"/>
            </w14:solidFill>
          </w14:textFill>
        </w:rPr>
      </w:pPr>
    </w:p>
    <w:p w14:paraId="318D6B2E">
      <w:pPr>
        <w:rPr>
          <w:rFonts w:hint="eastAsia" w:ascii="宋体" w:hAnsi="宋体" w:eastAsia="宋体" w:cs="宋体"/>
          <w:color w:val="000000" w:themeColor="text1"/>
          <w:kern w:val="0"/>
          <w:sz w:val="20"/>
          <w:szCs w:val="20"/>
          <w:highlight w:val="none"/>
          <w14:textFill>
            <w14:solidFill>
              <w14:schemeClr w14:val="tx1"/>
            </w14:solidFill>
          </w14:textFill>
        </w:rPr>
      </w:pPr>
    </w:p>
    <w:p w14:paraId="51BA59D3">
      <w:pPr>
        <w:rPr>
          <w:rFonts w:hint="eastAsia" w:ascii="宋体" w:hAnsi="宋体" w:eastAsia="宋体" w:cs="宋体"/>
          <w:color w:val="000000" w:themeColor="text1"/>
          <w:kern w:val="0"/>
          <w:sz w:val="20"/>
          <w:szCs w:val="20"/>
          <w:highlight w:val="none"/>
          <w14:textFill>
            <w14:solidFill>
              <w14:schemeClr w14:val="tx1"/>
            </w14:solidFill>
          </w14:textFill>
        </w:rPr>
      </w:pPr>
    </w:p>
    <w:p w14:paraId="372DE408">
      <w:pPr>
        <w:keepNext/>
        <w:keepLines/>
        <w:spacing w:before="340" w:after="330" w:line="360" w:lineRule="auto"/>
        <w:jc w:val="center"/>
        <w:outlineLvl w:val="0"/>
        <w:rPr>
          <w:rFonts w:hint="eastAsia" w:ascii="宋体" w:hAnsi="宋体" w:eastAsia="宋体" w:cs="宋体"/>
          <w:b/>
          <w:bCs/>
          <w:color w:val="000000" w:themeColor="text1"/>
          <w:kern w:val="44"/>
          <w:sz w:val="32"/>
          <w:szCs w:val="32"/>
          <w:highlight w:val="none"/>
          <w14:textFill>
            <w14:solidFill>
              <w14:schemeClr w14:val="tx1"/>
            </w14:solidFill>
          </w14:textFill>
        </w:rPr>
      </w:pPr>
      <w:bookmarkStart w:id="868" w:name="_Toc28263"/>
      <w:bookmarkStart w:id="869" w:name="_Toc134619356"/>
      <w:bookmarkStart w:id="870" w:name="_Toc135922587"/>
      <w:r>
        <w:rPr>
          <w:rFonts w:hint="eastAsia" w:ascii="宋体" w:hAnsi="宋体" w:eastAsia="宋体" w:cs="宋体"/>
          <w:b/>
          <w:bCs/>
          <w:color w:val="000000" w:themeColor="text1"/>
          <w:kern w:val="44"/>
          <w:sz w:val="32"/>
          <w:szCs w:val="32"/>
          <w:highlight w:val="none"/>
          <w14:textFill>
            <w14:solidFill>
              <w14:schemeClr w14:val="tx1"/>
            </w14:solidFill>
          </w14:textFill>
        </w:rPr>
        <w:t>八、投标承诺函</w:t>
      </w:r>
      <w:bookmarkEnd w:id="868"/>
      <w:bookmarkEnd w:id="869"/>
      <w:bookmarkEnd w:id="870"/>
    </w:p>
    <w:p w14:paraId="1F02BA39">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ab/>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（采购人）</w:t>
      </w:r>
    </w:p>
    <w:p w14:paraId="19D30DC3">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我公司作为本次采购项目的投标人，根据招标文件要求，现郑重承诺如下：</w:t>
      </w:r>
    </w:p>
    <w:p w14:paraId="3E3089F8">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完全接受和满足本项目招标文件中规定的实质性要求，如对招标文件有异议，已经在投标文件递交截止时间届满前依法进行维权，不存在对招标文件有异议同时又参加投标以求侥幸中标或者为实现其他非法目的的行为。</w:t>
      </w:r>
    </w:p>
    <w:p w14:paraId="4B70F947">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二、参加本次招标采购活动，不存在与单位负责人为同一人或者存在直接控股、管理关系的其他供应商参与同一合同项下的政府采购活动的行为。</w:t>
      </w:r>
    </w:p>
    <w:p w14:paraId="74B1CAB5">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三、参加本次招标采购活动，不存在为采购项目提供整体设计、规范编制或者项目管理、监理、检测等服务的行为。</w:t>
      </w:r>
    </w:p>
    <w:p w14:paraId="10454575">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四、参加本次招标采购活动，不存在和其他供应商在同一合同项下的采购项目中，同时委托同一个自然人、同一单位的人员及政府采购法规定的应当回避的人作为代理人的行为。</w:t>
      </w:r>
    </w:p>
    <w:p w14:paraId="43B46AE8">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五、投标文件中提供的能够给予贵单位带来优惠、好处的任何材料资料和技术、服务、商务等响应承诺情况都是真实的、有效的、合法的。</w:t>
      </w:r>
    </w:p>
    <w:p w14:paraId="70E234B8">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1152275D">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七、存在以下行为之一的愿意接受相关部门的处理：</w:t>
      </w:r>
    </w:p>
    <w:p w14:paraId="16F6C391">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（一）投标有效期内撤销投标文件的；</w:t>
      </w:r>
    </w:p>
    <w:p w14:paraId="049B06E4">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（二）在采购人确定中标人以前放弃中标候选资格的；</w:t>
      </w:r>
    </w:p>
    <w:p w14:paraId="48EB4770">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（三）由于中标人的原因未能按照招标文件的规定与采购人签订合同；</w:t>
      </w:r>
    </w:p>
    <w:p w14:paraId="5DCFA93A">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（四）由于中标人的原因未能按照招标文件的规定交纳履约保证金；</w:t>
      </w:r>
    </w:p>
    <w:p w14:paraId="582B9BB7">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（五）在投标文件中提供虚假材料谋取中标；</w:t>
      </w:r>
    </w:p>
    <w:p w14:paraId="4AB1FAE1">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（六）与采购人、其他供应商或者采购代理机构恶意串通的；</w:t>
      </w:r>
    </w:p>
    <w:p w14:paraId="6ED1961E">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（七）投标有效期内，供应商在政府采购活动中有违法、违规、违纪行为。</w:t>
      </w:r>
    </w:p>
    <w:p w14:paraId="00FCED93">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由此产生的一切法律后果和责任由我公司承担。我公司声明放弃对此提出任何异议和追索的权利。</w:t>
      </w:r>
    </w:p>
    <w:p w14:paraId="2EBAF3A5">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本公司对上述承诺的内容事项真实性负责。如经查实上述承诺的内容事项存在虚假，我公司愿意接受以提供虚假材料谋取中标追究法律责任。</w:t>
      </w:r>
    </w:p>
    <w:p w14:paraId="08153202">
      <w:pPr>
        <w:widowControl/>
        <w:spacing w:before="100" w:after="100" w:line="500" w:lineRule="exact"/>
        <w:ind w:firstLine="315" w:firstLineChars="150"/>
        <w:rPr>
          <w:rFonts w:hint="eastAsia" w:ascii="宋体" w:hAnsi="宋体" w:eastAsia="宋体" w:cs="宋体"/>
          <w:color w:val="000000" w:themeColor="text1"/>
          <w:kern w:val="0"/>
          <w:szCs w:val="21"/>
          <w:highlight w:val="none"/>
          <w14:textFill>
            <w14:solidFill>
              <w14:schemeClr w14:val="tx1"/>
            </w14:solidFill>
          </w14:textFill>
        </w:rPr>
      </w:pPr>
    </w:p>
    <w:p w14:paraId="0D681878">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（电子印章）</w:t>
      </w:r>
    </w:p>
    <w:p w14:paraId="4FBA3752">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（电子印章）</w:t>
      </w:r>
    </w:p>
    <w:p w14:paraId="23937562">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0499A1D7">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6D323FB5">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04A1F3F1">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6478708A">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46CBEA14">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4730F38C">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77FD8FA3">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4B45EE3D">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70099250">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327C1B76">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74DC20B2">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4F55A562">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6FB1DD3E">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2DB64333">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0E91C5FB">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27609F6C">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607B75C5">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3BC55097">
      <w:pPr>
        <w:spacing w:line="360" w:lineRule="auto"/>
        <w:ind w:firstLine="2125" w:firstLineChars="1012"/>
        <w:rPr>
          <w:rFonts w:hint="eastAsia" w:ascii="宋体" w:hAnsi="宋体" w:eastAsia="宋体" w:cs="宋体"/>
          <w:color w:val="000000" w:themeColor="text1"/>
          <w:szCs w:val="21"/>
          <w:highlight w:val="none"/>
          <w14:textFill>
            <w14:solidFill>
              <w14:schemeClr w14:val="tx1"/>
            </w14:solidFill>
          </w14:textFill>
        </w:rPr>
      </w:pPr>
    </w:p>
    <w:p w14:paraId="79E3CE3D">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73339858">
      <w:pPr>
        <w:keepNext/>
        <w:keepLines/>
        <w:spacing w:before="340" w:after="330" w:line="360" w:lineRule="auto"/>
        <w:jc w:val="center"/>
        <w:outlineLvl w:val="0"/>
        <w:rPr>
          <w:rFonts w:hint="eastAsia" w:ascii="宋体" w:hAnsi="宋体" w:eastAsia="宋体" w:cs="宋体"/>
          <w:b/>
          <w:bCs/>
          <w:color w:val="000000" w:themeColor="text1"/>
          <w:kern w:val="44"/>
          <w:sz w:val="28"/>
          <w:szCs w:val="28"/>
          <w:highlight w:val="none"/>
          <w14:textFill>
            <w14:solidFill>
              <w14:schemeClr w14:val="tx1"/>
            </w14:solidFill>
          </w14:textFill>
        </w:rPr>
      </w:pPr>
      <w:bookmarkStart w:id="871" w:name="_Toc15882"/>
      <w:bookmarkStart w:id="872" w:name="_Toc135922589"/>
      <w:r>
        <w:rPr>
          <w:rFonts w:hint="eastAsia" w:ascii="宋体" w:hAnsi="宋体" w:eastAsia="宋体" w:cs="宋体"/>
          <w:b/>
          <w:bCs/>
          <w:color w:val="000000" w:themeColor="text1"/>
          <w:kern w:val="44"/>
          <w:sz w:val="32"/>
          <w:szCs w:val="32"/>
          <w:highlight w:val="none"/>
          <w14:textFill>
            <w14:solidFill>
              <w14:schemeClr w14:val="tx1"/>
            </w14:solidFill>
          </w14:textFill>
        </w:rPr>
        <w:t>九、投标人认为需要提交的其它材料</w:t>
      </w:r>
      <w:bookmarkEnd w:id="871"/>
      <w:bookmarkEnd w:id="872"/>
    </w:p>
    <w:p w14:paraId="40FBE3AB">
      <w:pPr>
        <w:tabs>
          <w:tab w:val="left" w:pos="1110"/>
        </w:tabs>
        <w:rPr>
          <w:rFonts w:hint="eastAsia" w:ascii="宋体" w:hAnsi="宋体" w:eastAsia="宋体" w:cs="宋体"/>
          <w:color w:val="000000" w:themeColor="text1"/>
          <w:highlight w:val="none"/>
          <w14:textFill>
            <w14:solidFill>
              <w14:schemeClr w14:val="tx1"/>
            </w14:solidFill>
          </w14:textFill>
        </w:rPr>
      </w:pPr>
    </w:p>
    <w:p w14:paraId="3761B77D">
      <w:pPr>
        <w:tabs>
          <w:tab w:val="left" w:pos="1110"/>
        </w:tabs>
        <w:rPr>
          <w:rFonts w:hint="eastAsia" w:ascii="宋体" w:hAnsi="宋体" w:eastAsia="宋体" w:cs="宋体"/>
          <w:color w:val="000000" w:themeColor="text1"/>
          <w:highlight w:val="none"/>
          <w14:textFill>
            <w14:solidFill>
              <w14:schemeClr w14:val="tx1"/>
            </w14:solidFill>
          </w14:textFill>
        </w:rPr>
      </w:pPr>
    </w:p>
    <w:p w14:paraId="17030EFC">
      <w:pPr>
        <w:tabs>
          <w:tab w:val="left" w:pos="1110"/>
        </w:tabs>
        <w:rPr>
          <w:rFonts w:hint="eastAsia" w:ascii="宋体" w:hAnsi="宋体" w:eastAsia="宋体" w:cs="宋体"/>
          <w:color w:val="000000" w:themeColor="text1"/>
          <w:highlight w:val="none"/>
          <w14:textFill>
            <w14:solidFill>
              <w14:schemeClr w14:val="tx1"/>
            </w14:solidFill>
          </w14:textFill>
        </w:rPr>
      </w:pPr>
    </w:p>
    <w:p w14:paraId="078F3616">
      <w:pPr>
        <w:tabs>
          <w:tab w:val="left" w:pos="1110"/>
        </w:tabs>
        <w:rPr>
          <w:rFonts w:hint="eastAsia" w:ascii="宋体" w:hAnsi="宋体" w:eastAsia="宋体" w:cs="宋体"/>
          <w:color w:val="000000" w:themeColor="text1"/>
          <w:highlight w:val="none"/>
          <w14:textFill>
            <w14:solidFill>
              <w14:schemeClr w14:val="tx1"/>
            </w14:solidFill>
          </w14:textFill>
        </w:rPr>
      </w:pPr>
    </w:p>
    <w:p w14:paraId="34C56809">
      <w:pPr>
        <w:tabs>
          <w:tab w:val="left" w:pos="1110"/>
        </w:tabs>
        <w:rPr>
          <w:rFonts w:hint="eastAsia" w:ascii="宋体" w:hAnsi="宋体" w:eastAsia="宋体" w:cs="宋体"/>
          <w:color w:val="000000" w:themeColor="text1"/>
          <w:highlight w:val="none"/>
          <w14:textFill>
            <w14:solidFill>
              <w14:schemeClr w14:val="tx1"/>
            </w14:solidFill>
          </w14:textFill>
        </w:rPr>
      </w:pPr>
    </w:p>
    <w:p w14:paraId="215091DD">
      <w:pPr>
        <w:tabs>
          <w:tab w:val="left" w:pos="1110"/>
        </w:tabs>
        <w:rPr>
          <w:rFonts w:hint="eastAsia" w:ascii="宋体" w:hAnsi="宋体" w:eastAsia="宋体" w:cs="宋体"/>
          <w:color w:val="000000" w:themeColor="text1"/>
          <w:highlight w:val="none"/>
          <w14:textFill>
            <w14:solidFill>
              <w14:schemeClr w14:val="tx1"/>
            </w14:solidFill>
          </w14:textFill>
        </w:rPr>
      </w:pPr>
    </w:p>
    <w:p w14:paraId="16A2BAC9">
      <w:pPr>
        <w:tabs>
          <w:tab w:val="left" w:pos="1110"/>
        </w:tabs>
        <w:rPr>
          <w:rFonts w:hint="eastAsia" w:ascii="宋体" w:hAnsi="宋体" w:eastAsia="宋体" w:cs="宋体"/>
          <w:color w:val="000000" w:themeColor="text1"/>
          <w:highlight w:val="none"/>
          <w14:textFill>
            <w14:solidFill>
              <w14:schemeClr w14:val="tx1"/>
            </w14:solidFill>
          </w14:textFill>
        </w:rPr>
      </w:pPr>
    </w:p>
    <w:p w14:paraId="62DCFEB4">
      <w:pPr>
        <w:tabs>
          <w:tab w:val="left" w:pos="1110"/>
        </w:tabs>
        <w:rPr>
          <w:rFonts w:hint="eastAsia" w:ascii="宋体" w:hAnsi="宋体" w:eastAsia="宋体" w:cs="宋体"/>
          <w:color w:val="000000" w:themeColor="text1"/>
          <w:highlight w:val="none"/>
          <w14:textFill>
            <w14:solidFill>
              <w14:schemeClr w14:val="tx1"/>
            </w14:solidFill>
          </w14:textFill>
        </w:rPr>
      </w:pPr>
    </w:p>
    <w:p w14:paraId="1964AA04">
      <w:pPr>
        <w:tabs>
          <w:tab w:val="left" w:pos="1110"/>
        </w:tabs>
        <w:rPr>
          <w:rFonts w:hint="eastAsia" w:ascii="宋体" w:hAnsi="宋体" w:eastAsia="宋体" w:cs="宋体"/>
          <w:color w:val="000000" w:themeColor="text1"/>
          <w:highlight w:val="none"/>
          <w14:textFill>
            <w14:solidFill>
              <w14:schemeClr w14:val="tx1"/>
            </w14:solidFill>
          </w14:textFill>
        </w:rPr>
      </w:pPr>
    </w:p>
    <w:p w14:paraId="05B7E89E">
      <w:pPr>
        <w:tabs>
          <w:tab w:val="left" w:pos="1110"/>
        </w:tabs>
        <w:rPr>
          <w:rFonts w:hint="eastAsia" w:ascii="宋体" w:hAnsi="宋体" w:eastAsia="宋体" w:cs="宋体"/>
          <w:color w:val="000000" w:themeColor="text1"/>
          <w:highlight w:val="none"/>
          <w14:textFill>
            <w14:solidFill>
              <w14:schemeClr w14:val="tx1"/>
            </w14:solidFill>
          </w14:textFill>
        </w:rPr>
      </w:pPr>
    </w:p>
    <w:p w14:paraId="2B23DAB8">
      <w:pPr>
        <w:tabs>
          <w:tab w:val="left" w:pos="1110"/>
        </w:tabs>
        <w:rPr>
          <w:rFonts w:hint="eastAsia" w:ascii="宋体" w:hAnsi="宋体" w:eastAsia="宋体" w:cs="宋体"/>
          <w:color w:val="000000" w:themeColor="text1"/>
          <w:highlight w:val="none"/>
          <w14:textFill>
            <w14:solidFill>
              <w14:schemeClr w14:val="tx1"/>
            </w14:solidFill>
          </w14:textFill>
        </w:rPr>
      </w:pPr>
    </w:p>
    <w:p w14:paraId="04E715EB">
      <w:pPr>
        <w:tabs>
          <w:tab w:val="left" w:pos="1110"/>
        </w:tabs>
        <w:rPr>
          <w:rFonts w:hint="eastAsia" w:ascii="宋体" w:hAnsi="宋体" w:eastAsia="宋体" w:cs="宋体"/>
          <w:color w:val="000000" w:themeColor="text1"/>
          <w:highlight w:val="none"/>
          <w14:textFill>
            <w14:solidFill>
              <w14:schemeClr w14:val="tx1"/>
            </w14:solidFill>
          </w14:textFill>
        </w:rPr>
      </w:pPr>
    </w:p>
    <w:p w14:paraId="2A8EA243">
      <w:pPr>
        <w:keepNext/>
        <w:keepLines/>
        <w:spacing w:before="260" w:after="260" w:line="412"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bCs/>
          <w:color w:val="000000" w:themeColor="text1"/>
          <w:kern w:val="0"/>
          <w:sz w:val="32"/>
          <w:szCs w:val="32"/>
          <w:highlight w:val="none"/>
          <w14:textFill>
            <w14:solidFill>
              <w14:schemeClr w14:val="tx1"/>
            </w14:solidFill>
          </w14:textFill>
        </w:rPr>
        <w:t xml:space="preserve">附件1 </w:t>
      </w:r>
    </w:p>
    <w:p w14:paraId="38C670CB">
      <w:pPr>
        <w:widowControl/>
        <w:spacing w:line="360" w:lineRule="auto"/>
        <w:ind w:right="-298" w:rightChars="-142"/>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 w:val="32"/>
          <w:szCs w:val="32"/>
          <w:highlight w:val="none"/>
          <w14:textFill>
            <w14:solidFill>
              <w14:schemeClr w14:val="tx1"/>
            </w14:solidFill>
          </w14:textFill>
        </w:rPr>
        <w:t>中小企业声明函</w:t>
      </w:r>
    </w:p>
    <w:p w14:paraId="233FB477">
      <w:pPr>
        <w:widowControl/>
        <w:spacing w:line="360" w:lineRule="auto"/>
        <w:ind w:right="-298" w:rightChars="-142" w:firstLine="371" w:firstLineChars="177"/>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kern w:val="0"/>
          <w:szCs w:val="21"/>
          <w:highlight w:val="none"/>
          <w:u w:val="single"/>
          <w14:textFill>
            <w14:solidFill>
              <w14:schemeClr w14:val="tx1"/>
            </w14:solidFill>
          </w14:textFill>
        </w:rPr>
        <w:t>（单位名称）</w:t>
      </w:r>
      <w:r>
        <w:rPr>
          <w:rFonts w:hint="eastAsia" w:ascii="宋体" w:hAnsi="宋体" w:eastAsia="宋体" w:cs="宋体"/>
          <w:color w:val="000000" w:themeColor="text1"/>
          <w:kern w:val="0"/>
          <w:szCs w:val="21"/>
          <w:highlight w:val="none"/>
          <w14:textFill>
            <w14:solidFill>
              <w14:schemeClr w14:val="tx1"/>
            </w14:solidFill>
          </w14:textFill>
        </w:rPr>
        <w:t>的</w:t>
      </w:r>
      <w:r>
        <w:rPr>
          <w:rFonts w:hint="eastAsia" w:ascii="宋体" w:hAnsi="宋体" w:eastAsia="宋体" w:cs="宋体"/>
          <w:color w:val="000000" w:themeColor="text1"/>
          <w:kern w:val="0"/>
          <w:szCs w:val="21"/>
          <w:highlight w:val="none"/>
          <w:u w:val="single"/>
          <w14:textFill>
            <w14:solidFill>
              <w14:schemeClr w14:val="tx1"/>
            </w14:solidFill>
          </w14:textFill>
        </w:rPr>
        <w:t>（项目名称）</w:t>
      </w:r>
      <w:r>
        <w:rPr>
          <w:rFonts w:hint="eastAsia" w:ascii="宋体" w:hAnsi="宋体" w:eastAsia="宋体" w:cs="宋体"/>
          <w:color w:val="000000" w:themeColor="text1"/>
          <w:kern w:val="0"/>
          <w:szCs w:val="21"/>
          <w:highlight w:val="none"/>
          <w14:textFill>
            <w14:solidFill>
              <w14:schemeClr w14:val="tx1"/>
            </w14:solidFill>
          </w14:textFill>
        </w:rPr>
        <w:t>采购活动，提供的货物全部由符合政策要求的中小企业制造。相关企业的具体情况如下：</w:t>
      </w:r>
    </w:p>
    <w:p w14:paraId="515A9F34">
      <w:pPr>
        <w:widowControl/>
        <w:spacing w:line="360" w:lineRule="auto"/>
        <w:ind w:right="-298" w:rightChars="-142" w:firstLine="371" w:firstLineChars="177"/>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宋体"/>
          <w:color w:val="000000" w:themeColor="text1"/>
          <w:kern w:val="0"/>
          <w:szCs w:val="21"/>
          <w:highlight w:val="none"/>
          <w:u w:val="single"/>
          <w14:textFill>
            <w14:solidFill>
              <w14:schemeClr w14:val="tx1"/>
            </w14:solidFill>
          </w14:textFill>
        </w:rPr>
        <w:t xml:space="preserve">（标的名称） </w:t>
      </w:r>
      <w:r>
        <w:rPr>
          <w:rFonts w:hint="eastAsia" w:ascii="宋体" w:hAnsi="宋体" w:eastAsia="宋体" w:cs="宋体"/>
          <w:color w:val="000000" w:themeColor="text1"/>
          <w:kern w:val="0"/>
          <w:szCs w:val="21"/>
          <w:highlight w:val="none"/>
          <w14:textFill>
            <w14:solidFill>
              <w14:schemeClr w14:val="tx1"/>
            </w14:solidFill>
          </w14:textFill>
        </w:rPr>
        <w:t>，属于</w:t>
      </w:r>
      <w:r>
        <w:rPr>
          <w:rFonts w:hint="eastAsia" w:ascii="宋体" w:hAnsi="宋体" w:eastAsia="宋体" w:cs="宋体"/>
          <w:color w:val="000000" w:themeColor="text1"/>
          <w:kern w:val="0"/>
          <w:szCs w:val="21"/>
          <w:highlight w:val="none"/>
          <w:u w:val="single"/>
          <w14:textFill>
            <w14:solidFill>
              <w14:schemeClr w14:val="tx1"/>
            </w14:solidFill>
          </w14:textFill>
        </w:rPr>
        <w:t>（采购文件中明确的所属行业）</w:t>
      </w:r>
      <w:r>
        <w:rPr>
          <w:rFonts w:hint="eastAsia" w:ascii="宋体" w:hAnsi="宋体" w:eastAsia="宋体" w:cs="宋体"/>
          <w:color w:val="000000" w:themeColor="text1"/>
          <w:kern w:val="0"/>
          <w:szCs w:val="21"/>
          <w:highlight w:val="none"/>
          <w14:textFill>
            <w14:solidFill>
              <w14:schemeClr w14:val="tx1"/>
            </w14:solidFill>
          </w14:textFill>
        </w:rPr>
        <w:t xml:space="preserve"> 行业；制造商为</w:t>
      </w:r>
      <w:r>
        <w:rPr>
          <w:rFonts w:hint="eastAsia" w:ascii="宋体" w:hAnsi="宋体" w:eastAsia="宋体" w:cs="宋体"/>
          <w:color w:val="000000" w:themeColor="text1"/>
          <w:kern w:val="0"/>
          <w:szCs w:val="21"/>
          <w:highlight w:val="none"/>
          <w:u w:val="single"/>
          <w14:textFill>
            <w14:solidFill>
              <w14:schemeClr w14:val="tx1"/>
            </w14:solidFill>
          </w14:textFill>
        </w:rPr>
        <w:t>（企业名称）</w:t>
      </w:r>
      <w:r>
        <w:rPr>
          <w:rFonts w:hint="eastAsia" w:ascii="宋体" w:hAnsi="宋体" w:eastAsia="宋体" w:cs="宋体"/>
          <w:color w:val="000000" w:themeColor="text1"/>
          <w:kern w:val="0"/>
          <w:szCs w:val="21"/>
          <w:highlight w:val="none"/>
          <w14:textFill>
            <w14:solidFill>
              <w14:schemeClr w14:val="tx1"/>
            </w14:solidFill>
          </w14:textFill>
        </w:rPr>
        <w:t>，从业人员_____人，营业收入为_____万元，资产总额为_____万元</w:t>
      </w:r>
      <w:r>
        <w:rPr>
          <w:rFonts w:hint="eastAsia" w:ascii="宋体" w:hAnsi="宋体" w:eastAsia="宋体" w:cs="宋体"/>
          <w:color w:val="000000" w:themeColor="text1"/>
          <w:kern w:val="0"/>
          <w:szCs w:val="21"/>
          <w:highlight w:val="none"/>
          <w:vertAlign w:val="superscript"/>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，属于</w:t>
      </w:r>
      <w:r>
        <w:rPr>
          <w:rFonts w:hint="eastAsia" w:ascii="宋体" w:hAnsi="宋体" w:eastAsia="宋体" w:cs="宋体"/>
          <w:color w:val="000000" w:themeColor="text1"/>
          <w:kern w:val="0"/>
          <w:szCs w:val="21"/>
          <w:highlight w:val="none"/>
          <w:u w:val="single"/>
          <w14:textFill>
            <w14:solidFill>
              <w14:schemeClr w14:val="tx1"/>
            </w14:solidFill>
          </w14:textFill>
        </w:rPr>
        <w:t>（中型企业、小型企业、微型企业）</w:t>
      </w:r>
      <w:r>
        <w:rPr>
          <w:rFonts w:hint="eastAsia" w:ascii="宋体" w:hAnsi="宋体" w:eastAsia="宋体" w:cs="宋体"/>
          <w:color w:val="000000" w:themeColor="text1"/>
          <w:kern w:val="0"/>
          <w:szCs w:val="21"/>
          <w:highlight w:val="none"/>
          <w14:textFill>
            <w14:solidFill>
              <w14:schemeClr w14:val="tx1"/>
            </w14:solidFill>
          </w14:textFill>
        </w:rPr>
        <w:t>；</w:t>
      </w:r>
    </w:p>
    <w:p w14:paraId="56DA82D1">
      <w:pPr>
        <w:widowControl/>
        <w:spacing w:line="360" w:lineRule="auto"/>
        <w:ind w:right="-298" w:rightChars="-142" w:firstLine="371" w:firstLineChars="177"/>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宋体"/>
          <w:color w:val="000000" w:themeColor="text1"/>
          <w:kern w:val="0"/>
          <w:szCs w:val="21"/>
          <w:highlight w:val="none"/>
          <w:u w:val="single"/>
          <w14:textFill>
            <w14:solidFill>
              <w14:schemeClr w14:val="tx1"/>
            </w14:solidFill>
          </w14:textFill>
        </w:rPr>
        <w:t xml:space="preserve">（标的名称） </w:t>
      </w:r>
      <w:r>
        <w:rPr>
          <w:rFonts w:hint="eastAsia" w:ascii="宋体" w:hAnsi="宋体" w:eastAsia="宋体" w:cs="宋体"/>
          <w:color w:val="000000" w:themeColor="text1"/>
          <w:kern w:val="0"/>
          <w:szCs w:val="21"/>
          <w:highlight w:val="none"/>
          <w14:textFill>
            <w14:solidFill>
              <w14:schemeClr w14:val="tx1"/>
            </w14:solidFill>
          </w14:textFill>
        </w:rPr>
        <w:t>，属于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（采购文件中明确的所属行业） </w:t>
      </w:r>
      <w:r>
        <w:rPr>
          <w:rFonts w:hint="eastAsia" w:ascii="宋体" w:hAnsi="宋体" w:eastAsia="宋体" w:cs="宋体"/>
          <w:color w:val="000000" w:themeColor="text1"/>
          <w:kern w:val="0"/>
          <w:szCs w:val="21"/>
          <w:highlight w:val="none"/>
          <w14:textFill>
            <w14:solidFill>
              <w14:schemeClr w14:val="tx1"/>
            </w14:solidFill>
          </w14:textFill>
        </w:rPr>
        <w:t>行业；制造商为</w:t>
      </w:r>
      <w:r>
        <w:rPr>
          <w:rFonts w:hint="eastAsia" w:ascii="宋体" w:hAnsi="宋体" w:eastAsia="宋体" w:cs="宋体"/>
          <w:color w:val="000000" w:themeColor="text1"/>
          <w:kern w:val="0"/>
          <w:szCs w:val="21"/>
          <w:highlight w:val="none"/>
          <w:u w:val="single"/>
          <w14:textFill>
            <w14:solidFill>
              <w14:schemeClr w14:val="tx1"/>
            </w14:solidFill>
          </w14:textFill>
        </w:rPr>
        <w:t>（企业名称）</w:t>
      </w:r>
      <w:r>
        <w:rPr>
          <w:rFonts w:hint="eastAsia" w:ascii="宋体" w:hAnsi="宋体" w:eastAsia="宋体" w:cs="宋体"/>
          <w:color w:val="000000" w:themeColor="text1"/>
          <w:kern w:val="0"/>
          <w:szCs w:val="21"/>
          <w:highlight w:val="none"/>
          <w14:textFill>
            <w14:solidFill>
              <w14:schemeClr w14:val="tx1"/>
            </w14:solidFill>
          </w14:textFill>
        </w:rPr>
        <w:t>，从业人员_____人，营业收入为_____万元，资产总额为_____万元</w:t>
      </w:r>
      <w:r>
        <w:rPr>
          <w:rFonts w:hint="eastAsia" w:ascii="宋体" w:hAnsi="宋体" w:eastAsia="宋体" w:cs="宋体"/>
          <w:color w:val="000000" w:themeColor="text1"/>
          <w:kern w:val="0"/>
          <w:szCs w:val="21"/>
          <w:highlight w:val="none"/>
          <w:vertAlign w:val="superscript"/>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，属于</w:t>
      </w:r>
      <w:r>
        <w:rPr>
          <w:rFonts w:hint="eastAsia" w:ascii="宋体" w:hAnsi="宋体" w:eastAsia="宋体" w:cs="宋体"/>
          <w:color w:val="000000" w:themeColor="text1"/>
          <w:kern w:val="0"/>
          <w:szCs w:val="21"/>
          <w:highlight w:val="none"/>
          <w:u w:val="single"/>
          <w14:textFill>
            <w14:solidFill>
              <w14:schemeClr w14:val="tx1"/>
            </w14:solidFill>
          </w14:textFill>
        </w:rPr>
        <w:t>（中型企业、小型企业、微型企业）</w:t>
      </w:r>
      <w:r>
        <w:rPr>
          <w:rFonts w:hint="eastAsia" w:ascii="宋体" w:hAnsi="宋体" w:eastAsia="宋体" w:cs="宋体"/>
          <w:color w:val="000000" w:themeColor="text1"/>
          <w:kern w:val="0"/>
          <w:szCs w:val="21"/>
          <w:highlight w:val="none"/>
          <w14:textFill>
            <w14:solidFill>
              <w14:schemeClr w14:val="tx1"/>
            </w14:solidFill>
          </w14:textFill>
        </w:rPr>
        <w:t>；</w:t>
      </w:r>
    </w:p>
    <w:p w14:paraId="7883A7D6">
      <w:pPr>
        <w:widowControl/>
        <w:spacing w:line="360" w:lineRule="auto"/>
        <w:ind w:right="-298" w:rightChars="-142" w:firstLine="371" w:firstLineChars="177"/>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p>
    <w:p w14:paraId="0CD15F16">
      <w:pPr>
        <w:widowControl/>
        <w:spacing w:line="360" w:lineRule="auto"/>
        <w:ind w:right="-298" w:rightChars="-142" w:firstLine="371" w:firstLineChars="177"/>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以上企业，不属于大企业的分支机构，不存在控股股东为大企业的情形，也不存在与大企业的负责人为同一人的情形。</w:t>
      </w:r>
    </w:p>
    <w:p w14:paraId="1A900A10">
      <w:pPr>
        <w:widowControl/>
        <w:spacing w:line="360" w:lineRule="auto"/>
        <w:ind w:right="-298" w:rightChars="-142" w:firstLine="371" w:firstLineChars="177"/>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本企业对上述声明内容的真实性负责。如有虚假，将依法承担相应责任。</w:t>
      </w:r>
    </w:p>
    <w:p w14:paraId="060F87E5">
      <w:pPr>
        <w:widowControl/>
        <w:spacing w:line="360" w:lineRule="auto"/>
        <w:ind w:right="-298" w:rightChars="-142" w:firstLine="371" w:firstLineChars="177"/>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p>
    <w:p w14:paraId="531761AF">
      <w:pPr>
        <w:widowControl/>
        <w:spacing w:line="360" w:lineRule="auto"/>
        <w:ind w:right="-298" w:rightChars="-142" w:firstLine="2975" w:firstLineChars="1417"/>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企业名称（</w:t>
      </w:r>
      <w:r>
        <w:rPr>
          <w:rFonts w:hint="eastAsia" w:ascii="宋体" w:hAnsi="宋体" w:eastAsia="宋体" w:cs="宋体"/>
          <w:color w:val="000000" w:themeColor="text1"/>
          <w:szCs w:val="21"/>
          <w:highlight w:val="none"/>
          <w14:textFill>
            <w14:solidFill>
              <w14:schemeClr w14:val="tx1"/>
            </w14:solidFill>
          </w14:textFill>
        </w:rPr>
        <w:t>电子印章</w:t>
      </w:r>
      <w:r>
        <w:rPr>
          <w:rFonts w:hint="eastAsia" w:ascii="宋体" w:hAnsi="宋体" w:eastAsia="宋体" w:cs="宋体"/>
          <w:color w:val="000000" w:themeColor="text1"/>
          <w:kern w:val="0"/>
          <w:szCs w:val="21"/>
          <w:highlight w:val="none"/>
          <w14:textFill>
            <w14:solidFill>
              <w14:schemeClr w14:val="tx1"/>
            </w14:solidFill>
          </w14:textFill>
        </w:rPr>
        <w:t>）：</w:t>
      </w:r>
    </w:p>
    <w:p w14:paraId="071B4D85">
      <w:pPr>
        <w:widowControl/>
        <w:spacing w:line="360" w:lineRule="auto"/>
        <w:ind w:right="-298" w:rightChars="-142" w:firstLine="2975" w:firstLineChars="1417"/>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日 期：</w:t>
      </w:r>
    </w:p>
    <w:p w14:paraId="4CD20B55">
      <w:pPr>
        <w:widowControl/>
        <w:spacing w:line="360" w:lineRule="auto"/>
        <w:ind w:right="-1"/>
        <w:jc w:val="left"/>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pP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r>
        <w:rPr>
          <w:rFonts w:hint="eastAsia" w:ascii="宋体" w:hAnsi="宋体" w:eastAsia="宋体" w:cs="宋体"/>
          <w:color w:val="000000" w:themeColor="text1"/>
          <w:kern w:val="0"/>
          <w:szCs w:val="21"/>
          <w:highlight w:val="none"/>
          <w:u w:val="single"/>
          <w:vertAlign w:val="superscript"/>
          <w14:textFill>
            <w14:solidFill>
              <w14:schemeClr w14:val="tx1"/>
            </w14:solidFill>
          </w14:textFill>
        </w:rPr>
        <w:tab/>
      </w:r>
    </w:p>
    <w:p w14:paraId="1328E2A0">
      <w:pPr>
        <w:widowControl/>
        <w:tabs>
          <w:tab w:val="left" w:pos="9214"/>
        </w:tabs>
        <w:spacing w:line="360" w:lineRule="auto"/>
        <w:ind w:right="141" w:rightChars="67"/>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vertAlign w:val="superscript"/>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从业人员、营业收入、资产总额填报上一年度数据，无上一年度数据的新成立企业可不</w:t>
      </w:r>
      <w:r>
        <w:rPr>
          <w:rFonts w:hint="eastAsia" w:ascii="宋体" w:hAnsi="宋体" w:eastAsia="宋体" w:cs="宋体"/>
          <w:color w:val="000000" w:themeColor="text1"/>
          <w:kern w:val="0"/>
          <w:sz w:val="24"/>
          <w:szCs w:val="24"/>
          <w:highlight w:val="none"/>
          <w14:textFill>
            <w14:solidFill>
              <w14:schemeClr w14:val="tx1"/>
            </w14:solidFill>
          </w14:textFill>
        </w:rPr>
        <w:t>填报。</w:t>
      </w:r>
    </w:p>
    <w:p w14:paraId="54B5DA57">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p>
    <w:p w14:paraId="57A25589">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6EFDA6A2">
      <w:pPr>
        <w:keepNext/>
        <w:keepLines/>
        <w:spacing w:before="260" w:after="260" w:line="412"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873" w:name="_Toc134619337"/>
      <w:r>
        <w:rPr>
          <w:rFonts w:hint="eastAsia" w:ascii="宋体" w:hAnsi="宋体" w:eastAsia="宋体" w:cs="宋体"/>
          <w:b/>
          <w:bCs/>
          <w:color w:val="000000" w:themeColor="text1"/>
          <w:kern w:val="0"/>
          <w:sz w:val="32"/>
          <w:szCs w:val="32"/>
          <w:highlight w:val="none"/>
          <w14:textFill>
            <w14:solidFill>
              <w14:schemeClr w14:val="tx1"/>
            </w14:solidFill>
          </w14:textFill>
        </w:rPr>
        <w:br w:type="page"/>
      </w:r>
      <w:r>
        <w:rPr>
          <w:rFonts w:hint="eastAsia" w:ascii="宋体" w:hAnsi="宋体" w:eastAsia="宋体" w:cs="宋体"/>
          <w:b/>
          <w:bCs/>
          <w:color w:val="000000" w:themeColor="text1"/>
          <w:kern w:val="0"/>
          <w:sz w:val="32"/>
          <w:szCs w:val="32"/>
          <w:highlight w:val="none"/>
          <w14:textFill>
            <w14:solidFill>
              <w14:schemeClr w14:val="tx1"/>
            </w14:solidFill>
          </w14:textFill>
        </w:rPr>
        <w:t>附件2</w:t>
      </w:r>
      <w:bookmarkEnd w:id="873"/>
      <w:bookmarkStart w:id="874" w:name="_Toc26836_WPSOffice_Level1"/>
      <w:bookmarkStart w:id="875" w:name="_Toc15643_WPSOffice_Level1"/>
      <w:bookmarkStart w:id="876" w:name="_Toc27843_WPSOffice_Level1"/>
      <w:bookmarkStart w:id="877" w:name="_Toc11968_WPSOffice_Level2"/>
      <w:bookmarkStart w:id="878" w:name="_Toc24132_WPSOffice_Level1"/>
      <w:bookmarkStart w:id="879" w:name="_Toc27971_WPSOffice_Level1"/>
      <w:bookmarkStart w:id="880" w:name="_Toc4213_WPSOffice_Level1"/>
      <w:bookmarkStart w:id="881" w:name="_Toc429_WPSOffice_Level1"/>
      <w:bookmarkStart w:id="882" w:name="_Toc21603_WPSOffice_Level1"/>
      <w:bookmarkStart w:id="883" w:name="_Toc338_WPSOffice_Level1"/>
      <w:bookmarkStart w:id="884" w:name="_Toc4354_WPSOffice_Level1"/>
      <w:bookmarkStart w:id="885" w:name="OLE_LINK13"/>
      <w:bookmarkStart w:id="886" w:name="OLE_LINK14"/>
      <w:r>
        <w:rPr>
          <w:rFonts w:hint="eastAsia" w:ascii="宋体" w:hAnsi="宋体" w:eastAsia="宋体" w:cs="宋体"/>
          <w:b/>
          <w:bCs/>
          <w:color w:val="000000" w:themeColor="text1"/>
          <w:kern w:val="0"/>
          <w:sz w:val="32"/>
          <w:szCs w:val="32"/>
          <w:highlight w:val="none"/>
          <w14:textFill>
            <w14:solidFill>
              <w14:schemeClr w14:val="tx1"/>
            </w14:solidFill>
          </w14:textFill>
        </w:rPr>
        <w:t xml:space="preserve">  </w:t>
      </w:r>
    </w:p>
    <w:bookmarkEnd w:id="874"/>
    <w:bookmarkEnd w:id="875"/>
    <w:bookmarkEnd w:id="876"/>
    <w:bookmarkEnd w:id="877"/>
    <w:bookmarkEnd w:id="878"/>
    <w:bookmarkEnd w:id="879"/>
    <w:bookmarkEnd w:id="880"/>
    <w:bookmarkEnd w:id="881"/>
    <w:bookmarkEnd w:id="882"/>
    <w:bookmarkEnd w:id="883"/>
    <w:bookmarkEnd w:id="884"/>
    <w:p w14:paraId="5725D0FE">
      <w:pPr>
        <w:widowControl/>
        <w:tabs>
          <w:tab w:val="left" w:pos="312"/>
        </w:tabs>
        <w:spacing w:after="120" w:line="360" w:lineRule="auto"/>
        <w:ind w:left="840"/>
        <w:jc w:val="center"/>
        <w:rPr>
          <w:rFonts w:hint="eastAsia" w:ascii="宋体" w:hAnsi="宋体" w:eastAsia="宋体" w:cs="宋体"/>
          <w:bCs/>
          <w:color w:val="000000" w:themeColor="text1"/>
          <w:szCs w:val="21"/>
          <w:highlight w:val="none"/>
          <w:lang w:val="zh-CN"/>
          <w14:textFill>
            <w14:solidFill>
              <w14:schemeClr w14:val="tx1"/>
            </w14:solidFill>
          </w14:textFill>
        </w:rPr>
      </w:pPr>
      <w:r>
        <w:rPr>
          <w:rFonts w:hint="eastAsia" w:ascii="宋体" w:hAnsi="宋体" w:eastAsia="宋体" w:cs="宋体"/>
          <w:b/>
          <w:bCs/>
          <w:color w:val="000000" w:themeColor="text1"/>
          <w:kern w:val="0"/>
          <w:sz w:val="32"/>
          <w:szCs w:val="32"/>
          <w:highlight w:val="none"/>
          <w14:textFill>
            <w14:solidFill>
              <w14:schemeClr w14:val="tx1"/>
            </w14:solidFill>
          </w14:textFill>
        </w:rPr>
        <w:t>残疾人福利性单位声明函</w:t>
      </w:r>
    </w:p>
    <w:bookmarkEnd w:id="885"/>
    <w:bookmarkEnd w:id="886"/>
    <w:p w14:paraId="14FAF05A">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AB3ACB1">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本单位对上述声明的真实性负责。如有虚假，将依法承担相应责任。</w:t>
      </w:r>
    </w:p>
    <w:p w14:paraId="03FBA5D1">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p>
    <w:p w14:paraId="7B4769B8">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p>
    <w:p w14:paraId="73B7EDEA">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单位名称（电子印章）：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20B252A">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日  期：</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年</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月</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日</w:t>
      </w:r>
    </w:p>
    <w:p w14:paraId="384B4B7C">
      <w:pPr>
        <w:spacing w:line="276" w:lineRule="auto"/>
        <w:rPr>
          <w:rFonts w:hint="eastAsia" w:ascii="宋体" w:hAnsi="宋体" w:eastAsia="宋体" w:cs="宋体"/>
          <w:color w:val="000000" w:themeColor="text1"/>
          <w:szCs w:val="21"/>
          <w:highlight w:val="none"/>
          <w14:textFill>
            <w14:solidFill>
              <w14:schemeClr w14:val="tx1"/>
            </w14:solidFill>
          </w14:textFill>
        </w:rPr>
      </w:pPr>
    </w:p>
    <w:p w14:paraId="37370BF2">
      <w:pPr>
        <w:spacing w:line="276" w:lineRule="auto"/>
        <w:rPr>
          <w:rFonts w:hint="eastAsia" w:ascii="宋体" w:hAnsi="宋体" w:eastAsia="宋体" w:cs="宋体"/>
          <w:color w:val="000000" w:themeColor="text1"/>
          <w:szCs w:val="21"/>
          <w:highlight w:val="none"/>
          <w14:textFill>
            <w14:solidFill>
              <w14:schemeClr w14:val="tx1"/>
            </w14:solidFill>
          </w14:textFill>
        </w:rPr>
      </w:pPr>
    </w:p>
    <w:p w14:paraId="7C8FD2AF">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1785A797">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311EC61E">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DED414C">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776B7C64">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69D4B026">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028E0F2F">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116393ED">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18E1C83C">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493DA4A0">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4C1FD700">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34766822">
      <w:pPr>
        <w:keepNext/>
        <w:keepLines/>
        <w:spacing w:before="260" w:after="260" w:line="412"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887" w:name="_Toc134619338"/>
      <w:r>
        <w:rPr>
          <w:rFonts w:hint="eastAsia" w:ascii="宋体" w:hAnsi="宋体" w:eastAsia="宋体" w:cs="宋体"/>
          <w:b/>
          <w:bCs/>
          <w:color w:val="000000" w:themeColor="text1"/>
          <w:kern w:val="0"/>
          <w:sz w:val="32"/>
          <w:szCs w:val="32"/>
          <w:highlight w:val="none"/>
          <w14:textFill>
            <w14:solidFill>
              <w14:schemeClr w14:val="tx1"/>
            </w14:solidFill>
          </w14:textFill>
        </w:rPr>
        <w:br w:type="page"/>
      </w:r>
      <w:r>
        <w:rPr>
          <w:rFonts w:hint="eastAsia" w:ascii="宋体" w:hAnsi="宋体" w:eastAsia="宋体" w:cs="宋体"/>
          <w:b/>
          <w:bCs/>
          <w:color w:val="000000" w:themeColor="text1"/>
          <w:kern w:val="0"/>
          <w:sz w:val="32"/>
          <w:szCs w:val="32"/>
          <w:highlight w:val="none"/>
          <w14:textFill>
            <w14:solidFill>
              <w14:schemeClr w14:val="tx1"/>
            </w14:solidFill>
          </w14:textFill>
        </w:rPr>
        <w:t>附件3</w:t>
      </w:r>
      <w:bookmarkEnd w:id="887"/>
      <w:r>
        <w:rPr>
          <w:rFonts w:hint="eastAsia" w:ascii="宋体" w:hAnsi="宋体" w:eastAsia="宋体" w:cs="宋体"/>
          <w:b/>
          <w:bCs/>
          <w:color w:val="000000" w:themeColor="text1"/>
          <w:kern w:val="0"/>
          <w:sz w:val="32"/>
          <w:szCs w:val="32"/>
          <w:highlight w:val="none"/>
          <w14:textFill>
            <w14:solidFill>
              <w14:schemeClr w14:val="tx1"/>
            </w14:solidFill>
          </w14:textFill>
        </w:rPr>
        <w:t xml:space="preserve"> </w:t>
      </w:r>
    </w:p>
    <w:p w14:paraId="1C95065E">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240" w:lineRule="auto"/>
        <w:ind w:left="0" w:right="0" w:firstLine="0"/>
        <w:jc w:val="center"/>
        <w:textAlignment w:val="baseline"/>
        <w:rPr>
          <w:rFonts w:hint="eastAsia" w:ascii="宋体" w:hAnsi="宋体" w:eastAsia="宋体" w:cs="宋体"/>
          <w:i w:val="0"/>
          <w:iCs w:val="0"/>
          <w:caps w:val="0"/>
          <w:color w:val="000000" w:themeColor="text1"/>
          <w:spacing w:val="0"/>
          <w:sz w:val="28"/>
          <w:szCs w:val="28"/>
          <w:highlight w:val="none"/>
          <w14:textFill>
            <w14:solidFill>
              <w14:schemeClr w14:val="tx1"/>
            </w14:solidFill>
          </w14:textFill>
        </w:rPr>
      </w:pPr>
      <w:r>
        <w:rPr>
          <w:rStyle w:val="20"/>
          <w:rFonts w:hint="eastAsia" w:ascii="宋体" w:hAnsi="宋体" w:eastAsia="宋体" w:cs="宋体"/>
          <w:i w:val="0"/>
          <w:iCs w:val="0"/>
          <w:caps w:val="0"/>
          <w:color w:val="000000" w:themeColor="text1"/>
          <w:spacing w:val="0"/>
          <w:sz w:val="32"/>
          <w:szCs w:val="32"/>
          <w:highlight w:val="none"/>
          <w:shd w:val="clear" w:color="auto" w:fill="FFFFFF"/>
          <w:vertAlign w:val="baseline"/>
          <w14:textFill>
            <w14:solidFill>
              <w14:schemeClr w14:val="tx1"/>
            </w14:solidFill>
          </w14:textFill>
        </w:rPr>
        <w:t>关于符合本国产品标准的声明函</w:t>
      </w:r>
    </w:p>
    <w:p w14:paraId="6BB710DF">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0D92089">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1.</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（产品名称1）</w:t>
      </w:r>
      <w:r>
        <w:rPr>
          <w:rStyle w:val="22"/>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1</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，生产厂为</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（厂名）</w:t>
      </w:r>
      <w:r>
        <w:rPr>
          <w:rStyle w:val="22"/>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2</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，厂址为</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（生产厂址）</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（产品名称1）</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的中国境内生产的组件成本占比≥</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（规定比例）</w:t>
      </w:r>
      <w:r>
        <w:rPr>
          <w:rStyle w:val="22"/>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3</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（产品名称1）</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的</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（关键组件）</w:t>
      </w:r>
      <w:r>
        <w:rPr>
          <w:rStyle w:val="22"/>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4</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在中国境内生产。</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（产品名称1）</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的</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（关键工序）</w:t>
      </w:r>
      <w:r>
        <w:rPr>
          <w:rStyle w:val="22"/>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5</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在中国境内完成。</w:t>
      </w:r>
    </w:p>
    <w:p w14:paraId="3DF6109D">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2.</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（产品名称2）</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，生产厂为</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（厂名）</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，厂址为</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（生产厂址）</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（产品名称2）</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的中国境内生产的组件成本占比≥</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（规定比例）</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（产品名称2）</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的</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（关键组件）</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在中国境内生产。</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（产品名称2）</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的</w:t>
      </w:r>
      <w:r>
        <w:rPr>
          <w:rStyle w:val="22"/>
          <w:rFonts w:hint="eastAsia" w:ascii="宋体" w:hAnsi="宋体" w:eastAsia="宋体" w:cs="宋体"/>
          <w:i w:val="0"/>
          <w:iCs w:val="0"/>
          <w:caps w:val="0"/>
          <w:color w:val="000000" w:themeColor="text1"/>
          <w:spacing w:val="0"/>
          <w:sz w:val="21"/>
          <w:szCs w:val="21"/>
          <w:highlight w:val="none"/>
          <w:u w:val="single"/>
          <w:shd w:val="clear" w:color="auto" w:fill="FFFFFF"/>
          <w:vertAlign w:val="baseline"/>
          <w14:textFill>
            <w14:solidFill>
              <w14:schemeClr w14:val="tx1"/>
            </w14:solidFill>
          </w14:textFill>
        </w:rPr>
        <w:t>（关键工序）</w:t>
      </w: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在中国境内完成。</w:t>
      </w:r>
    </w:p>
    <w:p w14:paraId="0F57E825">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w:t>
      </w:r>
    </w:p>
    <w:p w14:paraId="56496251">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本公司（单位）对上述声明内容的真实性负责。如有虚假，愿承担相应法律责任。</w:t>
      </w:r>
    </w:p>
    <w:p w14:paraId="279101B5">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 </w:t>
      </w:r>
    </w:p>
    <w:p w14:paraId="1B894E10">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240" w:lineRule="auto"/>
        <w:ind w:left="0" w:right="0" w:firstLine="4410" w:firstLineChars="2100"/>
        <w:jc w:val="both"/>
        <w:textAlignment w:val="baseline"/>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公司（单位）名称（盖章）：　        </w:t>
      </w:r>
    </w:p>
    <w:p w14:paraId="1DF24475">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240" w:lineRule="auto"/>
        <w:ind w:left="0" w:right="0" w:firstLine="4410" w:firstLineChars="2100"/>
        <w:jc w:val="both"/>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日期：　     年　  月　  日        </w:t>
      </w:r>
    </w:p>
    <w:p w14:paraId="1827753E">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240" w:lineRule="auto"/>
        <w:ind w:right="0"/>
        <w:textAlignment w:val="baseline"/>
        <w:rPr>
          <w:rFonts w:hint="eastAsia" w:ascii="宋体" w:hAnsi="宋体" w:eastAsia="宋体" w:cs="宋体"/>
          <w:i w:val="0"/>
          <w:iCs w:val="0"/>
          <w:caps w:val="0"/>
          <w:color w:val="000000" w:themeColor="text1"/>
          <w:spacing w:val="0"/>
          <w:sz w:val="21"/>
          <w:szCs w:val="21"/>
          <w:highlight w:val="none"/>
          <w:u w:val="single"/>
          <w:shd w:val="clear" w:color="auto" w:fill="FFFFFF"/>
          <w:vertAlign w:val="baseline"/>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u w:val="single"/>
          <w:shd w:val="clear" w:color="auto" w:fill="FFFFFF"/>
          <w:vertAlign w:val="baseline"/>
          <w:lang w:val="en-US" w:eastAsia="zh-CN"/>
          <w14:textFill>
            <w14:solidFill>
              <w14:schemeClr w14:val="tx1"/>
            </w14:solidFill>
          </w14:textFill>
        </w:rPr>
        <w:t xml:space="preserve">                  </w:t>
      </w:r>
    </w:p>
    <w:p w14:paraId="3CAAC6A7">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1.产品如有型号，请在“产品名称”栏一并填写。</w:t>
      </w:r>
    </w:p>
    <w:p w14:paraId="3852E5A0">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2.生产厂名与厂址应与生产厂营业执照载明的相关信息保持一致。</w:t>
      </w:r>
    </w:p>
    <w:p w14:paraId="24BA7E08">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3.该产品的中国境内生产的组件成本占比相关要求实施前，“规定比例”栏可不填，下同。</w:t>
      </w:r>
    </w:p>
    <w:p w14:paraId="44EB4ED9">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4.该产品的关键组件要求实施前，“关键组件”栏可不填，下同。</w:t>
      </w:r>
    </w:p>
    <w:p w14:paraId="7B06202B">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themeColor="text1"/>
          <w:spacing w:val="0"/>
          <w:sz w:val="22"/>
          <w:szCs w:val="22"/>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vertAlign w:val="baseline"/>
          <w14:textFill>
            <w14:solidFill>
              <w14:schemeClr w14:val="tx1"/>
            </w14:solidFill>
          </w14:textFill>
        </w:rPr>
        <w:t>5.该产品的关键工序要求实施前，“关键工序”栏可不填，下同。</w:t>
      </w:r>
    </w:p>
    <w:p w14:paraId="2F360D5E">
      <w:pPr>
        <w:keepNext/>
        <w:keepLines/>
        <w:spacing w:before="260" w:after="260" w:line="412"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r>
        <w:rPr>
          <w:rFonts w:hint="eastAsia" w:ascii="宋体" w:hAnsi="宋体" w:eastAsia="宋体" w:cs="宋体"/>
          <w:b/>
          <w:bCs/>
          <w:color w:val="000000" w:themeColor="text1"/>
          <w:kern w:val="0"/>
          <w:sz w:val="22"/>
          <w:szCs w:val="22"/>
          <w:highlight w:val="none"/>
          <w14:textFill>
            <w14:solidFill>
              <w14:schemeClr w14:val="tx1"/>
            </w14:solidFill>
          </w14:textFill>
        </w:rPr>
        <w:br w:type="page"/>
      </w:r>
      <w:r>
        <w:rPr>
          <w:rFonts w:hint="eastAsia" w:ascii="宋体" w:hAnsi="宋体" w:eastAsia="宋体" w:cs="宋体"/>
          <w:b/>
          <w:bCs/>
          <w:color w:val="000000" w:themeColor="text1"/>
          <w:kern w:val="0"/>
          <w:sz w:val="32"/>
          <w:szCs w:val="32"/>
          <w:highlight w:val="none"/>
          <w14:textFill>
            <w14:solidFill>
              <w14:schemeClr w14:val="tx1"/>
            </w14:solidFill>
          </w14:textFill>
        </w:rPr>
        <w:t>附件</w:t>
      </w:r>
      <w:r>
        <w:rPr>
          <w:rFonts w:hint="eastAsia" w:ascii="宋体" w:hAnsi="宋体" w:eastAsia="宋体" w:cs="宋体"/>
          <w:b/>
          <w:bCs/>
          <w:color w:val="000000" w:themeColor="text1"/>
          <w:kern w:val="0"/>
          <w:sz w:val="32"/>
          <w:szCs w:val="32"/>
          <w:highlight w:val="none"/>
          <w:lang w:val="en-US" w:eastAsia="zh-CN"/>
          <w14:textFill>
            <w14:solidFill>
              <w14:schemeClr w14:val="tx1"/>
            </w14:solidFill>
          </w14:textFill>
        </w:rPr>
        <w:t xml:space="preserve">4 </w:t>
      </w:r>
    </w:p>
    <w:p w14:paraId="5A9B1F53">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 w:val="32"/>
          <w:szCs w:val="32"/>
          <w:highlight w:val="none"/>
          <w14:textFill>
            <w14:solidFill>
              <w14:schemeClr w14:val="tx1"/>
            </w14:solidFill>
          </w14:textFill>
        </w:rPr>
        <w:t>河南省政府采购合同融资政策告知函</w:t>
      </w:r>
    </w:p>
    <w:p w14:paraId="3813A5C4">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各供应商：</w:t>
      </w:r>
    </w:p>
    <w:p w14:paraId="60BBFA74">
      <w:pPr>
        <w:spacing w:line="360" w:lineRule="auto"/>
        <w:ind w:right="162" w:rightChars="77"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欢迎贵公司参与河南省政府采购活动！</w:t>
      </w:r>
    </w:p>
    <w:p w14:paraId="6DFC0C3D">
      <w:pPr>
        <w:spacing w:line="360" w:lineRule="auto"/>
        <w:ind w:right="162" w:rightChars="77"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5AE8D3B">
      <w:pPr>
        <w:spacing w:line="360" w:lineRule="auto"/>
        <w:ind w:right="162" w:rightChars="77" w:firstLine="424" w:firstLineChars="20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贷款渠道和提供贷款的金融机构，可在河南省政府采购网“河南省政府采购合同融资平台”查询联系。</w:t>
      </w:r>
    </w:p>
    <w:p w14:paraId="7DC348BA">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77D6C0EE">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0768EBF6">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3C504341">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0C250F07">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0C6133F4">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44212E62">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2277C2BB">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67F4F14A">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420C43EC">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200F192">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700A2257">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8EC4633">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75D190A9">
      <w:pPr>
        <w:keepNext/>
        <w:keepLines/>
        <w:spacing w:before="260" w:after="260" w:line="412"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888" w:name="_Toc134619339"/>
      <w:r>
        <w:rPr>
          <w:rFonts w:hint="eastAsia" w:ascii="宋体" w:hAnsi="宋体" w:eastAsia="宋体" w:cs="宋体"/>
          <w:b/>
          <w:bCs/>
          <w:color w:val="000000" w:themeColor="text1"/>
          <w:kern w:val="0"/>
          <w:sz w:val="32"/>
          <w:szCs w:val="32"/>
          <w:highlight w:val="none"/>
          <w14:textFill>
            <w14:solidFill>
              <w14:schemeClr w14:val="tx1"/>
            </w14:solidFill>
          </w14:textFill>
        </w:rPr>
        <w:br w:type="page"/>
      </w:r>
      <w:r>
        <w:rPr>
          <w:rFonts w:hint="eastAsia" w:ascii="宋体" w:hAnsi="宋体" w:eastAsia="宋体" w:cs="宋体"/>
          <w:b/>
          <w:bCs/>
          <w:color w:val="000000" w:themeColor="text1"/>
          <w:kern w:val="0"/>
          <w:sz w:val="32"/>
          <w:szCs w:val="32"/>
          <w:highlight w:val="none"/>
          <w14:textFill>
            <w14:solidFill>
              <w14:schemeClr w14:val="tx1"/>
            </w14:solidFill>
          </w14:textFill>
        </w:rPr>
        <w:t>附件</w:t>
      </w:r>
      <w:bookmarkEnd w:id="888"/>
      <w:r>
        <w:rPr>
          <w:rFonts w:hint="eastAsia" w:ascii="宋体" w:hAnsi="宋体" w:eastAsia="宋体" w:cs="宋体"/>
          <w:b/>
          <w:bCs/>
          <w:color w:val="000000" w:themeColor="text1"/>
          <w:kern w:val="0"/>
          <w:sz w:val="32"/>
          <w:szCs w:val="32"/>
          <w:highlight w:val="none"/>
          <w:lang w:val="en-US" w:eastAsia="zh-CN"/>
          <w14:textFill>
            <w14:solidFill>
              <w14:schemeClr w14:val="tx1"/>
            </w14:solidFill>
          </w14:textFill>
        </w:rPr>
        <w:t>5</w:t>
      </w:r>
      <w:r>
        <w:rPr>
          <w:rFonts w:hint="eastAsia" w:ascii="宋体" w:hAnsi="宋体" w:eastAsia="宋体" w:cs="宋体"/>
          <w:b/>
          <w:bCs/>
          <w:color w:val="000000" w:themeColor="text1"/>
          <w:kern w:val="0"/>
          <w:sz w:val="32"/>
          <w:szCs w:val="32"/>
          <w:highlight w:val="none"/>
          <w14:textFill>
            <w14:solidFill>
              <w14:schemeClr w14:val="tx1"/>
            </w14:solidFill>
          </w14:textFill>
        </w:rPr>
        <w:t xml:space="preserve"> </w:t>
      </w:r>
    </w:p>
    <w:p w14:paraId="099AAC63">
      <w:pPr>
        <w:spacing w:line="360" w:lineRule="auto"/>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 w:val="32"/>
          <w:szCs w:val="32"/>
          <w:highlight w:val="none"/>
          <w14:textFill>
            <w14:solidFill>
              <w14:schemeClr w14:val="tx1"/>
            </w14:solidFill>
          </w14:textFill>
        </w:rPr>
        <w:t>关于印发中小企业划型标准规定的通知</w:t>
      </w:r>
    </w:p>
    <w:p w14:paraId="68B62682">
      <w:pPr>
        <w:spacing w:line="360" w:lineRule="auto"/>
        <w:ind w:firstLine="315" w:firstLineChars="1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工信部联企业[2011]300号</w:t>
      </w:r>
    </w:p>
    <w:p w14:paraId="340DA58A">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各省、自治区、直辖市人民政府，国务院各部委、各直属机构及有关单位：</w:t>
      </w:r>
    </w:p>
    <w:p w14:paraId="1D9378E1">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51EEA463">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工业和信息化部　国家统计局</w:t>
      </w:r>
    </w:p>
    <w:p w14:paraId="1C6ABE36">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国家发展和改革委员会　财政部</w:t>
      </w:r>
    </w:p>
    <w:p w14:paraId="14857D85">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二〇一一年六月十八日</w:t>
      </w:r>
    </w:p>
    <w:p w14:paraId="549FF590">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p>
    <w:p w14:paraId="40AD0144">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中小企业划型标准规定</w:t>
      </w:r>
    </w:p>
    <w:p w14:paraId="67508061">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一、根据《中华人民共和国中小企业促进法》和《国务院关于进一步促进中小企业发展的若干意见》(国发〔2009〕36号)，制定本规定。</w:t>
      </w:r>
    </w:p>
    <w:p w14:paraId="16F9D12B">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6D3CB0A6">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A9956FD">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四、各行业划型标准为：</w:t>
      </w:r>
    </w:p>
    <w:p w14:paraId="027A89F5">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31BD41A9">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7E4A1FB">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00E0B6">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174054A">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3793BF3">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62511FD">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F5F8951">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3C36762">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8C50C36">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BA5C216">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E66A358">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A3F0F99">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D7367FE">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930829A">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ED0C15F">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7D4B908F">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五、企业类型的划分以统计部门的统计数据为依据。</w:t>
      </w:r>
    </w:p>
    <w:p w14:paraId="686D5BF0">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六、本规定适用于在中华人民共和国境内依法设立的各类所有制和各种组织形式的企业。个体工商户和本规定以外的行业，参照本规定进行划型。</w:t>
      </w:r>
    </w:p>
    <w:p w14:paraId="546337C2">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14:paraId="7DE2206C">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八、本规定由工业和信息化部、国家统计局会同有关部门根据《国民经济行业分类》修订情况和企业发展变化情况适时修订。</w:t>
      </w:r>
    </w:p>
    <w:p w14:paraId="41C53084">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九、本规定由工业和信息化部、国家统计局会同有关部门负责解释。</w:t>
      </w:r>
    </w:p>
    <w:p w14:paraId="24335C0F">
      <w:pPr>
        <w:spacing w:line="360" w:lineRule="auto"/>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十、本规定自发布之日起执行，原国家经贸委、原国家计委、财政部和国家统计局2003年颁布的《中小企业标准暂行规定》同时废止。</w:t>
      </w:r>
    </w:p>
    <w:p w14:paraId="0A92C3C3">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69552F72">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39DDC52A">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555C5F4E">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650B1230">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591DD607">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189C1960">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656D810B">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3144A31E">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2A179480">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441D6BF9">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709D4C3B">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48193563">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37CBE358">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0DDCBA3E">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36394BED">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77D98466">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06634C69">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3B1DD4F9">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3CF8DEEE">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7D1487DC">
      <w:pPr>
        <w:spacing w:line="400" w:lineRule="exact"/>
        <w:ind w:right="-1" w:firstLine="643" w:firstLineChars="200"/>
        <w:rPr>
          <w:rFonts w:hint="eastAsia" w:ascii="宋体" w:hAnsi="宋体" w:eastAsia="宋体" w:cs="宋体"/>
          <w:b/>
          <w:bCs/>
          <w:color w:val="000000" w:themeColor="text1"/>
          <w:kern w:val="44"/>
          <w:sz w:val="32"/>
          <w:szCs w:val="32"/>
          <w:highlight w:val="none"/>
          <w14:textFill>
            <w14:solidFill>
              <w14:schemeClr w14:val="tx1"/>
            </w14:solidFill>
          </w14:textFill>
        </w:rPr>
      </w:pPr>
    </w:p>
    <w:p w14:paraId="1F8BF67D">
      <w:pPr>
        <w:keepNext/>
        <w:keepLines/>
        <w:spacing w:before="260" w:after="260" w:line="412" w:lineRule="auto"/>
        <w:outlineLvl w:val="2"/>
        <w:rPr>
          <w:rFonts w:hint="eastAsia" w:ascii="宋体" w:hAnsi="宋体" w:eastAsia="宋体" w:cs="宋体"/>
          <w:b/>
          <w:bCs/>
          <w:color w:val="000000" w:themeColor="text1"/>
          <w:kern w:val="0"/>
          <w:sz w:val="32"/>
          <w:szCs w:val="32"/>
          <w:highlight w:val="none"/>
          <w14:textFill>
            <w14:solidFill>
              <w14:schemeClr w14:val="tx1"/>
            </w14:solidFill>
          </w14:textFill>
        </w:rPr>
      </w:pPr>
      <w:bookmarkStart w:id="889" w:name="_Toc134619340"/>
      <w:r>
        <w:rPr>
          <w:rFonts w:hint="eastAsia" w:ascii="宋体" w:hAnsi="宋体" w:eastAsia="宋体" w:cs="宋体"/>
          <w:b/>
          <w:bCs/>
          <w:color w:val="000000" w:themeColor="text1"/>
          <w:kern w:val="0"/>
          <w:sz w:val="32"/>
          <w:szCs w:val="32"/>
          <w:highlight w:val="none"/>
          <w14:textFill>
            <w14:solidFill>
              <w14:schemeClr w14:val="tx1"/>
            </w14:solidFill>
          </w14:textFill>
        </w:rPr>
        <w:br w:type="page"/>
      </w:r>
      <w:r>
        <w:rPr>
          <w:rFonts w:hint="eastAsia" w:ascii="宋体" w:hAnsi="宋体" w:eastAsia="宋体" w:cs="宋体"/>
          <w:b/>
          <w:bCs/>
          <w:color w:val="000000" w:themeColor="text1"/>
          <w:kern w:val="0"/>
          <w:sz w:val="32"/>
          <w:szCs w:val="32"/>
          <w:highlight w:val="none"/>
          <w14:textFill>
            <w14:solidFill>
              <w14:schemeClr w14:val="tx1"/>
            </w14:solidFill>
          </w14:textFill>
        </w:rPr>
        <w:t>附件</w:t>
      </w:r>
      <w:bookmarkEnd w:id="889"/>
      <w:r>
        <w:rPr>
          <w:rFonts w:hint="eastAsia" w:ascii="宋体" w:hAnsi="宋体" w:eastAsia="宋体" w:cs="宋体"/>
          <w:b/>
          <w:bCs/>
          <w:color w:val="000000" w:themeColor="text1"/>
          <w:kern w:val="0"/>
          <w:sz w:val="32"/>
          <w:szCs w:val="32"/>
          <w:highlight w:val="none"/>
          <w:lang w:val="en-US" w:eastAsia="zh-CN"/>
          <w14:textFill>
            <w14:solidFill>
              <w14:schemeClr w14:val="tx1"/>
            </w14:solidFill>
          </w14:textFill>
        </w:rPr>
        <w:t>6</w:t>
      </w:r>
      <w:r>
        <w:rPr>
          <w:rFonts w:hint="eastAsia" w:ascii="宋体" w:hAnsi="宋体" w:eastAsia="宋体" w:cs="宋体"/>
          <w:b/>
          <w:bCs/>
          <w:color w:val="000000" w:themeColor="text1"/>
          <w:kern w:val="0"/>
          <w:sz w:val="32"/>
          <w:szCs w:val="32"/>
          <w:highlight w:val="none"/>
          <w14:textFill>
            <w14:solidFill>
              <w14:schemeClr w14:val="tx1"/>
            </w14:solidFill>
          </w14:textFill>
        </w:rPr>
        <w:t xml:space="preserve"> </w:t>
      </w:r>
    </w:p>
    <w:p w14:paraId="24D90EF0">
      <w:pPr>
        <w:spacing w:line="480" w:lineRule="auto"/>
        <w:jc w:val="center"/>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b/>
          <w:bCs/>
          <w:color w:val="000000" w:themeColor="text1"/>
          <w:kern w:val="0"/>
          <w:sz w:val="32"/>
          <w:szCs w:val="32"/>
          <w:highlight w:val="none"/>
          <w14:textFill>
            <w14:solidFill>
              <w14:schemeClr w14:val="tx1"/>
            </w14:solidFill>
          </w14:textFill>
        </w:rPr>
        <w:t>全流程电子化交易注意事项</w:t>
      </w:r>
    </w:p>
    <w:p w14:paraId="2AF89883">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化交易项目投标文件是供应商、供应商（以下简称“供应商”）通过中心投标文件制作系统制作，并经过签章和加密后生成的电子版投标文件。（电子化投标文件具体制作教材请供应商通过CA证书登录公共资源电子化交易系统在右上角“组件下载”中查看）制作电子化投标文件，需仔细阅读以下条款。</w:t>
      </w:r>
    </w:p>
    <w:p w14:paraId="70542C4E">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一、电子化投标</w:t>
      </w:r>
    </w:p>
    <w:p w14:paraId="4884D14E">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（一）网上投标保证金的缴纳（本项目不适用）</w:t>
      </w:r>
    </w:p>
    <w:p w14:paraId="23AB781E">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1、递交形式: 供应商的投标保证金必须通过供应商基本账户以转账或电汇的形式缴纳（账户必须是已加入平顶山市公共资源交易供应商或供应商诚信库中的账户）。</w:t>
      </w:r>
    </w:p>
    <w:p w14:paraId="34CE6E6B">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缴纳投标保证金后，应在规定的缴纳截止时间前通过平顶山市公共资源电子化交易系统将保证金成功绑定至所投标项目和标段。保证金绑定操作手册，请登录平顶山市公共资源交易中心网站在办事指南中网上投标栏目查看。</w:t>
      </w:r>
    </w:p>
    <w:p w14:paraId="5321D8DC">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3、供应商在成功绑定后，可以将系统生成的回执单图片制作在投标文件中，作为缴纳保证金的依据。</w:t>
      </w:r>
    </w:p>
    <w:p w14:paraId="024D0124">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4、供应商应仔细阅读操作手册并充分考虑异地跨行转账到账时间等因素，因供应商操作不当或银行到账时间等问题造成保证金无法正常绑定影响投标的，由供应商自行承担后果。</w:t>
      </w:r>
    </w:p>
    <w:p w14:paraId="4FCF0652">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5、未中标供应商的投标保证金在项目结束后，由中介服务机构向中心项目负责人提出退款申请，项目负责人同意并经财务部门核对后，通过中心交易平台退还给供应商。</w:t>
      </w:r>
    </w:p>
    <w:p w14:paraId="30CF5D15">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（二）电子化投标文件的签章</w:t>
      </w:r>
    </w:p>
    <w:p w14:paraId="5E92850C">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1、供应商在生成电子化投标文件后，应对电子化投标文件进行签章，未进行签章的视为无效投标。</w:t>
      </w:r>
    </w:p>
    <w:p w14:paraId="5E2699BD">
      <w:pPr>
        <w:spacing w:line="360" w:lineRule="auto"/>
        <w:ind w:firstLine="369" w:firstLineChars="175"/>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招标文件中要求法定代表人或授权委托人签字或盖章的，供应商在进行电子化投标文件签章时，以签盖法定代表人签章为准。电子化投标文件具体制作教材请供应商通过CA证书登录平顶山市公共资源电子化交易系统在右上角“组建下载”中查看。</w:t>
      </w:r>
    </w:p>
    <w:p w14:paraId="1A51A593">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（三）电子化投标文件的格式及上传投标</w:t>
      </w:r>
    </w:p>
    <w:p w14:paraId="5D2330D8">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项目名称.bin），备份文件主要用于电子化开标出现技术问题后的补救，请供应商随身携带。</w:t>
      </w:r>
    </w:p>
    <w:p w14:paraId="61CB05C0">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注：（1）供应商投报多个标段的，根据标段制作各个标段的投标文件后上传</w:t>
      </w:r>
    </w:p>
    <w:p w14:paraId="7478CACB">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2、电子化投标文件应在投标截止时间前成功上传至平顶山市公共资源电子化交易系统。至投标截止时间止，仍未上传成功的电子化投标文件将不予接收。</w:t>
      </w:r>
    </w:p>
    <w:p w14:paraId="4DA7D4F4">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78C7A929">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（四）电子化项目开标、解密、唱标、评标</w:t>
      </w:r>
    </w:p>
    <w:p w14:paraId="11409F87">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1、电子化投标文件采用双重加密方式。开标时，首先由供应商使用CA证书，在规定时间内对其电子化投标文件进行首次解密，供应商解密完成后，再由中介服务机构使用CA证书对投标文件进行再次解密。</w:t>
      </w:r>
    </w:p>
    <w:p w14:paraId="17209D00">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2、电子化投标文件解密异常的处理</w:t>
      </w:r>
    </w:p>
    <w:p w14:paraId="003427D5">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如出现供应商的电子投标文件无法解密的情况，供应商应及时联系中介服务机构说明。投标文件解密异常，按以下步骤进行处理：</w:t>
      </w:r>
    </w:p>
    <w:p w14:paraId="53582CC3">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（1）首先由技术人员进行问题排查。</w:t>
      </w:r>
    </w:p>
    <w:p w14:paraId="64E4619F">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（2）经技术人员排查后，是供应商文件自身问题导致投标文件无法解密的，该投标文件将不予接收、解密和唱标，开标会议继续进行。</w:t>
      </w:r>
    </w:p>
    <w:p w14:paraId="469B4FC7">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320106C5">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3、待所有供应商投标文件解密完成后，由中介服务机构操作，对所有已解密投标文件进行唱标。</w:t>
      </w:r>
    </w:p>
    <w:p w14:paraId="0AB9DBD3">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评标时，评标委员会对电子化投标文件有质疑的，将通过电子化交易系统对供应商发起质疑。质疑回复内容确认后，供应商的回复文件必须以经过供应商和其法定代表人签章的PDF格式文件为准，并通过电子化交易系统提交至评标委员会。</w:t>
      </w:r>
    </w:p>
    <w:p w14:paraId="3F693C34">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5、如评标委员会对需要回复的供应商回复内容有异议的，经过几次回复仍不清楚的，需在监督下进行免提电话进行质疑。</w:t>
      </w:r>
    </w:p>
    <w:p w14:paraId="78491A68">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6、评标时如因系统异常、停电、电脑病毒、网络堵塞等原因无法正常进行的，由技术人员排查解决，短时间无法解决的，经监督部门同意后，暂停评标活动，待问题解决后继续评标。</w:t>
      </w:r>
    </w:p>
    <w:p w14:paraId="2988AF74">
      <w:pPr>
        <w:spacing w:line="360" w:lineRule="auto"/>
        <w:ind w:firstLine="367" w:firstLineChars="17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说明：上述内容如有与《全国公共资源交易平台(河南省·平顶山市)》公共资源交易系统不一致的以最新电子化交易程序为准。</w:t>
      </w:r>
    </w:p>
    <w:p w14:paraId="1B3AA4D2">
      <w:pPr>
        <w:rPr>
          <w:rFonts w:hint="eastAsia" w:ascii="宋体" w:hAnsi="宋体" w:eastAsia="宋体" w:cs="宋体"/>
          <w:color w:val="000000" w:themeColor="text1"/>
          <w:highlight w:val="none"/>
          <w14:textFill>
            <w14:solidFill>
              <w14:schemeClr w14:val="tx1"/>
            </w14:solidFill>
          </w14:textFill>
        </w:rPr>
      </w:pPr>
    </w:p>
    <w:p w14:paraId="5CB0105D">
      <w:pPr>
        <w:rPr>
          <w:rFonts w:hint="eastAsia" w:ascii="宋体" w:hAnsi="宋体" w:eastAsia="宋体" w:cs="宋体"/>
          <w:color w:val="000000" w:themeColor="text1"/>
          <w:highlight w:val="none"/>
          <w14:textFill>
            <w14:solidFill>
              <w14:schemeClr w14:val="tx1"/>
            </w14:solidFill>
          </w14:textFill>
        </w:rPr>
      </w:pPr>
    </w:p>
    <w:p w14:paraId="083C27A2">
      <w:pPr>
        <w:rPr>
          <w:rFonts w:hint="eastAsia" w:ascii="宋体" w:hAnsi="宋体" w:eastAsia="宋体" w:cs="宋体"/>
          <w:color w:val="000000" w:themeColor="text1"/>
          <w:highlight w:val="none"/>
          <w14:textFill>
            <w14:solidFill>
              <w14:schemeClr w14:val="tx1"/>
            </w14:solidFill>
          </w14:textFill>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imple-line-icon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Ionicons">
    <w:altName w:val="Segoe Print"/>
    <w:panose1 w:val="00000000000000000000"/>
    <w:charset w:val="00"/>
    <w:family w:val="auto"/>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 w:name="layui-icon">
    <w:altName w:val="Segoe Print"/>
    <w:panose1 w:val="00000000000000000000"/>
    <w:charset w:val="00"/>
    <w:family w:val="auto"/>
    <w:pitch w:val="default"/>
    <w:sig w:usb0="00000000" w:usb1="00000000" w:usb2="00000000" w:usb3="00000000" w:csb0="00000000"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844EF">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7B32A">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537B32A">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EE823">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724DC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724DC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12E5F">
    <w:pPr>
      <w:pStyle w:val="12"/>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11BA1">
                          <w:pPr>
                            <w:pStyle w:val="1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B211BA1">
                    <w:pPr>
                      <w:pStyle w:val="12"/>
                    </w:pPr>
                    <w:r>
                      <w:fldChar w:fldCharType="begin"/>
                    </w:r>
                    <w:r>
                      <w:instrText xml:space="preserve"> PAGE  \* MERGEFORMAT </w:instrText>
                    </w:r>
                    <w:r>
                      <w:fldChar w:fldCharType="separate"/>
                    </w:r>
                    <w: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464AC">
    <w:pPr>
      <w:pStyle w:val="13"/>
      <w:pBdr>
        <w:top w:val="none" w:color="auto" w:sz="0" w:space="0"/>
        <w:left w:val="none" w:color="auto" w:sz="0" w:space="0"/>
        <w:bottom w:val="none" w:color="auto" w:sz="0" w:space="1"/>
        <w:right w:val="none" w:color="auto" w:sz="0" w:space="0"/>
      </w:pBdr>
      <w:ind w:right="-1"/>
      <w:jc w:val="left"/>
      <w:rPr>
        <w:rFonts w:hint="default" w:ascii="仿宋" w:hAnsi="仿宋" w:eastAsia="仿宋"/>
        <w:color w:val="000000"/>
        <w:kern w:val="0"/>
        <w:sz w:val="22"/>
        <w:szCs w:val="22"/>
        <w:u w:val="none" w:color="00000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DBBE1">
    <w:pPr>
      <w:pStyle w:val="13"/>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221D6D"/>
    <w:multiLevelType w:val="multilevel"/>
    <w:tmpl w:val="7F221D6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D726E"/>
    <w:rsid w:val="01A63CD7"/>
    <w:rsid w:val="01AF0E8E"/>
    <w:rsid w:val="03EF5EB9"/>
    <w:rsid w:val="03F71E22"/>
    <w:rsid w:val="05CF6D44"/>
    <w:rsid w:val="061B453B"/>
    <w:rsid w:val="06D575E9"/>
    <w:rsid w:val="074A6168"/>
    <w:rsid w:val="0A913826"/>
    <w:rsid w:val="0AF7628D"/>
    <w:rsid w:val="0C1464BD"/>
    <w:rsid w:val="0C3B1C9C"/>
    <w:rsid w:val="0CED4A06"/>
    <w:rsid w:val="0D9E2637"/>
    <w:rsid w:val="0E626B72"/>
    <w:rsid w:val="0EA74A6C"/>
    <w:rsid w:val="0FE73EE9"/>
    <w:rsid w:val="102C6932"/>
    <w:rsid w:val="10490802"/>
    <w:rsid w:val="13E56991"/>
    <w:rsid w:val="13EB2A67"/>
    <w:rsid w:val="14ED3D4F"/>
    <w:rsid w:val="16824D25"/>
    <w:rsid w:val="17BA0860"/>
    <w:rsid w:val="17CA65CA"/>
    <w:rsid w:val="18AC5CCF"/>
    <w:rsid w:val="196F7429"/>
    <w:rsid w:val="1A9A489C"/>
    <w:rsid w:val="1AF96685"/>
    <w:rsid w:val="1C821221"/>
    <w:rsid w:val="1D8D60CF"/>
    <w:rsid w:val="1DF934FB"/>
    <w:rsid w:val="1F8359DC"/>
    <w:rsid w:val="2161222D"/>
    <w:rsid w:val="23580F2E"/>
    <w:rsid w:val="24FC010B"/>
    <w:rsid w:val="25E43CC2"/>
    <w:rsid w:val="25EF1522"/>
    <w:rsid w:val="275375C4"/>
    <w:rsid w:val="28435434"/>
    <w:rsid w:val="285A1E91"/>
    <w:rsid w:val="2A590850"/>
    <w:rsid w:val="2E927F2D"/>
    <w:rsid w:val="3038502D"/>
    <w:rsid w:val="30590237"/>
    <w:rsid w:val="32317519"/>
    <w:rsid w:val="325F7912"/>
    <w:rsid w:val="330216E8"/>
    <w:rsid w:val="33AF4B9A"/>
    <w:rsid w:val="34C669A1"/>
    <w:rsid w:val="3542559A"/>
    <w:rsid w:val="36B30238"/>
    <w:rsid w:val="37F60FE9"/>
    <w:rsid w:val="39830A39"/>
    <w:rsid w:val="398E2C45"/>
    <w:rsid w:val="399A5845"/>
    <w:rsid w:val="3B7A5A8D"/>
    <w:rsid w:val="3BB50897"/>
    <w:rsid w:val="3CBB5822"/>
    <w:rsid w:val="3E5B7C82"/>
    <w:rsid w:val="3F057D64"/>
    <w:rsid w:val="3F5D26FF"/>
    <w:rsid w:val="3F740A45"/>
    <w:rsid w:val="40B45E9F"/>
    <w:rsid w:val="42E2089B"/>
    <w:rsid w:val="45470288"/>
    <w:rsid w:val="45604523"/>
    <w:rsid w:val="45E06E35"/>
    <w:rsid w:val="47522FA1"/>
    <w:rsid w:val="475C073D"/>
    <w:rsid w:val="481F0953"/>
    <w:rsid w:val="4969695C"/>
    <w:rsid w:val="49900624"/>
    <w:rsid w:val="4FC60E49"/>
    <w:rsid w:val="51542485"/>
    <w:rsid w:val="51B255E7"/>
    <w:rsid w:val="5327526F"/>
    <w:rsid w:val="5A9C7376"/>
    <w:rsid w:val="5B404B5C"/>
    <w:rsid w:val="5B505B2C"/>
    <w:rsid w:val="5C0A6562"/>
    <w:rsid w:val="5C1D4F20"/>
    <w:rsid w:val="5CF70E96"/>
    <w:rsid w:val="5E7C40BA"/>
    <w:rsid w:val="5EE25B77"/>
    <w:rsid w:val="5F092881"/>
    <w:rsid w:val="5F906D7E"/>
    <w:rsid w:val="60514C70"/>
    <w:rsid w:val="61BE18D7"/>
    <w:rsid w:val="627F1CB2"/>
    <w:rsid w:val="652A557F"/>
    <w:rsid w:val="664F1741"/>
    <w:rsid w:val="669E3A78"/>
    <w:rsid w:val="69BC0119"/>
    <w:rsid w:val="6A413A96"/>
    <w:rsid w:val="6B656B5C"/>
    <w:rsid w:val="6B76234D"/>
    <w:rsid w:val="6B9A16B0"/>
    <w:rsid w:val="6BAE1E2A"/>
    <w:rsid w:val="6EB8275C"/>
    <w:rsid w:val="71A2147B"/>
    <w:rsid w:val="730356DF"/>
    <w:rsid w:val="755328D0"/>
    <w:rsid w:val="757F6644"/>
    <w:rsid w:val="791B1956"/>
    <w:rsid w:val="79C36276"/>
    <w:rsid w:val="79CC49FF"/>
    <w:rsid w:val="7AD96BB7"/>
    <w:rsid w:val="7C771554"/>
    <w:rsid w:val="7C820150"/>
    <w:rsid w:val="7CB45542"/>
    <w:rsid w:val="7D6069DB"/>
    <w:rsid w:val="7F930498"/>
    <w:rsid w:val="7F957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Lines="0" w:beforeAutospacing="0" w:afterLines="0" w:afterAutospacing="0" w:line="240" w:lineRule="auto"/>
      <w:jc w:val="center"/>
      <w:outlineLvl w:val="0"/>
    </w:pPr>
    <w:rPr>
      <w:rFonts w:ascii="Times New Roman" w:hAnsi="Times New Roman" w:eastAsia="宋体"/>
      <w:b/>
      <w:kern w:val="44"/>
      <w:sz w:val="32"/>
    </w:rPr>
  </w:style>
  <w:style w:type="paragraph" w:styleId="4">
    <w:name w:val="heading 2"/>
    <w:basedOn w:val="1"/>
    <w:next w:val="1"/>
    <w:link w:val="24"/>
    <w:semiHidden/>
    <w:unhideWhenUsed/>
    <w:qFormat/>
    <w:uiPriority w:val="0"/>
    <w:pPr>
      <w:keepNext/>
      <w:keepLines/>
      <w:spacing w:line="360" w:lineRule="auto"/>
      <w:jc w:val="center"/>
      <w:outlineLvl w:val="1"/>
    </w:pPr>
    <w:rPr>
      <w:rFonts w:ascii="Arial" w:hAnsi="Arial" w:eastAsia="宋体" w:cs="Times New Roman"/>
      <w:b/>
      <w:bCs/>
      <w:sz w:val="28"/>
      <w:szCs w:val="30"/>
    </w:rPr>
  </w:style>
  <w:style w:type="paragraph" w:styleId="5">
    <w:name w:val="heading 3"/>
    <w:basedOn w:val="1"/>
    <w:next w:val="1"/>
    <w:link w:val="25"/>
    <w:semiHidden/>
    <w:unhideWhenUsed/>
    <w:qFormat/>
    <w:uiPriority w:val="0"/>
    <w:pPr>
      <w:keepNext/>
      <w:keepLines/>
      <w:spacing w:before="260" w:beforeLines="0" w:beforeAutospacing="0" w:after="260" w:afterLines="0" w:afterAutospacing="0" w:line="413" w:lineRule="auto"/>
      <w:outlineLvl w:val="2"/>
    </w:pPr>
    <w:rPr>
      <w:rFonts w:ascii="宋体" w:hAnsi="宋体" w:eastAsia="宋体" w:cs="Times New Roman"/>
      <w:b/>
      <w:sz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6">
    <w:name w:val="Body Text"/>
    <w:basedOn w:val="1"/>
    <w:next w:val="1"/>
    <w:qFormat/>
    <w:uiPriority w:val="99"/>
    <w:pPr>
      <w:spacing w:after="120"/>
    </w:pPr>
    <w:rPr>
      <w:kern w:val="0"/>
      <w:sz w:val="20"/>
      <w:szCs w:val="20"/>
    </w:rPr>
  </w:style>
  <w:style w:type="paragraph" w:styleId="7">
    <w:name w:val="Body Text Indent"/>
    <w:basedOn w:val="1"/>
    <w:next w:val="8"/>
    <w:qFormat/>
    <w:uiPriority w:val="0"/>
    <w:pPr>
      <w:spacing w:after="120" w:afterLines="0" w:afterAutospacing="0"/>
      <w:ind w:left="420" w:leftChars="200"/>
    </w:pPr>
  </w:style>
  <w:style w:type="paragraph" w:styleId="8">
    <w:name w:val="envelope return"/>
    <w:basedOn w:val="1"/>
    <w:qFormat/>
    <w:uiPriority w:val="0"/>
    <w:pPr>
      <w:snapToGrid w:val="0"/>
    </w:pPr>
    <w:rPr>
      <w:rFonts w:ascii="Arial" w:hAnsi="Arial"/>
    </w:rPr>
  </w:style>
  <w:style w:type="paragraph" w:styleId="9">
    <w:name w:val="toc 5"/>
    <w:basedOn w:val="1"/>
    <w:next w:val="1"/>
    <w:qFormat/>
    <w:uiPriority w:val="0"/>
    <w:pPr>
      <w:ind w:left="1680" w:leftChars="800"/>
    </w:pPr>
    <w:rPr>
      <w:rFonts w:ascii="Calibri" w:hAnsi="Calibri"/>
      <w:szCs w:val="22"/>
    </w:rPr>
  </w:style>
  <w:style w:type="paragraph" w:styleId="10">
    <w:name w:val="Plain Text"/>
    <w:basedOn w:val="1"/>
    <w:qFormat/>
    <w:uiPriority w:val="0"/>
    <w:rPr>
      <w:rFonts w:ascii="宋体" w:hAnsi="Courier New" w:cs="Courier New"/>
      <w:szCs w:val="21"/>
    </w:rPr>
  </w:style>
  <w:style w:type="paragraph" w:styleId="11">
    <w:name w:val="Body Text Indent 2"/>
    <w:basedOn w:val="1"/>
    <w:unhideWhenUsed/>
    <w:qFormat/>
    <w:uiPriority w:val="99"/>
    <w:pPr>
      <w:ind w:firstLine="570"/>
    </w:pPr>
    <w:rPr>
      <w:sz w:val="32"/>
    </w:rPr>
  </w:style>
  <w:style w:type="paragraph" w:styleId="12">
    <w:name w:val="footer"/>
    <w:basedOn w:val="1"/>
    <w:unhideWhenUsed/>
    <w:qFormat/>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Title"/>
    <w:basedOn w:val="1"/>
    <w:qFormat/>
    <w:uiPriority w:val="0"/>
    <w:pPr>
      <w:spacing w:before="240" w:beforeLines="0" w:after="60" w:afterLines="0"/>
      <w:jc w:val="center"/>
      <w:outlineLvl w:val="0"/>
    </w:pPr>
    <w:rPr>
      <w:rFonts w:ascii="Arial" w:hAnsi="Arial" w:cs="Arial"/>
      <w:b/>
      <w:bCs/>
      <w:sz w:val="32"/>
      <w:szCs w:val="32"/>
    </w:rPr>
  </w:style>
  <w:style w:type="paragraph" w:styleId="17">
    <w:name w:val="Body Text First Indent 2"/>
    <w:basedOn w:val="7"/>
    <w:next w:val="1"/>
    <w:qFormat/>
    <w:uiPriority w:val="0"/>
    <w:pPr>
      <w:ind w:firstLine="420" w:firstLineChars="200"/>
    </w:pPr>
  </w:style>
  <w:style w:type="character" w:styleId="20">
    <w:name w:val="Strong"/>
    <w:basedOn w:val="19"/>
    <w:qFormat/>
    <w:uiPriority w:val="0"/>
    <w:rPr>
      <w:b/>
      <w:bCs/>
    </w:rPr>
  </w:style>
  <w:style w:type="character" w:styleId="21">
    <w:name w:val="FollowedHyperlink"/>
    <w:basedOn w:val="19"/>
    <w:qFormat/>
    <w:uiPriority w:val="0"/>
    <w:rPr>
      <w:color w:val="444444"/>
      <w:sz w:val="21"/>
      <w:szCs w:val="21"/>
      <w:u w:val="none"/>
    </w:rPr>
  </w:style>
  <w:style w:type="character" w:styleId="22">
    <w:name w:val="Emphasis"/>
    <w:basedOn w:val="19"/>
    <w:qFormat/>
    <w:uiPriority w:val="0"/>
    <w:rPr>
      <w:i/>
    </w:rPr>
  </w:style>
  <w:style w:type="character" w:styleId="23">
    <w:name w:val="Hyperlink"/>
    <w:basedOn w:val="19"/>
    <w:qFormat/>
    <w:uiPriority w:val="0"/>
    <w:rPr>
      <w:color w:val="444444"/>
      <w:sz w:val="21"/>
      <w:szCs w:val="21"/>
      <w:u w:val="none"/>
    </w:rPr>
  </w:style>
  <w:style w:type="character" w:customStyle="1" w:styleId="24">
    <w:name w:val="标题 2 Char"/>
    <w:link w:val="4"/>
    <w:qFormat/>
    <w:uiPriority w:val="0"/>
    <w:rPr>
      <w:rFonts w:ascii="Arial" w:hAnsi="Arial" w:eastAsia="宋体" w:cs="Times New Roman"/>
      <w:b/>
      <w:bCs/>
      <w:sz w:val="28"/>
      <w:szCs w:val="30"/>
    </w:rPr>
  </w:style>
  <w:style w:type="character" w:customStyle="1" w:styleId="25">
    <w:name w:val="标题 3 Char"/>
    <w:link w:val="5"/>
    <w:qFormat/>
    <w:uiPriority w:val="0"/>
    <w:rPr>
      <w:rFonts w:ascii="宋体" w:hAnsi="宋体" w:eastAsia="宋体" w:cs="Times New Roman"/>
      <w:b/>
      <w:sz w:val="24"/>
    </w:rPr>
  </w:style>
  <w:style w:type="paragraph" w:customStyle="1" w:styleId="2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7">
    <w:name w:val="font11"/>
    <w:basedOn w:val="19"/>
    <w:qFormat/>
    <w:uiPriority w:val="0"/>
    <w:rPr>
      <w:rFonts w:hint="eastAsia" w:ascii="宋体" w:hAnsi="宋体" w:eastAsia="宋体" w:cs="宋体"/>
      <w:color w:val="000000"/>
      <w:sz w:val="22"/>
      <w:szCs w:val="22"/>
      <w:u w:val="none"/>
    </w:rPr>
  </w:style>
  <w:style w:type="paragraph" w:customStyle="1" w:styleId="28">
    <w:name w:val="No Spacing1"/>
    <w:basedOn w:val="1"/>
    <w:qFormat/>
    <w:uiPriority w:val="0"/>
    <w:pPr>
      <w:spacing w:line="400" w:lineRule="exact"/>
    </w:pPr>
  </w:style>
  <w:style w:type="character" w:customStyle="1" w:styleId="29">
    <w:name w:val="hover18"/>
    <w:basedOn w:val="19"/>
    <w:qFormat/>
    <w:uiPriority w:val="0"/>
  </w:style>
  <w:style w:type="character" w:customStyle="1" w:styleId="30">
    <w:name w:val="hover17"/>
    <w:basedOn w:val="19"/>
    <w:qFormat/>
    <w:uiPriority w:val="0"/>
  </w:style>
  <w:style w:type="character" w:customStyle="1" w:styleId="31">
    <w:name w:val="font121"/>
    <w:basedOn w:val="19"/>
    <w:qFormat/>
    <w:uiPriority w:val="0"/>
    <w:rPr>
      <w:rFonts w:ascii="宋体" w:hAnsi="宋体" w:eastAsia="宋体" w:cs="宋体"/>
      <w:color w:val="000000"/>
      <w:sz w:val="18"/>
      <w:szCs w:val="18"/>
      <w:u w:val="none"/>
    </w:rPr>
  </w:style>
  <w:style w:type="character" w:customStyle="1" w:styleId="32">
    <w:name w:val="font131"/>
    <w:basedOn w:val="19"/>
    <w:qFormat/>
    <w:uiPriority w:val="0"/>
    <w:rPr>
      <w:rFonts w:ascii="宋体" w:hAnsi="宋体" w:eastAsia="宋体" w:cs="宋体"/>
      <w:color w:val="003366"/>
      <w:sz w:val="18"/>
      <w:szCs w:val="18"/>
      <w:u w:val="none"/>
    </w:rPr>
  </w:style>
  <w:style w:type="character" w:customStyle="1" w:styleId="33">
    <w:name w:val="font141"/>
    <w:basedOn w:val="19"/>
    <w:qFormat/>
    <w:uiPriority w:val="0"/>
    <w:rPr>
      <w:rFonts w:ascii="宋体" w:hAnsi="宋体" w:eastAsia="宋体" w:cs="宋体"/>
      <w:color w:val="333333"/>
      <w:sz w:val="18"/>
      <w:szCs w:val="18"/>
      <w:u w:val="none"/>
    </w:rPr>
  </w:style>
  <w:style w:type="character" w:customStyle="1" w:styleId="34">
    <w:name w:val="font101"/>
    <w:basedOn w:val="19"/>
    <w:qFormat/>
    <w:uiPriority w:val="0"/>
    <w:rPr>
      <w:rFonts w:ascii="宋体" w:hAnsi="宋体" w:eastAsia="宋体" w:cs="宋体"/>
      <w:color w:val="000000"/>
      <w:sz w:val="18"/>
      <w:szCs w:val="18"/>
      <w:u w:val="none"/>
    </w:rPr>
  </w:style>
  <w:style w:type="character" w:customStyle="1" w:styleId="35">
    <w:name w:val="font112"/>
    <w:basedOn w:val="19"/>
    <w:qFormat/>
    <w:uiPriority w:val="0"/>
    <w:rPr>
      <w:rFonts w:ascii="宋体" w:hAnsi="宋体" w:eastAsia="宋体" w:cs="宋体"/>
      <w:color w:val="003366"/>
      <w:sz w:val="18"/>
      <w:szCs w:val="18"/>
      <w:u w:val="none"/>
    </w:rPr>
  </w:style>
  <w:style w:type="character" w:customStyle="1" w:styleId="36">
    <w:name w:val="font31"/>
    <w:basedOn w:val="19"/>
    <w:qFormat/>
    <w:uiPriority w:val="0"/>
    <w:rPr>
      <w:rFonts w:hint="eastAsia" w:ascii="宋体" w:hAnsi="宋体" w:eastAsia="宋体" w:cs="宋体"/>
      <w:color w:val="000000"/>
      <w:sz w:val="18"/>
      <w:szCs w:val="18"/>
      <w:u w:val="none"/>
    </w:rPr>
  </w:style>
  <w:style w:type="character" w:customStyle="1" w:styleId="37">
    <w:name w:val="font41"/>
    <w:basedOn w:val="19"/>
    <w:qFormat/>
    <w:uiPriority w:val="0"/>
    <w:rPr>
      <w:rFonts w:ascii="Calibri" w:hAnsi="Calibri" w:cs="Calibri"/>
      <w:color w:val="000000"/>
      <w:sz w:val="18"/>
      <w:szCs w:val="18"/>
      <w:u w:val="none"/>
    </w:rPr>
  </w:style>
  <w:style w:type="character" w:customStyle="1" w:styleId="38">
    <w:name w:val="font51"/>
    <w:basedOn w:val="19"/>
    <w:qFormat/>
    <w:uiPriority w:val="0"/>
    <w:rPr>
      <w:rFonts w:hint="eastAsia" w:ascii="宋体" w:hAnsi="宋体" w:eastAsia="宋体" w:cs="宋体"/>
      <w:color w:val="C00000"/>
      <w:sz w:val="18"/>
      <w:szCs w:val="18"/>
      <w:u w:val="none"/>
    </w:rPr>
  </w:style>
  <w:style w:type="character" w:customStyle="1" w:styleId="39">
    <w:name w:val="font71"/>
    <w:basedOn w:val="19"/>
    <w:qFormat/>
    <w:uiPriority w:val="0"/>
    <w:rPr>
      <w:rFonts w:hint="default" w:ascii="Times New Roman" w:hAnsi="Times New Roman" w:cs="Times New Roman"/>
      <w:color w:val="C00000"/>
      <w:sz w:val="18"/>
      <w:szCs w:val="18"/>
      <w:u w:val="none"/>
    </w:rPr>
  </w:style>
  <w:style w:type="character" w:customStyle="1" w:styleId="40">
    <w:name w:val="font61"/>
    <w:basedOn w:val="19"/>
    <w:qFormat/>
    <w:uiPriority w:val="0"/>
    <w:rPr>
      <w:rFonts w:hint="eastAsia" w:ascii="黑体" w:hAnsi="宋体" w:eastAsia="黑体" w:cs="黑体"/>
      <w:b/>
      <w:bCs/>
      <w:color w:val="C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17278</Words>
  <Characters>18284</Characters>
  <Lines>0</Lines>
  <Paragraphs>0</Paragraphs>
  <TotalTime>78</TotalTime>
  <ScaleCrop>false</ScaleCrop>
  <LinksUpToDate>false</LinksUpToDate>
  <CharactersWithSpaces>18517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2025-04-01T02:12:00Z</dcterms:created>
  <dc:creator>888</dc:creator>
  <cp:lastModifiedBy>@李子木～</cp:lastModifiedBy>
  <dcterms:modified xsi:type="dcterms:W3CDTF">2026-07-09T12:19:54Z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B5E6CA69B96E4B8A8DB754AC4DD84A3C_12</vt:lpwstr>
  </property>
  <property fmtid="{D5CDD505-2E9C-101B-9397-08002B2CF9AE}" pid="4" name="KSOTemplateDocerSaveRecord">
    <vt:lpwstr>eyJoZGlkIjoiMmQwODk0OTNkMTZmNGE5YTE3MDQ3NTEyMjU4NTdlNmIiLCJ1c2VySWQiOiI5ODg5MzE4MzUifQ==</vt:lpwstr>
  </property>
</Properties>
</file>